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8F88355" w14:textId="77777777" w:rsidR="001659CB" w:rsidRDefault="001659CB" w:rsidP="001659CB">
      <w:pPr>
        <w:spacing w:line="259" w:lineRule="auto"/>
        <w:jc w:val="center"/>
        <w:rPr>
          <w:b/>
          <w:bCs/>
        </w:rPr>
      </w:pPr>
    </w:p>
    <w:p w14:paraId="20D33B48" w14:textId="77777777" w:rsidR="001659CB" w:rsidRDefault="001659CB" w:rsidP="001659CB">
      <w:pPr>
        <w:spacing w:line="259" w:lineRule="auto"/>
        <w:jc w:val="center"/>
        <w:rPr>
          <w:b/>
          <w:bCs/>
        </w:rPr>
      </w:pPr>
    </w:p>
    <w:p w14:paraId="6296061B" w14:textId="77777777" w:rsidR="001659CB" w:rsidRDefault="001659CB" w:rsidP="001659CB">
      <w:pPr>
        <w:spacing w:line="259" w:lineRule="auto"/>
        <w:jc w:val="center"/>
        <w:rPr>
          <w:b/>
          <w:bCs/>
        </w:rPr>
      </w:pPr>
    </w:p>
    <w:p w14:paraId="3075288E" w14:textId="77777777" w:rsidR="001659CB" w:rsidRDefault="001659CB" w:rsidP="001659CB">
      <w:pPr>
        <w:spacing w:line="259" w:lineRule="auto"/>
        <w:jc w:val="center"/>
        <w:rPr>
          <w:b/>
          <w:bCs/>
        </w:rPr>
      </w:pPr>
    </w:p>
    <w:p w14:paraId="19A194E6" w14:textId="77777777" w:rsidR="001659CB" w:rsidRDefault="001659CB" w:rsidP="001659CB">
      <w:pPr>
        <w:spacing w:line="259" w:lineRule="auto"/>
        <w:jc w:val="center"/>
        <w:rPr>
          <w:b/>
          <w:bCs/>
        </w:rPr>
      </w:pPr>
    </w:p>
    <w:p w14:paraId="66D9EFB4" w14:textId="77777777" w:rsidR="001659CB" w:rsidRDefault="001659CB" w:rsidP="001659CB">
      <w:pPr>
        <w:spacing w:line="259" w:lineRule="auto"/>
        <w:jc w:val="center"/>
        <w:rPr>
          <w:b/>
          <w:bCs/>
        </w:rPr>
      </w:pPr>
    </w:p>
    <w:p w14:paraId="51CDB66A" w14:textId="77777777" w:rsidR="001659CB" w:rsidRDefault="003B0712" w:rsidP="001659CB">
      <w:pPr>
        <w:spacing w:line="259" w:lineRule="auto"/>
        <w:jc w:val="center"/>
        <w:rPr>
          <w:b/>
          <w:bCs/>
        </w:rPr>
      </w:pPr>
      <w:r>
        <w:rPr>
          <w:b/>
          <w:bCs/>
        </w:rPr>
        <w:t>z</w:t>
      </w:r>
    </w:p>
    <w:p w14:paraId="5BDBDB2B" w14:textId="77777777" w:rsidR="001659CB" w:rsidRDefault="001659CB" w:rsidP="001659CB">
      <w:pPr>
        <w:spacing w:line="259" w:lineRule="auto"/>
        <w:jc w:val="center"/>
        <w:rPr>
          <w:b/>
          <w:bCs/>
        </w:rPr>
      </w:pPr>
    </w:p>
    <w:p w14:paraId="1C73F895" w14:textId="77777777" w:rsidR="001659CB" w:rsidRDefault="001659CB" w:rsidP="001659CB">
      <w:pPr>
        <w:spacing w:line="259" w:lineRule="auto"/>
        <w:jc w:val="center"/>
        <w:rPr>
          <w:b/>
          <w:bCs/>
        </w:rPr>
      </w:pPr>
    </w:p>
    <w:p w14:paraId="28143E8D" w14:textId="77777777" w:rsidR="001659CB" w:rsidRDefault="001659CB" w:rsidP="001659CB">
      <w:pPr>
        <w:spacing w:line="259" w:lineRule="auto"/>
        <w:jc w:val="center"/>
        <w:rPr>
          <w:b/>
          <w:bCs/>
        </w:rPr>
      </w:pPr>
      <w:r>
        <w:rPr>
          <w:noProof/>
        </w:rPr>
        <w:drawing>
          <wp:inline distT="0" distB="0" distL="0" distR="0" wp14:anchorId="3CC57679" wp14:editId="7E5ECDA7">
            <wp:extent cx="2695979" cy="1180214"/>
            <wp:effectExtent l="0" t="0" r="0" b="127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722138" cy="1191666"/>
                    </a:xfrm>
                    <a:prstGeom prst="rect">
                      <a:avLst/>
                    </a:prstGeom>
                  </pic:spPr>
                </pic:pic>
              </a:graphicData>
            </a:graphic>
          </wp:inline>
        </w:drawing>
      </w:r>
    </w:p>
    <w:p w14:paraId="2BB07992" w14:textId="77777777" w:rsidR="001659CB" w:rsidRDefault="001659CB" w:rsidP="001659CB">
      <w:pPr>
        <w:spacing w:line="259" w:lineRule="auto"/>
        <w:jc w:val="center"/>
        <w:rPr>
          <w:b/>
          <w:bCs/>
        </w:rPr>
      </w:pPr>
    </w:p>
    <w:p w14:paraId="2C34A16B" w14:textId="77777777" w:rsidR="001659CB" w:rsidRPr="001659CB" w:rsidRDefault="001659CB" w:rsidP="001659CB">
      <w:pPr>
        <w:spacing w:line="259" w:lineRule="auto"/>
        <w:jc w:val="center"/>
      </w:pPr>
      <w:r w:rsidRPr="001659CB">
        <w:rPr>
          <w:b/>
          <w:bCs/>
        </w:rPr>
        <w:t>Module:</w:t>
      </w:r>
      <w:r w:rsidRPr="001659CB">
        <w:t xml:space="preserve"> LCHS4003 – Introduction to Health and Social Care</w:t>
      </w:r>
      <w:r w:rsidRPr="001659CB">
        <w:br/>
      </w:r>
      <w:r w:rsidRPr="001659CB">
        <w:rPr>
          <w:b/>
          <w:bCs/>
        </w:rPr>
        <w:t>Assignment Title:</w:t>
      </w:r>
      <w:r w:rsidRPr="001659CB">
        <w:t xml:space="preserve"> Written Repo</w:t>
      </w:r>
      <w:r>
        <w:t xml:space="preserve">rt Based on </w:t>
      </w:r>
      <w:proofErr w:type="spellStart"/>
      <w:r>
        <w:t>Mrs</w:t>
      </w:r>
      <w:proofErr w:type="spellEnd"/>
      <w:r>
        <w:t xml:space="preserve"> Mann Case Study</w:t>
      </w:r>
    </w:p>
    <w:p w14:paraId="7A21555E" w14:textId="77777777" w:rsidR="001659CB" w:rsidRPr="001659CB" w:rsidRDefault="001659CB" w:rsidP="001659CB">
      <w:pPr>
        <w:spacing w:line="259" w:lineRule="auto"/>
        <w:jc w:val="center"/>
      </w:pPr>
      <w:r w:rsidRPr="001659CB">
        <w:rPr>
          <w:b/>
          <w:bCs/>
        </w:rPr>
        <w:t>Student Name:</w:t>
      </w:r>
      <w:r w:rsidRPr="001659CB">
        <w:t xml:space="preserve"> ____________________________</w:t>
      </w:r>
      <w:r w:rsidRPr="001659CB">
        <w:br/>
      </w:r>
      <w:r w:rsidRPr="001659CB">
        <w:rPr>
          <w:b/>
          <w:bCs/>
        </w:rPr>
        <w:t>Student ID Number:</w:t>
      </w:r>
      <w:r w:rsidRPr="001659CB">
        <w:t xml:space="preserve"> _________________________</w:t>
      </w:r>
      <w:r w:rsidRPr="001659CB">
        <w:br/>
      </w:r>
      <w:r w:rsidRPr="001659CB">
        <w:rPr>
          <w:b/>
          <w:bCs/>
        </w:rPr>
        <w:t>Date:</w:t>
      </w:r>
      <w:r w:rsidRPr="001659CB">
        <w:t xml:space="preserve"> _____________________________</w:t>
      </w:r>
    </w:p>
    <w:p w14:paraId="6BD4ECA2" w14:textId="77777777" w:rsidR="00726E27" w:rsidRDefault="00726E27">
      <w:pPr>
        <w:spacing w:line="259" w:lineRule="auto"/>
      </w:pPr>
      <w:r>
        <w:br w:type="page"/>
      </w:r>
    </w:p>
    <w:sdt>
      <w:sdtPr>
        <w:rPr>
          <w:rFonts w:ascii="Arial" w:eastAsiaTheme="minorHAnsi" w:hAnsi="Arial" w:cstheme="minorBidi"/>
          <w:color w:val="auto"/>
          <w:sz w:val="24"/>
          <w:szCs w:val="22"/>
        </w:rPr>
        <w:id w:val="1078710307"/>
        <w:docPartObj>
          <w:docPartGallery w:val="Table of Contents"/>
          <w:docPartUnique/>
        </w:docPartObj>
      </w:sdtPr>
      <w:sdtEndPr>
        <w:rPr>
          <w:b/>
          <w:bCs/>
          <w:noProof/>
        </w:rPr>
      </w:sdtEndPr>
      <w:sdtContent>
        <w:p w14:paraId="6286FBDC" w14:textId="77777777" w:rsidR="00C24C16" w:rsidRPr="00C24C16" w:rsidRDefault="00C24C16" w:rsidP="00C24C16">
          <w:pPr>
            <w:pStyle w:val="TOCHeading"/>
            <w:jc w:val="center"/>
            <w:rPr>
              <w:rFonts w:ascii="Arial" w:hAnsi="Arial" w:cs="Arial"/>
              <w:b/>
              <w:color w:val="auto"/>
              <w:sz w:val="24"/>
              <w:szCs w:val="24"/>
            </w:rPr>
          </w:pPr>
          <w:r w:rsidRPr="00C24C16">
            <w:rPr>
              <w:rFonts w:ascii="Arial" w:hAnsi="Arial" w:cs="Arial"/>
              <w:b/>
              <w:color w:val="auto"/>
              <w:sz w:val="24"/>
              <w:szCs w:val="24"/>
            </w:rPr>
            <w:t>Table of Contents</w:t>
          </w:r>
        </w:p>
        <w:p w14:paraId="6F790E3F" w14:textId="77777777" w:rsidR="00C24C16" w:rsidRDefault="00C24C16">
          <w:pPr>
            <w:pStyle w:val="TOC1"/>
            <w:tabs>
              <w:tab w:val="right" w:leader="dot" w:pos="9350"/>
            </w:tabs>
            <w:rPr>
              <w:rFonts w:asciiTheme="minorHAnsi" w:eastAsiaTheme="minorEastAsia" w:hAnsiTheme="minorHAnsi"/>
              <w:noProof/>
              <w:sz w:val="22"/>
            </w:rPr>
          </w:pPr>
          <w:r>
            <w:fldChar w:fldCharType="begin"/>
          </w:r>
          <w:r>
            <w:instrText xml:space="preserve"> TOC \o "1-3" \h \z \u </w:instrText>
          </w:r>
          <w:r>
            <w:fldChar w:fldCharType="separate"/>
          </w:r>
          <w:hyperlink w:anchor="_Toc215841975" w:history="1">
            <w:r w:rsidRPr="003B6758">
              <w:rPr>
                <w:rStyle w:val="Hyperlink"/>
                <w:noProof/>
              </w:rPr>
              <w:t>1. Introduction</w:t>
            </w:r>
            <w:r>
              <w:rPr>
                <w:noProof/>
                <w:webHidden/>
              </w:rPr>
              <w:tab/>
            </w:r>
            <w:r>
              <w:rPr>
                <w:noProof/>
                <w:webHidden/>
              </w:rPr>
              <w:fldChar w:fldCharType="begin"/>
            </w:r>
            <w:r>
              <w:rPr>
                <w:noProof/>
                <w:webHidden/>
              </w:rPr>
              <w:instrText xml:space="preserve"> PAGEREF _Toc215841975 \h </w:instrText>
            </w:r>
            <w:r>
              <w:rPr>
                <w:noProof/>
                <w:webHidden/>
              </w:rPr>
            </w:r>
            <w:r>
              <w:rPr>
                <w:noProof/>
                <w:webHidden/>
              </w:rPr>
              <w:fldChar w:fldCharType="separate"/>
            </w:r>
            <w:r>
              <w:rPr>
                <w:noProof/>
                <w:webHidden/>
              </w:rPr>
              <w:t>3</w:t>
            </w:r>
            <w:r>
              <w:rPr>
                <w:noProof/>
                <w:webHidden/>
              </w:rPr>
              <w:fldChar w:fldCharType="end"/>
            </w:r>
          </w:hyperlink>
        </w:p>
        <w:p w14:paraId="1224733C" w14:textId="77777777" w:rsidR="00C24C16" w:rsidRDefault="00C24C16">
          <w:pPr>
            <w:pStyle w:val="TOC1"/>
            <w:tabs>
              <w:tab w:val="right" w:leader="dot" w:pos="9350"/>
            </w:tabs>
            <w:rPr>
              <w:rFonts w:asciiTheme="minorHAnsi" w:eastAsiaTheme="minorEastAsia" w:hAnsiTheme="minorHAnsi"/>
              <w:noProof/>
              <w:sz w:val="22"/>
            </w:rPr>
          </w:pPr>
          <w:hyperlink w:anchor="_Toc215841976" w:history="1">
            <w:r w:rsidRPr="003B6758">
              <w:rPr>
                <w:rStyle w:val="Hyperlink"/>
                <w:noProof/>
              </w:rPr>
              <w:t>2. Importance of Effective Communication in Mrs Mann’s Care</w:t>
            </w:r>
            <w:r>
              <w:rPr>
                <w:noProof/>
                <w:webHidden/>
              </w:rPr>
              <w:tab/>
            </w:r>
            <w:r>
              <w:rPr>
                <w:noProof/>
                <w:webHidden/>
              </w:rPr>
              <w:fldChar w:fldCharType="begin"/>
            </w:r>
            <w:r>
              <w:rPr>
                <w:noProof/>
                <w:webHidden/>
              </w:rPr>
              <w:instrText xml:space="preserve"> PAGEREF _Toc215841976 \h </w:instrText>
            </w:r>
            <w:r>
              <w:rPr>
                <w:noProof/>
                <w:webHidden/>
              </w:rPr>
            </w:r>
            <w:r>
              <w:rPr>
                <w:noProof/>
                <w:webHidden/>
              </w:rPr>
              <w:fldChar w:fldCharType="separate"/>
            </w:r>
            <w:r>
              <w:rPr>
                <w:noProof/>
                <w:webHidden/>
              </w:rPr>
              <w:t>3</w:t>
            </w:r>
            <w:r>
              <w:rPr>
                <w:noProof/>
                <w:webHidden/>
              </w:rPr>
              <w:fldChar w:fldCharType="end"/>
            </w:r>
          </w:hyperlink>
        </w:p>
        <w:p w14:paraId="1B659173" w14:textId="77777777" w:rsidR="00C24C16" w:rsidRDefault="00C24C16">
          <w:pPr>
            <w:pStyle w:val="TOC1"/>
            <w:tabs>
              <w:tab w:val="right" w:leader="dot" w:pos="9350"/>
            </w:tabs>
            <w:rPr>
              <w:rFonts w:asciiTheme="minorHAnsi" w:eastAsiaTheme="minorEastAsia" w:hAnsiTheme="minorHAnsi"/>
              <w:noProof/>
              <w:sz w:val="22"/>
            </w:rPr>
          </w:pPr>
          <w:hyperlink w:anchor="_Toc215841977" w:history="1">
            <w:r w:rsidRPr="003B6758">
              <w:rPr>
                <w:rStyle w:val="Hyperlink"/>
                <w:noProof/>
              </w:rPr>
              <w:t>3. Importance of Good Administrative Skills &amp; Record-keeping</w:t>
            </w:r>
            <w:r>
              <w:rPr>
                <w:noProof/>
                <w:webHidden/>
              </w:rPr>
              <w:tab/>
            </w:r>
            <w:r>
              <w:rPr>
                <w:noProof/>
                <w:webHidden/>
              </w:rPr>
              <w:fldChar w:fldCharType="begin"/>
            </w:r>
            <w:r>
              <w:rPr>
                <w:noProof/>
                <w:webHidden/>
              </w:rPr>
              <w:instrText xml:space="preserve"> PAGEREF _Toc215841977 \h </w:instrText>
            </w:r>
            <w:r>
              <w:rPr>
                <w:noProof/>
                <w:webHidden/>
              </w:rPr>
            </w:r>
            <w:r>
              <w:rPr>
                <w:noProof/>
                <w:webHidden/>
              </w:rPr>
              <w:fldChar w:fldCharType="separate"/>
            </w:r>
            <w:r>
              <w:rPr>
                <w:noProof/>
                <w:webHidden/>
              </w:rPr>
              <w:t>4</w:t>
            </w:r>
            <w:r>
              <w:rPr>
                <w:noProof/>
                <w:webHidden/>
              </w:rPr>
              <w:fldChar w:fldCharType="end"/>
            </w:r>
          </w:hyperlink>
        </w:p>
        <w:p w14:paraId="2289BBA6" w14:textId="77777777" w:rsidR="00C24C16" w:rsidRDefault="00C24C16">
          <w:pPr>
            <w:pStyle w:val="TOC1"/>
            <w:tabs>
              <w:tab w:val="right" w:leader="dot" w:pos="9350"/>
            </w:tabs>
            <w:rPr>
              <w:rFonts w:asciiTheme="minorHAnsi" w:eastAsiaTheme="minorEastAsia" w:hAnsiTheme="minorHAnsi"/>
              <w:noProof/>
              <w:sz w:val="22"/>
            </w:rPr>
          </w:pPr>
          <w:hyperlink w:anchor="_Toc215841978" w:history="1">
            <w:r w:rsidRPr="003B6758">
              <w:rPr>
                <w:rStyle w:val="Hyperlink"/>
                <w:noProof/>
              </w:rPr>
              <w:t>4. Importance of Collaborative Working</w:t>
            </w:r>
            <w:r>
              <w:rPr>
                <w:noProof/>
                <w:webHidden/>
              </w:rPr>
              <w:tab/>
            </w:r>
            <w:r>
              <w:rPr>
                <w:noProof/>
                <w:webHidden/>
              </w:rPr>
              <w:fldChar w:fldCharType="begin"/>
            </w:r>
            <w:r>
              <w:rPr>
                <w:noProof/>
                <w:webHidden/>
              </w:rPr>
              <w:instrText xml:space="preserve"> PAGEREF _Toc215841978 \h </w:instrText>
            </w:r>
            <w:r>
              <w:rPr>
                <w:noProof/>
                <w:webHidden/>
              </w:rPr>
            </w:r>
            <w:r>
              <w:rPr>
                <w:noProof/>
                <w:webHidden/>
              </w:rPr>
              <w:fldChar w:fldCharType="separate"/>
            </w:r>
            <w:r>
              <w:rPr>
                <w:noProof/>
                <w:webHidden/>
              </w:rPr>
              <w:t>5</w:t>
            </w:r>
            <w:r>
              <w:rPr>
                <w:noProof/>
                <w:webHidden/>
              </w:rPr>
              <w:fldChar w:fldCharType="end"/>
            </w:r>
          </w:hyperlink>
        </w:p>
        <w:p w14:paraId="18F0A51A" w14:textId="77777777" w:rsidR="00C24C16" w:rsidRDefault="00C24C16">
          <w:pPr>
            <w:pStyle w:val="TOC1"/>
            <w:tabs>
              <w:tab w:val="right" w:leader="dot" w:pos="9350"/>
            </w:tabs>
            <w:rPr>
              <w:rFonts w:asciiTheme="minorHAnsi" w:eastAsiaTheme="minorEastAsia" w:hAnsiTheme="minorHAnsi"/>
              <w:noProof/>
              <w:sz w:val="22"/>
            </w:rPr>
          </w:pPr>
          <w:hyperlink w:anchor="_Toc215841979" w:history="1">
            <w:r w:rsidRPr="003B6758">
              <w:rPr>
                <w:rStyle w:val="Hyperlink"/>
                <w:noProof/>
              </w:rPr>
              <w:t>5. Conclusion</w:t>
            </w:r>
            <w:r>
              <w:rPr>
                <w:noProof/>
                <w:webHidden/>
              </w:rPr>
              <w:tab/>
            </w:r>
            <w:r>
              <w:rPr>
                <w:noProof/>
                <w:webHidden/>
              </w:rPr>
              <w:fldChar w:fldCharType="begin"/>
            </w:r>
            <w:r>
              <w:rPr>
                <w:noProof/>
                <w:webHidden/>
              </w:rPr>
              <w:instrText xml:space="preserve"> PAGEREF _Toc215841979 \h </w:instrText>
            </w:r>
            <w:r>
              <w:rPr>
                <w:noProof/>
                <w:webHidden/>
              </w:rPr>
            </w:r>
            <w:r>
              <w:rPr>
                <w:noProof/>
                <w:webHidden/>
              </w:rPr>
              <w:fldChar w:fldCharType="separate"/>
            </w:r>
            <w:r>
              <w:rPr>
                <w:noProof/>
                <w:webHidden/>
              </w:rPr>
              <w:t>6</w:t>
            </w:r>
            <w:r>
              <w:rPr>
                <w:noProof/>
                <w:webHidden/>
              </w:rPr>
              <w:fldChar w:fldCharType="end"/>
            </w:r>
          </w:hyperlink>
        </w:p>
        <w:p w14:paraId="62FA8918" w14:textId="77777777" w:rsidR="00C24C16" w:rsidRDefault="00C24C16">
          <w:pPr>
            <w:pStyle w:val="TOC1"/>
            <w:tabs>
              <w:tab w:val="right" w:leader="dot" w:pos="9350"/>
            </w:tabs>
            <w:rPr>
              <w:rFonts w:asciiTheme="minorHAnsi" w:eastAsiaTheme="minorEastAsia" w:hAnsiTheme="minorHAnsi"/>
              <w:noProof/>
              <w:sz w:val="22"/>
            </w:rPr>
          </w:pPr>
          <w:hyperlink w:anchor="_Toc215841980" w:history="1">
            <w:r w:rsidRPr="003B6758">
              <w:rPr>
                <w:rStyle w:val="Hyperlink"/>
                <w:noProof/>
              </w:rPr>
              <w:t>References</w:t>
            </w:r>
            <w:r>
              <w:rPr>
                <w:noProof/>
                <w:webHidden/>
              </w:rPr>
              <w:tab/>
            </w:r>
            <w:r>
              <w:rPr>
                <w:noProof/>
                <w:webHidden/>
              </w:rPr>
              <w:fldChar w:fldCharType="begin"/>
            </w:r>
            <w:r>
              <w:rPr>
                <w:noProof/>
                <w:webHidden/>
              </w:rPr>
              <w:instrText xml:space="preserve"> PAGEREF _Toc215841980 \h </w:instrText>
            </w:r>
            <w:r>
              <w:rPr>
                <w:noProof/>
                <w:webHidden/>
              </w:rPr>
            </w:r>
            <w:r>
              <w:rPr>
                <w:noProof/>
                <w:webHidden/>
              </w:rPr>
              <w:fldChar w:fldCharType="separate"/>
            </w:r>
            <w:r>
              <w:rPr>
                <w:noProof/>
                <w:webHidden/>
              </w:rPr>
              <w:t>8</w:t>
            </w:r>
            <w:r>
              <w:rPr>
                <w:noProof/>
                <w:webHidden/>
              </w:rPr>
              <w:fldChar w:fldCharType="end"/>
            </w:r>
          </w:hyperlink>
        </w:p>
        <w:p w14:paraId="406A55D4" w14:textId="77777777" w:rsidR="00C24C16" w:rsidRDefault="00C24C16">
          <w:r>
            <w:rPr>
              <w:b/>
              <w:bCs/>
              <w:noProof/>
            </w:rPr>
            <w:fldChar w:fldCharType="end"/>
          </w:r>
        </w:p>
      </w:sdtContent>
    </w:sdt>
    <w:p w14:paraId="4A6B8660" w14:textId="77777777" w:rsidR="00726E27" w:rsidRDefault="00726E27">
      <w:pPr>
        <w:spacing w:line="259" w:lineRule="auto"/>
      </w:pPr>
      <w:r>
        <w:br w:type="page"/>
      </w:r>
    </w:p>
    <w:p w14:paraId="1A0EDAFB" w14:textId="77777777" w:rsidR="00726E27" w:rsidRPr="00726E27" w:rsidRDefault="00C24C16" w:rsidP="00726E27">
      <w:pPr>
        <w:pStyle w:val="Heading1"/>
      </w:pPr>
      <w:bookmarkStart w:id="0" w:name="_Toc215841975"/>
      <w:r>
        <w:lastRenderedPageBreak/>
        <w:t xml:space="preserve">1. </w:t>
      </w:r>
      <w:r w:rsidR="00726E27" w:rsidRPr="00726E27">
        <w:t>Introduction</w:t>
      </w:r>
      <w:bookmarkEnd w:id="0"/>
      <w:r w:rsidR="00726E27" w:rsidRPr="00726E27">
        <w:t xml:space="preserve"> </w:t>
      </w:r>
    </w:p>
    <w:p w14:paraId="46F39B50" w14:textId="6C25E5A0" w:rsidR="003901FC" w:rsidRDefault="003901FC" w:rsidP="00726E27">
      <w:r w:rsidRPr="003901FC">
        <w:t xml:space="preserve">The provision of quality health and social care requires a level of communication, record keeping and professional working together. </w:t>
      </w:r>
      <w:proofErr w:type="spellStart"/>
      <w:r w:rsidRPr="003901FC">
        <w:t>Mrs</w:t>
      </w:r>
      <w:proofErr w:type="spellEnd"/>
      <w:r w:rsidRPr="003901FC">
        <w:t xml:space="preserve"> Mann's case underscores the potential issues of language barriers, inconsistent documentation and multi-agency involvement in presenting risks to safety and continuity of care. Clear communication with service users is vital in order to understand and promote dignity, while legislation (e.g. the Equality Act 2010) protects fair access to services and reasonable adjustments (GOV.UK, 2010). Likewise, safe handling of information is a legal requirement under the Data Protection Act</w:t>
      </w:r>
      <w:r w:rsidR="00890E5E">
        <w:t xml:space="preserve"> </w:t>
      </w:r>
      <w:r w:rsidRPr="003901FC">
        <w:t xml:space="preserve">2018 and supported by guidance on confidentiality2017 (GMC, GOV.UK, 2018). NHS record keeping standards and information governance principles, including Caldicott guidance, help to ensure accountability in the delivery of care (UK Government, 2020; NHS Transformation, 2021). This assignment thus explores the communication, documentation and partnership working in </w:t>
      </w:r>
      <w:proofErr w:type="spellStart"/>
      <w:r w:rsidRPr="003901FC">
        <w:t>Mrs</w:t>
      </w:r>
      <w:proofErr w:type="spellEnd"/>
      <w:r w:rsidRPr="003901FC">
        <w:t xml:space="preserve"> Mann's care.</w:t>
      </w:r>
    </w:p>
    <w:p w14:paraId="0A9A1486" w14:textId="77777777" w:rsidR="00726E27" w:rsidRDefault="00726E27" w:rsidP="00726E27">
      <w:pPr>
        <w:pStyle w:val="Heading1"/>
      </w:pPr>
      <w:bookmarkStart w:id="1" w:name="_Toc215841976"/>
      <w:r w:rsidRPr="00726E27">
        <w:t xml:space="preserve">2. Importance of Effective Communication in </w:t>
      </w:r>
      <w:proofErr w:type="spellStart"/>
      <w:r w:rsidRPr="00726E27">
        <w:t>Mrs</w:t>
      </w:r>
      <w:proofErr w:type="spellEnd"/>
      <w:r w:rsidRPr="00726E27">
        <w:t xml:space="preserve"> Mann’s Care</w:t>
      </w:r>
      <w:bookmarkEnd w:id="1"/>
    </w:p>
    <w:p w14:paraId="5411FE98" w14:textId="77777777" w:rsidR="003901FC" w:rsidRDefault="003901FC" w:rsidP="003901FC">
      <w:r>
        <w:t xml:space="preserve">Effective communication is central to safe care delivery for </w:t>
      </w:r>
      <w:proofErr w:type="spellStart"/>
      <w:r>
        <w:t>Mrs</w:t>
      </w:r>
      <w:proofErr w:type="spellEnd"/>
      <w:r>
        <w:t xml:space="preserve"> Mann as language barriers, cultural needs and multiple professional interactions are associated with increased risk of misunderstanding. </w:t>
      </w:r>
      <w:proofErr w:type="spellStart"/>
      <w:r>
        <w:t>Mrs</w:t>
      </w:r>
      <w:proofErr w:type="spellEnd"/>
      <w:r>
        <w:t xml:space="preserve"> Mann speaks limited English and relies on her daughter for interpretation which means communication needs to be tailored to ensure dignity, autonomy and informed decision-making. The Equality Act 2010 is a law that makes reasonable arrangements compulsory and makes it illegal to discriminate because of language and cultural differences, which are also a legal requirement that services should be made to meet her needs (GOV.UK, 2010). Using culturally sensitive approaches, active listening and professional interpreting services facilitates inclusion and lessens the need for family members who may not be able to relay complex information or filter sensitive issues.</w:t>
      </w:r>
    </w:p>
    <w:p w14:paraId="5160E39C" w14:textId="77777777" w:rsidR="003901FC" w:rsidRDefault="003901FC" w:rsidP="003901FC">
      <w:r>
        <w:t xml:space="preserve">Communication breakdowns in healthcare can result in delayed treatment or can cause errors such as in </w:t>
      </w:r>
      <w:proofErr w:type="spellStart"/>
      <w:r>
        <w:t>Mrs</w:t>
      </w:r>
      <w:proofErr w:type="spellEnd"/>
      <w:r>
        <w:t xml:space="preserve"> Mann's case where the adjustment was not made in time for her medication. Models of communication like the Shannon and Weaver linear model show the breakdowns at different stages, meaning the clarity, tone, and channel choice are important for the correct exchange of information to take place (Ali et al., 2020). If </w:t>
      </w:r>
      <w:r>
        <w:lastRenderedPageBreak/>
        <w:t>messages between the GP, physiotherapist and care workers were incomplete or interrupted, vital updates could be lost, demonstrating how bad communication on safety. Effective communication therefore requires professional to express information clearly, check for understanding and ensure interactions are documented accurately and meaning across language is checked.</w:t>
      </w:r>
    </w:p>
    <w:p w14:paraId="0D08C213" w14:textId="77777777" w:rsidR="003901FC" w:rsidRDefault="003901FC" w:rsidP="003901FC">
      <w:r>
        <w:t xml:space="preserve">Engaging with </w:t>
      </w:r>
      <w:proofErr w:type="spellStart"/>
      <w:r>
        <w:t>Mrs</w:t>
      </w:r>
      <w:proofErr w:type="spellEnd"/>
      <w:r>
        <w:t xml:space="preserve"> Mann also requires respect for confidentiality as sensitive information might be shared between professionals and family members. The General Medical Council says that patient information is only to be shared where necessary and to be properly recorded to safeguard the privacy of the patient (General Medical Council, 2017). When communication involves interpreters or family members additional care is needed to obtain consent and protect dignity. Digital systems, shared notes and home care plans also form part of communication, which is associated with wider information governance requirements.</w:t>
      </w:r>
    </w:p>
    <w:p w14:paraId="240A03AF" w14:textId="77777777" w:rsidR="003901FC" w:rsidRPr="00726E27" w:rsidRDefault="003901FC" w:rsidP="003901FC">
      <w:r>
        <w:t xml:space="preserve">Poor communications are widely </w:t>
      </w:r>
      <w:proofErr w:type="spellStart"/>
      <w:r>
        <w:t>recognised</w:t>
      </w:r>
      <w:proofErr w:type="spellEnd"/>
      <w:r>
        <w:t xml:space="preserve"> to be a factor in causing safety incidents, and the failure to document or share updates also have implications for legal obligations under Data Protection Act 2018 in respect of lawful processing of information (GOV.UK, 2018). Good communication leads to improved relationships, reduced anxiety and rehabilitation goals as the service user feels listened to, respected and informed. In </w:t>
      </w:r>
      <w:proofErr w:type="spellStart"/>
      <w:r>
        <w:t>Mrs</w:t>
      </w:r>
      <w:proofErr w:type="spellEnd"/>
      <w:r>
        <w:t xml:space="preserve"> Mann's case, effective communication across language barriers and across agencies is critical to preventing misunderstandings and fostering shared decision making about care and is part of its essential role in person </w:t>
      </w:r>
      <w:proofErr w:type="spellStart"/>
      <w:r>
        <w:t>centred</w:t>
      </w:r>
      <w:proofErr w:type="spellEnd"/>
      <w:r>
        <w:t xml:space="preserve"> delivery of health and social care.</w:t>
      </w:r>
    </w:p>
    <w:p w14:paraId="2F3C0D91" w14:textId="77777777" w:rsidR="00726E27" w:rsidRDefault="00726E27" w:rsidP="00726E27">
      <w:pPr>
        <w:pStyle w:val="Heading1"/>
      </w:pPr>
      <w:bookmarkStart w:id="2" w:name="_Toc215841977"/>
      <w:r w:rsidRPr="00726E27">
        <w:t>3. Importance of Good Administrative Skills &amp; Record-keeping</w:t>
      </w:r>
      <w:bookmarkEnd w:id="2"/>
    </w:p>
    <w:p w14:paraId="2DE147F9" w14:textId="77777777" w:rsidR="003901FC" w:rsidRDefault="003901FC" w:rsidP="003901FC">
      <w:r>
        <w:t xml:space="preserve">Accurate record-keeping and excellent administrative skills are essential within </w:t>
      </w:r>
      <w:proofErr w:type="spellStart"/>
      <w:r>
        <w:t>Mrs</w:t>
      </w:r>
      <w:proofErr w:type="spellEnd"/>
      <w:r>
        <w:t xml:space="preserve"> Mann's care because they support safety, continuity and accountability. Her case brings to the fore the issues of inconsistent documentation and about a missed medication change, and illustrates how poor records can mean delayed treatment and compromised wellbeing. Record-keeping is part of legal and professional responsibilities in health and social care where written notes, digital entries and logs of communications form the basis of safe decision making. The NHS Records Management Code of Practice sets out expectations of completeness, clarity, accessibility and retention of care records; in order </w:t>
      </w:r>
      <w:r>
        <w:lastRenderedPageBreak/>
        <w:t xml:space="preserve">to ensure that reliable information is available to all practitioners involved (NHS Transformation, 2021). These principles are especially relevant when different professionals are involved, such as the GP, physiotherapist and care team supporting </w:t>
      </w:r>
      <w:proofErr w:type="spellStart"/>
      <w:r>
        <w:t>Mrs</w:t>
      </w:r>
      <w:proofErr w:type="spellEnd"/>
      <w:r>
        <w:t xml:space="preserve"> Mann.</w:t>
      </w:r>
    </w:p>
    <w:p w14:paraId="3692DC32" w14:textId="77777777" w:rsidR="003901FC" w:rsidRDefault="003901FC" w:rsidP="003901FC">
      <w:r>
        <w:t xml:space="preserve">Administrative skills also extend to providing for confidentiality and processing personal information in a lawful manner. The General Medical Council </w:t>
      </w:r>
      <w:proofErr w:type="spellStart"/>
      <w:r>
        <w:t>emphasi</w:t>
      </w:r>
      <w:r w:rsidR="003B0712">
        <w:t>s</w:t>
      </w:r>
      <w:r>
        <w:t>es</w:t>
      </w:r>
      <w:proofErr w:type="spellEnd"/>
      <w:r>
        <w:t xml:space="preserve"> that the handling of patient information must be done in a way that protects their privacy, is justified and shared only when needed for the provision of care (General Medical Council, 2017). These requirements are consistent with the legislation such as the Data Protection Act 2018 which enforces lawful processing, accuracy, data </w:t>
      </w:r>
      <w:proofErr w:type="spellStart"/>
      <w:r>
        <w:t>minimisation</w:t>
      </w:r>
      <w:proofErr w:type="spellEnd"/>
      <w:r>
        <w:t xml:space="preserve"> and transparency in how health records are managed (GOV.UK, 2018). As </w:t>
      </w:r>
      <w:proofErr w:type="spellStart"/>
      <w:r>
        <w:t>Mrs</w:t>
      </w:r>
      <w:proofErr w:type="spellEnd"/>
      <w:r>
        <w:t xml:space="preserve"> Mann's information travels through different health and care providers, great care to adhere to these principles will be needed in order to ensure trust is maintained and statutory duties met.</w:t>
      </w:r>
    </w:p>
    <w:p w14:paraId="3B16419B" w14:textId="77777777" w:rsidR="003901FC" w:rsidRDefault="003901FC" w:rsidP="003901FC">
      <w:r>
        <w:t xml:space="preserve">In addition, the Caldicott Principles include a framework for ensuring that confidential patient data is safeguarded and that it is used responsibly and shared appropriately (UK Government, 2020). They </w:t>
      </w:r>
      <w:proofErr w:type="spellStart"/>
      <w:r>
        <w:t>emphasise</w:t>
      </w:r>
      <w:proofErr w:type="spellEnd"/>
      <w:r>
        <w:t xml:space="preserve"> clear justification for use, restriction of access to those who need it and accountability for information decisions. When the administrative practices do not conform to these principles, the risks </w:t>
      </w:r>
      <w:proofErr w:type="spellStart"/>
      <w:r>
        <w:t>materiali</w:t>
      </w:r>
      <w:r w:rsidR="003B0712">
        <w:t>s</w:t>
      </w:r>
      <w:r>
        <w:t>e</w:t>
      </w:r>
      <w:proofErr w:type="spellEnd"/>
      <w:r>
        <w:t xml:space="preserve"> in the form of unnecessary data exposure or unavailability of information. In a similar vein, Jones et al. (2023) </w:t>
      </w:r>
      <w:proofErr w:type="spellStart"/>
      <w:r>
        <w:t>emphasi</w:t>
      </w:r>
      <w:r w:rsidR="003B0712">
        <w:t>s</w:t>
      </w:r>
      <w:r>
        <w:t>e</w:t>
      </w:r>
      <w:proofErr w:type="spellEnd"/>
      <w:r>
        <w:t xml:space="preserve"> the need for a balance between ethical, security and legal expectations in health settings in order to facilitate the safe flow of information while respecting confidentiality.</w:t>
      </w:r>
    </w:p>
    <w:p w14:paraId="5FDFB02C" w14:textId="77777777" w:rsidR="003901FC" w:rsidRPr="00726E27" w:rsidRDefault="003901FC" w:rsidP="003901FC">
      <w:r>
        <w:t xml:space="preserve">Poor administrative skills may result not only in delayed care but will also affect the progress of </w:t>
      </w:r>
      <w:proofErr w:type="spellStart"/>
      <w:r>
        <w:t>Mrs</w:t>
      </w:r>
      <w:proofErr w:type="spellEnd"/>
      <w:r>
        <w:t xml:space="preserve"> Mann's rehabilitation as professionals rely on accurate information for consistent decision-making. Emerging innovations in digital systems underscore the possibilities of technology for improving sharing, if backed by ethical safeguards (Scheibner et al., 2020). Therefore, record-keeping is more than a technical task; it is a core aspect of professional responsibility, needing precision, accountability and reflective practice. In </w:t>
      </w:r>
      <w:proofErr w:type="spellStart"/>
      <w:r>
        <w:t>Mrs</w:t>
      </w:r>
      <w:proofErr w:type="spellEnd"/>
      <w:r>
        <w:t xml:space="preserve"> Mann's situation, enhanced administrative skills and documentation </w:t>
      </w:r>
      <w:r>
        <w:lastRenderedPageBreak/>
        <w:t>would not only mean that coordinated interventions could be held and the likelihood of further errors reduced, but that her recovery would be as effectively and safely managed as possible.</w:t>
      </w:r>
    </w:p>
    <w:p w14:paraId="23767229" w14:textId="77777777" w:rsidR="00726E27" w:rsidRDefault="00726E27" w:rsidP="00726E27">
      <w:pPr>
        <w:pStyle w:val="Heading1"/>
      </w:pPr>
      <w:bookmarkStart w:id="3" w:name="_Toc215841978"/>
      <w:r w:rsidRPr="00726E27">
        <w:t>4. Importance of Collaborative Working</w:t>
      </w:r>
      <w:bookmarkEnd w:id="3"/>
    </w:p>
    <w:p w14:paraId="12065122" w14:textId="77777777" w:rsidR="003901FC" w:rsidRDefault="003901FC" w:rsidP="003901FC">
      <w:r>
        <w:t xml:space="preserve">Working collaboratively with professionals involved in </w:t>
      </w:r>
      <w:proofErr w:type="spellStart"/>
      <w:r>
        <w:t>Mrs</w:t>
      </w:r>
      <w:proofErr w:type="spellEnd"/>
      <w:r>
        <w:t xml:space="preserve"> Mann's care is vital to ensure their coordinated decision making, consistency and safe rehabilitation. Her support network consists of a GP, physiotherapist, care workers and family, so communication between them and joint understanding is central to meeting her needs. Multi-disciplinary teamwork can help avoid any fragmented care and improve clinical judgement through the integration of different expertise. However, the danger of inconsistent documentation, or assumptions between agencies can hamper collaboration, as is the example of the delayed medication adjustment. Good record-keeping is thus indivisible from effective teamwork as accurate information can help decision-making together as these reflect legal and professional expectations around information handling and confidentiality (General Medical Council, 2017; GOV.UK, 2018).</w:t>
      </w:r>
    </w:p>
    <w:p w14:paraId="17634EB6" w14:textId="77777777" w:rsidR="003901FC" w:rsidRDefault="003901FC" w:rsidP="003901FC">
      <w:r>
        <w:t xml:space="preserve">Multi-agency working also needs clear models of communication which encourage feedback and discourage misunderstanding, especially where there are language barriers. Making use of structured communication frameworks and reflective listening and culturally sensitive approaches can help ensure </w:t>
      </w:r>
      <w:proofErr w:type="spellStart"/>
      <w:r>
        <w:t>Mrs</w:t>
      </w:r>
      <w:proofErr w:type="spellEnd"/>
      <w:r>
        <w:t xml:space="preserve"> Mann and her daughter understand care decisions (Ali et al., 2020; GOV.UK, 2010). The Caldicott principles also help to guide appropriate data sharing and encourage information sharing only when necessary and proportionate to the individual's benefit (UK Government, 2020). When used in a collaborative context, these principles encourage accountability among professionals and support respect for privacy.</w:t>
      </w:r>
    </w:p>
    <w:p w14:paraId="57CF48EC" w14:textId="77777777" w:rsidR="003901FC" w:rsidRPr="00726E27" w:rsidRDefault="003901FC" w:rsidP="003901FC">
      <w:r>
        <w:t xml:space="preserve">Challenges such as differences in priorities, a lack of clarity on role boundaries or delays in message transfer are common in multi-agency practice. NHS record keeping guidance for shared documentation systems to overcome these barriers through </w:t>
      </w:r>
      <w:proofErr w:type="spellStart"/>
      <w:r>
        <w:t>standardisation</w:t>
      </w:r>
      <w:proofErr w:type="spellEnd"/>
      <w:r>
        <w:t xml:space="preserve"> and accessibility (NHS Transformation, 2021). Collaborative approaches also benefit from constant reflective practice, regular meetings and learning from incidents such as the communication failure in </w:t>
      </w:r>
      <w:proofErr w:type="spellStart"/>
      <w:r>
        <w:t>Mrs</w:t>
      </w:r>
      <w:proofErr w:type="spellEnd"/>
      <w:r>
        <w:t xml:space="preserve"> Mann's case. Effective teamwork therefore helps to </w:t>
      </w:r>
      <w:r>
        <w:lastRenderedPageBreak/>
        <w:t>strengthen safety, promotes person-</w:t>
      </w:r>
      <w:proofErr w:type="spellStart"/>
      <w:r>
        <w:t>centred</w:t>
      </w:r>
      <w:proofErr w:type="spellEnd"/>
      <w:r>
        <w:t xml:space="preserve"> outcomes and supports professional responsibility through ethical and legal use of information.</w:t>
      </w:r>
    </w:p>
    <w:p w14:paraId="462D7767" w14:textId="77777777" w:rsidR="00726E27" w:rsidRDefault="00726E27" w:rsidP="00726E27">
      <w:pPr>
        <w:pStyle w:val="Heading1"/>
      </w:pPr>
      <w:bookmarkStart w:id="4" w:name="_Toc215841979"/>
      <w:r w:rsidRPr="00726E27">
        <w:t>5. Conclusion</w:t>
      </w:r>
      <w:bookmarkEnd w:id="4"/>
    </w:p>
    <w:p w14:paraId="594A72F3" w14:textId="4BA8217F" w:rsidR="00726E27" w:rsidRDefault="003901FC" w:rsidP="003901FC">
      <w:r w:rsidRPr="003901FC">
        <w:t xml:space="preserve">In </w:t>
      </w:r>
      <w:proofErr w:type="spellStart"/>
      <w:r w:rsidRPr="003901FC">
        <w:t>Mrs</w:t>
      </w:r>
      <w:proofErr w:type="spellEnd"/>
      <w:r w:rsidRPr="003901FC">
        <w:t xml:space="preserve"> Mann's case, effective communication, accurate record-keeping and collaborative practice are key to safe, person-</w:t>
      </w:r>
      <w:proofErr w:type="spellStart"/>
      <w:r w:rsidRPr="003901FC">
        <w:t>centred</w:t>
      </w:r>
      <w:proofErr w:type="spellEnd"/>
      <w:r w:rsidRPr="003901FC">
        <w:t xml:space="preserve"> care. Language barriers and multi-agency involvement means tailored communication is crucial as </w:t>
      </w:r>
      <w:proofErr w:type="spellStart"/>
      <w:r w:rsidRPr="003901FC">
        <w:t>emphasised</w:t>
      </w:r>
      <w:proofErr w:type="spellEnd"/>
      <w:r w:rsidRPr="003901FC">
        <w:t xml:space="preserve"> through legal expectations of equality and dignity. Failures in documentation highlight the need for competent administrative standards backed up by legislation, confidentiality guidance and governance frameworks. Working together as 'one team' facilitates continuity and accountability, enhanced by ethical principles of data sharing, including Caldicott guidance</w:t>
      </w:r>
      <w:r w:rsidR="00CC485D">
        <w:t xml:space="preserve">. </w:t>
      </w:r>
      <w:r w:rsidRPr="003901FC">
        <w:t xml:space="preserve">Together these elements demonstrate how professional responsibility provides the basis for safe care delivery and reinforces the importance of reflective practice and adherence to policy in achieving positive outcomes in preventing errors and ensuring a positive outcome for individuals such as </w:t>
      </w:r>
      <w:proofErr w:type="spellStart"/>
      <w:r w:rsidRPr="003901FC">
        <w:t>Mrs</w:t>
      </w:r>
      <w:proofErr w:type="spellEnd"/>
      <w:r w:rsidRPr="003901FC">
        <w:t xml:space="preserve"> Mann.</w:t>
      </w:r>
      <w:r w:rsidR="00726E27">
        <w:br w:type="page"/>
      </w:r>
    </w:p>
    <w:p w14:paraId="1828A787" w14:textId="77777777" w:rsidR="004B713B" w:rsidRDefault="00726E27" w:rsidP="00726E27">
      <w:pPr>
        <w:pStyle w:val="Heading1"/>
      </w:pPr>
      <w:bookmarkStart w:id="5" w:name="_Toc215841980"/>
      <w:r>
        <w:lastRenderedPageBreak/>
        <w:t>References</w:t>
      </w:r>
      <w:bookmarkEnd w:id="5"/>
    </w:p>
    <w:p w14:paraId="6AAF91F3" w14:textId="62C20E8E" w:rsidR="002653A3" w:rsidRPr="00726E27" w:rsidRDefault="002653A3" w:rsidP="002653A3">
      <w:pPr>
        <w:ind w:left="720" w:hanging="720"/>
      </w:pPr>
      <w:r w:rsidRPr="00726E27">
        <w:t xml:space="preserve">Ali, M.R., Sen, T., Kane, B., Bose, S., Carroll, T.M., Epstein, R., Schubert, L. and Hoque, E. (2020). </w:t>
      </w:r>
      <w:r w:rsidRPr="00726E27">
        <w:rPr>
          <w:i/>
          <w:iCs/>
        </w:rPr>
        <w:t xml:space="preserve">Novel Computational Linguistic Measures, Dialogue System and the Development of SOPHIE: </w:t>
      </w:r>
      <w:proofErr w:type="spellStart"/>
      <w:r w:rsidRPr="00726E27">
        <w:rPr>
          <w:i/>
          <w:iCs/>
        </w:rPr>
        <w:t>Standard</w:t>
      </w:r>
      <w:r w:rsidR="00EA686A">
        <w:rPr>
          <w:i/>
          <w:iCs/>
        </w:rPr>
        <w:t>ise</w:t>
      </w:r>
      <w:r w:rsidRPr="00726E27">
        <w:rPr>
          <w:i/>
          <w:iCs/>
        </w:rPr>
        <w:t>d</w:t>
      </w:r>
      <w:proofErr w:type="spellEnd"/>
      <w:r w:rsidRPr="00726E27">
        <w:rPr>
          <w:i/>
          <w:iCs/>
        </w:rPr>
        <w:t xml:space="preserve"> Online Patient for Healthcare Interaction Education</w:t>
      </w:r>
      <w:r w:rsidRPr="00726E27">
        <w:t>. [online] arXiv.org. Available at: https://arxiv.org/abs/2009.11247.</w:t>
      </w:r>
    </w:p>
    <w:p w14:paraId="6C7F020C" w14:textId="77777777" w:rsidR="002653A3" w:rsidRPr="00726E27" w:rsidRDefault="002653A3" w:rsidP="002653A3">
      <w:pPr>
        <w:ind w:left="720" w:hanging="720"/>
      </w:pPr>
      <w:r w:rsidRPr="00726E27">
        <w:t xml:space="preserve">General Medical Council (2017). </w:t>
      </w:r>
      <w:r w:rsidRPr="00726E27">
        <w:rPr>
          <w:i/>
          <w:iCs/>
        </w:rPr>
        <w:t>Confidentiality: good practice in handling patient information</w:t>
      </w:r>
      <w:r w:rsidRPr="00726E27">
        <w:t>. [online] Available at: https://www.gmc-uk.org/-/media/documents/gmc-guidance-for-doctors---confidentiality-good-practice-in-handling-patient-information----70080105.pdf.</w:t>
      </w:r>
    </w:p>
    <w:p w14:paraId="5F7E8057" w14:textId="77777777" w:rsidR="002653A3" w:rsidRPr="00726E27" w:rsidRDefault="002653A3" w:rsidP="002653A3">
      <w:pPr>
        <w:ind w:left="720" w:hanging="720"/>
      </w:pPr>
      <w:r w:rsidRPr="00726E27">
        <w:t xml:space="preserve">GOV.UK (2010). </w:t>
      </w:r>
      <w:r w:rsidRPr="00726E27">
        <w:rPr>
          <w:i/>
          <w:iCs/>
        </w:rPr>
        <w:t>Equality Act 2010</w:t>
      </w:r>
      <w:r w:rsidRPr="00726E27">
        <w:t>. [online] Legislation.gov.uk. Available at: https://www.legislation.gov.uk/ukpga/2010/15/contents.</w:t>
      </w:r>
    </w:p>
    <w:p w14:paraId="130E7EB9" w14:textId="77777777" w:rsidR="002653A3" w:rsidRPr="00726E27" w:rsidRDefault="002653A3" w:rsidP="002653A3">
      <w:pPr>
        <w:ind w:left="720" w:hanging="720"/>
      </w:pPr>
      <w:r w:rsidRPr="00726E27">
        <w:t xml:space="preserve">GOV.UK (2018). </w:t>
      </w:r>
      <w:r w:rsidRPr="00726E27">
        <w:rPr>
          <w:i/>
          <w:iCs/>
        </w:rPr>
        <w:t>Data Protection Act 2018</w:t>
      </w:r>
      <w:r w:rsidRPr="00726E27">
        <w:t>. [online] legislation.gov.uk. Available at: https://www.legislation.gov.uk/ukpga/2018/12/contents.</w:t>
      </w:r>
    </w:p>
    <w:p w14:paraId="2E202F03" w14:textId="77777777" w:rsidR="002653A3" w:rsidRPr="00726E27" w:rsidRDefault="002653A3" w:rsidP="002653A3">
      <w:pPr>
        <w:ind w:left="720" w:hanging="720"/>
      </w:pPr>
      <w:r w:rsidRPr="00726E27">
        <w:t xml:space="preserve">Jones, M.C., Stone, T., Mason, S.M., Eames, A. and Franklin, M. (2023). Navigating data governance associated with real-world data for public benefit: an overview in the UK and future considerations. </w:t>
      </w:r>
      <w:r w:rsidRPr="00726E27">
        <w:rPr>
          <w:i/>
          <w:iCs/>
        </w:rPr>
        <w:t>BMJ Open</w:t>
      </w:r>
      <w:r w:rsidRPr="00726E27">
        <w:t xml:space="preserve">, [online] 13(10), pp.1–9. </w:t>
      </w:r>
      <w:proofErr w:type="spellStart"/>
      <w:r w:rsidRPr="00726E27">
        <w:t>doi:https</w:t>
      </w:r>
      <w:proofErr w:type="spellEnd"/>
      <w:r w:rsidRPr="00726E27">
        <w:t>://doi.org/10.1136/bmjopen-2022-069925.</w:t>
      </w:r>
    </w:p>
    <w:p w14:paraId="23B85B96" w14:textId="77777777" w:rsidR="002653A3" w:rsidRPr="00726E27" w:rsidRDefault="002653A3" w:rsidP="002653A3">
      <w:pPr>
        <w:ind w:left="720" w:hanging="720"/>
      </w:pPr>
      <w:r w:rsidRPr="00726E27">
        <w:t xml:space="preserve">NHS Transformation (2021). </w:t>
      </w:r>
      <w:r w:rsidRPr="00726E27">
        <w:rPr>
          <w:i/>
          <w:iCs/>
        </w:rPr>
        <w:t>Records Management Code of Practice</w:t>
      </w:r>
      <w:r w:rsidRPr="00726E27">
        <w:t>. [online] Available at: https://transform.england.nhs.uk/media/documents/NHSE_Records_Management_CoP_2023.pdf.</w:t>
      </w:r>
    </w:p>
    <w:p w14:paraId="729E46A2" w14:textId="4B130021" w:rsidR="002653A3" w:rsidRPr="00726E27" w:rsidRDefault="002653A3" w:rsidP="002653A3">
      <w:pPr>
        <w:ind w:left="720" w:hanging="720"/>
      </w:pPr>
      <w:r w:rsidRPr="00726E27">
        <w:t xml:space="preserve">Scheibner, J., </w:t>
      </w:r>
      <w:proofErr w:type="spellStart"/>
      <w:r w:rsidRPr="00726E27">
        <w:t>Raisaro</w:t>
      </w:r>
      <w:proofErr w:type="spellEnd"/>
      <w:r w:rsidRPr="00726E27">
        <w:t xml:space="preserve">, J.L., Troncoso-Pastoriza, J.R., Ienca, M., Fellay, J., </w:t>
      </w:r>
      <w:proofErr w:type="spellStart"/>
      <w:r w:rsidRPr="00726E27">
        <w:t>Vayena</w:t>
      </w:r>
      <w:proofErr w:type="spellEnd"/>
      <w:r w:rsidRPr="00726E27">
        <w:t xml:space="preserve">, E. and </w:t>
      </w:r>
      <w:proofErr w:type="spellStart"/>
      <w:r w:rsidRPr="00726E27">
        <w:t>Hubaux</w:t>
      </w:r>
      <w:proofErr w:type="spellEnd"/>
      <w:r w:rsidRPr="00726E27">
        <w:t xml:space="preserve">, J.-P. (2020). </w:t>
      </w:r>
      <w:proofErr w:type="spellStart"/>
      <w:r w:rsidRPr="00726E27">
        <w:rPr>
          <w:i/>
          <w:iCs/>
        </w:rPr>
        <w:t>Revolutioni</w:t>
      </w:r>
      <w:r w:rsidR="00EA686A">
        <w:rPr>
          <w:i/>
          <w:iCs/>
        </w:rPr>
        <w:t>sing</w:t>
      </w:r>
      <w:proofErr w:type="spellEnd"/>
      <w:r w:rsidRPr="00726E27">
        <w:rPr>
          <w:i/>
          <w:iCs/>
        </w:rPr>
        <w:t xml:space="preserve"> Medical Data Sharing Using Advanced Privacy Enhancing Technologies: Technical, Legal and Ethical Synthesis</w:t>
      </w:r>
      <w:r w:rsidRPr="00726E27">
        <w:t>. [online] arXiv.org. Available at: https://arxiv.org/abs/2010.14445.</w:t>
      </w:r>
    </w:p>
    <w:p w14:paraId="3D089715" w14:textId="77777777" w:rsidR="002653A3" w:rsidRPr="00726E27" w:rsidRDefault="002653A3" w:rsidP="002653A3">
      <w:pPr>
        <w:ind w:left="720" w:hanging="720"/>
      </w:pPr>
      <w:r w:rsidRPr="00726E27">
        <w:t xml:space="preserve">UK Government (2020). </w:t>
      </w:r>
      <w:r w:rsidRPr="00726E27">
        <w:rPr>
          <w:i/>
          <w:iCs/>
        </w:rPr>
        <w:t>The Caldicott Principles</w:t>
      </w:r>
      <w:r w:rsidRPr="00726E27">
        <w:t>. [online] GOV.UK. Available at: https://www.gov.uk/government/publications/the-caldicott-principles.</w:t>
      </w:r>
    </w:p>
    <w:p w14:paraId="0D98DF91" w14:textId="77777777" w:rsidR="00726E27" w:rsidRPr="00726E27" w:rsidRDefault="00726E27" w:rsidP="00726E27"/>
    <w:sectPr w:rsidR="00726E27" w:rsidRPr="00726E27" w:rsidSect="001659CB">
      <w:headerReference w:type="even" r:id="rId9"/>
      <w:headerReference w:type="default" r:id="rId10"/>
      <w:footerReference w:type="even" r:id="rId11"/>
      <w:footerReference w:type="default" r:id="rId12"/>
      <w:headerReference w:type="first" r:id="rId13"/>
      <w:footerReference w:type="first" r:id="rId14"/>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0E378EB" w14:textId="77777777" w:rsidR="00623A66" w:rsidRDefault="00623A66" w:rsidP="001659CB">
      <w:pPr>
        <w:spacing w:after="0" w:line="240" w:lineRule="auto"/>
      </w:pPr>
      <w:r>
        <w:separator/>
      </w:r>
    </w:p>
  </w:endnote>
  <w:endnote w:type="continuationSeparator" w:id="0">
    <w:p w14:paraId="66C3FF7D" w14:textId="77777777" w:rsidR="00623A66" w:rsidRDefault="00623A66" w:rsidP="001659C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834FBBD" w14:textId="77777777" w:rsidR="001659CB" w:rsidRDefault="001659C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86575522"/>
      <w:docPartObj>
        <w:docPartGallery w:val="Page Numbers (Bottom of Page)"/>
        <w:docPartUnique/>
      </w:docPartObj>
    </w:sdtPr>
    <w:sdtEndPr>
      <w:rPr>
        <w:noProof/>
      </w:rPr>
    </w:sdtEndPr>
    <w:sdtContent>
      <w:p w14:paraId="159CBC2E" w14:textId="77777777" w:rsidR="001659CB" w:rsidRDefault="001659CB">
        <w:pPr>
          <w:pStyle w:val="Footer"/>
          <w:jc w:val="center"/>
        </w:pPr>
        <w:r>
          <w:fldChar w:fldCharType="begin"/>
        </w:r>
        <w:r>
          <w:instrText xml:space="preserve"> PAGE   \* MERGEFORMAT </w:instrText>
        </w:r>
        <w:r>
          <w:fldChar w:fldCharType="separate"/>
        </w:r>
        <w:r>
          <w:rPr>
            <w:noProof/>
          </w:rPr>
          <w:t>7</w:t>
        </w:r>
        <w:r>
          <w:rPr>
            <w:noProof/>
          </w:rPr>
          <w:fldChar w:fldCharType="end"/>
        </w:r>
      </w:p>
    </w:sdtContent>
  </w:sdt>
  <w:p w14:paraId="38EBF26C" w14:textId="77777777" w:rsidR="001659CB" w:rsidRDefault="001659CB">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B18C200" w14:textId="77777777" w:rsidR="001659CB" w:rsidRDefault="001659C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88522F7" w14:textId="77777777" w:rsidR="00623A66" w:rsidRDefault="00623A66" w:rsidP="001659CB">
      <w:pPr>
        <w:spacing w:after="0" w:line="240" w:lineRule="auto"/>
      </w:pPr>
      <w:r>
        <w:separator/>
      </w:r>
    </w:p>
  </w:footnote>
  <w:footnote w:type="continuationSeparator" w:id="0">
    <w:p w14:paraId="5A53DD5C" w14:textId="77777777" w:rsidR="00623A66" w:rsidRDefault="00623A66" w:rsidP="001659C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BA92D1B" w14:textId="77777777" w:rsidR="001659CB" w:rsidRDefault="001659C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02C7C52" w14:textId="77777777" w:rsidR="001659CB" w:rsidRDefault="001659CB">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694BDCA" w14:textId="77777777" w:rsidR="001659CB" w:rsidRDefault="001659C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6F417E"/>
    <w:multiLevelType w:val="hybridMultilevel"/>
    <w:tmpl w:val="6B96FA3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97487668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26E27"/>
    <w:rsid w:val="001659CB"/>
    <w:rsid w:val="002653A3"/>
    <w:rsid w:val="003901FC"/>
    <w:rsid w:val="003B0712"/>
    <w:rsid w:val="00413079"/>
    <w:rsid w:val="004B713B"/>
    <w:rsid w:val="00623A66"/>
    <w:rsid w:val="007220BD"/>
    <w:rsid w:val="00726E27"/>
    <w:rsid w:val="00890E5E"/>
    <w:rsid w:val="00C24C16"/>
    <w:rsid w:val="00C65539"/>
    <w:rsid w:val="00CC485D"/>
    <w:rsid w:val="00DD3B0A"/>
    <w:rsid w:val="00E54B67"/>
    <w:rsid w:val="00EA686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D376F72"/>
  <w15:chartTrackingRefBased/>
  <w15:docId w15:val="{D922BAF0-EB38-4380-9653-3A597EA2D0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26E27"/>
    <w:pPr>
      <w:spacing w:line="360" w:lineRule="auto"/>
      <w:jc w:val="both"/>
    </w:pPr>
    <w:rPr>
      <w:rFonts w:ascii="Arial" w:hAnsi="Arial"/>
      <w:sz w:val="24"/>
    </w:rPr>
  </w:style>
  <w:style w:type="paragraph" w:styleId="Heading1">
    <w:name w:val="heading 1"/>
    <w:basedOn w:val="Normal"/>
    <w:next w:val="Normal"/>
    <w:link w:val="Heading1Char"/>
    <w:uiPriority w:val="9"/>
    <w:qFormat/>
    <w:rsid w:val="00726E27"/>
    <w:pPr>
      <w:outlineLvl w:val="0"/>
    </w:pPr>
    <w:rPr>
      <w:b/>
    </w:rPr>
  </w:style>
  <w:style w:type="paragraph" w:styleId="Heading2">
    <w:name w:val="heading 2"/>
    <w:basedOn w:val="Heading1"/>
    <w:next w:val="Normal"/>
    <w:link w:val="Heading2Char"/>
    <w:uiPriority w:val="9"/>
    <w:unhideWhenUsed/>
    <w:qFormat/>
    <w:rsid w:val="00726E27"/>
    <w:pPr>
      <w:outlineLvl w:val="1"/>
    </w:pPr>
    <w:rPr>
      <w:i/>
    </w:rPr>
  </w:style>
  <w:style w:type="paragraph" w:styleId="Heading3">
    <w:name w:val="heading 3"/>
    <w:basedOn w:val="Normal"/>
    <w:next w:val="Normal"/>
    <w:link w:val="Heading3Char"/>
    <w:uiPriority w:val="9"/>
    <w:unhideWhenUsed/>
    <w:qFormat/>
    <w:rsid w:val="00726E27"/>
    <w:pPr>
      <w:outlineLvl w:val="2"/>
    </w:pPr>
    <w:rPr>
      <w:i/>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26E27"/>
    <w:rPr>
      <w:rFonts w:ascii="Arial" w:hAnsi="Arial"/>
      <w:b/>
      <w:sz w:val="24"/>
    </w:rPr>
  </w:style>
  <w:style w:type="character" w:customStyle="1" w:styleId="Heading2Char">
    <w:name w:val="Heading 2 Char"/>
    <w:basedOn w:val="DefaultParagraphFont"/>
    <w:link w:val="Heading2"/>
    <w:uiPriority w:val="9"/>
    <w:rsid w:val="00726E27"/>
    <w:rPr>
      <w:rFonts w:ascii="Arial" w:hAnsi="Arial"/>
      <w:b/>
      <w:i/>
      <w:sz w:val="24"/>
    </w:rPr>
  </w:style>
  <w:style w:type="character" w:customStyle="1" w:styleId="Heading3Char">
    <w:name w:val="Heading 3 Char"/>
    <w:basedOn w:val="DefaultParagraphFont"/>
    <w:link w:val="Heading3"/>
    <w:uiPriority w:val="9"/>
    <w:rsid w:val="00726E27"/>
    <w:rPr>
      <w:rFonts w:ascii="Arial" w:hAnsi="Arial"/>
      <w:i/>
      <w:sz w:val="24"/>
    </w:rPr>
  </w:style>
  <w:style w:type="paragraph" w:styleId="ListParagraph">
    <w:name w:val="List Paragraph"/>
    <w:basedOn w:val="Normal"/>
    <w:uiPriority w:val="34"/>
    <w:qFormat/>
    <w:rsid w:val="00726E27"/>
    <w:pPr>
      <w:ind w:left="720"/>
      <w:contextualSpacing/>
    </w:pPr>
  </w:style>
  <w:style w:type="paragraph" w:styleId="TOCHeading">
    <w:name w:val="TOC Heading"/>
    <w:basedOn w:val="Heading1"/>
    <w:next w:val="Normal"/>
    <w:uiPriority w:val="39"/>
    <w:unhideWhenUsed/>
    <w:qFormat/>
    <w:rsid w:val="00C24C16"/>
    <w:pPr>
      <w:keepNext/>
      <w:keepLines/>
      <w:spacing w:before="240" w:after="0" w:line="259" w:lineRule="auto"/>
      <w:jc w:val="left"/>
      <w:outlineLvl w:val="9"/>
    </w:pPr>
    <w:rPr>
      <w:rFonts w:asciiTheme="majorHAnsi" w:eastAsiaTheme="majorEastAsia" w:hAnsiTheme="majorHAnsi" w:cstheme="majorBidi"/>
      <w:b w:val="0"/>
      <w:color w:val="2E74B5" w:themeColor="accent1" w:themeShade="BF"/>
      <w:sz w:val="32"/>
      <w:szCs w:val="32"/>
    </w:rPr>
  </w:style>
  <w:style w:type="paragraph" w:styleId="TOC1">
    <w:name w:val="toc 1"/>
    <w:basedOn w:val="Normal"/>
    <w:next w:val="Normal"/>
    <w:autoRedefine/>
    <w:uiPriority w:val="39"/>
    <w:unhideWhenUsed/>
    <w:rsid w:val="00C24C16"/>
    <w:pPr>
      <w:spacing w:after="100"/>
    </w:pPr>
  </w:style>
  <w:style w:type="character" w:styleId="Hyperlink">
    <w:name w:val="Hyperlink"/>
    <w:basedOn w:val="DefaultParagraphFont"/>
    <w:uiPriority w:val="99"/>
    <w:unhideWhenUsed/>
    <w:rsid w:val="00C24C16"/>
    <w:rPr>
      <w:color w:val="0563C1" w:themeColor="hyperlink"/>
      <w:u w:val="single"/>
    </w:rPr>
  </w:style>
  <w:style w:type="paragraph" w:styleId="Header">
    <w:name w:val="header"/>
    <w:basedOn w:val="Normal"/>
    <w:link w:val="HeaderChar"/>
    <w:uiPriority w:val="99"/>
    <w:unhideWhenUsed/>
    <w:rsid w:val="001659CB"/>
    <w:pPr>
      <w:tabs>
        <w:tab w:val="center" w:pos="4680"/>
        <w:tab w:val="right" w:pos="9360"/>
      </w:tabs>
      <w:spacing w:after="0" w:line="240" w:lineRule="auto"/>
    </w:pPr>
  </w:style>
  <w:style w:type="character" w:customStyle="1" w:styleId="HeaderChar">
    <w:name w:val="Header Char"/>
    <w:basedOn w:val="DefaultParagraphFont"/>
    <w:link w:val="Header"/>
    <w:uiPriority w:val="99"/>
    <w:rsid w:val="001659CB"/>
    <w:rPr>
      <w:rFonts w:ascii="Arial" w:hAnsi="Arial"/>
      <w:sz w:val="24"/>
    </w:rPr>
  </w:style>
  <w:style w:type="paragraph" w:styleId="Footer">
    <w:name w:val="footer"/>
    <w:basedOn w:val="Normal"/>
    <w:link w:val="FooterChar"/>
    <w:uiPriority w:val="99"/>
    <w:unhideWhenUsed/>
    <w:rsid w:val="001659CB"/>
    <w:pPr>
      <w:tabs>
        <w:tab w:val="center" w:pos="4680"/>
        <w:tab w:val="right" w:pos="9360"/>
      </w:tabs>
      <w:spacing w:after="0" w:line="240" w:lineRule="auto"/>
    </w:pPr>
  </w:style>
  <w:style w:type="character" w:customStyle="1" w:styleId="FooterChar">
    <w:name w:val="Footer Char"/>
    <w:basedOn w:val="DefaultParagraphFont"/>
    <w:link w:val="Footer"/>
    <w:uiPriority w:val="99"/>
    <w:rsid w:val="001659CB"/>
    <w:rPr>
      <w:rFonts w:ascii="Arial" w:hAnsi="Arial"/>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20474531">
      <w:bodyDiv w:val="1"/>
      <w:marLeft w:val="0"/>
      <w:marRight w:val="0"/>
      <w:marTop w:val="0"/>
      <w:marBottom w:val="0"/>
      <w:divBdr>
        <w:top w:val="none" w:sz="0" w:space="0" w:color="auto"/>
        <w:left w:val="none" w:sz="0" w:space="0" w:color="auto"/>
        <w:bottom w:val="none" w:sz="0" w:space="0" w:color="auto"/>
        <w:right w:val="none" w:sz="0" w:space="0" w:color="auto"/>
      </w:divBdr>
    </w:div>
    <w:div w:id="376004302">
      <w:bodyDiv w:val="1"/>
      <w:marLeft w:val="0"/>
      <w:marRight w:val="0"/>
      <w:marTop w:val="0"/>
      <w:marBottom w:val="0"/>
      <w:divBdr>
        <w:top w:val="none" w:sz="0" w:space="0" w:color="auto"/>
        <w:left w:val="none" w:sz="0" w:space="0" w:color="auto"/>
        <w:bottom w:val="none" w:sz="0" w:space="0" w:color="auto"/>
        <w:right w:val="none" w:sz="0" w:space="0" w:color="auto"/>
      </w:divBdr>
    </w:div>
    <w:div w:id="1451242706">
      <w:bodyDiv w:val="1"/>
      <w:marLeft w:val="0"/>
      <w:marRight w:val="0"/>
      <w:marTop w:val="0"/>
      <w:marBottom w:val="0"/>
      <w:divBdr>
        <w:top w:val="none" w:sz="0" w:space="0" w:color="auto"/>
        <w:left w:val="none" w:sz="0" w:space="0" w:color="auto"/>
        <w:bottom w:val="none" w:sz="0" w:space="0" w:color="auto"/>
        <w:right w:val="none" w:sz="0" w:space="0" w:color="auto"/>
      </w:divBdr>
      <w:divsChild>
        <w:div w:id="482358231">
          <w:marLeft w:val="0"/>
          <w:marRight w:val="0"/>
          <w:marTop w:val="0"/>
          <w:marBottom w:val="0"/>
          <w:divBdr>
            <w:top w:val="none" w:sz="0" w:space="0" w:color="auto"/>
            <w:left w:val="none" w:sz="0" w:space="0" w:color="auto"/>
            <w:bottom w:val="none" w:sz="0" w:space="0" w:color="auto"/>
            <w:right w:val="none" w:sz="0" w:space="0" w:color="auto"/>
          </w:divBdr>
        </w:div>
      </w:divsChild>
    </w:div>
    <w:div w:id="1557161842">
      <w:bodyDiv w:val="1"/>
      <w:marLeft w:val="0"/>
      <w:marRight w:val="0"/>
      <w:marTop w:val="0"/>
      <w:marBottom w:val="0"/>
      <w:divBdr>
        <w:top w:val="none" w:sz="0" w:space="0" w:color="auto"/>
        <w:left w:val="none" w:sz="0" w:space="0" w:color="auto"/>
        <w:bottom w:val="none" w:sz="0" w:space="0" w:color="auto"/>
        <w:right w:val="none" w:sz="0" w:space="0" w:color="auto"/>
      </w:divBdr>
    </w:div>
    <w:div w:id="1828201173">
      <w:bodyDiv w:val="1"/>
      <w:marLeft w:val="0"/>
      <w:marRight w:val="0"/>
      <w:marTop w:val="0"/>
      <w:marBottom w:val="0"/>
      <w:divBdr>
        <w:top w:val="none" w:sz="0" w:space="0" w:color="auto"/>
        <w:left w:val="none" w:sz="0" w:space="0" w:color="auto"/>
        <w:bottom w:val="none" w:sz="0" w:space="0" w:color="auto"/>
        <w:right w:val="none" w:sz="0" w:space="0" w:color="auto"/>
      </w:divBdr>
    </w:div>
    <w:div w:id="18877194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9950EBD-DBF7-4EC1-A78D-67C34F8E530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TotalTime>
  <Pages>8</Pages>
  <Words>1982</Words>
  <Characters>11298</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Dot</dc:creator>
  <cp:keywords/>
  <dc:description/>
  <cp:lastModifiedBy>MT_Prod-13</cp:lastModifiedBy>
  <cp:revision>10</cp:revision>
  <dcterms:created xsi:type="dcterms:W3CDTF">2025-12-05T10:27:00Z</dcterms:created>
  <dcterms:modified xsi:type="dcterms:W3CDTF">2025-12-05T13:52:00Z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ae5c27da-4c3d-428a-8852-c65a41e92385</vt:lpwstr>
  </property>
</Properties>
</file>