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BF538" w14:textId="04F85067" w:rsidR="0099232C" w:rsidRPr="0099232C" w:rsidRDefault="0099232C" w:rsidP="0099232C">
      <w:pPr>
        <w:jc w:val="center"/>
        <w:rPr>
          <w:sz w:val="16"/>
          <w:szCs w:val="16"/>
        </w:rPr>
      </w:pPr>
      <w:r w:rsidRPr="0099232C">
        <w:rPr>
          <w:noProof/>
          <w:sz w:val="16"/>
          <w:szCs w:val="16"/>
        </w:rPr>
        <w:drawing>
          <wp:inline distT="0" distB="0" distL="0" distR="0" wp14:anchorId="3FBE6911" wp14:editId="06D18C84">
            <wp:extent cx="4183512" cy="1467805"/>
            <wp:effectExtent l="0" t="0" r="7620" b="0"/>
            <wp:docPr id="84909208"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9208"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95739" cy="1472095"/>
                    </a:xfrm>
                    <a:prstGeom prst="rect">
                      <a:avLst/>
                    </a:prstGeom>
                    <a:noFill/>
                    <a:ln>
                      <a:noFill/>
                    </a:ln>
                  </pic:spPr>
                </pic:pic>
              </a:graphicData>
            </a:graphic>
          </wp:inline>
        </w:drawing>
      </w:r>
    </w:p>
    <w:p w14:paraId="298B312C" w14:textId="77777777" w:rsidR="0099232C" w:rsidRPr="0099232C" w:rsidRDefault="0099232C" w:rsidP="0099232C">
      <w:pPr>
        <w:jc w:val="center"/>
        <w:rPr>
          <w:sz w:val="18"/>
          <w:szCs w:val="18"/>
        </w:rPr>
      </w:pPr>
    </w:p>
    <w:p w14:paraId="5BEA37EE" w14:textId="473C133C" w:rsidR="0099232C" w:rsidRPr="0099232C" w:rsidRDefault="0099232C" w:rsidP="0099232C">
      <w:pPr>
        <w:jc w:val="center"/>
        <w:rPr>
          <w:b/>
          <w:bCs/>
          <w:sz w:val="32"/>
          <w:szCs w:val="28"/>
        </w:rPr>
      </w:pPr>
      <w:r w:rsidRPr="0099232C">
        <w:rPr>
          <w:b/>
          <w:bCs/>
          <w:sz w:val="32"/>
          <w:szCs w:val="28"/>
        </w:rPr>
        <w:t>Module Code:</w:t>
      </w:r>
      <w:r w:rsidR="000179EE" w:rsidRPr="000179EE">
        <w:rPr>
          <w:rStyle w:val="Heading1Char"/>
          <w:rFonts w:ascii="Segoe UI" w:hAnsi="Segoe UI" w:cs="Segoe UI"/>
          <w:b w:val="0"/>
          <w:bCs w:val="0"/>
          <w:color w:val="1D2125"/>
          <w:sz w:val="23"/>
          <w:szCs w:val="23"/>
          <w:shd w:val="clear" w:color="auto" w:fill="FFFFFF"/>
        </w:rPr>
        <w:t xml:space="preserve"> </w:t>
      </w:r>
      <w:r w:rsidR="000179EE" w:rsidRPr="000179EE">
        <w:rPr>
          <w:rStyle w:val="Emphasis"/>
          <w:rFonts w:ascii="Segoe UI" w:hAnsi="Segoe UI" w:cs="Segoe UI"/>
          <w:b/>
          <w:bCs/>
          <w:i w:val="0"/>
          <w:iCs w:val="0"/>
          <w:color w:val="1D2125"/>
          <w:sz w:val="32"/>
          <w:szCs w:val="32"/>
          <w:shd w:val="clear" w:color="auto" w:fill="FFFFFF"/>
        </w:rPr>
        <w:t>LCMB7002</w:t>
      </w:r>
    </w:p>
    <w:p w14:paraId="43708239" w14:textId="77777777" w:rsidR="0099232C" w:rsidRPr="0099232C" w:rsidRDefault="0099232C" w:rsidP="0099232C">
      <w:pPr>
        <w:jc w:val="center"/>
        <w:rPr>
          <w:b/>
          <w:bCs/>
          <w:sz w:val="32"/>
          <w:szCs w:val="28"/>
        </w:rPr>
      </w:pPr>
    </w:p>
    <w:p w14:paraId="4E40999A" w14:textId="091274CC" w:rsidR="0099232C" w:rsidRPr="0099232C" w:rsidRDefault="0099232C" w:rsidP="0099232C">
      <w:pPr>
        <w:jc w:val="center"/>
        <w:rPr>
          <w:b/>
          <w:bCs/>
          <w:sz w:val="32"/>
          <w:szCs w:val="28"/>
        </w:rPr>
      </w:pPr>
      <w:r w:rsidRPr="0099232C">
        <w:rPr>
          <w:b/>
          <w:bCs/>
          <w:sz w:val="32"/>
          <w:szCs w:val="28"/>
        </w:rPr>
        <w:t xml:space="preserve">Module Title: </w:t>
      </w:r>
      <w:r>
        <w:rPr>
          <w:b/>
          <w:bCs/>
          <w:sz w:val="32"/>
          <w:szCs w:val="28"/>
        </w:rPr>
        <w:t xml:space="preserve">Financial </w:t>
      </w:r>
      <w:r w:rsidR="00DE16D4">
        <w:rPr>
          <w:b/>
          <w:bCs/>
          <w:sz w:val="32"/>
          <w:szCs w:val="28"/>
        </w:rPr>
        <w:t>Management</w:t>
      </w:r>
    </w:p>
    <w:p w14:paraId="13EB1804" w14:textId="77777777" w:rsidR="0099232C" w:rsidRPr="0099232C" w:rsidRDefault="0099232C" w:rsidP="0099232C">
      <w:pPr>
        <w:rPr>
          <w:b/>
          <w:bCs/>
          <w:sz w:val="32"/>
          <w:szCs w:val="28"/>
        </w:rPr>
      </w:pPr>
    </w:p>
    <w:p w14:paraId="04E88CA5" w14:textId="0D743F3D" w:rsidR="0099232C" w:rsidRPr="000050C9" w:rsidRDefault="0099232C" w:rsidP="0099232C">
      <w:pPr>
        <w:jc w:val="center"/>
        <w:rPr>
          <w:b/>
          <w:bCs/>
          <w:sz w:val="44"/>
          <w:szCs w:val="40"/>
        </w:rPr>
      </w:pPr>
      <w:r w:rsidRPr="0099232C">
        <w:rPr>
          <w:b/>
          <w:bCs/>
          <w:sz w:val="32"/>
          <w:szCs w:val="28"/>
        </w:rPr>
        <w:t>Assignment Title:</w:t>
      </w:r>
      <w:r w:rsidR="000050C9" w:rsidRPr="000050C9">
        <w:t xml:space="preserve"> </w:t>
      </w:r>
      <w:r w:rsidR="000050C9" w:rsidRPr="000050C9">
        <w:rPr>
          <w:b/>
          <w:bCs/>
          <w:sz w:val="32"/>
          <w:szCs w:val="32"/>
        </w:rPr>
        <w:t>Assessment component: Financial performance and management</w:t>
      </w:r>
    </w:p>
    <w:p w14:paraId="0E1FCDF8" w14:textId="77777777" w:rsidR="0099232C" w:rsidRPr="0099232C" w:rsidRDefault="0099232C" w:rsidP="0099232C">
      <w:pPr>
        <w:rPr>
          <w:b/>
          <w:bCs/>
          <w:sz w:val="32"/>
          <w:szCs w:val="28"/>
        </w:rPr>
      </w:pPr>
    </w:p>
    <w:p w14:paraId="752D5BD0" w14:textId="77777777" w:rsidR="0099232C" w:rsidRPr="0099232C" w:rsidRDefault="0099232C" w:rsidP="0099232C">
      <w:pPr>
        <w:jc w:val="center"/>
        <w:rPr>
          <w:b/>
          <w:bCs/>
          <w:sz w:val="32"/>
          <w:szCs w:val="28"/>
        </w:rPr>
      </w:pPr>
      <w:r w:rsidRPr="0099232C">
        <w:rPr>
          <w:b/>
          <w:bCs/>
          <w:sz w:val="32"/>
          <w:szCs w:val="28"/>
        </w:rPr>
        <w:t>Student Name: Md Abdulla Al Mamun</w:t>
      </w:r>
    </w:p>
    <w:p w14:paraId="682827A8" w14:textId="77777777" w:rsidR="0099232C" w:rsidRPr="0099232C" w:rsidRDefault="0099232C" w:rsidP="0099232C">
      <w:pPr>
        <w:jc w:val="center"/>
        <w:rPr>
          <w:b/>
          <w:bCs/>
          <w:sz w:val="32"/>
          <w:szCs w:val="28"/>
        </w:rPr>
      </w:pPr>
    </w:p>
    <w:p w14:paraId="678643DA" w14:textId="77777777" w:rsidR="0099232C" w:rsidRPr="0099232C" w:rsidRDefault="0099232C" w:rsidP="0099232C">
      <w:pPr>
        <w:jc w:val="center"/>
        <w:rPr>
          <w:b/>
          <w:bCs/>
          <w:sz w:val="32"/>
          <w:szCs w:val="28"/>
        </w:rPr>
      </w:pPr>
      <w:r w:rsidRPr="0099232C">
        <w:rPr>
          <w:b/>
          <w:bCs/>
          <w:sz w:val="32"/>
          <w:szCs w:val="28"/>
        </w:rPr>
        <w:t>Student ID: 2503784</w:t>
      </w:r>
    </w:p>
    <w:p w14:paraId="23679DBA" w14:textId="77777777" w:rsidR="0099232C" w:rsidRPr="0099232C" w:rsidRDefault="0099232C" w:rsidP="001353C0">
      <w:pPr>
        <w:rPr>
          <w:b/>
          <w:bCs/>
          <w:sz w:val="32"/>
          <w:szCs w:val="28"/>
        </w:rPr>
      </w:pPr>
    </w:p>
    <w:p w14:paraId="591A9D9E" w14:textId="539F6041" w:rsidR="0099232C" w:rsidRPr="0099232C" w:rsidRDefault="0099232C" w:rsidP="0099232C">
      <w:pPr>
        <w:jc w:val="center"/>
        <w:rPr>
          <w:b/>
          <w:bCs/>
          <w:sz w:val="32"/>
          <w:szCs w:val="28"/>
        </w:rPr>
      </w:pPr>
      <w:r w:rsidRPr="0099232C">
        <w:rPr>
          <w:b/>
          <w:bCs/>
          <w:sz w:val="32"/>
          <w:szCs w:val="28"/>
        </w:rPr>
        <w:t xml:space="preserve">Module Tutor: </w:t>
      </w:r>
      <w:r w:rsidR="001353C0" w:rsidRPr="001353C0">
        <w:rPr>
          <w:rFonts w:ascii="Segoe UI" w:hAnsi="Segoe UI" w:cs="Segoe UI"/>
          <w:b/>
          <w:bCs/>
          <w:color w:val="1D2125"/>
          <w:sz w:val="32"/>
          <w:szCs w:val="32"/>
          <w:shd w:val="clear" w:color="auto" w:fill="FFFFFF"/>
        </w:rPr>
        <w:t>Dr Shengfeng Mei</w:t>
      </w:r>
    </w:p>
    <w:p w14:paraId="6D1DA750" w14:textId="77777777" w:rsidR="0099232C" w:rsidRPr="0099232C" w:rsidRDefault="0099232C" w:rsidP="0099232C">
      <w:pPr>
        <w:jc w:val="center"/>
        <w:rPr>
          <w:b/>
          <w:bCs/>
          <w:sz w:val="32"/>
          <w:szCs w:val="28"/>
        </w:rPr>
      </w:pPr>
    </w:p>
    <w:p w14:paraId="50C23C3E" w14:textId="3FC093BC" w:rsidR="0099232C" w:rsidRPr="0099232C" w:rsidRDefault="0099232C" w:rsidP="00FE0F89">
      <w:pPr>
        <w:jc w:val="center"/>
        <w:rPr>
          <w:b/>
          <w:bCs/>
          <w:sz w:val="32"/>
          <w:szCs w:val="28"/>
        </w:rPr>
      </w:pPr>
      <w:r w:rsidRPr="0099232C">
        <w:rPr>
          <w:b/>
          <w:bCs/>
          <w:sz w:val="32"/>
          <w:szCs w:val="28"/>
        </w:rPr>
        <w:t>Group: 02</w:t>
      </w:r>
    </w:p>
    <w:p w14:paraId="392D4838" w14:textId="15A159DB" w:rsidR="0099232C" w:rsidRDefault="0099232C" w:rsidP="000050C9">
      <w:pPr>
        <w:jc w:val="center"/>
        <w:rPr>
          <w:b/>
          <w:bCs/>
          <w:sz w:val="32"/>
          <w:szCs w:val="28"/>
        </w:rPr>
      </w:pPr>
      <w:r w:rsidRPr="0099232C">
        <w:rPr>
          <w:b/>
          <w:bCs/>
          <w:sz w:val="32"/>
          <w:szCs w:val="28"/>
        </w:rPr>
        <w:t>Word Count:</w:t>
      </w:r>
      <w:r w:rsidR="001D0FA3">
        <w:rPr>
          <w:b/>
          <w:bCs/>
          <w:sz w:val="32"/>
          <w:szCs w:val="28"/>
        </w:rPr>
        <w:t xml:space="preserve"> 52</w:t>
      </w:r>
      <w:r w:rsidR="00FE0F89">
        <w:rPr>
          <w:b/>
          <w:bCs/>
          <w:sz w:val="32"/>
          <w:szCs w:val="28"/>
        </w:rPr>
        <w:t>88</w:t>
      </w:r>
    </w:p>
    <w:p w14:paraId="76AED3DC" w14:textId="055D873C" w:rsidR="00FE0F89" w:rsidRDefault="00FE0F89" w:rsidP="000050C9">
      <w:pPr>
        <w:jc w:val="center"/>
        <w:rPr>
          <w:b/>
          <w:bCs/>
          <w:sz w:val="32"/>
          <w:szCs w:val="28"/>
        </w:rPr>
      </w:pPr>
      <w:r>
        <w:rPr>
          <w:b/>
          <w:bCs/>
          <w:sz w:val="32"/>
          <w:szCs w:val="28"/>
        </w:rPr>
        <w:t xml:space="preserve">Submission Date: </w:t>
      </w:r>
      <w:r w:rsidR="00D02F97">
        <w:rPr>
          <w:b/>
          <w:bCs/>
          <w:sz w:val="32"/>
          <w:szCs w:val="28"/>
        </w:rPr>
        <w:t>21-04-2026</w:t>
      </w:r>
    </w:p>
    <w:p w14:paraId="57DEB850" w14:textId="77777777" w:rsidR="001353C0" w:rsidRPr="0099232C" w:rsidRDefault="001353C0" w:rsidP="000050C9">
      <w:pPr>
        <w:jc w:val="center"/>
        <w:rPr>
          <w:b/>
          <w:bCs/>
          <w:sz w:val="32"/>
          <w:szCs w:val="28"/>
        </w:rPr>
      </w:pPr>
    </w:p>
    <w:sdt>
      <w:sdtPr>
        <w:rPr>
          <w:rFonts w:asciiTheme="minorHAnsi" w:eastAsiaTheme="minorHAnsi" w:hAnsiTheme="minorHAnsi" w:cstheme="minorBidi"/>
          <w:color w:val="auto"/>
          <w:sz w:val="22"/>
          <w:szCs w:val="22"/>
        </w:rPr>
        <w:id w:val="435403661"/>
        <w:docPartObj>
          <w:docPartGallery w:val="Table of Contents"/>
          <w:docPartUnique/>
        </w:docPartObj>
      </w:sdtPr>
      <w:sdtEndPr>
        <w:rPr>
          <w:b/>
          <w:bCs/>
          <w:noProof/>
        </w:rPr>
      </w:sdtEndPr>
      <w:sdtContent>
        <w:p w14:paraId="32C28ADA" w14:textId="2C67F3B5" w:rsidR="00B67377" w:rsidRPr="007170F1" w:rsidRDefault="007170F1">
          <w:pPr>
            <w:pStyle w:val="TOCHeading"/>
            <w:rPr>
              <w:b/>
              <w:bCs/>
            </w:rPr>
          </w:pPr>
          <w:r w:rsidRPr="007170F1">
            <w:rPr>
              <w:b/>
              <w:bCs/>
            </w:rPr>
            <w:t xml:space="preserve">Table of </w:t>
          </w:r>
          <w:r w:rsidR="00B67377" w:rsidRPr="007170F1">
            <w:rPr>
              <w:b/>
              <w:bCs/>
            </w:rPr>
            <w:t>Contents</w:t>
          </w:r>
        </w:p>
        <w:p w14:paraId="28416D01" w14:textId="00776F68" w:rsidR="00B96BD6" w:rsidRDefault="00B6737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7660462" w:history="1">
            <w:r w:rsidR="00B96BD6" w:rsidRPr="000638EC">
              <w:rPr>
                <w:rStyle w:val="Hyperlink"/>
                <w:noProof/>
              </w:rPr>
              <w:t>Introduction</w:t>
            </w:r>
            <w:r w:rsidR="00B96BD6">
              <w:rPr>
                <w:noProof/>
                <w:webHidden/>
              </w:rPr>
              <w:tab/>
            </w:r>
            <w:r w:rsidR="00B96BD6">
              <w:rPr>
                <w:noProof/>
                <w:webHidden/>
              </w:rPr>
              <w:fldChar w:fldCharType="begin"/>
            </w:r>
            <w:r w:rsidR="00B96BD6">
              <w:rPr>
                <w:noProof/>
                <w:webHidden/>
              </w:rPr>
              <w:instrText xml:space="preserve"> PAGEREF _Toc227660462 \h </w:instrText>
            </w:r>
            <w:r w:rsidR="00B96BD6">
              <w:rPr>
                <w:noProof/>
                <w:webHidden/>
              </w:rPr>
            </w:r>
            <w:r w:rsidR="00B96BD6">
              <w:rPr>
                <w:noProof/>
                <w:webHidden/>
              </w:rPr>
              <w:fldChar w:fldCharType="separate"/>
            </w:r>
            <w:r w:rsidR="00B96BD6">
              <w:rPr>
                <w:noProof/>
                <w:webHidden/>
              </w:rPr>
              <w:t>3</w:t>
            </w:r>
            <w:r w:rsidR="00B96BD6">
              <w:rPr>
                <w:noProof/>
                <w:webHidden/>
              </w:rPr>
              <w:fldChar w:fldCharType="end"/>
            </w:r>
          </w:hyperlink>
        </w:p>
        <w:p w14:paraId="70FF753C" w14:textId="6C52C838" w:rsidR="00B96BD6" w:rsidRDefault="00B96BD6">
          <w:pPr>
            <w:pStyle w:val="TOC1"/>
            <w:tabs>
              <w:tab w:val="right" w:leader="dot" w:pos="9350"/>
            </w:tabs>
            <w:rPr>
              <w:rFonts w:eastAsiaTheme="minorEastAsia"/>
              <w:noProof/>
            </w:rPr>
          </w:pPr>
          <w:hyperlink w:anchor="_Toc227660463" w:history="1">
            <w:r w:rsidRPr="000638EC">
              <w:rPr>
                <w:rStyle w:val="Hyperlink"/>
                <w:noProof/>
              </w:rPr>
              <w:t>Section 1: Financial Health Check (2020–2024)</w:t>
            </w:r>
            <w:r>
              <w:rPr>
                <w:noProof/>
                <w:webHidden/>
              </w:rPr>
              <w:tab/>
            </w:r>
            <w:r>
              <w:rPr>
                <w:noProof/>
                <w:webHidden/>
              </w:rPr>
              <w:fldChar w:fldCharType="begin"/>
            </w:r>
            <w:r>
              <w:rPr>
                <w:noProof/>
                <w:webHidden/>
              </w:rPr>
              <w:instrText xml:space="preserve"> PAGEREF _Toc227660463 \h </w:instrText>
            </w:r>
            <w:r>
              <w:rPr>
                <w:noProof/>
                <w:webHidden/>
              </w:rPr>
            </w:r>
            <w:r>
              <w:rPr>
                <w:noProof/>
                <w:webHidden/>
              </w:rPr>
              <w:fldChar w:fldCharType="separate"/>
            </w:r>
            <w:r>
              <w:rPr>
                <w:noProof/>
                <w:webHidden/>
              </w:rPr>
              <w:t>4</w:t>
            </w:r>
            <w:r>
              <w:rPr>
                <w:noProof/>
                <w:webHidden/>
              </w:rPr>
              <w:fldChar w:fldCharType="end"/>
            </w:r>
          </w:hyperlink>
        </w:p>
        <w:p w14:paraId="13416FA4" w14:textId="7E81A3BA" w:rsidR="00B96BD6" w:rsidRDefault="00B96BD6">
          <w:pPr>
            <w:pStyle w:val="TOC2"/>
            <w:tabs>
              <w:tab w:val="right" w:leader="dot" w:pos="9350"/>
            </w:tabs>
            <w:rPr>
              <w:rFonts w:eastAsiaTheme="minorEastAsia"/>
              <w:noProof/>
            </w:rPr>
          </w:pPr>
          <w:hyperlink w:anchor="_Toc227660464" w:history="1">
            <w:r w:rsidRPr="000638EC">
              <w:rPr>
                <w:rStyle w:val="Hyperlink"/>
                <w:rFonts w:ascii="Arial" w:eastAsia="Arial" w:hAnsi="Arial" w:cs="Arial"/>
                <w:b/>
                <w:bCs/>
                <w:noProof/>
              </w:rPr>
              <w:t>1.1 Five-Year Consolidated Financial Summary</w:t>
            </w:r>
            <w:r>
              <w:rPr>
                <w:noProof/>
                <w:webHidden/>
              </w:rPr>
              <w:tab/>
            </w:r>
            <w:r>
              <w:rPr>
                <w:noProof/>
                <w:webHidden/>
              </w:rPr>
              <w:fldChar w:fldCharType="begin"/>
            </w:r>
            <w:r>
              <w:rPr>
                <w:noProof/>
                <w:webHidden/>
              </w:rPr>
              <w:instrText xml:space="preserve"> PAGEREF _Toc227660464 \h </w:instrText>
            </w:r>
            <w:r>
              <w:rPr>
                <w:noProof/>
                <w:webHidden/>
              </w:rPr>
            </w:r>
            <w:r>
              <w:rPr>
                <w:noProof/>
                <w:webHidden/>
              </w:rPr>
              <w:fldChar w:fldCharType="separate"/>
            </w:r>
            <w:r>
              <w:rPr>
                <w:noProof/>
                <w:webHidden/>
              </w:rPr>
              <w:t>4</w:t>
            </w:r>
            <w:r>
              <w:rPr>
                <w:noProof/>
                <w:webHidden/>
              </w:rPr>
              <w:fldChar w:fldCharType="end"/>
            </w:r>
          </w:hyperlink>
        </w:p>
        <w:p w14:paraId="5064AF55" w14:textId="11249E6F" w:rsidR="00B96BD6" w:rsidRDefault="00B96BD6">
          <w:pPr>
            <w:pStyle w:val="TOC3"/>
            <w:tabs>
              <w:tab w:val="right" w:leader="dot" w:pos="9350"/>
            </w:tabs>
            <w:rPr>
              <w:rFonts w:eastAsiaTheme="minorEastAsia"/>
              <w:noProof/>
            </w:rPr>
          </w:pPr>
          <w:hyperlink w:anchor="_Toc227660465" w:history="1">
            <w:r w:rsidRPr="000638EC">
              <w:rPr>
                <w:rStyle w:val="Hyperlink"/>
                <w:rFonts w:ascii="Arial" w:eastAsia="Arial" w:hAnsi="Arial" w:cs="Arial"/>
                <w:b/>
                <w:bCs/>
                <w:noProof/>
              </w:rPr>
              <w:t>Table 1.1 – Consolidated Financial Summary (KRW Billions)</w:t>
            </w:r>
            <w:r>
              <w:rPr>
                <w:noProof/>
                <w:webHidden/>
              </w:rPr>
              <w:tab/>
            </w:r>
            <w:r>
              <w:rPr>
                <w:noProof/>
                <w:webHidden/>
              </w:rPr>
              <w:fldChar w:fldCharType="begin"/>
            </w:r>
            <w:r>
              <w:rPr>
                <w:noProof/>
                <w:webHidden/>
              </w:rPr>
              <w:instrText xml:space="preserve"> PAGEREF _Toc227660465 \h </w:instrText>
            </w:r>
            <w:r>
              <w:rPr>
                <w:noProof/>
                <w:webHidden/>
              </w:rPr>
            </w:r>
            <w:r>
              <w:rPr>
                <w:noProof/>
                <w:webHidden/>
              </w:rPr>
              <w:fldChar w:fldCharType="separate"/>
            </w:r>
            <w:r>
              <w:rPr>
                <w:noProof/>
                <w:webHidden/>
              </w:rPr>
              <w:t>4</w:t>
            </w:r>
            <w:r>
              <w:rPr>
                <w:noProof/>
                <w:webHidden/>
              </w:rPr>
              <w:fldChar w:fldCharType="end"/>
            </w:r>
          </w:hyperlink>
        </w:p>
        <w:p w14:paraId="41A73808" w14:textId="64D79EAC" w:rsidR="00B96BD6" w:rsidRDefault="00B96BD6">
          <w:pPr>
            <w:pStyle w:val="TOC2"/>
            <w:tabs>
              <w:tab w:val="right" w:leader="dot" w:pos="9350"/>
            </w:tabs>
            <w:rPr>
              <w:rFonts w:eastAsiaTheme="minorEastAsia"/>
              <w:noProof/>
            </w:rPr>
          </w:pPr>
          <w:hyperlink w:anchor="_Toc227660466" w:history="1">
            <w:r w:rsidRPr="000638EC">
              <w:rPr>
                <w:rStyle w:val="Hyperlink"/>
                <w:rFonts w:ascii="Arial" w:eastAsia="Arial" w:hAnsi="Arial" w:cs="Arial"/>
                <w:b/>
                <w:bCs/>
                <w:noProof/>
              </w:rPr>
              <w:t>1.2 Profitability Ratios</w:t>
            </w:r>
            <w:r>
              <w:rPr>
                <w:noProof/>
                <w:webHidden/>
              </w:rPr>
              <w:tab/>
            </w:r>
            <w:r>
              <w:rPr>
                <w:noProof/>
                <w:webHidden/>
              </w:rPr>
              <w:fldChar w:fldCharType="begin"/>
            </w:r>
            <w:r>
              <w:rPr>
                <w:noProof/>
                <w:webHidden/>
              </w:rPr>
              <w:instrText xml:space="preserve"> PAGEREF _Toc227660466 \h </w:instrText>
            </w:r>
            <w:r>
              <w:rPr>
                <w:noProof/>
                <w:webHidden/>
              </w:rPr>
            </w:r>
            <w:r>
              <w:rPr>
                <w:noProof/>
                <w:webHidden/>
              </w:rPr>
              <w:fldChar w:fldCharType="separate"/>
            </w:r>
            <w:r>
              <w:rPr>
                <w:noProof/>
                <w:webHidden/>
              </w:rPr>
              <w:t>5</w:t>
            </w:r>
            <w:r>
              <w:rPr>
                <w:noProof/>
                <w:webHidden/>
              </w:rPr>
              <w:fldChar w:fldCharType="end"/>
            </w:r>
          </w:hyperlink>
        </w:p>
        <w:p w14:paraId="471D50D0" w14:textId="60A6AD5F" w:rsidR="00B96BD6" w:rsidRDefault="00B96BD6">
          <w:pPr>
            <w:pStyle w:val="TOC3"/>
            <w:tabs>
              <w:tab w:val="right" w:leader="dot" w:pos="9350"/>
            </w:tabs>
            <w:rPr>
              <w:rFonts w:eastAsiaTheme="minorEastAsia"/>
              <w:noProof/>
            </w:rPr>
          </w:pPr>
          <w:hyperlink w:anchor="_Toc227660467" w:history="1">
            <w:r w:rsidRPr="000638EC">
              <w:rPr>
                <w:rStyle w:val="Hyperlink"/>
                <w:rFonts w:ascii="Arial" w:eastAsia="Arial" w:hAnsi="Arial" w:cs="Arial"/>
                <w:b/>
                <w:bCs/>
                <w:noProof/>
              </w:rPr>
              <w:t>Table 1.2 – Profitability Ratios</w:t>
            </w:r>
            <w:r>
              <w:rPr>
                <w:noProof/>
                <w:webHidden/>
              </w:rPr>
              <w:tab/>
            </w:r>
            <w:r>
              <w:rPr>
                <w:noProof/>
                <w:webHidden/>
              </w:rPr>
              <w:fldChar w:fldCharType="begin"/>
            </w:r>
            <w:r>
              <w:rPr>
                <w:noProof/>
                <w:webHidden/>
              </w:rPr>
              <w:instrText xml:space="preserve"> PAGEREF _Toc227660467 \h </w:instrText>
            </w:r>
            <w:r>
              <w:rPr>
                <w:noProof/>
                <w:webHidden/>
              </w:rPr>
            </w:r>
            <w:r>
              <w:rPr>
                <w:noProof/>
                <w:webHidden/>
              </w:rPr>
              <w:fldChar w:fldCharType="separate"/>
            </w:r>
            <w:r>
              <w:rPr>
                <w:noProof/>
                <w:webHidden/>
              </w:rPr>
              <w:t>5</w:t>
            </w:r>
            <w:r>
              <w:rPr>
                <w:noProof/>
                <w:webHidden/>
              </w:rPr>
              <w:fldChar w:fldCharType="end"/>
            </w:r>
          </w:hyperlink>
        </w:p>
        <w:p w14:paraId="4AB22775" w14:textId="504906C5" w:rsidR="00B96BD6" w:rsidRDefault="00B96BD6">
          <w:pPr>
            <w:pStyle w:val="TOC2"/>
            <w:tabs>
              <w:tab w:val="right" w:leader="dot" w:pos="9350"/>
            </w:tabs>
            <w:rPr>
              <w:rFonts w:eastAsiaTheme="minorEastAsia"/>
              <w:noProof/>
            </w:rPr>
          </w:pPr>
          <w:hyperlink w:anchor="_Toc227660468" w:history="1">
            <w:r w:rsidRPr="000638EC">
              <w:rPr>
                <w:rStyle w:val="Hyperlink"/>
                <w:rFonts w:ascii="Arial" w:eastAsia="Arial" w:hAnsi="Arial" w:cs="Arial"/>
                <w:b/>
                <w:bCs/>
                <w:noProof/>
              </w:rPr>
              <w:t>1.3 Liquidity Ratios</w:t>
            </w:r>
            <w:r>
              <w:rPr>
                <w:noProof/>
                <w:webHidden/>
              </w:rPr>
              <w:tab/>
            </w:r>
            <w:r>
              <w:rPr>
                <w:noProof/>
                <w:webHidden/>
              </w:rPr>
              <w:fldChar w:fldCharType="begin"/>
            </w:r>
            <w:r>
              <w:rPr>
                <w:noProof/>
                <w:webHidden/>
              </w:rPr>
              <w:instrText xml:space="preserve"> PAGEREF _Toc227660468 \h </w:instrText>
            </w:r>
            <w:r>
              <w:rPr>
                <w:noProof/>
                <w:webHidden/>
              </w:rPr>
            </w:r>
            <w:r>
              <w:rPr>
                <w:noProof/>
                <w:webHidden/>
              </w:rPr>
              <w:fldChar w:fldCharType="separate"/>
            </w:r>
            <w:r>
              <w:rPr>
                <w:noProof/>
                <w:webHidden/>
              </w:rPr>
              <w:t>7</w:t>
            </w:r>
            <w:r>
              <w:rPr>
                <w:noProof/>
                <w:webHidden/>
              </w:rPr>
              <w:fldChar w:fldCharType="end"/>
            </w:r>
          </w:hyperlink>
        </w:p>
        <w:p w14:paraId="2FA0A2EC" w14:textId="5B781BB5" w:rsidR="00B96BD6" w:rsidRDefault="00B96BD6">
          <w:pPr>
            <w:pStyle w:val="TOC3"/>
            <w:tabs>
              <w:tab w:val="right" w:leader="dot" w:pos="9350"/>
            </w:tabs>
            <w:rPr>
              <w:rFonts w:eastAsiaTheme="minorEastAsia"/>
              <w:noProof/>
            </w:rPr>
          </w:pPr>
          <w:hyperlink w:anchor="_Toc227660469" w:history="1">
            <w:r w:rsidRPr="000638EC">
              <w:rPr>
                <w:rStyle w:val="Hyperlink"/>
                <w:rFonts w:ascii="Arial" w:eastAsia="Arial" w:hAnsi="Arial" w:cs="Arial"/>
                <w:b/>
                <w:bCs/>
                <w:noProof/>
              </w:rPr>
              <w:t>Table 1.3 – Liquidity Ratios</w:t>
            </w:r>
            <w:r>
              <w:rPr>
                <w:noProof/>
                <w:webHidden/>
              </w:rPr>
              <w:tab/>
            </w:r>
            <w:r>
              <w:rPr>
                <w:noProof/>
                <w:webHidden/>
              </w:rPr>
              <w:fldChar w:fldCharType="begin"/>
            </w:r>
            <w:r>
              <w:rPr>
                <w:noProof/>
                <w:webHidden/>
              </w:rPr>
              <w:instrText xml:space="preserve"> PAGEREF _Toc227660469 \h </w:instrText>
            </w:r>
            <w:r>
              <w:rPr>
                <w:noProof/>
                <w:webHidden/>
              </w:rPr>
            </w:r>
            <w:r>
              <w:rPr>
                <w:noProof/>
                <w:webHidden/>
              </w:rPr>
              <w:fldChar w:fldCharType="separate"/>
            </w:r>
            <w:r>
              <w:rPr>
                <w:noProof/>
                <w:webHidden/>
              </w:rPr>
              <w:t>7</w:t>
            </w:r>
            <w:r>
              <w:rPr>
                <w:noProof/>
                <w:webHidden/>
              </w:rPr>
              <w:fldChar w:fldCharType="end"/>
            </w:r>
          </w:hyperlink>
        </w:p>
        <w:p w14:paraId="40971565" w14:textId="19D2FAB9" w:rsidR="00B96BD6" w:rsidRDefault="00B96BD6">
          <w:pPr>
            <w:pStyle w:val="TOC2"/>
            <w:tabs>
              <w:tab w:val="right" w:leader="dot" w:pos="9350"/>
            </w:tabs>
            <w:rPr>
              <w:rFonts w:eastAsiaTheme="minorEastAsia"/>
              <w:noProof/>
            </w:rPr>
          </w:pPr>
          <w:hyperlink w:anchor="_Toc227660470" w:history="1">
            <w:r w:rsidRPr="000638EC">
              <w:rPr>
                <w:rStyle w:val="Hyperlink"/>
                <w:rFonts w:ascii="Arial" w:eastAsia="Arial" w:hAnsi="Arial" w:cs="Arial"/>
                <w:b/>
                <w:bCs/>
                <w:noProof/>
              </w:rPr>
              <w:t>1.4 Efficiency Ratios</w:t>
            </w:r>
            <w:r>
              <w:rPr>
                <w:noProof/>
                <w:webHidden/>
              </w:rPr>
              <w:tab/>
            </w:r>
            <w:r>
              <w:rPr>
                <w:noProof/>
                <w:webHidden/>
              </w:rPr>
              <w:fldChar w:fldCharType="begin"/>
            </w:r>
            <w:r>
              <w:rPr>
                <w:noProof/>
                <w:webHidden/>
              </w:rPr>
              <w:instrText xml:space="preserve"> PAGEREF _Toc227660470 \h </w:instrText>
            </w:r>
            <w:r>
              <w:rPr>
                <w:noProof/>
                <w:webHidden/>
              </w:rPr>
            </w:r>
            <w:r>
              <w:rPr>
                <w:noProof/>
                <w:webHidden/>
              </w:rPr>
              <w:fldChar w:fldCharType="separate"/>
            </w:r>
            <w:r>
              <w:rPr>
                <w:noProof/>
                <w:webHidden/>
              </w:rPr>
              <w:t>8</w:t>
            </w:r>
            <w:r>
              <w:rPr>
                <w:noProof/>
                <w:webHidden/>
              </w:rPr>
              <w:fldChar w:fldCharType="end"/>
            </w:r>
          </w:hyperlink>
        </w:p>
        <w:p w14:paraId="7F1C9F7A" w14:textId="402D0578" w:rsidR="00B96BD6" w:rsidRDefault="00B96BD6">
          <w:pPr>
            <w:pStyle w:val="TOC3"/>
            <w:tabs>
              <w:tab w:val="right" w:leader="dot" w:pos="9350"/>
            </w:tabs>
            <w:rPr>
              <w:rFonts w:eastAsiaTheme="minorEastAsia"/>
              <w:noProof/>
            </w:rPr>
          </w:pPr>
          <w:hyperlink w:anchor="_Toc227660471" w:history="1">
            <w:r w:rsidRPr="000638EC">
              <w:rPr>
                <w:rStyle w:val="Hyperlink"/>
                <w:rFonts w:ascii="Arial" w:eastAsia="Arial" w:hAnsi="Arial" w:cs="Arial"/>
                <w:b/>
                <w:bCs/>
                <w:noProof/>
              </w:rPr>
              <w:t>Table 1.4 – Efficiency (Activity) Ratios</w:t>
            </w:r>
            <w:r>
              <w:rPr>
                <w:noProof/>
                <w:webHidden/>
              </w:rPr>
              <w:tab/>
            </w:r>
            <w:r>
              <w:rPr>
                <w:noProof/>
                <w:webHidden/>
              </w:rPr>
              <w:fldChar w:fldCharType="begin"/>
            </w:r>
            <w:r>
              <w:rPr>
                <w:noProof/>
                <w:webHidden/>
              </w:rPr>
              <w:instrText xml:space="preserve"> PAGEREF _Toc227660471 \h </w:instrText>
            </w:r>
            <w:r>
              <w:rPr>
                <w:noProof/>
                <w:webHidden/>
              </w:rPr>
            </w:r>
            <w:r>
              <w:rPr>
                <w:noProof/>
                <w:webHidden/>
              </w:rPr>
              <w:fldChar w:fldCharType="separate"/>
            </w:r>
            <w:r>
              <w:rPr>
                <w:noProof/>
                <w:webHidden/>
              </w:rPr>
              <w:t>8</w:t>
            </w:r>
            <w:r>
              <w:rPr>
                <w:noProof/>
                <w:webHidden/>
              </w:rPr>
              <w:fldChar w:fldCharType="end"/>
            </w:r>
          </w:hyperlink>
        </w:p>
        <w:p w14:paraId="081EF8B8" w14:textId="63DAB7AA" w:rsidR="00B96BD6" w:rsidRDefault="00B96BD6">
          <w:pPr>
            <w:pStyle w:val="TOC2"/>
            <w:tabs>
              <w:tab w:val="right" w:leader="dot" w:pos="9350"/>
            </w:tabs>
            <w:rPr>
              <w:rFonts w:eastAsiaTheme="minorEastAsia"/>
              <w:noProof/>
            </w:rPr>
          </w:pPr>
          <w:hyperlink w:anchor="_Toc227660472" w:history="1">
            <w:r w:rsidRPr="000638EC">
              <w:rPr>
                <w:rStyle w:val="Hyperlink"/>
                <w:rFonts w:ascii="Arial" w:eastAsia="Arial" w:hAnsi="Arial" w:cs="Arial"/>
                <w:b/>
                <w:bCs/>
                <w:noProof/>
              </w:rPr>
              <w:t>1.5 Gearing (Leverage) Ratios</w:t>
            </w:r>
            <w:r>
              <w:rPr>
                <w:noProof/>
                <w:webHidden/>
              </w:rPr>
              <w:tab/>
            </w:r>
            <w:r>
              <w:rPr>
                <w:noProof/>
                <w:webHidden/>
              </w:rPr>
              <w:fldChar w:fldCharType="begin"/>
            </w:r>
            <w:r>
              <w:rPr>
                <w:noProof/>
                <w:webHidden/>
              </w:rPr>
              <w:instrText xml:space="preserve"> PAGEREF _Toc227660472 \h </w:instrText>
            </w:r>
            <w:r>
              <w:rPr>
                <w:noProof/>
                <w:webHidden/>
              </w:rPr>
            </w:r>
            <w:r>
              <w:rPr>
                <w:noProof/>
                <w:webHidden/>
              </w:rPr>
              <w:fldChar w:fldCharType="separate"/>
            </w:r>
            <w:r>
              <w:rPr>
                <w:noProof/>
                <w:webHidden/>
              </w:rPr>
              <w:t>10</w:t>
            </w:r>
            <w:r>
              <w:rPr>
                <w:noProof/>
                <w:webHidden/>
              </w:rPr>
              <w:fldChar w:fldCharType="end"/>
            </w:r>
          </w:hyperlink>
        </w:p>
        <w:p w14:paraId="273865D0" w14:textId="085CF34A" w:rsidR="00B96BD6" w:rsidRDefault="00B96BD6">
          <w:pPr>
            <w:pStyle w:val="TOC3"/>
            <w:tabs>
              <w:tab w:val="right" w:leader="dot" w:pos="9350"/>
            </w:tabs>
            <w:rPr>
              <w:rFonts w:eastAsiaTheme="minorEastAsia"/>
              <w:noProof/>
            </w:rPr>
          </w:pPr>
          <w:hyperlink w:anchor="_Toc227660473" w:history="1">
            <w:r w:rsidRPr="000638EC">
              <w:rPr>
                <w:rStyle w:val="Hyperlink"/>
                <w:rFonts w:ascii="Arial" w:eastAsia="Arial" w:hAnsi="Arial" w:cs="Arial"/>
                <w:b/>
                <w:bCs/>
                <w:noProof/>
              </w:rPr>
              <w:t>Table 1.5 – Gearing / Leverage Ratios</w:t>
            </w:r>
            <w:r>
              <w:rPr>
                <w:noProof/>
                <w:webHidden/>
              </w:rPr>
              <w:tab/>
            </w:r>
            <w:r>
              <w:rPr>
                <w:noProof/>
                <w:webHidden/>
              </w:rPr>
              <w:fldChar w:fldCharType="begin"/>
            </w:r>
            <w:r>
              <w:rPr>
                <w:noProof/>
                <w:webHidden/>
              </w:rPr>
              <w:instrText xml:space="preserve"> PAGEREF _Toc227660473 \h </w:instrText>
            </w:r>
            <w:r>
              <w:rPr>
                <w:noProof/>
                <w:webHidden/>
              </w:rPr>
            </w:r>
            <w:r>
              <w:rPr>
                <w:noProof/>
                <w:webHidden/>
              </w:rPr>
              <w:fldChar w:fldCharType="separate"/>
            </w:r>
            <w:r>
              <w:rPr>
                <w:noProof/>
                <w:webHidden/>
              </w:rPr>
              <w:t>10</w:t>
            </w:r>
            <w:r>
              <w:rPr>
                <w:noProof/>
                <w:webHidden/>
              </w:rPr>
              <w:fldChar w:fldCharType="end"/>
            </w:r>
          </w:hyperlink>
        </w:p>
        <w:p w14:paraId="39A6B487" w14:textId="66719BC6" w:rsidR="00B96BD6" w:rsidRDefault="00B96BD6">
          <w:pPr>
            <w:pStyle w:val="TOC2"/>
            <w:tabs>
              <w:tab w:val="right" w:leader="dot" w:pos="9350"/>
            </w:tabs>
            <w:rPr>
              <w:rFonts w:eastAsiaTheme="minorEastAsia"/>
              <w:noProof/>
            </w:rPr>
          </w:pPr>
          <w:hyperlink w:anchor="_Toc227660474" w:history="1">
            <w:r w:rsidRPr="000638EC">
              <w:rPr>
                <w:rStyle w:val="Hyperlink"/>
                <w:rFonts w:ascii="Arial" w:eastAsia="Arial" w:hAnsi="Arial" w:cs="Arial"/>
                <w:b/>
                <w:bCs/>
                <w:noProof/>
              </w:rPr>
              <w:t>1.6 Investment Ratios</w:t>
            </w:r>
            <w:r>
              <w:rPr>
                <w:noProof/>
                <w:webHidden/>
              </w:rPr>
              <w:tab/>
            </w:r>
            <w:r>
              <w:rPr>
                <w:noProof/>
                <w:webHidden/>
              </w:rPr>
              <w:fldChar w:fldCharType="begin"/>
            </w:r>
            <w:r>
              <w:rPr>
                <w:noProof/>
                <w:webHidden/>
              </w:rPr>
              <w:instrText xml:space="preserve"> PAGEREF _Toc227660474 \h </w:instrText>
            </w:r>
            <w:r>
              <w:rPr>
                <w:noProof/>
                <w:webHidden/>
              </w:rPr>
            </w:r>
            <w:r>
              <w:rPr>
                <w:noProof/>
                <w:webHidden/>
              </w:rPr>
              <w:fldChar w:fldCharType="separate"/>
            </w:r>
            <w:r>
              <w:rPr>
                <w:noProof/>
                <w:webHidden/>
              </w:rPr>
              <w:t>11</w:t>
            </w:r>
            <w:r>
              <w:rPr>
                <w:noProof/>
                <w:webHidden/>
              </w:rPr>
              <w:fldChar w:fldCharType="end"/>
            </w:r>
          </w:hyperlink>
        </w:p>
        <w:p w14:paraId="4B688253" w14:textId="753EC623" w:rsidR="00B96BD6" w:rsidRDefault="00B96BD6">
          <w:pPr>
            <w:pStyle w:val="TOC3"/>
            <w:tabs>
              <w:tab w:val="right" w:leader="dot" w:pos="9350"/>
            </w:tabs>
            <w:rPr>
              <w:rFonts w:eastAsiaTheme="minorEastAsia"/>
              <w:noProof/>
            </w:rPr>
          </w:pPr>
          <w:hyperlink w:anchor="_Toc227660475" w:history="1">
            <w:r w:rsidRPr="000638EC">
              <w:rPr>
                <w:rStyle w:val="Hyperlink"/>
                <w:rFonts w:ascii="Arial" w:eastAsia="Arial" w:hAnsi="Arial" w:cs="Arial"/>
                <w:b/>
                <w:bCs/>
                <w:noProof/>
              </w:rPr>
              <w:t>Table 1.6 – Investment Ratios</w:t>
            </w:r>
            <w:r>
              <w:rPr>
                <w:noProof/>
                <w:webHidden/>
              </w:rPr>
              <w:tab/>
            </w:r>
            <w:r>
              <w:rPr>
                <w:noProof/>
                <w:webHidden/>
              </w:rPr>
              <w:fldChar w:fldCharType="begin"/>
            </w:r>
            <w:r>
              <w:rPr>
                <w:noProof/>
                <w:webHidden/>
              </w:rPr>
              <w:instrText xml:space="preserve"> PAGEREF _Toc227660475 \h </w:instrText>
            </w:r>
            <w:r>
              <w:rPr>
                <w:noProof/>
                <w:webHidden/>
              </w:rPr>
            </w:r>
            <w:r>
              <w:rPr>
                <w:noProof/>
                <w:webHidden/>
              </w:rPr>
              <w:fldChar w:fldCharType="separate"/>
            </w:r>
            <w:r>
              <w:rPr>
                <w:noProof/>
                <w:webHidden/>
              </w:rPr>
              <w:t>11</w:t>
            </w:r>
            <w:r>
              <w:rPr>
                <w:noProof/>
                <w:webHidden/>
              </w:rPr>
              <w:fldChar w:fldCharType="end"/>
            </w:r>
          </w:hyperlink>
        </w:p>
        <w:p w14:paraId="035C777B" w14:textId="384B2C45" w:rsidR="00B96BD6" w:rsidRDefault="00B96BD6">
          <w:pPr>
            <w:pStyle w:val="TOC2"/>
            <w:tabs>
              <w:tab w:val="right" w:leader="dot" w:pos="9350"/>
            </w:tabs>
            <w:rPr>
              <w:rFonts w:eastAsiaTheme="minorEastAsia"/>
              <w:noProof/>
            </w:rPr>
          </w:pPr>
          <w:hyperlink w:anchor="_Toc227660476" w:history="1">
            <w:r w:rsidRPr="000638EC">
              <w:rPr>
                <w:rStyle w:val="Hyperlink"/>
                <w:rFonts w:ascii="Arial" w:eastAsia="Arial" w:hAnsi="Arial" w:cs="Arial"/>
                <w:b/>
                <w:bCs/>
                <w:noProof/>
              </w:rPr>
              <w:t>1.7 Cash Flow Analysis</w:t>
            </w:r>
            <w:r>
              <w:rPr>
                <w:noProof/>
                <w:webHidden/>
              </w:rPr>
              <w:tab/>
            </w:r>
            <w:r>
              <w:rPr>
                <w:noProof/>
                <w:webHidden/>
              </w:rPr>
              <w:fldChar w:fldCharType="begin"/>
            </w:r>
            <w:r>
              <w:rPr>
                <w:noProof/>
                <w:webHidden/>
              </w:rPr>
              <w:instrText xml:space="preserve"> PAGEREF _Toc227660476 \h </w:instrText>
            </w:r>
            <w:r>
              <w:rPr>
                <w:noProof/>
                <w:webHidden/>
              </w:rPr>
            </w:r>
            <w:r>
              <w:rPr>
                <w:noProof/>
                <w:webHidden/>
              </w:rPr>
              <w:fldChar w:fldCharType="separate"/>
            </w:r>
            <w:r>
              <w:rPr>
                <w:noProof/>
                <w:webHidden/>
              </w:rPr>
              <w:t>12</w:t>
            </w:r>
            <w:r>
              <w:rPr>
                <w:noProof/>
                <w:webHidden/>
              </w:rPr>
              <w:fldChar w:fldCharType="end"/>
            </w:r>
          </w:hyperlink>
        </w:p>
        <w:p w14:paraId="0D606E8C" w14:textId="6ABDA41F" w:rsidR="00B96BD6" w:rsidRDefault="00B96BD6">
          <w:pPr>
            <w:pStyle w:val="TOC3"/>
            <w:tabs>
              <w:tab w:val="right" w:leader="dot" w:pos="9350"/>
            </w:tabs>
            <w:rPr>
              <w:rFonts w:eastAsiaTheme="minorEastAsia"/>
              <w:noProof/>
            </w:rPr>
          </w:pPr>
          <w:hyperlink w:anchor="_Toc227660477" w:history="1">
            <w:r w:rsidRPr="000638EC">
              <w:rPr>
                <w:rStyle w:val="Hyperlink"/>
                <w:rFonts w:ascii="Arial" w:eastAsia="Arial" w:hAnsi="Arial" w:cs="Arial"/>
                <w:b/>
                <w:bCs/>
                <w:noProof/>
              </w:rPr>
              <w:t>Table 1.7 – Cash Flow Summary (KRW Billions)</w:t>
            </w:r>
            <w:r>
              <w:rPr>
                <w:noProof/>
                <w:webHidden/>
              </w:rPr>
              <w:tab/>
            </w:r>
            <w:r>
              <w:rPr>
                <w:noProof/>
                <w:webHidden/>
              </w:rPr>
              <w:fldChar w:fldCharType="begin"/>
            </w:r>
            <w:r>
              <w:rPr>
                <w:noProof/>
                <w:webHidden/>
              </w:rPr>
              <w:instrText xml:space="preserve"> PAGEREF _Toc227660477 \h </w:instrText>
            </w:r>
            <w:r>
              <w:rPr>
                <w:noProof/>
                <w:webHidden/>
              </w:rPr>
            </w:r>
            <w:r>
              <w:rPr>
                <w:noProof/>
                <w:webHidden/>
              </w:rPr>
              <w:fldChar w:fldCharType="separate"/>
            </w:r>
            <w:r>
              <w:rPr>
                <w:noProof/>
                <w:webHidden/>
              </w:rPr>
              <w:t>12</w:t>
            </w:r>
            <w:r>
              <w:rPr>
                <w:noProof/>
                <w:webHidden/>
              </w:rPr>
              <w:fldChar w:fldCharType="end"/>
            </w:r>
          </w:hyperlink>
        </w:p>
        <w:p w14:paraId="477DA190" w14:textId="1E8FA24C" w:rsidR="00B96BD6" w:rsidRDefault="00B96BD6">
          <w:pPr>
            <w:pStyle w:val="TOC2"/>
            <w:tabs>
              <w:tab w:val="right" w:leader="dot" w:pos="9350"/>
            </w:tabs>
            <w:rPr>
              <w:rFonts w:eastAsiaTheme="minorEastAsia"/>
              <w:noProof/>
            </w:rPr>
          </w:pPr>
          <w:hyperlink w:anchor="_Toc227660478" w:history="1">
            <w:r w:rsidRPr="000638EC">
              <w:rPr>
                <w:rStyle w:val="Hyperlink"/>
                <w:rFonts w:ascii="Arial" w:eastAsia="Arial" w:hAnsi="Arial" w:cs="Arial"/>
                <w:b/>
                <w:bCs/>
                <w:noProof/>
              </w:rPr>
              <w:t>1.8 Trends, Strengths, and Threats</w:t>
            </w:r>
            <w:r>
              <w:rPr>
                <w:noProof/>
                <w:webHidden/>
              </w:rPr>
              <w:tab/>
            </w:r>
            <w:r>
              <w:rPr>
                <w:noProof/>
                <w:webHidden/>
              </w:rPr>
              <w:fldChar w:fldCharType="begin"/>
            </w:r>
            <w:r>
              <w:rPr>
                <w:noProof/>
                <w:webHidden/>
              </w:rPr>
              <w:instrText xml:space="preserve"> PAGEREF _Toc227660478 \h </w:instrText>
            </w:r>
            <w:r>
              <w:rPr>
                <w:noProof/>
                <w:webHidden/>
              </w:rPr>
            </w:r>
            <w:r>
              <w:rPr>
                <w:noProof/>
                <w:webHidden/>
              </w:rPr>
              <w:fldChar w:fldCharType="separate"/>
            </w:r>
            <w:r>
              <w:rPr>
                <w:noProof/>
                <w:webHidden/>
              </w:rPr>
              <w:t>14</w:t>
            </w:r>
            <w:r>
              <w:rPr>
                <w:noProof/>
                <w:webHidden/>
              </w:rPr>
              <w:fldChar w:fldCharType="end"/>
            </w:r>
          </w:hyperlink>
        </w:p>
        <w:p w14:paraId="39ABEDB3" w14:textId="03D24981" w:rsidR="00B96BD6" w:rsidRDefault="00B96BD6">
          <w:pPr>
            <w:pStyle w:val="TOC3"/>
            <w:tabs>
              <w:tab w:val="right" w:leader="dot" w:pos="9350"/>
            </w:tabs>
            <w:rPr>
              <w:rFonts w:eastAsiaTheme="minorEastAsia"/>
              <w:noProof/>
            </w:rPr>
          </w:pPr>
          <w:hyperlink w:anchor="_Toc227660479" w:history="1">
            <w:r w:rsidRPr="000638EC">
              <w:rPr>
                <w:rStyle w:val="Hyperlink"/>
                <w:rFonts w:ascii="Arial" w:hAnsi="Arial" w:cs="Arial"/>
                <w:b/>
                <w:bCs/>
                <w:noProof/>
              </w:rPr>
              <w:t>Key Strengths</w:t>
            </w:r>
            <w:r>
              <w:rPr>
                <w:noProof/>
                <w:webHidden/>
              </w:rPr>
              <w:tab/>
            </w:r>
            <w:r>
              <w:rPr>
                <w:noProof/>
                <w:webHidden/>
              </w:rPr>
              <w:fldChar w:fldCharType="begin"/>
            </w:r>
            <w:r>
              <w:rPr>
                <w:noProof/>
                <w:webHidden/>
              </w:rPr>
              <w:instrText xml:space="preserve"> PAGEREF _Toc227660479 \h </w:instrText>
            </w:r>
            <w:r>
              <w:rPr>
                <w:noProof/>
                <w:webHidden/>
              </w:rPr>
            </w:r>
            <w:r>
              <w:rPr>
                <w:noProof/>
                <w:webHidden/>
              </w:rPr>
              <w:fldChar w:fldCharType="separate"/>
            </w:r>
            <w:r>
              <w:rPr>
                <w:noProof/>
                <w:webHidden/>
              </w:rPr>
              <w:t>14</w:t>
            </w:r>
            <w:r>
              <w:rPr>
                <w:noProof/>
                <w:webHidden/>
              </w:rPr>
              <w:fldChar w:fldCharType="end"/>
            </w:r>
          </w:hyperlink>
        </w:p>
        <w:p w14:paraId="13CAC472" w14:textId="4AE5974F" w:rsidR="00B96BD6" w:rsidRDefault="00B96BD6">
          <w:pPr>
            <w:pStyle w:val="TOC3"/>
            <w:tabs>
              <w:tab w:val="right" w:leader="dot" w:pos="9350"/>
            </w:tabs>
            <w:rPr>
              <w:rFonts w:eastAsiaTheme="minorEastAsia"/>
              <w:noProof/>
            </w:rPr>
          </w:pPr>
          <w:hyperlink w:anchor="_Toc227660480" w:history="1">
            <w:r w:rsidRPr="000638EC">
              <w:rPr>
                <w:rStyle w:val="Hyperlink"/>
                <w:rFonts w:ascii="Arial" w:hAnsi="Arial" w:cs="Arial"/>
                <w:b/>
                <w:bCs/>
                <w:noProof/>
              </w:rPr>
              <w:t>Core Threats and Risks</w:t>
            </w:r>
            <w:r>
              <w:rPr>
                <w:noProof/>
                <w:webHidden/>
              </w:rPr>
              <w:tab/>
            </w:r>
            <w:r>
              <w:rPr>
                <w:noProof/>
                <w:webHidden/>
              </w:rPr>
              <w:fldChar w:fldCharType="begin"/>
            </w:r>
            <w:r>
              <w:rPr>
                <w:noProof/>
                <w:webHidden/>
              </w:rPr>
              <w:instrText xml:space="preserve"> PAGEREF _Toc227660480 \h </w:instrText>
            </w:r>
            <w:r>
              <w:rPr>
                <w:noProof/>
                <w:webHidden/>
              </w:rPr>
            </w:r>
            <w:r>
              <w:rPr>
                <w:noProof/>
                <w:webHidden/>
              </w:rPr>
              <w:fldChar w:fldCharType="separate"/>
            </w:r>
            <w:r>
              <w:rPr>
                <w:noProof/>
                <w:webHidden/>
              </w:rPr>
              <w:t>14</w:t>
            </w:r>
            <w:r>
              <w:rPr>
                <w:noProof/>
                <w:webHidden/>
              </w:rPr>
              <w:fldChar w:fldCharType="end"/>
            </w:r>
          </w:hyperlink>
        </w:p>
        <w:p w14:paraId="64DF09C7" w14:textId="6D40977B" w:rsidR="00B96BD6" w:rsidRDefault="00B96BD6">
          <w:pPr>
            <w:pStyle w:val="TOC1"/>
            <w:tabs>
              <w:tab w:val="right" w:leader="dot" w:pos="9350"/>
            </w:tabs>
            <w:rPr>
              <w:rFonts w:eastAsiaTheme="minorEastAsia"/>
              <w:noProof/>
            </w:rPr>
          </w:pPr>
          <w:hyperlink w:anchor="_Toc227660481" w:history="1">
            <w:r w:rsidRPr="000638EC">
              <w:rPr>
                <w:rStyle w:val="Hyperlink"/>
                <w:noProof/>
              </w:rPr>
              <w:t>Section 2: Working Capital Management Analysis</w:t>
            </w:r>
            <w:r>
              <w:rPr>
                <w:noProof/>
                <w:webHidden/>
              </w:rPr>
              <w:tab/>
            </w:r>
            <w:r>
              <w:rPr>
                <w:noProof/>
                <w:webHidden/>
              </w:rPr>
              <w:fldChar w:fldCharType="begin"/>
            </w:r>
            <w:r>
              <w:rPr>
                <w:noProof/>
                <w:webHidden/>
              </w:rPr>
              <w:instrText xml:space="preserve"> PAGEREF _Toc227660481 \h </w:instrText>
            </w:r>
            <w:r>
              <w:rPr>
                <w:noProof/>
                <w:webHidden/>
              </w:rPr>
            </w:r>
            <w:r>
              <w:rPr>
                <w:noProof/>
                <w:webHidden/>
              </w:rPr>
              <w:fldChar w:fldCharType="separate"/>
            </w:r>
            <w:r>
              <w:rPr>
                <w:noProof/>
                <w:webHidden/>
              </w:rPr>
              <w:t>15</w:t>
            </w:r>
            <w:r>
              <w:rPr>
                <w:noProof/>
                <w:webHidden/>
              </w:rPr>
              <w:fldChar w:fldCharType="end"/>
            </w:r>
          </w:hyperlink>
        </w:p>
        <w:p w14:paraId="5B86F241" w14:textId="68B0E195" w:rsidR="00B96BD6" w:rsidRDefault="00B96BD6">
          <w:pPr>
            <w:pStyle w:val="TOC2"/>
            <w:tabs>
              <w:tab w:val="right" w:leader="dot" w:pos="9350"/>
            </w:tabs>
            <w:rPr>
              <w:rFonts w:eastAsiaTheme="minorEastAsia"/>
              <w:noProof/>
            </w:rPr>
          </w:pPr>
          <w:hyperlink w:anchor="_Toc227660482" w:history="1">
            <w:r w:rsidRPr="000638EC">
              <w:rPr>
                <w:rStyle w:val="Hyperlink"/>
                <w:rFonts w:ascii="Arial" w:eastAsia="Arial" w:hAnsi="Arial" w:cs="Arial"/>
                <w:b/>
                <w:bCs/>
                <w:noProof/>
              </w:rPr>
              <w:t>2.1 The Cash Operating Cycle (2020–2024)</w:t>
            </w:r>
            <w:r>
              <w:rPr>
                <w:noProof/>
                <w:webHidden/>
              </w:rPr>
              <w:tab/>
            </w:r>
            <w:r>
              <w:rPr>
                <w:noProof/>
                <w:webHidden/>
              </w:rPr>
              <w:fldChar w:fldCharType="begin"/>
            </w:r>
            <w:r>
              <w:rPr>
                <w:noProof/>
                <w:webHidden/>
              </w:rPr>
              <w:instrText xml:space="preserve"> PAGEREF _Toc227660482 \h </w:instrText>
            </w:r>
            <w:r>
              <w:rPr>
                <w:noProof/>
                <w:webHidden/>
              </w:rPr>
            </w:r>
            <w:r>
              <w:rPr>
                <w:noProof/>
                <w:webHidden/>
              </w:rPr>
              <w:fldChar w:fldCharType="separate"/>
            </w:r>
            <w:r>
              <w:rPr>
                <w:noProof/>
                <w:webHidden/>
              </w:rPr>
              <w:t>15</w:t>
            </w:r>
            <w:r>
              <w:rPr>
                <w:noProof/>
                <w:webHidden/>
              </w:rPr>
              <w:fldChar w:fldCharType="end"/>
            </w:r>
          </w:hyperlink>
        </w:p>
        <w:p w14:paraId="63089515" w14:textId="7E846DC6" w:rsidR="00B96BD6" w:rsidRDefault="00B96BD6">
          <w:pPr>
            <w:pStyle w:val="TOC3"/>
            <w:tabs>
              <w:tab w:val="right" w:leader="dot" w:pos="9350"/>
            </w:tabs>
            <w:rPr>
              <w:rFonts w:eastAsiaTheme="minorEastAsia"/>
              <w:noProof/>
            </w:rPr>
          </w:pPr>
          <w:hyperlink w:anchor="_Toc227660483" w:history="1">
            <w:r w:rsidRPr="000638EC">
              <w:rPr>
                <w:rStyle w:val="Hyperlink"/>
                <w:rFonts w:ascii="Arial" w:eastAsia="Arial" w:hAnsi="Arial" w:cs="Arial"/>
                <w:b/>
                <w:bCs/>
                <w:noProof/>
              </w:rPr>
              <w:t>Table 2.1 – Cash Operating Cycle (2020–2024)</w:t>
            </w:r>
            <w:r>
              <w:rPr>
                <w:noProof/>
                <w:webHidden/>
              </w:rPr>
              <w:tab/>
            </w:r>
            <w:r>
              <w:rPr>
                <w:noProof/>
                <w:webHidden/>
              </w:rPr>
              <w:fldChar w:fldCharType="begin"/>
            </w:r>
            <w:r>
              <w:rPr>
                <w:noProof/>
                <w:webHidden/>
              </w:rPr>
              <w:instrText xml:space="preserve"> PAGEREF _Toc227660483 \h </w:instrText>
            </w:r>
            <w:r>
              <w:rPr>
                <w:noProof/>
                <w:webHidden/>
              </w:rPr>
            </w:r>
            <w:r>
              <w:rPr>
                <w:noProof/>
                <w:webHidden/>
              </w:rPr>
              <w:fldChar w:fldCharType="separate"/>
            </w:r>
            <w:r>
              <w:rPr>
                <w:noProof/>
                <w:webHidden/>
              </w:rPr>
              <w:t>15</w:t>
            </w:r>
            <w:r>
              <w:rPr>
                <w:noProof/>
                <w:webHidden/>
              </w:rPr>
              <w:fldChar w:fldCharType="end"/>
            </w:r>
          </w:hyperlink>
        </w:p>
        <w:p w14:paraId="5B4C2EEE" w14:textId="2D09268A" w:rsidR="00B96BD6" w:rsidRDefault="00B96BD6">
          <w:pPr>
            <w:pStyle w:val="TOC2"/>
            <w:tabs>
              <w:tab w:val="right" w:leader="dot" w:pos="9350"/>
            </w:tabs>
            <w:rPr>
              <w:rFonts w:eastAsiaTheme="minorEastAsia"/>
              <w:noProof/>
            </w:rPr>
          </w:pPr>
          <w:hyperlink w:anchor="_Toc227660484" w:history="1">
            <w:r w:rsidRPr="000638EC">
              <w:rPr>
                <w:rStyle w:val="Hyperlink"/>
                <w:rFonts w:ascii="Arial" w:eastAsia="Arial" w:hAnsi="Arial" w:cs="Arial"/>
                <w:b/>
                <w:bCs/>
                <w:noProof/>
              </w:rPr>
              <w:t>2.2 Working Capital Reform Recommendations</w:t>
            </w:r>
            <w:r>
              <w:rPr>
                <w:noProof/>
                <w:webHidden/>
              </w:rPr>
              <w:tab/>
            </w:r>
            <w:r>
              <w:rPr>
                <w:noProof/>
                <w:webHidden/>
              </w:rPr>
              <w:fldChar w:fldCharType="begin"/>
            </w:r>
            <w:r>
              <w:rPr>
                <w:noProof/>
                <w:webHidden/>
              </w:rPr>
              <w:instrText xml:space="preserve"> PAGEREF _Toc227660484 \h </w:instrText>
            </w:r>
            <w:r>
              <w:rPr>
                <w:noProof/>
                <w:webHidden/>
              </w:rPr>
            </w:r>
            <w:r>
              <w:rPr>
                <w:noProof/>
                <w:webHidden/>
              </w:rPr>
              <w:fldChar w:fldCharType="separate"/>
            </w:r>
            <w:r>
              <w:rPr>
                <w:noProof/>
                <w:webHidden/>
              </w:rPr>
              <w:t>16</w:t>
            </w:r>
            <w:r>
              <w:rPr>
                <w:noProof/>
                <w:webHidden/>
              </w:rPr>
              <w:fldChar w:fldCharType="end"/>
            </w:r>
          </w:hyperlink>
        </w:p>
        <w:p w14:paraId="14B1344F" w14:textId="5B04F987" w:rsidR="00B96BD6" w:rsidRDefault="00B96BD6">
          <w:pPr>
            <w:pStyle w:val="TOC3"/>
            <w:tabs>
              <w:tab w:val="right" w:leader="dot" w:pos="9350"/>
            </w:tabs>
            <w:rPr>
              <w:rFonts w:eastAsiaTheme="minorEastAsia"/>
              <w:noProof/>
            </w:rPr>
          </w:pPr>
          <w:hyperlink w:anchor="_Toc227660485" w:history="1">
            <w:r w:rsidRPr="000638EC">
              <w:rPr>
                <w:rStyle w:val="Hyperlink"/>
                <w:rFonts w:ascii="Arial" w:eastAsia="Arial" w:hAnsi="Arial" w:cs="Arial"/>
                <w:noProof/>
              </w:rPr>
              <w:t>Inventory Management Improvements</w:t>
            </w:r>
            <w:r>
              <w:rPr>
                <w:noProof/>
                <w:webHidden/>
              </w:rPr>
              <w:tab/>
            </w:r>
            <w:r>
              <w:rPr>
                <w:noProof/>
                <w:webHidden/>
              </w:rPr>
              <w:fldChar w:fldCharType="begin"/>
            </w:r>
            <w:r>
              <w:rPr>
                <w:noProof/>
                <w:webHidden/>
              </w:rPr>
              <w:instrText xml:space="preserve"> PAGEREF _Toc227660485 \h </w:instrText>
            </w:r>
            <w:r>
              <w:rPr>
                <w:noProof/>
                <w:webHidden/>
              </w:rPr>
            </w:r>
            <w:r>
              <w:rPr>
                <w:noProof/>
                <w:webHidden/>
              </w:rPr>
              <w:fldChar w:fldCharType="separate"/>
            </w:r>
            <w:r>
              <w:rPr>
                <w:noProof/>
                <w:webHidden/>
              </w:rPr>
              <w:t>16</w:t>
            </w:r>
            <w:r>
              <w:rPr>
                <w:noProof/>
                <w:webHidden/>
              </w:rPr>
              <w:fldChar w:fldCharType="end"/>
            </w:r>
          </w:hyperlink>
        </w:p>
        <w:p w14:paraId="6D3077FD" w14:textId="6D747DAE" w:rsidR="00B96BD6" w:rsidRDefault="00B96BD6">
          <w:pPr>
            <w:pStyle w:val="TOC3"/>
            <w:tabs>
              <w:tab w:val="right" w:leader="dot" w:pos="9350"/>
            </w:tabs>
            <w:rPr>
              <w:rFonts w:eastAsiaTheme="minorEastAsia"/>
              <w:noProof/>
            </w:rPr>
          </w:pPr>
          <w:hyperlink w:anchor="_Toc227660486" w:history="1">
            <w:r w:rsidRPr="000638EC">
              <w:rPr>
                <w:rStyle w:val="Hyperlink"/>
                <w:rFonts w:ascii="Arial" w:eastAsia="Arial" w:hAnsi="Arial" w:cs="Arial"/>
                <w:noProof/>
              </w:rPr>
              <w:t>Receivables Management Improvements</w:t>
            </w:r>
            <w:r>
              <w:rPr>
                <w:noProof/>
                <w:webHidden/>
              </w:rPr>
              <w:tab/>
            </w:r>
            <w:r>
              <w:rPr>
                <w:noProof/>
                <w:webHidden/>
              </w:rPr>
              <w:fldChar w:fldCharType="begin"/>
            </w:r>
            <w:r>
              <w:rPr>
                <w:noProof/>
                <w:webHidden/>
              </w:rPr>
              <w:instrText xml:space="preserve"> PAGEREF _Toc227660486 \h </w:instrText>
            </w:r>
            <w:r>
              <w:rPr>
                <w:noProof/>
                <w:webHidden/>
              </w:rPr>
            </w:r>
            <w:r>
              <w:rPr>
                <w:noProof/>
                <w:webHidden/>
              </w:rPr>
              <w:fldChar w:fldCharType="separate"/>
            </w:r>
            <w:r>
              <w:rPr>
                <w:noProof/>
                <w:webHidden/>
              </w:rPr>
              <w:t>16</w:t>
            </w:r>
            <w:r>
              <w:rPr>
                <w:noProof/>
                <w:webHidden/>
              </w:rPr>
              <w:fldChar w:fldCharType="end"/>
            </w:r>
          </w:hyperlink>
        </w:p>
        <w:p w14:paraId="77781513" w14:textId="1C90B71C" w:rsidR="00B96BD6" w:rsidRDefault="00B96BD6">
          <w:pPr>
            <w:pStyle w:val="TOC3"/>
            <w:tabs>
              <w:tab w:val="right" w:leader="dot" w:pos="9350"/>
            </w:tabs>
            <w:rPr>
              <w:rFonts w:eastAsiaTheme="minorEastAsia"/>
              <w:noProof/>
            </w:rPr>
          </w:pPr>
          <w:hyperlink w:anchor="_Toc227660487" w:history="1">
            <w:r w:rsidRPr="000638EC">
              <w:rPr>
                <w:rStyle w:val="Hyperlink"/>
                <w:rFonts w:ascii="Arial" w:eastAsia="Arial" w:hAnsi="Arial" w:cs="Arial"/>
                <w:noProof/>
              </w:rPr>
              <w:t>Payables Management Improvements</w:t>
            </w:r>
            <w:r>
              <w:rPr>
                <w:noProof/>
                <w:webHidden/>
              </w:rPr>
              <w:tab/>
            </w:r>
            <w:r>
              <w:rPr>
                <w:noProof/>
                <w:webHidden/>
              </w:rPr>
              <w:fldChar w:fldCharType="begin"/>
            </w:r>
            <w:r>
              <w:rPr>
                <w:noProof/>
                <w:webHidden/>
              </w:rPr>
              <w:instrText xml:space="preserve"> PAGEREF _Toc227660487 \h </w:instrText>
            </w:r>
            <w:r>
              <w:rPr>
                <w:noProof/>
                <w:webHidden/>
              </w:rPr>
            </w:r>
            <w:r>
              <w:rPr>
                <w:noProof/>
                <w:webHidden/>
              </w:rPr>
              <w:fldChar w:fldCharType="separate"/>
            </w:r>
            <w:r>
              <w:rPr>
                <w:noProof/>
                <w:webHidden/>
              </w:rPr>
              <w:t>16</w:t>
            </w:r>
            <w:r>
              <w:rPr>
                <w:noProof/>
                <w:webHidden/>
              </w:rPr>
              <w:fldChar w:fldCharType="end"/>
            </w:r>
          </w:hyperlink>
        </w:p>
        <w:p w14:paraId="54CD76F5" w14:textId="3A799CCD" w:rsidR="00B96BD6" w:rsidRDefault="00B96BD6">
          <w:pPr>
            <w:pStyle w:val="TOC2"/>
            <w:tabs>
              <w:tab w:val="right" w:leader="dot" w:pos="9350"/>
            </w:tabs>
            <w:rPr>
              <w:rFonts w:eastAsiaTheme="minorEastAsia"/>
              <w:noProof/>
            </w:rPr>
          </w:pPr>
          <w:hyperlink w:anchor="_Toc227660488" w:history="1">
            <w:r w:rsidRPr="000638EC">
              <w:rPr>
                <w:rStyle w:val="Hyperlink"/>
                <w:rFonts w:ascii="Arial" w:eastAsia="Arial" w:hAnsi="Arial" w:cs="Arial"/>
                <w:b/>
                <w:bCs/>
                <w:noProof/>
              </w:rPr>
              <w:t>2.3 Short-Term vs Long-Term Financing Options</w:t>
            </w:r>
            <w:r>
              <w:rPr>
                <w:noProof/>
                <w:webHidden/>
              </w:rPr>
              <w:tab/>
            </w:r>
            <w:r>
              <w:rPr>
                <w:noProof/>
                <w:webHidden/>
              </w:rPr>
              <w:fldChar w:fldCharType="begin"/>
            </w:r>
            <w:r>
              <w:rPr>
                <w:noProof/>
                <w:webHidden/>
              </w:rPr>
              <w:instrText xml:space="preserve"> PAGEREF _Toc227660488 \h </w:instrText>
            </w:r>
            <w:r>
              <w:rPr>
                <w:noProof/>
                <w:webHidden/>
              </w:rPr>
            </w:r>
            <w:r>
              <w:rPr>
                <w:noProof/>
                <w:webHidden/>
              </w:rPr>
              <w:fldChar w:fldCharType="separate"/>
            </w:r>
            <w:r>
              <w:rPr>
                <w:noProof/>
                <w:webHidden/>
              </w:rPr>
              <w:t>17</w:t>
            </w:r>
            <w:r>
              <w:rPr>
                <w:noProof/>
                <w:webHidden/>
              </w:rPr>
              <w:fldChar w:fldCharType="end"/>
            </w:r>
          </w:hyperlink>
        </w:p>
        <w:p w14:paraId="695974FC" w14:textId="4AE80FC0" w:rsidR="00B96BD6" w:rsidRDefault="00B96BD6">
          <w:pPr>
            <w:pStyle w:val="TOC3"/>
            <w:tabs>
              <w:tab w:val="right" w:leader="dot" w:pos="9350"/>
            </w:tabs>
            <w:rPr>
              <w:rFonts w:eastAsiaTheme="minorEastAsia"/>
              <w:noProof/>
            </w:rPr>
          </w:pPr>
          <w:hyperlink w:anchor="_Toc227660489" w:history="1">
            <w:r w:rsidRPr="000638EC">
              <w:rPr>
                <w:rStyle w:val="Hyperlink"/>
                <w:rFonts w:ascii="Arial" w:eastAsia="Arial" w:hAnsi="Arial" w:cs="Arial"/>
                <w:b/>
                <w:bCs/>
                <w:noProof/>
              </w:rPr>
              <w:t>Table 2.2 – Short-Term vs Long-Term Financing Comparison</w:t>
            </w:r>
            <w:r>
              <w:rPr>
                <w:noProof/>
                <w:webHidden/>
              </w:rPr>
              <w:tab/>
            </w:r>
            <w:r>
              <w:rPr>
                <w:noProof/>
                <w:webHidden/>
              </w:rPr>
              <w:fldChar w:fldCharType="begin"/>
            </w:r>
            <w:r>
              <w:rPr>
                <w:noProof/>
                <w:webHidden/>
              </w:rPr>
              <w:instrText xml:space="preserve"> PAGEREF _Toc227660489 \h </w:instrText>
            </w:r>
            <w:r>
              <w:rPr>
                <w:noProof/>
                <w:webHidden/>
              </w:rPr>
            </w:r>
            <w:r>
              <w:rPr>
                <w:noProof/>
                <w:webHidden/>
              </w:rPr>
              <w:fldChar w:fldCharType="separate"/>
            </w:r>
            <w:r>
              <w:rPr>
                <w:noProof/>
                <w:webHidden/>
              </w:rPr>
              <w:t>17</w:t>
            </w:r>
            <w:r>
              <w:rPr>
                <w:noProof/>
                <w:webHidden/>
              </w:rPr>
              <w:fldChar w:fldCharType="end"/>
            </w:r>
          </w:hyperlink>
        </w:p>
        <w:p w14:paraId="27E9DB8A" w14:textId="10F7F477" w:rsidR="00B96BD6" w:rsidRDefault="00B96BD6">
          <w:pPr>
            <w:pStyle w:val="TOC1"/>
            <w:tabs>
              <w:tab w:val="right" w:leader="dot" w:pos="9350"/>
            </w:tabs>
            <w:rPr>
              <w:rFonts w:eastAsiaTheme="minorEastAsia"/>
              <w:noProof/>
            </w:rPr>
          </w:pPr>
          <w:hyperlink w:anchor="_Toc227660490" w:history="1">
            <w:r w:rsidRPr="000638EC">
              <w:rPr>
                <w:rStyle w:val="Hyperlink"/>
                <w:noProof/>
              </w:rPr>
              <w:t>Section 3: Strategic Financial Restructuring Plan</w:t>
            </w:r>
            <w:r>
              <w:rPr>
                <w:noProof/>
                <w:webHidden/>
              </w:rPr>
              <w:tab/>
            </w:r>
            <w:r>
              <w:rPr>
                <w:noProof/>
                <w:webHidden/>
              </w:rPr>
              <w:fldChar w:fldCharType="begin"/>
            </w:r>
            <w:r>
              <w:rPr>
                <w:noProof/>
                <w:webHidden/>
              </w:rPr>
              <w:instrText xml:space="preserve"> PAGEREF _Toc227660490 \h </w:instrText>
            </w:r>
            <w:r>
              <w:rPr>
                <w:noProof/>
                <w:webHidden/>
              </w:rPr>
            </w:r>
            <w:r>
              <w:rPr>
                <w:noProof/>
                <w:webHidden/>
              </w:rPr>
              <w:fldChar w:fldCharType="separate"/>
            </w:r>
            <w:r>
              <w:rPr>
                <w:noProof/>
                <w:webHidden/>
              </w:rPr>
              <w:t>18</w:t>
            </w:r>
            <w:r>
              <w:rPr>
                <w:noProof/>
                <w:webHidden/>
              </w:rPr>
              <w:fldChar w:fldCharType="end"/>
            </w:r>
          </w:hyperlink>
        </w:p>
        <w:p w14:paraId="5197F780" w14:textId="2D65CEDC" w:rsidR="00B96BD6" w:rsidRDefault="00B96BD6">
          <w:pPr>
            <w:pStyle w:val="TOC2"/>
            <w:tabs>
              <w:tab w:val="right" w:leader="dot" w:pos="9350"/>
            </w:tabs>
            <w:rPr>
              <w:rFonts w:eastAsiaTheme="minorEastAsia"/>
              <w:noProof/>
            </w:rPr>
          </w:pPr>
          <w:hyperlink w:anchor="_Toc227660491" w:history="1">
            <w:r w:rsidRPr="000638EC">
              <w:rPr>
                <w:rStyle w:val="Hyperlink"/>
                <w:rFonts w:ascii="Arial" w:eastAsia="Arial" w:hAnsi="Arial" w:cs="Arial"/>
                <w:b/>
                <w:bCs/>
                <w:noProof/>
              </w:rPr>
              <w:t>3.1 Diagnosis: Structural Financial Challenges</w:t>
            </w:r>
            <w:r>
              <w:rPr>
                <w:noProof/>
                <w:webHidden/>
              </w:rPr>
              <w:tab/>
            </w:r>
            <w:r>
              <w:rPr>
                <w:noProof/>
                <w:webHidden/>
              </w:rPr>
              <w:fldChar w:fldCharType="begin"/>
            </w:r>
            <w:r>
              <w:rPr>
                <w:noProof/>
                <w:webHidden/>
              </w:rPr>
              <w:instrText xml:space="preserve"> PAGEREF _Toc227660491 \h </w:instrText>
            </w:r>
            <w:r>
              <w:rPr>
                <w:noProof/>
                <w:webHidden/>
              </w:rPr>
            </w:r>
            <w:r>
              <w:rPr>
                <w:noProof/>
                <w:webHidden/>
              </w:rPr>
              <w:fldChar w:fldCharType="separate"/>
            </w:r>
            <w:r>
              <w:rPr>
                <w:noProof/>
                <w:webHidden/>
              </w:rPr>
              <w:t>18</w:t>
            </w:r>
            <w:r>
              <w:rPr>
                <w:noProof/>
                <w:webHidden/>
              </w:rPr>
              <w:fldChar w:fldCharType="end"/>
            </w:r>
          </w:hyperlink>
        </w:p>
        <w:p w14:paraId="4DFED672" w14:textId="23CD473E" w:rsidR="00B96BD6" w:rsidRDefault="00B96BD6">
          <w:pPr>
            <w:pStyle w:val="TOC2"/>
            <w:tabs>
              <w:tab w:val="right" w:leader="dot" w:pos="9350"/>
            </w:tabs>
            <w:rPr>
              <w:rFonts w:eastAsiaTheme="minorEastAsia"/>
              <w:noProof/>
            </w:rPr>
          </w:pPr>
          <w:hyperlink w:anchor="_Toc227660492" w:history="1">
            <w:r w:rsidRPr="000638EC">
              <w:rPr>
                <w:rStyle w:val="Hyperlink"/>
                <w:rFonts w:ascii="Arial" w:eastAsia="Arial" w:hAnsi="Arial" w:cs="Arial"/>
                <w:b/>
                <w:bCs/>
                <w:noProof/>
              </w:rPr>
              <w:t>3.2 Recommended Restructuring Options</w:t>
            </w:r>
            <w:r>
              <w:rPr>
                <w:noProof/>
                <w:webHidden/>
              </w:rPr>
              <w:tab/>
            </w:r>
            <w:r>
              <w:rPr>
                <w:noProof/>
                <w:webHidden/>
              </w:rPr>
              <w:fldChar w:fldCharType="begin"/>
            </w:r>
            <w:r>
              <w:rPr>
                <w:noProof/>
                <w:webHidden/>
              </w:rPr>
              <w:instrText xml:space="preserve"> PAGEREF _Toc227660492 \h </w:instrText>
            </w:r>
            <w:r>
              <w:rPr>
                <w:noProof/>
                <w:webHidden/>
              </w:rPr>
            </w:r>
            <w:r>
              <w:rPr>
                <w:noProof/>
                <w:webHidden/>
              </w:rPr>
              <w:fldChar w:fldCharType="separate"/>
            </w:r>
            <w:r>
              <w:rPr>
                <w:noProof/>
                <w:webHidden/>
              </w:rPr>
              <w:t>18</w:t>
            </w:r>
            <w:r>
              <w:rPr>
                <w:noProof/>
                <w:webHidden/>
              </w:rPr>
              <w:fldChar w:fldCharType="end"/>
            </w:r>
          </w:hyperlink>
        </w:p>
        <w:p w14:paraId="4475B14D" w14:textId="19A31C67" w:rsidR="00B96BD6" w:rsidRDefault="00B96BD6">
          <w:pPr>
            <w:pStyle w:val="TOC3"/>
            <w:tabs>
              <w:tab w:val="right" w:leader="dot" w:pos="9350"/>
            </w:tabs>
            <w:rPr>
              <w:rFonts w:eastAsiaTheme="minorEastAsia"/>
              <w:noProof/>
            </w:rPr>
          </w:pPr>
          <w:hyperlink w:anchor="_Toc227660493" w:history="1">
            <w:r w:rsidRPr="000638EC">
              <w:rPr>
                <w:rStyle w:val="Hyperlink"/>
                <w:rFonts w:ascii="Arial" w:eastAsia="Arial" w:hAnsi="Arial" w:cs="Arial"/>
                <w:b/>
                <w:bCs/>
                <w:noProof/>
              </w:rPr>
              <w:t>Option A: Commercial Vehicle Division Partial Divestiture or Spin-Off</w:t>
            </w:r>
            <w:r>
              <w:rPr>
                <w:noProof/>
                <w:webHidden/>
              </w:rPr>
              <w:tab/>
            </w:r>
            <w:r>
              <w:rPr>
                <w:noProof/>
                <w:webHidden/>
              </w:rPr>
              <w:fldChar w:fldCharType="begin"/>
            </w:r>
            <w:r>
              <w:rPr>
                <w:noProof/>
                <w:webHidden/>
              </w:rPr>
              <w:instrText xml:space="preserve"> PAGEREF _Toc227660493 \h </w:instrText>
            </w:r>
            <w:r>
              <w:rPr>
                <w:noProof/>
                <w:webHidden/>
              </w:rPr>
            </w:r>
            <w:r>
              <w:rPr>
                <w:noProof/>
                <w:webHidden/>
              </w:rPr>
              <w:fldChar w:fldCharType="separate"/>
            </w:r>
            <w:r>
              <w:rPr>
                <w:noProof/>
                <w:webHidden/>
              </w:rPr>
              <w:t>18</w:t>
            </w:r>
            <w:r>
              <w:rPr>
                <w:noProof/>
                <w:webHidden/>
              </w:rPr>
              <w:fldChar w:fldCharType="end"/>
            </w:r>
          </w:hyperlink>
        </w:p>
        <w:p w14:paraId="721FA14C" w14:textId="49647533" w:rsidR="00B96BD6" w:rsidRDefault="00B96BD6">
          <w:pPr>
            <w:pStyle w:val="TOC3"/>
            <w:tabs>
              <w:tab w:val="right" w:leader="dot" w:pos="9350"/>
            </w:tabs>
            <w:rPr>
              <w:rFonts w:eastAsiaTheme="minorEastAsia"/>
              <w:noProof/>
            </w:rPr>
          </w:pPr>
          <w:hyperlink w:anchor="_Toc227660494" w:history="1">
            <w:r w:rsidRPr="000638EC">
              <w:rPr>
                <w:rStyle w:val="Hyperlink"/>
                <w:rFonts w:ascii="Arial" w:eastAsia="Arial" w:hAnsi="Arial" w:cs="Arial"/>
                <w:b/>
                <w:bCs/>
                <w:noProof/>
              </w:rPr>
              <w:t>Option B: International Capital Market Access — NYSE/LSE Secondary Listing</w:t>
            </w:r>
            <w:r>
              <w:rPr>
                <w:noProof/>
                <w:webHidden/>
              </w:rPr>
              <w:tab/>
            </w:r>
            <w:r>
              <w:rPr>
                <w:noProof/>
                <w:webHidden/>
              </w:rPr>
              <w:fldChar w:fldCharType="begin"/>
            </w:r>
            <w:r>
              <w:rPr>
                <w:noProof/>
                <w:webHidden/>
              </w:rPr>
              <w:instrText xml:space="preserve"> PAGEREF _Toc227660494 \h </w:instrText>
            </w:r>
            <w:r>
              <w:rPr>
                <w:noProof/>
                <w:webHidden/>
              </w:rPr>
            </w:r>
            <w:r>
              <w:rPr>
                <w:noProof/>
                <w:webHidden/>
              </w:rPr>
              <w:fldChar w:fldCharType="separate"/>
            </w:r>
            <w:r>
              <w:rPr>
                <w:noProof/>
                <w:webHidden/>
              </w:rPr>
              <w:t>18</w:t>
            </w:r>
            <w:r>
              <w:rPr>
                <w:noProof/>
                <w:webHidden/>
              </w:rPr>
              <w:fldChar w:fldCharType="end"/>
            </w:r>
          </w:hyperlink>
        </w:p>
        <w:p w14:paraId="427BE801" w14:textId="02D5FAA9" w:rsidR="00B96BD6" w:rsidRDefault="00B96BD6">
          <w:pPr>
            <w:pStyle w:val="TOC3"/>
            <w:tabs>
              <w:tab w:val="right" w:leader="dot" w:pos="9350"/>
            </w:tabs>
            <w:rPr>
              <w:rFonts w:eastAsiaTheme="minorEastAsia"/>
              <w:noProof/>
            </w:rPr>
          </w:pPr>
          <w:hyperlink w:anchor="_Toc227660495" w:history="1">
            <w:r w:rsidRPr="000638EC">
              <w:rPr>
                <w:rStyle w:val="Hyperlink"/>
                <w:rFonts w:ascii="Arial" w:eastAsia="Arial" w:hAnsi="Arial" w:cs="Arial"/>
                <w:b/>
                <w:bCs/>
                <w:noProof/>
              </w:rPr>
              <w:t>Option C: Green Bond Issuance and Debt Maturity Profile Extension</w:t>
            </w:r>
            <w:r>
              <w:rPr>
                <w:noProof/>
                <w:webHidden/>
              </w:rPr>
              <w:tab/>
            </w:r>
            <w:r>
              <w:rPr>
                <w:noProof/>
                <w:webHidden/>
              </w:rPr>
              <w:fldChar w:fldCharType="begin"/>
            </w:r>
            <w:r>
              <w:rPr>
                <w:noProof/>
                <w:webHidden/>
              </w:rPr>
              <w:instrText xml:space="preserve"> PAGEREF _Toc227660495 \h </w:instrText>
            </w:r>
            <w:r>
              <w:rPr>
                <w:noProof/>
                <w:webHidden/>
              </w:rPr>
            </w:r>
            <w:r>
              <w:rPr>
                <w:noProof/>
                <w:webHidden/>
              </w:rPr>
              <w:fldChar w:fldCharType="separate"/>
            </w:r>
            <w:r>
              <w:rPr>
                <w:noProof/>
                <w:webHidden/>
              </w:rPr>
              <w:t>19</w:t>
            </w:r>
            <w:r>
              <w:rPr>
                <w:noProof/>
                <w:webHidden/>
              </w:rPr>
              <w:fldChar w:fldCharType="end"/>
            </w:r>
          </w:hyperlink>
        </w:p>
        <w:p w14:paraId="268050E5" w14:textId="691AF9C3" w:rsidR="00B96BD6" w:rsidRDefault="00B96BD6">
          <w:pPr>
            <w:pStyle w:val="TOC2"/>
            <w:tabs>
              <w:tab w:val="right" w:leader="dot" w:pos="9350"/>
            </w:tabs>
            <w:rPr>
              <w:rFonts w:eastAsiaTheme="minorEastAsia"/>
              <w:noProof/>
            </w:rPr>
          </w:pPr>
          <w:hyperlink w:anchor="_Toc227660496" w:history="1">
            <w:r w:rsidRPr="000638EC">
              <w:rPr>
                <w:rStyle w:val="Hyperlink"/>
                <w:rFonts w:ascii="Arial" w:eastAsia="Arial" w:hAnsi="Arial" w:cs="Arial"/>
                <w:b/>
                <w:bCs/>
                <w:noProof/>
              </w:rPr>
              <w:t>3.3 Impact Assessment: Shareholder Value, Debt Structure, and Flexibility</w:t>
            </w:r>
            <w:r>
              <w:rPr>
                <w:noProof/>
                <w:webHidden/>
              </w:rPr>
              <w:tab/>
            </w:r>
            <w:r>
              <w:rPr>
                <w:noProof/>
                <w:webHidden/>
              </w:rPr>
              <w:fldChar w:fldCharType="begin"/>
            </w:r>
            <w:r>
              <w:rPr>
                <w:noProof/>
                <w:webHidden/>
              </w:rPr>
              <w:instrText xml:space="preserve"> PAGEREF _Toc227660496 \h </w:instrText>
            </w:r>
            <w:r>
              <w:rPr>
                <w:noProof/>
                <w:webHidden/>
              </w:rPr>
            </w:r>
            <w:r>
              <w:rPr>
                <w:noProof/>
                <w:webHidden/>
              </w:rPr>
              <w:fldChar w:fldCharType="separate"/>
            </w:r>
            <w:r>
              <w:rPr>
                <w:noProof/>
                <w:webHidden/>
              </w:rPr>
              <w:t>19</w:t>
            </w:r>
            <w:r>
              <w:rPr>
                <w:noProof/>
                <w:webHidden/>
              </w:rPr>
              <w:fldChar w:fldCharType="end"/>
            </w:r>
          </w:hyperlink>
        </w:p>
        <w:p w14:paraId="23AC3590" w14:textId="292C4B20" w:rsidR="00B96BD6" w:rsidRDefault="00B96BD6">
          <w:pPr>
            <w:pStyle w:val="TOC3"/>
            <w:tabs>
              <w:tab w:val="right" w:leader="dot" w:pos="9350"/>
            </w:tabs>
            <w:rPr>
              <w:rFonts w:eastAsiaTheme="minorEastAsia"/>
              <w:noProof/>
            </w:rPr>
          </w:pPr>
          <w:hyperlink w:anchor="_Toc227660497" w:history="1">
            <w:r w:rsidRPr="000638EC">
              <w:rPr>
                <w:rStyle w:val="Hyperlink"/>
                <w:rFonts w:ascii="Arial" w:eastAsia="Arial" w:hAnsi="Arial" w:cs="Arial"/>
                <w:b/>
                <w:bCs/>
                <w:noProof/>
              </w:rPr>
              <w:t>Table 3.1 – Post-Restructuring Impact (Projected 2026–2027)</w:t>
            </w:r>
            <w:r>
              <w:rPr>
                <w:noProof/>
                <w:webHidden/>
              </w:rPr>
              <w:tab/>
            </w:r>
            <w:r>
              <w:rPr>
                <w:noProof/>
                <w:webHidden/>
              </w:rPr>
              <w:fldChar w:fldCharType="begin"/>
            </w:r>
            <w:r>
              <w:rPr>
                <w:noProof/>
                <w:webHidden/>
              </w:rPr>
              <w:instrText xml:space="preserve"> PAGEREF _Toc227660497 \h </w:instrText>
            </w:r>
            <w:r>
              <w:rPr>
                <w:noProof/>
                <w:webHidden/>
              </w:rPr>
            </w:r>
            <w:r>
              <w:rPr>
                <w:noProof/>
                <w:webHidden/>
              </w:rPr>
              <w:fldChar w:fldCharType="separate"/>
            </w:r>
            <w:r>
              <w:rPr>
                <w:noProof/>
                <w:webHidden/>
              </w:rPr>
              <w:t>19</w:t>
            </w:r>
            <w:r>
              <w:rPr>
                <w:noProof/>
                <w:webHidden/>
              </w:rPr>
              <w:fldChar w:fldCharType="end"/>
            </w:r>
          </w:hyperlink>
        </w:p>
        <w:p w14:paraId="208F9D05" w14:textId="592C770A" w:rsidR="00B96BD6" w:rsidRDefault="00B96BD6">
          <w:pPr>
            <w:pStyle w:val="TOC2"/>
            <w:tabs>
              <w:tab w:val="right" w:leader="dot" w:pos="9350"/>
            </w:tabs>
            <w:rPr>
              <w:rFonts w:eastAsiaTheme="minorEastAsia"/>
              <w:noProof/>
            </w:rPr>
          </w:pPr>
          <w:hyperlink w:anchor="_Toc227660498" w:history="1">
            <w:r w:rsidRPr="000638EC">
              <w:rPr>
                <w:rStyle w:val="Hyperlink"/>
                <w:rFonts w:ascii="Arial" w:eastAsia="Arial" w:hAnsi="Arial" w:cs="Arial"/>
                <w:b/>
                <w:bCs/>
                <w:noProof/>
              </w:rPr>
              <w:t>3.4 International and Ethical Considerations</w:t>
            </w:r>
            <w:r>
              <w:rPr>
                <w:noProof/>
                <w:webHidden/>
              </w:rPr>
              <w:tab/>
            </w:r>
            <w:r>
              <w:rPr>
                <w:noProof/>
                <w:webHidden/>
              </w:rPr>
              <w:fldChar w:fldCharType="begin"/>
            </w:r>
            <w:r>
              <w:rPr>
                <w:noProof/>
                <w:webHidden/>
              </w:rPr>
              <w:instrText xml:space="preserve"> PAGEREF _Toc227660498 \h </w:instrText>
            </w:r>
            <w:r>
              <w:rPr>
                <w:noProof/>
                <w:webHidden/>
              </w:rPr>
            </w:r>
            <w:r>
              <w:rPr>
                <w:noProof/>
                <w:webHidden/>
              </w:rPr>
              <w:fldChar w:fldCharType="separate"/>
            </w:r>
            <w:r>
              <w:rPr>
                <w:noProof/>
                <w:webHidden/>
              </w:rPr>
              <w:t>20</w:t>
            </w:r>
            <w:r>
              <w:rPr>
                <w:noProof/>
                <w:webHidden/>
              </w:rPr>
              <w:fldChar w:fldCharType="end"/>
            </w:r>
          </w:hyperlink>
        </w:p>
        <w:p w14:paraId="40879C23" w14:textId="5DAB9EAA" w:rsidR="00B96BD6" w:rsidRDefault="00B96BD6">
          <w:pPr>
            <w:pStyle w:val="TOC3"/>
            <w:tabs>
              <w:tab w:val="right" w:leader="dot" w:pos="9350"/>
            </w:tabs>
            <w:rPr>
              <w:rFonts w:eastAsiaTheme="minorEastAsia"/>
              <w:noProof/>
            </w:rPr>
          </w:pPr>
          <w:hyperlink w:anchor="_Toc227660499" w:history="1">
            <w:r w:rsidRPr="000638EC">
              <w:rPr>
                <w:rStyle w:val="Hyperlink"/>
                <w:rFonts w:ascii="Arial" w:eastAsia="Arial" w:hAnsi="Arial" w:cs="Arial"/>
                <w:b/>
                <w:bCs/>
                <w:noProof/>
              </w:rPr>
              <w:t>Currency Risk Management</w:t>
            </w:r>
            <w:r>
              <w:rPr>
                <w:noProof/>
                <w:webHidden/>
              </w:rPr>
              <w:tab/>
            </w:r>
            <w:r>
              <w:rPr>
                <w:noProof/>
                <w:webHidden/>
              </w:rPr>
              <w:fldChar w:fldCharType="begin"/>
            </w:r>
            <w:r>
              <w:rPr>
                <w:noProof/>
                <w:webHidden/>
              </w:rPr>
              <w:instrText xml:space="preserve"> PAGEREF _Toc227660499 \h </w:instrText>
            </w:r>
            <w:r>
              <w:rPr>
                <w:noProof/>
                <w:webHidden/>
              </w:rPr>
            </w:r>
            <w:r>
              <w:rPr>
                <w:noProof/>
                <w:webHidden/>
              </w:rPr>
              <w:fldChar w:fldCharType="separate"/>
            </w:r>
            <w:r>
              <w:rPr>
                <w:noProof/>
                <w:webHidden/>
              </w:rPr>
              <w:t>20</w:t>
            </w:r>
            <w:r>
              <w:rPr>
                <w:noProof/>
                <w:webHidden/>
              </w:rPr>
              <w:fldChar w:fldCharType="end"/>
            </w:r>
          </w:hyperlink>
        </w:p>
        <w:p w14:paraId="2D7DC3F5" w14:textId="4A294C7D" w:rsidR="00B96BD6" w:rsidRDefault="00B96BD6">
          <w:pPr>
            <w:pStyle w:val="TOC3"/>
            <w:tabs>
              <w:tab w:val="right" w:leader="dot" w:pos="9350"/>
            </w:tabs>
            <w:rPr>
              <w:rFonts w:eastAsiaTheme="minorEastAsia"/>
              <w:noProof/>
            </w:rPr>
          </w:pPr>
          <w:hyperlink w:anchor="_Toc227660500" w:history="1">
            <w:r w:rsidRPr="000638EC">
              <w:rPr>
                <w:rStyle w:val="Hyperlink"/>
                <w:rFonts w:ascii="Arial" w:eastAsia="Arial" w:hAnsi="Arial" w:cs="Arial"/>
                <w:b/>
                <w:bCs/>
                <w:noProof/>
              </w:rPr>
              <w:t>Taxation and Transfer Pricing</w:t>
            </w:r>
            <w:r>
              <w:rPr>
                <w:noProof/>
                <w:webHidden/>
              </w:rPr>
              <w:tab/>
            </w:r>
            <w:r>
              <w:rPr>
                <w:noProof/>
                <w:webHidden/>
              </w:rPr>
              <w:fldChar w:fldCharType="begin"/>
            </w:r>
            <w:r>
              <w:rPr>
                <w:noProof/>
                <w:webHidden/>
              </w:rPr>
              <w:instrText xml:space="preserve"> PAGEREF _Toc227660500 \h </w:instrText>
            </w:r>
            <w:r>
              <w:rPr>
                <w:noProof/>
                <w:webHidden/>
              </w:rPr>
            </w:r>
            <w:r>
              <w:rPr>
                <w:noProof/>
                <w:webHidden/>
              </w:rPr>
              <w:fldChar w:fldCharType="separate"/>
            </w:r>
            <w:r>
              <w:rPr>
                <w:noProof/>
                <w:webHidden/>
              </w:rPr>
              <w:t>20</w:t>
            </w:r>
            <w:r>
              <w:rPr>
                <w:noProof/>
                <w:webHidden/>
              </w:rPr>
              <w:fldChar w:fldCharType="end"/>
            </w:r>
          </w:hyperlink>
        </w:p>
        <w:p w14:paraId="4CD34E4B" w14:textId="68B61356" w:rsidR="00B96BD6" w:rsidRDefault="00B96BD6">
          <w:pPr>
            <w:pStyle w:val="TOC3"/>
            <w:tabs>
              <w:tab w:val="right" w:leader="dot" w:pos="9350"/>
            </w:tabs>
            <w:rPr>
              <w:rFonts w:eastAsiaTheme="minorEastAsia"/>
              <w:noProof/>
            </w:rPr>
          </w:pPr>
          <w:hyperlink w:anchor="_Toc227660501" w:history="1">
            <w:r w:rsidRPr="000638EC">
              <w:rPr>
                <w:rStyle w:val="Hyperlink"/>
                <w:rFonts w:ascii="Arial" w:eastAsia="Arial" w:hAnsi="Arial" w:cs="Arial"/>
                <w:b/>
                <w:bCs/>
                <w:noProof/>
              </w:rPr>
              <w:t>Inflation and Input Cost Hedging</w:t>
            </w:r>
            <w:r>
              <w:rPr>
                <w:noProof/>
                <w:webHidden/>
              </w:rPr>
              <w:tab/>
            </w:r>
            <w:r>
              <w:rPr>
                <w:noProof/>
                <w:webHidden/>
              </w:rPr>
              <w:fldChar w:fldCharType="begin"/>
            </w:r>
            <w:r>
              <w:rPr>
                <w:noProof/>
                <w:webHidden/>
              </w:rPr>
              <w:instrText xml:space="preserve"> PAGEREF _Toc227660501 \h </w:instrText>
            </w:r>
            <w:r>
              <w:rPr>
                <w:noProof/>
                <w:webHidden/>
              </w:rPr>
            </w:r>
            <w:r>
              <w:rPr>
                <w:noProof/>
                <w:webHidden/>
              </w:rPr>
              <w:fldChar w:fldCharType="separate"/>
            </w:r>
            <w:r>
              <w:rPr>
                <w:noProof/>
                <w:webHidden/>
              </w:rPr>
              <w:t>20</w:t>
            </w:r>
            <w:r>
              <w:rPr>
                <w:noProof/>
                <w:webHidden/>
              </w:rPr>
              <w:fldChar w:fldCharType="end"/>
            </w:r>
          </w:hyperlink>
        </w:p>
        <w:p w14:paraId="616F673D" w14:textId="7B788777" w:rsidR="00B96BD6" w:rsidRDefault="00B96BD6">
          <w:pPr>
            <w:pStyle w:val="TOC3"/>
            <w:tabs>
              <w:tab w:val="right" w:leader="dot" w:pos="9350"/>
            </w:tabs>
            <w:rPr>
              <w:rFonts w:eastAsiaTheme="minorEastAsia"/>
              <w:noProof/>
            </w:rPr>
          </w:pPr>
          <w:hyperlink w:anchor="_Toc227660502" w:history="1">
            <w:r w:rsidRPr="000638EC">
              <w:rPr>
                <w:rStyle w:val="Hyperlink"/>
                <w:rFonts w:ascii="Arial" w:eastAsia="Arial" w:hAnsi="Arial" w:cs="Arial"/>
                <w:b/>
                <w:bCs/>
                <w:noProof/>
              </w:rPr>
              <w:t>Corporate Social Responsibility (CSR) and Ethical Governance</w:t>
            </w:r>
            <w:r>
              <w:rPr>
                <w:noProof/>
                <w:webHidden/>
              </w:rPr>
              <w:tab/>
            </w:r>
            <w:r>
              <w:rPr>
                <w:noProof/>
                <w:webHidden/>
              </w:rPr>
              <w:fldChar w:fldCharType="begin"/>
            </w:r>
            <w:r>
              <w:rPr>
                <w:noProof/>
                <w:webHidden/>
              </w:rPr>
              <w:instrText xml:space="preserve"> PAGEREF _Toc227660502 \h </w:instrText>
            </w:r>
            <w:r>
              <w:rPr>
                <w:noProof/>
                <w:webHidden/>
              </w:rPr>
            </w:r>
            <w:r>
              <w:rPr>
                <w:noProof/>
                <w:webHidden/>
              </w:rPr>
              <w:fldChar w:fldCharType="separate"/>
            </w:r>
            <w:r>
              <w:rPr>
                <w:noProof/>
                <w:webHidden/>
              </w:rPr>
              <w:t>21</w:t>
            </w:r>
            <w:r>
              <w:rPr>
                <w:noProof/>
                <w:webHidden/>
              </w:rPr>
              <w:fldChar w:fldCharType="end"/>
            </w:r>
          </w:hyperlink>
        </w:p>
        <w:p w14:paraId="09D880C1" w14:textId="7D2FD2CB" w:rsidR="00B96BD6" w:rsidRDefault="00B96BD6">
          <w:pPr>
            <w:pStyle w:val="TOC1"/>
            <w:tabs>
              <w:tab w:val="right" w:leader="dot" w:pos="9350"/>
            </w:tabs>
            <w:rPr>
              <w:rFonts w:eastAsiaTheme="minorEastAsia"/>
              <w:noProof/>
            </w:rPr>
          </w:pPr>
          <w:hyperlink w:anchor="_Toc227660503" w:history="1">
            <w:r w:rsidRPr="000638EC">
              <w:rPr>
                <w:rStyle w:val="Hyperlink"/>
                <w:noProof/>
              </w:rPr>
              <w:t>Section 4: Investment Appraisal and Capital Budgeting</w:t>
            </w:r>
            <w:r>
              <w:rPr>
                <w:noProof/>
                <w:webHidden/>
              </w:rPr>
              <w:tab/>
            </w:r>
            <w:r>
              <w:rPr>
                <w:noProof/>
                <w:webHidden/>
              </w:rPr>
              <w:fldChar w:fldCharType="begin"/>
            </w:r>
            <w:r>
              <w:rPr>
                <w:noProof/>
                <w:webHidden/>
              </w:rPr>
              <w:instrText xml:space="preserve"> PAGEREF _Toc227660503 \h </w:instrText>
            </w:r>
            <w:r>
              <w:rPr>
                <w:noProof/>
                <w:webHidden/>
              </w:rPr>
            </w:r>
            <w:r>
              <w:rPr>
                <w:noProof/>
                <w:webHidden/>
              </w:rPr>
              <w:fldChar w:fldCharType="separate"/>
            </w:r>
            <w:r>
              <w:rPr>
                <w:noProof/>
                <w:webHidden/>
              </w:rPr>
              <w:t>21</w:t>
            </w:r>
            <w:r>
              <w:rPr>
                <w:noProof/>
                <w:webHidden/>
              </w:rPr>
              <w:fldChar w:fldCharType="end"/>
            </w:r>
          </w:hyperlink>
        </w:p>
        <w:p w14:paraId="51D02DAD" w14:textId="6D14281E" w:rsidR="00B96BD6" w:rsidRDefault="00B96BD6">
          <w:pPr>
            <w:pStyle w:val="TOC2"/>
            <w:tabs>
              <w:tab w:val="right" w:leader="dot" w:pos="9350"/>
            </w:tabs>
            <w:rPr>
              <w:rFonts w:eastAsiaTheme="minorEastAsia"/>
              <w:noProof/>
            </w:rPr>
          </w:pPr>
          <w:hyperlink w:anchor="_Toc227660504" w:history="1">
            <w:r w:rsidRPr="000638EC">
              <w:rPr>
                <w:rStyle w:val="Hyperlink"/>
                <w:rFonts w:ascii="Arial" w:eastAsia="Arial" w:hAnsi="Arial" w:cs="Arial"/>
                <w:b/>
                <w:bCs/>
                <w:noProof/>
              </w:rPr>
              <w:t>4.1 Project Overview and Assumptions</w:t>
            </w:r>
            <w:r>
              <w:rPr>
                <w:noProof/>
                <w:webHidden/>
              </w:rPr>
              <w:tab/>
            </w:r>
            <w:r>
              <w:rPr>
                <w:noProof/>
                <w:webHidden/>
              </w:rPr>
              <w:fldChar w:fldCharType="begin"/>
            </w:r>
            <w:r>
              <w:rPr>
                <w:noProof/>
                <w:webHidden/>
              </w:rPr>
              <w:instrText xml:space="preserve"> PAGEREF _Toc227660504 \h </w:instrText>
            </w:r>
            <w:r>
              <w:rPr>
                <w:noProof/>
                <w:webHidden/>
              </w:rPr>
            </w:r>
            <w:r>
              <w:rPr>
                <w:noProof/>
                <w:webHidden/>
              </w:rPr>
              <w:fldChar w:fldCharType="separate"/>
            </w:r>
            <w:r>
              <w:rPr>
                <w:noProof/>
                <w:webHidden/>
              </w:rPr>
              <w:t>21</w:t>
            </w:r>
            <w:r>
              <w:rPr>
                <w:noProof/>
                <w:webHidden/>
              </w:rPr>
              <w:fldChar w:fldCharType="end"/>
            </w:r>
          </w:hyperlink>
        </w:p>
        <w:p w14:paraId="3A751D37" w14:textId="01B27BAD" w:rsidR="00B96BD6" w:rsidRDefault="00B96BD6">
          <w:pPr>
            <w:pStyle w:val="TOC3"/>
            <w:tabs>
              <w:tab w:val="right" w:leader="dot" w:pos="9350"/>
            </w:tabs>
            <w:rPr>
              <w:rFonts w:eastAsiaTheme="minorEastAsia"/>
              <w:noProof/>
            </w:rPr>
          </w:pPr>
          <w:hyperlink w:anchor="_Toc227660505" w:history="1">
            <w:r w:rsidRPr="000638EC">
              <w:rPr>
                <w:rStyle w:val="Hyperlink"/>
                <w:rFonts w:ascii="Arial" w:eastAsia="Arial" w:hAnsi="Arial" w:cs="Arial"/>
                <w:b/>
                <w:bCs/>
                <w:noProof/>
              </w:rPr>
              <w:t>Table 4.1 – Project Cash Flow Profiles (£ Millions)</w:t>
            </w:r>
            <w:r>
              <w:rPr>
                <w:noProof/>
                <w:webHidden/>
              </w:rPr>
              <w:tab/>
            </w:r>
            <w:r>
              <w:rPr>
                <w:noProof/>
                <w:webHidden/>
              </w:rPr>
              <w:fldChar w:fldCharType="begin"/>
            </w:r>
            <w:r>
              <w:rPr>
                <w:noProof/>
                <w:webHidden/>
              </w:rPr>
              <w:instrText xml:space="preserve"> PAGEREF _Toc227660505 \h </w:instrText>
            </w:r>
            <w:r>
              <w:rPr>
                <w:noProof/>
                <w:webHidden/>
              </w:rPr>
            </w:r>
            <w:r>
              <w:rPr>
                <w:noProof/>
                <w:webHidden/>
              </w:rPr>
              <w:fldChar w:fldCharType="separate"/>
            </w:r>
            <w:r>
              <w:rPr>
                <w:noProof/>
                <w:webHidden/>
              </w:rPr>
              <w:t>21</w:t>
            </w:r>
            <w:r>
              <w:rPr>
                <w:noProof/>
                <w:webHidden/>
              </w:rPr>
              <w:fldChar w:fldCharType="end"/>
            </w:r>
          </w:hyperlink>
        </w:p>
        <w:p w14:paraId="39EE98E1" w14:textId="15FA46C5" w:rsidR="00B96BD6" w:rsidRDefault="00B96BD6">
          <w:pPr>
            <w:pStyle w:val="TOC2"/>
            <w:tabs>
              <w:tab w:val="right" w:leader="dot" w:pos="9350"/>
            </w:tabs>
            <w:rPr>
              <w:rFonts w:eastAsiaTheme="minorEastAsia"/>
              <w:noProof/>
            </w:rPr>
          </w:pPr>
          <w:hyperlink w:anchor="_Toc227660506" w:history="1">
            <w:r w:rsidRPr="000638EC">
              <w:rPr>
                <w:rStyle w:val="Hyperlink"/>
                <w:rFonts w:ascii="Arial" w:eastAsia="Arial" w:hAnsi="Arial" w:cs="Arial"/>
                <w:b/>
                <w:bCs/>
                <w:noProof/>
              </w:rPr>
              <w:t>4.2 Payback Period (PBP)</w:t>
            </w:r>
            <w:r>
              <w:rPr>
                <w:noProof/>
                <w:webHidden/>
              </w:rPr>
              <w:tab/>
            </w:r>
            <w:r>
              <w:rPr>
                <w:noProof/>
                <w:webHidden/>
              </w:rPr>
              <w:fldChar w:fldCharType="begin"/>
            </w:r>
            <w:r>
              <w:rPr>
                <w:noProof/>
                <w:webHidden/>
              </w:rPr>
              <w:instrText xml:space="preserve"> PAGEREF _Toc227660506 \h </w:instrText>
            </w:r>
            <w:r>
              <w:rPr>
                <w:noProof/>
                <w:webHidden/>
              </w:rPr>
            </w:r>
            <w:r>
              <w:rPr>
                <w:noProof/>
                <w:webHidden/>
              </w:rPr>
              <w:fldChar w:fldCharType="separate"/>
            </w:r>
            <w:r>
              <w:rPr>
                <w:noProof/>
                <w:webHidden/>
              </w:rPr>
              <w:t>22</w:t>
            </w:r>
            <w:r>
              <w:rPr>
                <w:noProof/>
                <w:webHidden/>
              </w:rPr>
              <w:fldChar w:fldCharType="end"/>
            </w:r>
          </w:hyperlink>
        </w:p>
        <w:p w14:paraId="116BB7AC" w14:textId="18196362" w:rsidR="00B96BD6" w:rsidRDefault="00B96BD6">
          <w:pPr>
            <w:pStyle w:val="TOC3"/>
            <w:tabs>
              <w:tab w:val="right" w:leader="dot" w:pos="9350"/>
            </w:tabs>
            <w:rPr>
              <w:rFonts w:eastAsiaTheme="minorEastAsia"/>
              <w:noProof/>
            </w:rPr>
          </w:pPr>
          <w:hyperlink w:anchor="_Toc227660507" w:history="1">
            <w:r w:rsidRPr="000638EC">
              <w:rPr>
                <w:rStyle w:val="Hyperlink"/>
                <w:rFonts w:ascii="Arial" w:eastAsia="Arial" w:hAnsi="Arial" w:cs="Arial"/>
                <w:b/>
                <w:bCs/>
                <w:noProof/>
              </w:rPr>
              <w:t>Table 4.2 – Payback Period: Cumulative Cash Flows (£m)</w:t>
            </w:r>
            <w:r>
              <w:rPr>
                <w:noProof/>
                <w:webHidden/>
              </w:rPr>
              <w:tab/>
            </w:r>
            <w:r>
              <w:rPr>
                <w:noProof/>
                <w:webHidden/>
              </w:rPr>
              <w:fldChar w:fldCharType="begin"/>
            </w:r>
            <w:r>
              <w:rPr>
                <w:noProof/>
                <w:webHidden/>
              </w:rPr>
              <w:instrText xml:space="preserve"> PAGEREF _Toc227660507 \h </w:instrText>
            </w:r>
            <w:r>
              <w:rPr>
                <w:noProof/>
                <w:webHidden/>
              </w:rPr>
            </w:r>
            <w:r>
              <w:rPr>
                <w:noProof/>
                <w:webHidden/>
              </w:rPr>
              <w:fldChar w:fldCharType="separate"/>
            </w:r>
            <w:r>
              <w:rPr>
                <w:noProof/>
                <w:webHidden/>
              </w:rPr>
              <w:t>22</w:t>
            </w:r>
            <w:r>
              <w:rPr>
                <w:noProof/>
                <w:webHidden/>
              </w:rPr>
              <w:fldChar w:fldCharType="end"/>
            </w:r>
          </w:hyperlink>
        </w:p>
        <w:p w14:paraId="6C720358" w14:textId="14DCB0ED" w:rsidR="00B96BD6" w:rsidRDefault="00B96BD6">
          <w:pPr>
            <w:pStyle w:val="TOC2"/>
            <w:tabs>
              <w:tab w:val="right" w:leader="dot" w:pos="9350"/>
            </w:tabs>
            <w:rPr>
              <w:rFonts w:eastAsiaTheme="minorEastAsia"/>
              <w:noProof/>
            </w:rPr>
          </w:pPr>
          <w:hyperlink w:anchor="_Toc227660508" w:history="1">
            <w:r w:rsidRPr="000638EC">
              <w:rPr>
                <w:rStyle w:val="Hyperlink"/>
                <w:rFonts w:ascii="Arial" w:eastAsia="Arial" w:hAnsi="Arial" w:cs="Arial"/>
                <w:b/>
                <w:bCs/>
                <w:noProof/>
              </w:rPr>
              <w:t>4.3 Accounting Rate of Return (ARR)</w:t>
            </w:r>
            <w:r>
              <w:rPr>
                <w:noProof/>
                <w:webHidden/>
              </w:rPr>
              <w:tab/>
            </w:r>
            <w:r>
              <w:rPr>
                <w:noProof/>
                <w:webHidden/>
              </w:rPr>
              <w:fldChar w:fldCharType="begin"/>
            </w:r>
            <w:r>
              <w:rPr>
                <w:noProof/>
                <w:webHidden/>
              </w:rPr>
              <w:instrText xml:space="preserve"> PAGEREF _Toc227660508 \h </w:instrText>
            </w:r>
            <w:r>
              <w:rPr>
                <w:noProof/>
                <w:webHidden/>
              </w:rPr>
            </w:r>
            <w:r>
              <w:rPr>
                <w:noProof/>
                <w:webHidden/>
              </w:rPr>
              <w:fldChar w:fldCharType="separate"/>
            </w:r>
            <w:r>
              <w:rPr>
                <w:noProof/>
                <w:webHidden/>
              </w:rPr>
              <w:t>23</w:t>
            </w:r>
            <w:r>
              <w:rPr>
                <w:noProof/>
                <w:webHidden/>
              </w:rPr>
              <w:fldChar w:fldCharType="end"/>
            </w:r>
          </w:hyperlink>
        </w:p>
        <w:p w14:paraId="6CF73A35" w14:textId="1EB8D312" w:rsidR="00B96BD6" w:rsidRDefault="00B96BD6">
          <w:pPr>
            <w:pStyle w:val="TOC3"/>
            <w:tabs>
              <w:tab w:val="right" w:leader="dot" w:pos="9350"/>
            </w:tabs>
            <w:rPr>
              <w:rFonts w:eastAsiaTheme="minorEastAsia"/>
              <w:noProof/>
            </w:rPr>
          </w:pPr>
          <w:hyperlink w:anchor="_Toc227660509" w:history="1">
            <w:r w:rsidRPr="000638EC">
              <w:rPr>
                <w:rStyle w:val="Hyperlink"/>
                <w:rFonts w:ascii="Arial" w:eastAsia="Arial" w:hAnsi="Arial" w:cs="Arial"/>
                <w:b/>
                <w:bCs/>
                <w:noProof/>
              </w:rPr>
              <w:t>Table 4.3 – ARR Calculation</w:t>
            </w:r>
            <w:r>
              <w:rPr>
                <w:noProof/>
                <w:webHidden/>
              </w:rPr>
              <w:tab/>
            </w:r>
            <w:r>
              <w:rPr>
                <w:noProof/>
                <w:webHidden/>
              </w:rPr>
              <w:fldChar w:fldCharType="begin"/>
            </w:r>
            <w:r>
              <w:rPr>
                <w:noProof/>
                <w:webHidden/>
              </w:rPr>
              <w:instrText xml:space="preserve"> PAGEREF _Toc227660509 \h </w:instrText>
            </w:r>
            <w:r>
              <w:rPr>
                <w:noProof/>
                <w:webHidden/>
              </w:rPr>
            </w:r>
            <w:r>
              <w:rPr>
                <w:noProof/>
                <w:webHidden/>
              </w:rPr>
              <w:fldChar w:fldCharType="separate"/>
            </w:r>
            <w:r>
              <w:rPr>
                <w:noProof/>
                <w:webHidden/>
              </w:rPr>
              <w:t>23</w:t>
            </w:r>
            <w:r>
              <w:rPr>
                <w:noProof/>
                <w:webHidden/>
              </w:rPr>
              <w:fldChar w:fldCharType="end"/>
            </w:r>
          </w:hyperlink>
        </w:p>
        <w:p w14:paraId="6380EB2D" w14:textId="0F809BAA" w:rsidR="00B96BD6" w:rsidRDefault="00B96BD6">
          <w:pPr>
            <w:pStyle w:val="TOC2"/>
            <w:tabs>
              <w:tab w:val="right" w:leader="dot" w:pos="9350"/>
            </w:tabs>
            <w:rPr>
              <w:rFonts w:eastAsiaTheme="minorEastAsia"/>
              <w:noProof/>
            </w:rPr>
          </w:pPr>
          <w:hyperlink w:anchor="_Toc227660510" w:history="1">
            <w:r w:rsidRPr="000638EC">
              <w:rPr>
                <w:rStyle w:val="Hyperlink"/>
                <w:rFonts w:ascii="Arial" w:eastAsia="Arial" w:hAnsi="Arial" w:cs="Arial"/>
                <w:b/>
                <w:bCs/>
                <w:noProof/>
              </w:rPr>
              <w:t>4.4 Net Present Value (NPV)</w:t>
            </w:r>
            <w:r>
              <w:rPr>
                <w:noProof/>
                <w:webHidden/>
              </w:rPr>
              <w:tab/>
            </w:r>
            <w:r>
              <w:rPr>
                <w:noProof/>
                <w:webHidden/>
              </w:rPr>
              <w:fldChar w:fldCharType="begin"/>
            </w:r>
            <w:r>
              <w:rPr>
                <w:noProof/>
                <w:webHidden/>
              </w:rPr>
              <w:instrText xml:space="preserve"> PAGEREF _Toc227660510 \h </w:instrText>
            </w:r>
            <w:r>
              <w:rPr>
                <w:noProof/>
                <w:webHidden/>
              </w:rPr>
            </w:r>
            <w:r>
              <w:rPr>
                <w:noProof/>
                <w:webHidden/>
              </w:rPr>
              <w:fldChar w:fldCharType="separate"/>
            </w:r>
            <w:r>
              <w:rPr>
                <w:noProof/>
                <w:webHidden/>
              </w:rPr>
              <w:t>23</w:t>
            </w:r>
            <w:r>
              <w:rPr>
                <w:noProof/>
                <w:webHidden/>
              </w:rPr>
              <w:fldChar w:fldCharType="end"/>
            </w:r>
          </w:hyperlink>
        </w:p>
        <w:p w14:paraId="63CB1B27" w14:textId="787E5159" w:rsidR="00B96BD6" w:rsidRDefault="00B96BD6">
          <w:pPr>
            <w:pStyle w:val="TOC3"/>
            <w:tabs>
              <w:tab w:val="right" w:leader="dot" w:pos="9350"/>
            </w:tabs>
            <w:rPr>
              <w:rFonts w:eastAsiaTheme="minorEastAsia"/>
              <w:noProof/>
            </w:rPr>
          </w:pPr>
          <w:hyperlink w:anchor="_Toc227660511" w:history="1">
            <w:r w:rsidRPr="000638EC">
              <w:rPr>
                <w:rStyle w:val="Hyperlink"/>
                <w:rFonts w:ascii="Arial" w:eastAsia="Arial" w:hAnsi="Arial" w:cs="Arial"/>
                <w:b/>
                <w:bCs/>
                <w:noProof/>
              </w:rPr>
              <w:t>Table 4.4a – Discount Factors at 10% per Annum</w:t>
            </w:r>
            <w:r>
              <w:rPr>
                <w:noProof/>
                <w:webHidden/>
              </w:rPr>
              <w:tab/>
            </w:r>
            <w:r>
              <w:rPr>
                <w:noProof/>
                <w:webHidden/>
              </w:rPr>
              <w:fldChar w:fldCharType="begin"/>
            </w:r>
            <w:r>
              <w:rPr>
                <w:noProof/>
                <w:webHidden/>
              </w:rPr>
              <w:instrText xml:space="preserve"> PAGEREF _Toc227660511 \h </w:instrText>
            </w:r>
            <w:r>
              <w:rPr>
                <w:noProof/>
                <w:webHidden/>
              </w:rPr>
            </w:r>
            <w:r>
              <w:rPr>
                <w:noProof/>
                <w:webHidden/>
              </w:rPr>
              <w:fldChar w:fldCharType="separate"/>
            </w:r>
            <w:r>
              <w:rPr>
                <w:noProof/>
                <w:webHidden/>
              </w:rPr>
              <w:t>24</w:t>
            </w:r>
            <w:r>
              <w:rPr>
                <w:noProof/>
                <w:webHidden/>
              </w:rPr>
              <w:fldChar w:fldCharType="end"/>
            </w:r>
          </w:hyperlink>
        </w:p>
        <w:p w14:paraId="01DD8009" w14:textId="66A0E111" w:rsidR="00B96BD6" w:rsidRDefault="00B96BD6">
          <w:pPr>
            <w:pStyle w:val="TOC3"/>
            <w:tabs>
              <w:tab w:val="right" w:leader="dot" w:pos="9350"/>
            </w:tabs>
            <w:rPr>
              <w:rFonts w:eastAsiaTheme="minorEastAsia"/>
              <w:noProof/>
            </w:rPr>
          </w:pPr>
          <w:hyperlink w:anchor="_Toc227660512" w:history="1">
            <w:r w:rsidRPr="000638EC">
              <w:rPr>
                <w:rStyle w:val="Hyperlink"/>
                <w:rFonts w:ascii="Arial" w:eastAsia="Arial" w:hAnsi="Arial" w:cs="Arial"/>
                <w:b/>
                <w:bCs/>
                <w:noProof/>
              </w:rPr>
              <w:t>Table 4.4b – NPV Calculation (£ Millions)</w:t>
            </w:r>
            <w:r>
              <w:rPr>
                <w:noProof/>
                <w:webHidden/>
              </w:rPr>
              <w:tab/>
            </w:r>
            <w:r>
              <w:rPr>
                <w:noProof/>
                <w:webHidden/>
              </w:rPr>
              <w:fldChar w:fldCharType="begin"/>
            </w:r>
            <w:r>
              <w:rPr>
                <w:noProof/>
                <w:webHidden/>
              </w:rPr>
              <w:instrText xml:space="preserve"> PAGEREF _Toc227660512 \h </w:instrText>
            </w:r>
            <w:r>
              <w:rPr>
                <w:noProof/>
                <w:webHidden/>
              </w:rPr>
            </w:r>
            <w:r>
              <w:rPr>
                <w:noProof/>
                <w:webHidden/>
              </w:rPr>
              <w:fldChar w:fldCharType="separate"/>
            </w:r>
            <w:r>
              <w:rPr>
                <w:noProof/>
                <w:webHidden/>
              </w:rPr>
              <w:t>24</w:t>
            </w:r>
            <w:r>
              <w:rPr>
                <w:noProof/>
                <w:webHidden/>
              </w:rPr>
              <w:fldChar w:fldCharType="end"/>
            </w:r>
          </w:hyperlink>
        </w:p>
        <w:p w14:paraId="29859D15" w14:textId="2BC30799" w:rsidR="00B96BD6" w:rsidRDefault="00B96BD6">
          <w:pPr>
            <w:pStyle w:val="TOC2"/>
            <w:tabs>
              <w:tab w:val="right" w:leader="dot" w:pos="9350"/>
            </w:tabs>
            <w:rPr>
              <w:rFonts w:eastAsiaTheme="minorEastAsia"/>
              <w:noProof/>
            </w:rPr>
          </w:pPr>
          <w:hyperlink w:anchor="_Toc227660513" w:history="1">
            <w:r w:rsidRPr="000638EC">
              <w:rPr>
                <w:rStyle w:val="Hyperlink"/>
                <w:rFonts w:ascii="Arial" w:eastAsia="Arial" w:hAnsi="Arial" w:cs="Arial"/>
                <w:b/>
                <w:bCs/>
                <w:noProof/>
              </w:rPr>
              <w:t>4.5 Profitability Index (PI)</w:t>
            </w:r>
            <w:r>
              <w:rPr>
                <w:noProof/>
                <w:webHidden/>
              </w:rPr>
              <w:tab/>
            </w:r>
            <w:r>
              <w:rPr>
                <w:noProof/>
                <w:webHidden/>
              </w:rPr>
              <w:fldChar w:fldCharType="begin"/>
            </w:r>
            <w:r>
              <w:rPr>
                <w:noProof/>
                <w:webHidden/>
              </w:rPr>
              <w:instrText xml:space="preserve"> PAGEREF _Toc227660513 \h </w:instrText>
            </w:r>
            <w:r>
              <w:rPr>
                <w:noProof/>
                <w:webHidden/>
              </w:rPr>
            </w:r>
            <w:r>
              <w:rPr>
                <w:noProof/>
                <w:webHidden/>
              </w:rPr>
              <w:fldChar w:fldCharType="separate"/>
            </w:r>
            <w:r>
              <w:rPr>
                <w:noProof/>
                <w:webHidden/>
              </w:rPr>
              <w:t>25</w:t>
            </w:r>
            <w:r>
              <w:rPr>
                <w:noProof/>
                <w:webHidden/>
              </w:rPr>
              <w:fldChar w:fldCharType="end"/>
            </w:r>
          </w:hyperlink>
        </w:p>
        <w:p w14:paraId="05E7F0DF" w14:textId="2E8630F9" w:rsidR="00B96BD6" w:rsidRDefault="00B96BD6">
          <w:pPr>
            <w:pStyle w:val="TOC3"/>
            <w:tabs>
              <w:tab w:val="right" w:leader="dot" w:pos="9350"/>
            </w:tabs>
            <w:rPr>
              <w:rFonts w:eastAsiaTheme="minorEastAsia"/>
              <w:noProof/>
            </w:rPr>
          </w:pPr>
          <w:hyperlink w:anchor="_Toc227660514" w:history="1">
            <w:r w:rsidRPr="000638EC">
              <w:rPr>
                <w:rStyle w:val="Hyperlink"/>
                <w:rFonts w:ascii="Arial" w:eastAsia="Arial" w:hAnsi="Arial" w:cs="Arial"/>
                <w:b/>
                <w:bCs/>
                <w:noProof/>
              </w:rPr>
              <w:t>Table 4.5 – Profitability Index</w:t>
            </w:r>
            <w:r>
              <w:rPr>
                <w:noProof/>
                <w:webHidden/>
              </w:rPr>
              <w:tab/>
            </w:r>
            <w:r>
              <w:rPr>
                <w:noProof/>
                <w:webHidden/>
              </w:rPr>
              <w:fldChar w:fldCharType="begin"/>
            </w:r>
            <w:r>
              <w:rPr>
                <w:noProof/>
                <w:webHidden/>
              </w:rPr>
              <w:instrText xml:space="preserve"> PAGEREF _Toc227660514 \h </w:instrText>
            </w:r>
            <w:r>
              <w:rPr>
                <w:noProof/>
                <w:webHidden/>
              </w:rPr>
            </w:r>
            <w:r>
              <w:rPr>
                <w:noProof/>
                <w:webHidden/>
              </w:rPr>
              <w:fldChar w:fldCharType="separate"/>
            </w:r>
            <w:r>
              <w:rPr>
                <w:noProof/>
                <w:webHidden/>
              </w:rPr>
              <w:t>25</w:t>
            </w:r>
            <w:r>
              <w:rPr>
                <w:noProof/>
                <w:webHidden/>
              </w:rPr>
              <w:fldChar w:fldCharType="end"/>
            </w:r>
          </w:hyperlink>
        </w:p>
        <w:p w14:paraId="2E105502" w14:textId="6A1B796F" w:rsidR="00B96BD6" w:rsidRDefault="00B96BD6">
          <w:pPr>
            <w:pStyle w:val="TOC2"/>
            <w:tabs>
              <w:tab w:val="right" w:leader="dot" w:pos="9350"/>
            </w:tabs>
            <w:rPr>
              <w:rFonts w:eastAsiaTheme="minorEastAsia"/>
              <w:noProof/>
            </w:rPr>
          </w:pPr>
          <w:hyperlink w:anchor="_Toc227660515" w:history="1">
            <w:r w:rsidRPr="000638EC">
              <w:rPr>
                <w:rStyle w:val="Hyperlink"/>
                <w:rFonts w:ascii="Arial" w:eastAsia="Arial" w:hAnsi="Arial" w:cs="Arial"/>
                <w:b/>
                <w:bCs/>
                <w:noProof/>
              </w:rPr>
              <w:t>4.6 Internal Rate of Return (IRR)</w:t>
            </w:r>
            <w:r>
              <w:rPr>
                <w:noProof/>
                <w:webHidden/>
              </w:rPr>
              <w:tab/>
            </w:r>
            <w:r>
              <w:rPr>
                <w:noProof/>
                <w:webHidden/>
              </w:rPr>
              <w:fldChar w:fldCharType="begin"/>
            </w:r>
            <w:r>
              <w:rPr>
                <w:noProof/>
                <w:webHidden/>
              </w:rPr>
              <w:instrText xml:space="preserve"> PAGEREF _Toc227660515 \h </w:instrText>
            </w:r>
            <w:r>
              <w:rPr>
                <w:noProof/>
                <w:webHidden/>
              </w:rPr>
            </w:r>
            <w:r>
              <w:rPr>
                <w:noProof/>
                <w:webHidden/>
              </w:rPr>
              <w:fldChar w:fldCharType="separate"/>
            </w:r>
            <w:r>
              <w:rPr>
                <w:noProof/>
                <w:webHidden/>
              </w:rPr>
              <w:t>25</w:t>
            </w:r>
            <w:r>
              <w:rPr>
                <w:noProof/>
                <w:webHidden/>
              </w:rPr>
              <w:fldChar w:fldCharType="end"/>
            </w:r>
          </w:hyperlink>
        </w:p>
        <w:p w14:paraId="4399F7D5" w14:textId="3954D54E" w:rsidR="00B96BD6" w:rsidRDefault="00B96BD6">
          <w:pPr>
            <w:pStyle w:val="TOC3"/>
            <w:tabs>
              <w:tab w:val="right" w:leader="dot" w:pos="9350"/>
            </w:tabs>
            <w:rPr>
              <w:rFonts w:eastAsiaTheme="minorEastAsia"/>
              <w:noProof/>
            </w:rPr>
          </w:pPr>
          <w:hyperlink w:anchor="_Toc227660516" w:history="1">
            <w:r w:rsidRPr="000638EC">
              <w:rPr>
                <w:rStyle w:val="Hyperlink"/>
                <w:rFonts w:ascii="Arial" w:eastAsia="Arial" w:hAnsi="Arial" w:cs="Arial"/>
                <w:b/>
                <w:bCs/>
                <w:noProof/>
              </w:rPr>
              <w:t>Table 4.6 – IRR Interpolation Workings</w:t>
            </w:r>
            <w:r>
              <w:rPr>
                <w:noProof/>
                <w:webHidden/>
              </w:rPr>
              <w:tab/>
            </w:r>
            <w:r>
              <w:rPr>
                <w:noProof/>
                <w:webHidden/>
              </w:rPr>
              <w:fldChar w:fldCharType="begin"/>
            </w:r>
            <w:r>
              <w:rPr>
                <w:noProof/>
                <w:webHidden/>
              </w:rPr>
              <w:instrText xml:space="preserve"> PAGEREF _Toc227660516 \h </w:instrText>
            </w:r>
            <w:r>
              <w:rPr>
                <w:noProof/>
                <w:webHidden/>
              </w:rPr>
            </w:r>
            <w:r>
              <w:rPr>
                <w:noProof/>
                <w:webHidden/>
              </w:rPr>
              <w:fldChar w:fldCharType="separate"/>
            </w:r>
            <w:r>
              <w:rPr>
                <w:noProof/>
                <w:webHidden/>
              </w:rPr>
              <w:t>25</w:t>
            </w:r>
            <w:r>
              <w:rPr>
                <w:noProof/>
                <w:webHidden/>
              </w:rPr>
              <w:fldChar w:fldCharType="end"/>
            </w:r>
          </w:hyperlink>
        </w:p>
        <w:p w14:paraId="04C57283" w14:textId="3483CE66" w:rsidR="00B96BD6" w:rsidRDefault="00B96BD6">
          <w:pPr>
            <w:pStyle w:val="TOC3"/>
            <w:tabs>
              <w:tab w:val="right" w:leader="dot" w:pos="9350"/>
            </w:tabs>
            <w:rPr>
              <w:rFonts w:eastAsiaTheme="minorEastAsia"/>
              <w:noProof/>
            </w:rPr>
          </w:pPr>
          <w:hyperlink w:anchor="_Toc227660517" w:history="1">
            <w:r w:rsidRPr="000638EC">
              <w:rPr>
                <w:rStyle w:val="Hyperlink"/>
                <w:rFonts w:ascii="Arial" w:eastAsia="Arial" w:hAnsi="Arial" w:cs="Arial"/>
                <w:b/>
                <w:bCs/>
                <w:noProof/>
              </w:rPr>
              <w:t>Table 4.7 – IRR vs Hurdle Rate Summary</w:t>
            </w:r>
            <w:r>
              <w:rPr>
                <w:noProof/>
                <w:webHidden/>
              </w:rPr>
              <w:tab/>
            </w:r>
            <w:r>
              <w:rPr>
                <w:noProof/>
                <w:webHidden/>
              </w:rPr>
              <w:fldChar w:fldCharType="begin"/>
            </w:r>
            <w:r>
              <w:rPr>
                <w:noProof/>
                <w:webHidden/>
              </w:rPr>
              <w:instrText xml:space="preserve"> PAGEREF _Toc227660517 \h </w:instrText>
            </w:r>
            <w:r>
              <w:rPr>
                <w:noProof/>
                <w:webHidden/>
              </w:rPr>
            </w:r>
            <w:r>
              <w:rPr>
                <w:noProof/>
                <w:webHidden/>
              </w:rPr>
              <w:fldChar w:fldCharType="separate"/>
            </w:r>
            <w:r>
              <w:rPr>
                <w:noProof/>
                <w:webHidden/>
              </w:rPr>
              <w:t>26</w:t>
            </w:r>
            <w:r>
              <w:rPr>
                <w:noProof/>
                <w:webHidden/>
              </w:rPr>
              <w:fldChar w:fldCharType="end"/>
            </w:r>
          </w:hyperlink>
        </w:p>
        <w:p w14:paraId="25C6ADAF" w14:textId="2A6E1596" w:rsidR="00B96BD6" w:rsidRDefault="00B96BD6">
          <w:pPr>
            <w:pStyle w:val="TOC2"/>
            <w:tabs>
              <w:tab w:val="right" w:leader="dot" w:pos="9350"/>
            </w:tabs>
            <w:rPr>
              <w:rFonts w:eastAsiaTheme="minorEastAsia"/>
              <w:noProof/>
            </w:rPr>
          </w:pPr>
          <w:hyperlink w:anchor="_Toc227660518" w:history="1">
            <w:r w:rsidRPr="000638EC">
              <w:rPr>
                <w:rStyle w:val="Hyperlink"/>
                <w:rFonts w:ascii="Arial" w:eastAsia="Arial" w:hAnsi="Arial" w:cs="Arial"/>
                <w:b/>
                <w:bCs/>
                <w:noProof/>
              </w:rPr>
              <w:t>4.7 Consolidated Appraisal Summary</w:t>
            </w:r>
            <w:r>
              <w:rPr>
                <w:noProof/>
                <w:webHidden/>
              </w:rPr>
              <w:tab/>
            </w:r>
            <w:r>
              <w:rPr>
                <w:noProof/>
                <w:webHidden/>
              </w:rPr>
              <w:fldChar w:fldCharType="begin"/>
            </w:r>
            <w:r>
              <w:rPr>
                <w:noProof/>
                <w:webHidden/>
              </w:rPr>
              <w:instrText xml:space="preserve"> PAGEREF _Toc227660518 \h </w:instrText>
            </w:r>
            <w:r>
              <w:rPr>
                <w:noProof/>
                <w:webHidden/>
              </w:rPr>
            </w:r>
            <w:r>
              <w:rPr>
                <w:noProof/>
                <w:webHidden/>
              </w:rPr>
              <w:fldChar w:fldCharType="separate"/>
            </w:r>
            <w:r>
              <w:rPr>
                <w:noProof/>
                <w:webHidden/>
              </w:rPr>
              <w:t>26</w:t>
            </w:r>
            <w:r>
              <w:rPr>
                <w:noProof/>
                <w:webHidden/>
              </w:rPr>
              <w:fldChar w:fldCharType="end"/>
            </w:r>
          </w:hyperlink>
        </w:p>
        <w:p w14:paraId="5201DEDA" w14:textId="59766133" w:rsidR="00B96BD6" w:rsidRDefault="00B96BD6">
          <w:pPr>
            <w:pStyle w:val="TOC3"/>
            <w:tabs>
              <w:tab w:val="right" w:leader="dot" w:pos="9350"/>
            </w:tabs>
            <w:rPr>
              <w:rFonts w:eastAsiaTheme="minorEastAsia"/>
              <w:noProof/>
            </w:rPr>
          </w:pPr>
          <w:hyperlink w:anchor="_Toc227660519" w:history="1">
            <w:r w:rsidRPr="000638EC">
              <w:rPr>
                <w:rStyle w:val="Hyperlink"/>
                <w:rFonts w:ascii="Arial" w:eastAsia="Arial" w:hAnsi="Arial" w:cs="Arial"/>
                <w:b/>
                <w:bCs/>
                <w:noProof/>
              </w:rPr>
              <w:t>Table 4.8 – Five-Method Investment Appraisal Summary</w:t>
            </w:r>
            <w:r>
              <w:rPr>
                <w:noProof/>
                <w:webHidden/>
              </w:rPr>
              <w:tab/>
            </w:r>
            <w:r>
              <w:rPr>
                <w:noProof/>
                <w:webHidden/>
              </w:rPr>
              <w:fldChar w:fldCharType="begin"/>
            </w:r>
            <w:r>
              <w:rPr>
                <w:noProof/>
                <w:webHidden/>
              </w:rPr>
              <w:instrText xml:space="preserve"> PAGEREF _Toc227660519 \h </w:instrText>
            </w:r>
            <w:r>
              <w:rPr>
                <w:noProof/>
                <w:webHidden/>
              </w:rPr>
            </w:r>
            <w:r>
              <w:rPr>
                <w:noProof/>
                <w:webHidden/>
              </w:rPr>
              <w:fldChar w:fldCharType="separate"/>
            </w:r>
            <w:r>
              <w:rPr>
                <w:noProof/>
                <w:webHidden/>
              </w:rPr>
              <w:t>26</w:t>
            </w:r>
            <w:r>
              <w:rPr>
                <w:noProof/>
                <w:webHidden/>
              </w:rPr>
              <w:fldChar w:fldCharType="end"/>
            </w:r>
          </w:hyperlink>
        </w:p>
        <w:p w14:paraId="2CCF2797" w14:textId="0F908A63" w:rsidR="00B96BD6" w:rsidRDefault="00B96BD6">
          <w:pPr>
            <w:pStyle w:val="TOC2"/>
            <w:tabs>
              <w:tab w:val="right" w:leader="dot" w:pos="9350"/>
            </w:tabs>
            <w:rPr>
              <w:rFonts w:eastAsiaTheme="minorEastAsia"/>
              <w:noProof/>
            </w:rPr>
          </w:pPr>
          <w:hyperlink w:anchor="_Toc227660520" w:history="1">
            <w:r w:rsidRPr="000638EC">
              <w:rPr>
                <w:rStyle w:val="Hyperlink"/>
                <w:rFonts w:ascii="Arial" w:eastAsia="Arial" w:hAnsi="Arial" w:cs="Arial"/>
                <w:b/>
                <w:bCs/>
                <w:noProof/>
              </w:rPr>
              <w:t>4.8 CFO's Recommended Project and Full Justification</w:t>
            </w:r>
            <w:r>
              <w:rPr>
                <w:noProof/>
                <w:webHidden/>
              </w:rPr>
              <w:tab/>
            </w:r>
            <w:r>
              <w:rPr>
                <w:noProof/>
                <w:webHidden/>
              </w:rPr>
              <w:fldChar w:fldCharType="begin"/>
            </w:r>
            <w:r>
              <w:rPr>
                <w:noProof/>
                <w:webHidden/>
              </w:rPr>
              <w:instrText xml:space="preserve"> PAGEREF _Toc227660520 \h </w:instrText>
            </w:r>
            <w:r>
              <w:rPr>
                <w:noProof/>
                <w:webHidden/>
              </w:rPr>
            </w:r>
            <w:r>
              <w:rPr>
                <w:noProof/>
                <w:webHidden/>
              </w:rPr>
              <w:fldChar w:fldCharType="separate"/>
            </w:r>
            <w:r>
              <w:rPr>
                <w:noProof/>
                <w:webHidden/>
              </w:rPr>
              <w:t>27</w:t>
            </w:r>
            <w:r>
              <w:rPr>
                <w:noProof/>
                <w:webHidden/>
              </w:rPr>
              <w:fldChar w:fldCharType="end"/>
            </w:r>
          </w:hyperlink>
        </w:p>
        <w:p w14:paraId="222E8FE4" w14:textId="470D1FED" w:rsidR="00B96BD6" w:rsidRDefault="00B96BD6">
          <w:pPr>
            <w:pStyle w:val="TOC2"/>
            <w:tabs>
              <w:tab w:val="right" w:leader="dot" w:pos="9350"/>
            </w:tabs>
            <w:rPr>
              <w:rFonts w:eastAsiaTheme="minorEastAsia"/>
              <w:noProof/>
            </w:rPr>
          </w:pPr>
          <w:hyperlink w:anchor="_Toc227660521" w:history="1">
            <w:r w:rsidRPr="000638EC">
              <w:rPr>
                <w:rStyle w:val="Hyperlink"/>
                <w:rFonts w:ascii="Arial" w:eastAsia="Arial" w:hAnsi="Arial" w:cs="Arial"/>
                <w:b/>
                <w:bCs/>
                <w:noProof/>
              </w:rPr>
              <w:t>4.9 Capital Rationing: Optimal Project Combination (Maximum £100 Million)</w:t>
            </w:r>
            <w:r>
              <w:rPr>
                <w:noProof/>
                <w:webHidden/>
              </w:rPr>
              <w:tab/>
            </w:r>
            <w:r>
              <w:rPr>
                <w:noProof/>
                <w:webHidden/>
              </w:rPr>
              <w:fldChar w:fldCharType="begin"/>
            </w:r>
            <w:r>
              <w:rPr>
                <w:noProof/>
                <w:webHidden/>
              </w:rPr>
              <w:instrText xml:space="preserve"> PAGEREF _Toc227660521 \h </w:instrText>
            </w:r>
            <w:r>
              <w:rPr>
                <w:noProof/>
                <w:webHidden/>
              </w:rPr>
            </w:r>
            <w:r>
              <w:rPr>
                <w:noProof/>
                <w:webHidden/>
              </w:rPr>
              <w:fldChar w:fldCharType="separate"/>
            </w:r>
            <w:r>
              <w:rPr>
                <w:noProof/>
                <w:webHidden/>
              </w:rPr>
              <w:t>27</w:t>
            </w:r>
            <w:r>
              <w:rPr>
                <w:noProof/>
                <w:webHidden/>
              </w:rPr>
              <w:fldChar w:fldCharType="end"/>
            </w:r>
          </w:hyperlink>
        </w:p>
        <w:p w14:paraId="6F52F4F8" w14:textId="4B62BD6B" w:rsidR="00B96BD6" w:rsidRDefault="00B96BD6">
          <w:pPr>
            <w:pStyle w:val="TOC3"/>
            <w:tabs>
              <w:tab w:val="right" w:leader="dot" w:pos="9350"/>
            </w:tabs>
            <w:rPr>
              <w:rFonts w:eastAsiaTheme="minorEastAsia"/>
              <w:noProof/>
            </w:rPr>
          </w:pPr>
          <w:hyperlink w:anchor="_Toc227660522" w:history="1">
            <w:r w:rsidRPr="000638EC">
              <w:rPr>
                <w:rStyle w:val="Hyperlink"/>
                <w:rFonts w:ascii="Arial" w:eastAsia="Arial" w:hAnsi="Arial" w:cs="Arial"/>
                <w:b/>
                <w:bCs/>
                <w:noProof/>
              </w:rPr>
              <w:t>Table 4.9 – Capital Rationing Analysis (Budget: £100m)</w:t>
            </w:r>
            <w:r>
              <w:rPr>
                <w:noProof/>
                <w:webHidden/>
              </w:rPr>
              <w:tab/>
            </w:r>
            <w:r>
              <w:rPr>
                <w:noProof/>
                <w:webHidden/>
              </w:rPr>
              <w:fldChar w:fldCharType="begin"/>
            </w:r>
            <w:r>
              <w:rPr>
                <w:noProof/>
                <w:webHidden/>
              </w:rPr>
              <w:instrText xml:space="preserve"> PAGEREF _Toc227660522 \h </w:instrText>
            </w:r>
            <w:r>
              <w:rPr>
                <w:noProof/>
                <w:webHidden/>
              </w:rPr>
            </w:r>
            <w:r>
              <w:rPr>
                <w:noProof/>
                <w:webHidden/>
              </w:rPr>
              <w:fldChar w:fldCharType="separate"/>
            </w:r>
            <w:r>
              <w:rPr>
                <w:noProof/>
                <w:webHidden/>
              </w:rPr>
              <w:t>28</w:t>
            </w:r>
            <w:r>
              <w:rPr>
                <w:noProof/>
                <w:webHidden/>
              </w:rPr>
              <w:fldChar w:fldCharType="end"/>
            </w:r>
          </w:hyperlink>
        </w:p>
        <w:p w14:paraId="5C8CB172" w14:textId="3920801B" w:rsidR="00B96BD6" w:rsidRDefault="00B96BD6">
          <w:pPr>
            <w:pStyle w:val="TOC1"/>
            <w:tabs>
              <w:tab w:val="right" w:leader="dot" w:pos="9350"/>
            </w:tabs>
            <w:rPr>
              <w:rFonts w:eastAsiaTheme="minorEastAsia"/>
              <w:noProof/>
            </w:rPr>
          </w:pPr>
          <w:hyperlink w:anchor="_Toc227660523" w:history="1">
            <w:r w:rsidRPr="000638EC">
              <w:rPr>
                <w:rStyle w:val="Hyperlink"/>
                <w:noProof/>
              </w:rPr>
              <w:t>Conclusion</w:t>
            </w:r>
            <w:r>
              <w:rPr>
                <w:noProof/>
                <w:webHidden/>
              </w:rPr>
              <w:tab/>
            </w:r>
            <w:r>
              <w:rPr>
                <w:noProof/>
                <w:webHidden/>
              </w:rPr>
              <w:fldChar w:fldCharType="begin"/>
            </w:r>
            <w:r>
              <w:rPr>
                <w:noProof/>
                <w:webHidden/>
              </w:rPr>
              <w:instrText xml:space="preserve"> PAGEREF _Toc227660523 \h </w:instrText>
            </w:r>
            <w:r>
              <w:rPr>
                <w:noProof/>
                <w:webHidden/>
              </w:rPr>
            </w:r>
            <w:r>
              <w:rPr>
                <w:noProof/>
                <w:webHidden/>
              </w:rPr>
              <w:fldChar w:fldCharType="separate"/>
            </w:r>
            <w:r>
              <w:rPr>
                <w:noProof/>
                <w:webHidden/>
              </w:rPr>
              <w:t>28</w:t>
            </w:r>
            <w:r>
              <w:rPr>
                <w:noProof/>
                <w:webHidden/>
              </w:rPr>
              <w:fldChar w:fldCharType="end"/>
            </w:r>
          </w:hyperlink>
        </w:p>
        <w:p w14:paraId="1C805D39" w14:textId="52B99F12" w:rsidR="00B96BD6" w:rsidRDefault="00B96BD6">
          <w:pPr>
            <w:pStyle w:val="TOC1"/>
            <w:tabs>
              <w:tab w:val="right" w:leader="dot" w:pos="9350"/>
            </w:tabs>
            <w:rPr>
              <w:rFonts w:eastAsiaTheme="minorEastAsia"/>
              <w:noProof/>
            </w:rPr>
          </w:pPr>
          <w:hyperlink w:anchor="_Toc227660524" w:history="1">
            <w:r w:rsidRPr="000638EC">
              <w:rPr>
                <w:rStyle w:val="Hyperlink"/>
                <w:noProof/>
              </w:rPr>
              <w:t>References</w:t>
            </w:r>
            <w:r>
              <w:rPr>
                <w:noProof/>
                <w:webHidden/>
              </w:rPr>
              <w:tab/>
            </w:r>
            <w:r>
              <w:rPr>
                <w:noProof/>
                <w:webHidden/>
              </w:rPr>
              <w:fldChar w:fldCharType="begin"/>
            </w:r>
            <w:r>
              <w:rPr>
                <w:noProof/>
                <w:webHidden/>
              </w:rPr>
              <w:instrText xml:space="preserve"> PAGEREF _Toc227660524 \h </w:instrText>
            </w:r>
            <w:r>
              <w:rPr>
                <w:noProof/>
                <w:webHidden/>
              </w:rPr>
            </w:r>
            <w:r>
              <w:rPr>
                <w:noProof/>
                <w:webHidden/>
              </w:rPr>
              <w:fldChar w:fldCharType="separate"/>
            </w:r>
            <w:r>
              <w:rPr>
                <w:noProof/>
                <w:webHidden/>
              </w:rPr>
              <w:t>29</w:t>
            </w:r>
            <w:r>
              <w:rPr>
                <w:noProof/>
                <w:webHidden/>
              </w:rPr>
              <w:fldChar w:fldCharType="end"/>
            </w:r>
          </w:hyperlink>
        </w:p>
        <w:p w14:paraId="03852263" w14:textId="355B6D2D" w:rsidR="00B96BD6" w:rsidRDefault="00B96BD6">
          <w:pPr>
            <w:pStyle w:val="TOC1"/>
            <w:tabs>
              <w:tab w:val="right" w:leader="dot" w:pos="9350"/>
            </w:tabs>
            <w:rPr>
              <w:rFonts w:eastAsiaTheme="minorEastAsia"/>
              <w:noProof/>
            </w:rPr>
          </w:pPr>
          <w:hyperlink w:anchor="_Toc227660525" w:history="1">
            <w:r w:rsidRPr="000638EC">
              <w:rPr>
                <w:rStyle w:val="Hyperlink"/>
                <w:noProof/>
              </w:rPr>
              <w:t>Appendices</w:t>
            </w:r>
            <w:r>
              <w:rPr>
                <w:noProof/>
                <w:webHidden/>
              </w:rPr>
              <w:tab/>
            </w:r>
            <w:r>
              <w:rPr>
                <w:noProof/>
                <w:webHidden/>
              </w:rPr>
              <w:fldChar w:fldCharType="begin"/>
            </w:r>
            <w:r>
              <w:rPr>
                <w:noProof/>
                <w:webHidden/>
              </w:rPr>
              <w:instrText xml:space="preserve"> PAGEREF _Toc227660525 \h </w:instrText>
            </w:r>
            <w:r>
              <w:rPr>
                <w:noProof/>
                <w:webHidden/>
              </w:rPr>
            </w:r>
            <w:r>
              <w:rPr>
                <w:noProof/>
                <w:webHidden/>
              </w:rPr>
              <w:fldChar w:fldCharType="separate"/>
            </w:r>
            <w:r>
              <w:rPr>
                <w:noProof/>
                <w:webHidden/>
              </w:rPr>
              <w:t>32</w:t>
            </w:r>
            <w:r>
              <w:rPr>
                <w:noProof/>
                <w:webHidden/>
              </w:rPr>
              <w:fldChar w:fldCharType="end"/>
            </w:r>
          </w:hyperlink>
        </w:p>
        <w:p w14:paraId="2584D8CD" w14:textId="1CF27028" w:rsidR="00B96BD6" w:rsidRDefault="00B96BD6">
          <w:pPr>
            <w:pStyle w:val="TOC2"/>
            <w:tabs>
              <w:tab w:val="right" w:leader="dot" w:pos="9350"/>
            </w:tabs>
            <w:rPr>
              <w:rFonts w:eastAsiaTheme="minorEastAsia"/>
              <w:noProof/>
            </w:rPr>
          </w:pPr>
          <w:hyperlink w:anchor="_Toc227660526" w:history="1">
            <w:r w:rsidRPr="000638EC">
              <w:rPr>
                <w:rStyle w:val="Hyperlink"/>
                <w:rFonts w:ascii="Arial" w:eastAsia="Arial" w:hAnsi="Arial" w:cs="Arial"/>
                <w:b/>
                <w:bCs/>
                <w:noProof/>
              </w:rPr>
              <w:t>Appendix A: Master Ratio Reference Table (2020–2024)</w:t>
            </w:r>
            <w:r>
              <w:rPr>
                <w:noProof/>
                <w:webHidden/>
              </w:rPr>
              <w:tab/>
            </w:r>
            <w:r>
              <w:rPr>
                <w:noProof/>
                <w:webHidden/>
              </w:rPr>
              <w:fldChar w:fldCharType="begin"/>
            </w:r>
            <w:r>
              <w:rPr>
                <w:noProof/>
                <w:webHidden/>
              </w:rPr>
              <w:instrText xml:space="preserve"> PAGEREF _Toc227660526 \h </w:instrText>
            </w:r>
            <w:r>
              <w:rPr>
                <w:noProof/>
                <w:webHidden/>
              </w:rPr>
            </w:r>
            <w:r>
              <w:rPr>
                <w:noProof/>
                <w:webHidden/>
              </w:rPr>
              <w:fldChar w:fldCharType="separate"/>
            </w:r>
            <w:r>
              <w:rPr>
                <w:noProof/>
                <w:webHidden/>
              </w:rPr>
              <w:t>33</w:t>
            </w:r>
            <w:r>
              <w:rPr>
                <w:noProof/>
                <w:webHidden/>
              </w:rPr>
              <w:fldChar w:fldCharType="end"/>
            </w:r>
          </w:hyperlink>
        </w:p>
        <w:p w14:paraId="747E0A16" w14:textId="488EBEDB" w:rsidR="00B96BD6" w:rsidRDefault="00B96BD6">
          <w:pPr>
            <w:pStyle w:val="TOC3"/>
            <w:tabs>
              <w:tab w:val="right" w:leader="dot" w:pos="9350"/>
            </w:tabs>
            <w:rPr>
              <w:rFonts w:eastAsiaTheme="minorEastAsia"/>
              <w:noProof/>
            </w:rPr>
          </w:pPr>
          <w:hyperlink w:anchor="_Toc227660527" w:history="1">
            <w:r w:rsidRPr="000638EC">
              <w:rPr>
                <w:rStyle w:val="Hyperlink"/>
                <w:rFonts w:ascii="Arial" w:eastAsia="Arial" w:hAnsi="Arial" w:cs="Arial"/>
                <w:b/>
                <w:bCs/>
                <w:noProof/>
              </w:rPr>
              <w:t>Table A.1 – Complete Ratio Summary</w:t>
            </w:r>
            <w:r>
              <w:rPr>
                <w:noProof/>
                <w:webHidden/>
              </w:rPr>
              <w:tab/>
            </w:r>
            <w:r>
              <w:rPr>
                <w:noProof/>
                <w:webHidden/>
              </w:rPr>
              <w:fldChar w:fldCharType="begin"/>
            </w:r>
            <w:r>
              <w:rPr>
                <w:noProof/>
                <w:webHidden/>
              </w:rPr>
              <w:instrText xml:space="preserve"> PAGEREF _Toc227660527 \h </w:instrText>
            </w:r>
            <w:r>
              <w:rPr>
                <w:noProof/>
                <w:webHidden/>
              </w:rPr>
            </w:r>
            <w:r>
              <w:rPr>
                <w:noProof/>
                <w:webHidden/>
              </w:rPr>
              <w:fldChar w:fldCharType="separate"/>
            </w:r>
            <w:r>
              <w:rPr>
                <w:noProof/>
                <w:webHidden/>
              </w:rPr>
              <w:t>33</w:t>
            </w:r>
            <w:r>
              <w:rPr>
                <w:noProof/>
                <w:webHidden/>
              </w:rPr>
              <w:fldChar w:fldCharType="end"/>
            </w:r>
          </w:hyperlink>
        </w:p>
        <w:p w14:paraId="2255D120" w14:textId="0EE8B0B9" w:rsidR="00B96BD6" w:rsidRDefault="00B96BD6">
          <w:pPr>
            <w:pStyle w:val="TOC2"/>
            <w:tabs>
              <w:tab w:val="right" w:leader="dot" w:pos="9350"/>
            </w:tabs>
            <w:rPr>
              <w:rFonts w:eastAsiaTheme="minorEastAsia"/>
              <w:noProof/>
            </w:rPr>
          </w:pPr>
          <w:hyperlink w:anchor="_Toc227660528" w:history="1">
            <w:r w:rsidRPr="000638EC">
              <w:rPr>
                <w:rStyle w:val="Hyperlink"/>
                <w:rFonts w:ascii="Arial" w:eastAsia="Arial" w:hAnsi="Arial" w:cs="Arial"/>
                <w:b/>
                <w:bCs/>
                <w:noProof/>
              </w:rPr>
              <w:t>Appendix B: Full Investment Appraisal Workings</w:t>
            </w:r>
            <w:r>
              <w:rPr>
                <w:noProof/>
                <w:webHidden/>
              </w:rPr>
              <w:tab/>
            </w:r>
            <w:r>
              <w:rPr>
                <w:noProof/>
                <w:webHidden/>
              </w:rPr>
              <w:fldChar w:fldCharType="begin"/>
            </w:r>
            <w:r>
              <w:rPr>
                <w:noProof/>
                <w:webHidden/>
              </w:rPr>
              <w:instrText xml:space="preserve"> PAGEREF _Toc227660528 \h </w:instrText>
            </w:r>
            <w:r>
              <w:rPr>
                <w:noProof/>
                <w:webHidden/>
              </w:rPr>
            </w:r>
            <w:r>
              <w:rPr>
                <w:noProof/>
                <w:webHidden/>
              </w:rPr>
              <w:fldChar w:fldCharType="separate"/>
            </w:r>
            <w:r>
              <w:rPr>
                <w:noProof/>
                <w:webHidden/>
              </w:rPr>
              <w:t>35</w:t>
            </w:r>
            <w:r>
              <w:rPr>
                <w:noProof/>
                <w:webHidden/>
              </w:rPr>
              <w:fldChar w:fldCharType="end"/>
            </w:r>
          </w:hyperlink>
        </w:p>
        <w:p w14:paraId="51447817" w14:textId="5B6EA361" w:rsidR="00B96BD6" w:rsidRDefault="00B96BD6">
          <w:pPr>
            <w:pStyle w:val="TOC3"/>
            <w:tabs>
              <w:tab w:val="right" w:leader="dot" w:pos="9350"/>
            </w:tabs>
            <w:rPr>
              <w:rFonts w:eastAsiaTheme="minorEastAsia"/>
              <w:noProof/>
            </w:rPr>
          </w:pPr>
          <w:hyperlink w:anchor="_Toc227660529" w:history="1">
            <w:r w:rsidRPr="000638EC">
              <w:rPr>
                <w:rStyle w:val="Hyperlink"/>
                <w:rFonts w:ascii="Arial" w:eastAsia="Arial" w:hAnsi="Arial" w:cs="Arial"/>
                <w:b/>
                <w:bCs/>
                <w:noProof/>
              </w:rPr>
              <w:t>Table B.1 – Project A: Annual Accounting Profit</w:t>
            </w:r>
            <w:r>
              <w:rPr>
                <w:noProof/>
                <w:webHidden/>
              </w:rPr>
              <w:tab/>
            </w:r>
            <w:r>
              <w:rPr>
                <w:noProof/>
                <w:webHidden/>
              </w:rPr>
              <w:fldChar w:fldCharType="begin"/>
            </w:r>
            <w:r>
              <w:rPr>
                <w:noProof/>
                <w:webHidden/>
              </w:rPr>
              <w:instrText xml:space="preserve"> PAGEREF _Toc227660529 \h </w:instrText>
            </w:r>
            <w:r>
              <w:rPr>
                <w:noProof/>
                <w:webHidden/>
              </w:rPr>
            </w:r>
            <w:r>
              <w:rPr>
                <w:noProof/>
                <w:webHidden/>
              </w:rPr>
              <w:fldChar w:fldCharType="separate"/>
            </w:r>
            <w:r>
              <w:rPr>
                <w:noProof/>
                <w:webHidden/>
              </w:rPr>
              <w:t>35</w:t>
            </w:r>
            <w:r>
              <w:rPr>
                <w:noProof/>
                <w:webHidden/>
              </w:rPr>
              <w:fldChar w:fldCharType="end"/>
            </w:r>
          </w:hyperlink>
        </w:p>
        <w:p w14:paraId="4ABFDE6D" w14:textId="4B02F567" w:rsidR="00B96BD6" w:rsidRDefault="00B96BD6">
          <w:pPr>
            <w:pStyle w:val="TOC3"/>
            <w:tabs>
              <w:tab w:val="right" w:leader="dot" w:pos="9350"/>
            </w:tabs>
            <w:rPr>
              <w:rFonts w:eastAsiaTheme="minorEastAsia"/>
              <w:noProof/>
            </w:rPr>
          </w:pPr>
          <w:hyperlink w:anchor="_Toc227660530" w:history="1">
            <w:r w:rsidRPr="000638EC">
              <w:rPr>
                <w:rStyle w:val="Hyperlink"/>
                <w:rFonts w:ascii="Arial" w:eastAsia="Arial" w:hAnsi="Arial" w:cs="Arial"/>
                <w:b/>
                <w:bCs/>
                <w:noProof/>
              </w:rPr>
              <w:t>Table B.2 – Project B: Annual Accounting Profit</w:t>
            </w:r>
            <w:r>
              <w:rPr>
                <w:noProof/>
                <w:webHidden/>
              </w:rPr>
              <w:tab/>
            </w:r>
            <w:r>
              <w:rPr>
                <w:noProof/>
                <w:webHidden/>
              </w:rPr>
              <w:fldChar w:fldCharType="begin"/>
            </w:r>
            <w:r>
              <w:rPr>
                <w:noProof/>
                <w:webHidden/>
              </w:rPr>
              <w:instrText xml:space="preserve"> PAGEREF _Toc227660530 \h </w:instrText>
            </w:r>
            <w:r>
              <w:rPr>
                <w:noProof/>
                <w:webHidden/>
              </w:rPr>
            </w:r>
            <w:r>
              <w:rPr>
                <w:noProof/>
                <w:webHidden/>
              </w:rPr>
              <w:fldChar w:fldCharType="separate"/>
            </w:r>
            <w:r>
              <w:rPr>
                <w:noProof/>
                <w:webHidden/>
              </w:rPr>
              <w:t>36</w:t>
            </w:r>
            <w:r>
              <w:rPr>
                <w:noProof/>
                <w:webHidden/>
              </w:rPr>
              <w:fldChar w:fldCharType="end"/>
            </w:r>
          </w:hyperlink>
        </w:p>
        <w:p w14:paraId="3DC4CDCB" w14:textId="4220DEC9" w:rsidR="00B96BD6" w:rsidRDefault="00B96BD6">
          <w:pPr>
            <w:pStyle w:val="TOC3"/>
            <w:tabs>
              <w:tab w:val="right" w:leader="dot" w:pos="9350"/>
            </w:tabs>
            <w:rPr>
              <w:rFonts w:eastAsiaTheme="minorEastAsia"/>
              <w:noProof/>
            </w:rPr>
          </w:pPr>
          <w:hyperlink w:anchor="_Toc227660531" w:history="1">
            <w:r w:rsidRPr="000638EC">
              <w:rPr>
                <w:rStyle w:val="Hyperlink"/>
                <w:rFonts w:ascii="Arial" w:eastAsia="Arial" w:hAnsi="Arial" w:cs="Arial"/>
                <w:b/>
                <w:bCs/>
                <w:noProof/>
              </w:rPr>
              <w:t>Table B.3 – Project C: Annual Accounting Profit</w:t>
            </w:r>
            <w:r>
              <w:rPr>
                <w:noProof/>
                <w:webHidden/>
              </w:rPr>
              <w:tab/>
            </w:r>
            <w:r>
              <w:rPr>
                <w:noProof/>
                <w:webHidden/>
              </w:rPr>
              <w:fldChar w:fldCharType="begin"/>
            </w:r>
            <w:r>
              <w:rPr>
                <w:noProof/>
                <w:webHidden/>
              </w:rPr>
              <w:instrText xml:space="preserve"> PAGEREF _Toc227660531 \h </w:instrText>
            </w:r>
            <w:r>
              <w:rPr>
                <w:noProof/>
                <w:webHidden/>
              </w:rPr>
            </w:r>
            <w:r>
              <w:rPr>
                <w:noProof/>
                <w:webHidden/>
              </w:rPr>
              <w:fldChar w:fldCharType="separate"/>
            </w:r>
            <w:r>
              <w:rPr>
                <w:noProof/>
                <w:webHidden/>
              </w:rPr>
              <w:t>36</w:t>
            </w:r>
            <w:r>
              <w:rPr>
                <w:noProof/>
                <w:webHidden/>
              </w:rPr>
              <w:fldChar w:fldCharType="end"/>
            </w:r>
          </w:hyperlink>
        </w:p>
        <w:p w14:paraId="4217C88D" w14:textId="6D6039EB" w:rsidR="00B96BD6" w:rsidRDefault="00B96BD6">
          <w:pPr>
            <w:pStyle w:val="TOC3"/>
            <w:tabs>
              <w:tab w:val="right" w:leader="dot" w:pos="9350"/>
            </w:tabs>
            <w:rPr>
              <w:rFonts w:eastAsiaTheme="minorEastAsia"/>
              <w:noProof/>
            </w:rPr>
          </w:pPr>
          <w:hyperlink w:anchor="_Toc227660532" w:history="1">
            <w:r w:rsidRPr="000638EC">
              <w:rPr>
                <w:rStyle w:val="Hyperlink"/>
                <w:rFonts w:ascii="Arial" w:eastAsia="Arial" w:hAnsi="Arial" w:cs="Arial"/>
                <w:b/>
                <w:bCs/>
                <w:noProof/>
              </w:rPr>
              <w:t>Table B.4 – Project A: Full NPV Workings</w:t>
            </w:r>
            <w:r>
              <w:rPr>
                <w:noProof/>
                <w:webHidden/>
              </w:rPr>
              <w:tab/>
            </w:r>
            <w:r>
              <w:rPr>
                <w:noProof/>
                <w:webHidden/>
              </w:rPr>
              <w:fldChar w:fldCharType="begin"/>
            </w:r>
            <w:r>
              <w:rPr>
                <w:noProof/>
                <w:webHidden/>
              </w:rPr>
              <w:instrText xml:space="preserve"> PAGEREF _Toc227660532 \h </w:instrText>
            </w:r>
            <w:r>
              <w:rPr>
                <w:noProof/>
                <w:webHidden/>
              </w:rPr>
            </w:r>
            <w:r>
              <w:rPr>
                <w:noProof/>
                <w:webHidden/>
              </w:rPr>
              <w:fldChar w:fldCharType="separate"/>
            </w:r>
            <w:r>
              <w:rPr>
                <w:noProof/>
                <w:webHidden/>
              </w:rPr>
              <w:t>37</w:t>
            </w:r>
            <w:r>
              <w:rPr>
                <w:noProof/>
                <w:webHidden/>
              </w:rPr>
              <w:fldChar w:fldCharType="end"/>
            </w:r>
          </w:hyperlink>
        </w:p>
        <w:p w14:paraId="2575A0F7" w14:textId="11D9DE23" w:rsidR="00B96BD6" w:rsidRDefault="00B96BD6">
          <w:pPr>
            <w:pStyle w:val="TOC3"/>
            <w:tabs>
              <w:tab w:val="right" w:leader="dot" w:pos="9350"/>
            </w:tabs>
            <w:rPr>
              <w:rFonts w:eastAsiaTheme="minorEastAsia"/>
              <w:noProof/>
            </w:rPr>
          </w:pPr>
          <w:hyperlink w:anchor="_Toc227660533" w:history="1">
            <w:r w:rsidRPr="000638EC">
              <w:rPr>
                <w:rStyle w:val="Hyperlink"/>
                <w:rFonts w:ascii="Arial" w:eastAsia="Arial" w:hAnsi="Arial" w:cs="Arial"/>
                <w:b/>
                <w:bCs/>
                <w:noProof/>
              </w:rPr>
              <w:t>Table B.5 – Project B: Full NPV Workings</w:t>
            </w:r>
            <w:r>
              <w:rPr>
                <w:noProof/>
                <w:webHidden/>
              </w:rPr>
              <w:tab/>
            </w:r>
            <w:r>
              <w:rPr>
                <w:noProof/>
                <w:webHidden/>
              </w:rPr>
              <w:fldChar w:fldCharType="begin"/>
            </w:r>
            <w:r>
              <w:rPr>
                <w:noProof/>
                <w:webHidden/>
              </w:rPr>
              <w:instrText xml:space="preserve"> PAGEREF _Toc227660533 \h </w:instrText>
            </w:r>
            <w:r>
              <w:rPr>
                <w:noProof/>
                <w:webHidden/>
              </w:rPr>
            </w:r>
            <w:r>
              <w:rPr>
                <w:noProof/>
                <w:webHidden/>
              </w:rPr>
              <w:fldChar w:fldCharType="separate"/>
            </w:r>
            <w:r>
              <w:rPr>
                <w:noProof/>
                <w:webHidden/>
              </w:rPr>
              <w:t>37</w:t>
            </w:r>
            <w:r>
              <w:rPr>
                <w:noProof/>
                <w:webHidden/>
              </w:rPr>
              <w:fldChar w:fldCharType="end"/>
            </w:r>
          </w:hyperlink>
        </w:p>
        <w:p w14:paraId="2CACF21B" w14:textId="1B24BCFF" w:rsidR="00B96BD6" w:rsidRDefault="00B96BD6">
          <w:pPr>
            <w:pStyle w:val="TOC3"/>
            <w:tabs>
              <w:tab w:val="right" w:leader="dot" w:pos="9350"/>
            </w:tabs>
            <w:rPr>
              <w:rFonts w:eastAsiaTheme="minorEastAsia"/>
              <w:noProof/>
            </w:rPr>
          </w:pPr>
          <w:hyperlink w:anchor="_Toc227660534" w:history="1">
            <w:r w:rsidRPr="000638EC">
              <w:rPr>
                <w:rStyle w:val="Hyperlink"/>
                <w:rFonts w:ascii="Arial" w:eastAsia="Arial" w:hAnsi="Arial" w:cs="Arial"/>
                <w:b/>
                <w:bCs/>
                <w:noProof/>
              </w:rPr>
              <w:t>Table B.6 – Project C: Full NPV Workings</w:t>
            </w:r>
            <w:r>
              <w:rPr>
                <w:noProof/>
                <w:webHidden/>
              </w:rPr>
              <w:tab/>
            </w:r>
            <w:r>
              <w:rPr>
                <w:noProof/>
                <w:webHidden/>
              </w:rPr>
              <w:fldChar w:fldCharType="begin"/>
            </w:r>
            <w:r>
              <w:rPr>
                <w:noProof/>
                <w:webHidden/>
              </w:rPr>
              <w:instrText xml:space="preserve"> PAGEREF _Toc227660534 \h </w:instrText>
            </w:r>
            <w:r>
              <w:rPr>
                <w:noProof/>
                <w:webHidden/>
              </w:rPr>
            </w:r>
            <w:r>
              <w:rPr>
                <w:noProof/>
                <w:webHidden/>
              </w:rPr>
              <w:fldChar w:fldCharType="separate"/>
            </w:r>
            <w:r>
              <w:rPr>
                <w:noProof/>
                <w:webHidden/>
              </w:rPr>
              <w:t>38</w:t>
            </w:r>
            <w:r>
              <w:rPr>
                <w:noProof/>
                <w:webHidden/>
              </w:rPr>
              <w:fldChar w:fldCharType="end"/>
            </w:r>
          </w:hyperlink>
        </w:p>
        <w:p w14:paraId="01D0CF80" w14:textId="4D4E03DE" w:rsidR="00B96BD6" w:rsidRDefault="00B96BD6">
          <w:pPr>
            <w:pStyle w:val="TOC3"/>
            <w:tabs>
              <w:tab w:val="right" w:leader="dot" w:pos="9350"/>
            </w:tabs>
            <w:rPr>
              <w:rFonts w:eastAsiaTheme="minorEastAsia"/>
              <w:noProof/>
            </w:rPr>
          </w:pPr>
          <w:hyperlink w:anchor="_Toc227660535" w:history="1">
            <w:r w:rsidRPr="000638EC">
              <w:rPr>
                <w:rStyle w:val="Hyperlink"/>
                <w:rFonts w:ascii="Arial" w:eastAsia="Arial" w:hAnsi="Arial" w:cs="Arial"/>
                <w:b/>
                <w:bCs/>
                <w:noProof/>
              </w:rPr>
              <w:t>Table B.7 – IRR Interpolation: Full Workings</w:t>
            </w:r>
            <w:r>
              <w:rPr>
                <w:noProof/>
                <w:webHidden/>
              </w:rPr>
              <w:tab/>
            </w:r>
            <w:r>
              <w:rPr>
                <w:noProof/>
                <w:webHidden/>
              </w:rPr>
              <w:fldChar w:fldCharType="begin"/>
            </w:r>
            <w:r>
              <w:rPr>
                <w:noProof/>
                <w:webHidden/>
              </w:rPr>
              <w:instrText xml:space="preserve"> PAGEREF _Toc227660535 \h </w:instrText>
            </w:r>
            <w:r>
              <w:rPr>
                <w:noProof/>
                <w:webHidden/>
              </w:rPr>
            </w:r>
            <w:r>
              <w:rPr>
                <w:noProof/>
                <w:webHidden/>
              </w:rPr>
              <w:fldChar w:fldCharType="separate"/>
            </w:r>
            <w:r>
              <w:rPr>
                <w:noProof/>
                <w:webHidden/>
              </w:rPr>
              <w:t>38</w:t>
            </w:r>
            <w:r>
              <w:rPr>
                <w:noProof/>
                <w:webHidden/>
              </w:rPr>
              <w:fldChar w:fldCharType="end"/>
            </w:r>
          </w:hyperlink>
        </w:p>
        <w:p w14:paraId="42B5253C" w14:textId="49D63D43" w:rsidR="00B96BD6" w:rsidRDefault="00B96BD6">
          <w:pPr>
            <w:pStyle w:val="TOC2"/>
            <w:tabs>
              <w:tab w:val="right" w:leader="dot" w:pos="9350"/>
            </w:tabs>
            <w:rPr>
              <w:rFonts w:eastAsiaTheme="minorEastAsia"/>
              <w:noProof/>
            </w:rPr>
          </w:pPr>
          <w:hyperlink w:anchor="_Toc227660536" w:history="1">
            <w:r w:rsidRPr="000638EC">
              <w:rPr>
                <w:rStyle w:val="Hyperlink"/>
                <w:rFonts w:ascii="Arial" w:eastAsia="Arial" w:hAnsi="Arial" w:cs="Arial"/>
                <w:b/>
                <w:bCs/>
                <w:noProof/>
              </w:rPr>
              <w:t>Appendix C: Calculation Rationale for Selected Ratios</w:t>
            </w:r>
            <w:r>
              <w:rPr>
                <w:noProof/>
                <w:webHidden/>
              </w:rPr>
              <w:tab/>
            </w:r>
            <w:r>
              <w:rPr>
                <w:noProof/>
                <w:webHidden/>
              </w:rPr>
              <w:fldChar w:fldCharType="begin"/>
            </w:r>
            <w:r>
              <w:rPr>
                <w:noProof/>
                <w:webHidden/>
              </w:rPr>
              <w:instrText xml:space="preserve"> PAGEREF _Toc227660536 \h </w:instrText>
            </w:r>
            <w:r>
              <w:rPr>
                <w:noProof/>
                <w:webHidden/>
              </w:rPr>
            </w:r>
            <w:r>
              <w:rPr>
                <w:noProof/>
                <w:webHidden/>
              </w:rPr>
              <w:fldChar w:fldCharType="separate"/>
            </w:r>
            <w:r>
              <w:rPr>
                <w:noProof/>
                <w:webHidden/>
              </w:rPr>
              <w:t>38</w:t>
            </w:r>
            <w:r>
              <w:rPr>
                <w:noProof/>
                <w:webHidden/>
              </w:rPr>
              <w:fldChar w:fldCharType="end"/>
            </w:r>
          </w:hyperlink>
        </w:p>
        <w:p w14:paraId="3A62506E" w14:textId="5A83BFAE" w:rsidR="00B96BD6" w:rsidRDefault="00B96BD6">
          <w:pPr>
            <w:pStyle w:val="TOC2"/>
            <w:tabs>
              <w:tab w:val="right" w:leader="dot" w:pos="9350"/>
            </w:tabs>
            <w:rPr>
              <w:rFonts w:eastAsiaTheme="minorEastAsia"/>
              <w:noProof/>
            </w:rPr>
          </w:pPr>
          <w:hyperlink w:anchor="_Toc227660537" w:history="1">
            <w:r w:rsidRPr="000638EC">
              <w:rPr>
                <w:rStyle w:val="Hyperlink"/>
                <w:rFonts w:ascii="Arial" w:eastAsia="Arial" w:hAnsi="Arial" w:cs="Arial"/>
                <w:b/>
                <w:bCs/>
                <w:noProof/>
              </w:rPr>
              <w:t>Appendix D: Key Assumptions and Data Sources</w:t>
            </w:r>
            <w:r>
              <w:rPr>
                <w:noProof/>
                <w:webHidden/>
              </w:rPr>
              <w:tab/>
            </w:r>
            <w:r>
              <w:rPr>
                <w:noProof/>
                <w:webHidden/>
              </w:rPr>
              <w:fldChar w:fldCharType="begin"/>
            </w:r>
            <w:r>
              <w:rPr>
                <w:noProof/>
                <w:webHidden/>
              </w:rPr>
              <w:instrText xml:space="preserve"> PAGEREF _Toc227660537 \h </w:instrText>
            </w:r>
            <w:r>
              <w:rPr>
                <w:noProof/>
                <w:webHidden/>
              </w:rPr>
            </w:r>
            <w:r>
              <w:rPr>
                <w:noProof/>
                <w:webHidden/>
              </w:rPr>
              <w:fldChar w:fldCharType="separate"/>
            </w:r>
            <w:r>
              <w:rPr>
                <w:noProof/>
                <w:webHidden/>
              </w:rPr>
              <w:t>39</w:t>
            </w:r>
            <w:r>
              <w:rPr>
                <w:noProof/>
                <w:webHidden/>
              </w:rPr>
              <w:fldChar w:fldCharType="end"/>
            </w:r>
          </w:hyperlink>
        </w:p>
        <w:p w14:paraId="68B47070" w14:textId="01A45B09" w:rsidR="00B96BD6" w:rsidRDefault="00B96BD6">
          <w:pPr>
            <w:pStyle w:val="TOC1"/>
            <w:tabs>
              <w:tab w:val="right" w:leader="dot" w:pos="9350"/>
            </w:tabs>
            <w:rPr>
              <w:rFonts w:eastAsiaTheme="minorEastAsia"/>
              <w:noProof/>
            </w:rPr>
          </w:pPr>
          <w:hyperlink w:anchor="_Toc227660538" w:history="1">
            <w:r w:rsidRPr="000638EC">
              <w:rPr>
                <w:rStyle w:val="Hyperlink"/>
                <w:noProof/>
              </w:rPr>
              <w:t>Basic Acknowledgement format of AI tool use</w:t>
            </w:r>
            <w:r>
              <w:rPr>
                <w:noProof/>
                <w:webHidden/>
              </w:rPr>
              <w:tab/>
            </w:r>
            <w:r>
              <w:rPr>
                <w:noProof/>
                <w:webHidden/>
              </w:rPr>
              <w:fldChar w:fldCharType="begin"/>
            </w:r>
            <w:r>
              <w:rPr>
                <w:noProof/>
                <w:webHidden/>
              </w:rPr>
              <w:instrText xml:space="preserve"> PAGEREF _Toc227660538 \h </w:instrText>
            </w:r>
            <w:r>
              <w:rPr>
                <w:noProof/>
                <w:webHidden/>
              </w:rPr>
            </w:r>
            <w:r>
              <w:rPr>
                <w:noProof/>
                <w:webHidden/>
              </w:rPr>
              <w:fldChar w:fldCharType="separate"/>
            </w:r>
            <w:r>
              <w:rPr>
                <w:noProof/>
                <w:webHidden/>
              </w:rPr>
              <w:t>40</w:t>
            </w:r>
            <w:r>
              <w:rPr>
                <w:noProof/>
                <w:webHidden/>
              </w:rPr>
              <w:fldChar w:fldCharType="end"/>
            </w:r>
          </w:hyperlink>
        </w:p>
        <w:p w14:paraId="6C55A6A8" w14:textId="6D4A68C7" w:rsidR="00B67377" w:rsidRDefault="00B67377">
          <w:r>
            <w:rPr>
              <w:b/>
              <w:bCs/>
              <w:noProof/>
            </w:rPr>
            <w:fldChar w:fldCharType="end"/>
          </w:r>
        </w:p>
      </w:sdtContent>
    </w:sdt>
    <w:p w14:paraId="61CF3E7E" w14:textId="78048492" w:rsidR="00870FA9" w:rsidRDefault="00870FA9">
      <w:pPr>
        <w:rPr>
          <w:rFonts w:ascii="Arial" w:eastAsia="Arial" w:hAnsi="Arial" w:cs="Arial"/>
          <w:b/>
          <w:bCs/>
          <w:color w:val="1F3864"/>
          <w:sz w:val="36"/>
          <w:szCs w:val="36"/>
        </w:rPr>
      </w:pPr>
    </w:p>
    <w:p w14:paraId="12797ED7" w14:textId="77777777" w:rsidR="00B67377" w:rsidRDefault="00B67377">
      <w:pPr>
        <w:rPr>
          <w:rFonts w:ascii="Arial" w:eastAsia="Arial" w:hAnsi="Arial" w:cs="Arial"/>
          <w:b/>
          <w:bCs/>
          <w:color w:val="1F3864"/>
          <w:sz w:val="36"/>
          <w:szCs w:val="36"/>
        </w:rPr>
      </w:pPr>
    </w:p>
    <w:p w14:paraId="5C783F03" w14:textId="77777777" w:rsidR="00B67377" w:rsidRDefault="00B67377">
      <w:pPr>
        <w:rPr>
          <w:rFonts w:ascii="Arial" w:eastAsia="Arial" w:hAnsi="Arial" w:cs="Arial"/>
          <w:b/>
          <w:bCs/>
          <w:color w:val="1F3864"/>
          <w:sz w:val="36"/>
          <w:szCs w:val="36"/>
        </w:rPr>
      </w:pPr>
    </w:p>
    <w:p w14:paraId="3694C4A2" w14:textId="77777777" w:rsidR="00B67377" w:rsidRDefault="00B67377">
      <w:pPr>
        <w:rPr>
          <w:rFonts w:ascii="Arial" w:eastAsia="Arial" w:hAnsi="Arial" w:cs="Arial"/>
          <w:b/>
          <w:bCs/>
          <w:color w:val="1F3864"/>
          <w:sz w:val="36"/>
          <w:szCs w:val="36"/>
        </w:rPr>
      </w:pPr>
    </w:p>
    <w:p w14:paraId="3FE0B72B" w14:textId="77777777" w:rsidR="00B67377" w:rsidRDefault="00B67377">
      <w:pPr>
        <w:rPr>
          <w:rFonts w:ascii="Arial" w:eastAsia="Arial" w:hAnsi="Arial" w:cs="Arial"/>
          <w:b/>
          <w:bCs/>
          <w:color w:val="1F3864"/>
          <w:sz w:val="36"/>
          <w:szCs w:val="36"/>
        </w:rPr>
      </w:pPr>
    </w:p>
    <w:p w14:paraId="54F77FBD" w14:textId="77777777" w:rsidR="00B67377" w:rsidRDefault="00B67377">
      <w:pPr>
        <w:rPr>
          <w:rFonts w:ascii="Arial" w:eastAsia="Arial" w:hAnsi="Arial" w:cs="Arial"/>
          <w:b/>
          <w:bCs/>
          <w:color w:val="1F3864"/>
          <w:sz w:val="36"/>
          <w:szCs w:val="36"/>
        </w:rPr>
      </w:pPr>
    </w:p>
    <w:p w14:paraId="75DD57B2" w14:textId="77777777" w:rsidR="00B67377" w:rsidRDefault="00B67377">
      <w:pPr>
        <w:rPr>
          <w:rFonts w:ascii="Arial" w:eastAsia="Arial" w:hAnsi="Arial" w:cs="Arial"/>
          <w:b/>
          <w:bCs/>
          <w:color w:val="1F3864"/>
          <w:sz w:val="36"/>
          <w:szCs w:val="36"/>
        </w:rPr>
      </w:pPr>
    </w:p>
    <w:p w14:paraId="7D8A3F42" w14:textId="77777777" w:rsidR="00B67377" w:rsidRDefault="00B67377">
      <w:pPr>
        <w:rPr>
          <w:rFonts w:ascii="Arial" w:eastAsia="Arial" w:hAnsi="Arial" w:cs="Arial"/>
          <w:b/>
          <w:bCs/>
          <w:color w:val="1F3864"/>
          <w:sz w:val="36"/>
          <w:szCs w:val="36"/>
        </w:rPr>
      </w:pPr>
    </w:p>
    <w:p w14:paraId="6FF66FFF" w14:textId="77777777" w:rsidR="00B67377" w:rsidRDefault="00B67377">
      <w:pPr>
        <w:rPr>
          <w:rFonts w:ascii="Arial" w:eastAsia="Arial" w:hAnsi="Arial" w:cs="Arial"/>
          <w:b/>
          <w:bCs/>
          <w:color w:val="1F3864"/>
          <w:sz w:val="36"/>
          <w:szCs w:val="36"/>
        </w:rPr>
      </w:pPr>
    </w:p>
    <w:p w14:paraId="1ABF7BC6" w14:textId="77777777" w:rsidR="00B67377" w:rsidRDefault="00B67377">
      <w:pPr>
        <w:rPr>
          <w:rFonts w:ascii="Arial" w:eastAsia="Arial" w:hAnsi="Arial" w:cs="Arial"/>
          <w:b/>
          <w:bCs/>
          <w:color w:val="1F3864"/>
          <w:sz w:val="36"/>
          <w:szCs w:val="36"/>
        </w:rPr>
      </w:pPr>
    </w:p>
    <w:p w14:paraId="55D50D58" w14:textId="77777777" w:rsidR="00B67377" w:rsidRDefault="00B67377">
      <w:pPr>
        <w:rPr>
          <w:rFonts w:ascii="Arial" w:eastAsia="Arial" w:hAnsi="Arial" w:cs="Arial"/>
          <w:b/>
          <w:bCs/>
          <w:color w:val="1F3864"/>
          <w:sz w:val="36"/>
          <w:szCs w:val="36"/>
        </w:rPr>
      </w:pPr>
    </w:p>
    <w:p w14:paraId="12298353" w14:textId="77777777" w:rsidR="00B67377" w:rsidRDefault="00B67377">
      <w:pPr>
        <w:rPr>
          <w:rFonts w:ascii="Arial" w:eastAsia="Arial" w:hAnsi="Arial" w:cs="Arial"/>
          <w:b/>
          <w:bCs/>
          <w:color w:val="1F3864"/>
          <w:sz w:val="36"/>
          <w:szCs w:val="36"/>
        </w:rPr>
      </w:pPr>
    </w:p>
    <w:p w14:paraId="18B1152D" w14:textId="77777777" w:rsidR="00B67377" w:rsidRDefault="00B67377">
      <w:pPr>
        <w:rPr>
          <w:rFonts w:ascii="Arial" w:eastAsia="Arial" w:hAnsi="Arial" w:cs="Arial"/>
          <w:b/>
          <w:bCs/>
          <w:color w:val="1F3864"/>
          <w:sz w:val="36"/>
          <w:szCs w:val="36"/>
        </w:rPr>
      </w:pPr>
    </w:p>
    <w:p w14:paraId="2AF2E5CC" w14:textId="4A956EFA" w:rsidR="00DE16E1" w:rsidRDefault="00DE16E1" w:rsidP="00DE16E1">
      <w:pPr>
        <w:pStyle w:val="Heading1"/>
      </w:pPr>
      <w:bookmarkStart w:id="0" w:name="_Toc227660462"/>
      <w:r>
        <w:lastRenderedPageBreak/>
        <w:t>Introduction</w:t>
      </w:r>
      <w:bookmarkEnd w:id="0"/>
    </w:p>
    <w:p w14:paraId="74863E43" w14:textId="24C9E709" w:rsidR="002E79F4" w:rsidRPr="00DE16D4" w:rsidRDefault="00AB6087" w:rsidP="00DE16D4">
      <w:pPr>
        <w:spacing w:before="60" w:after="60" w:line="360" w:lineRule="auto"/>
        <w:jc w:val="both"/>
        <w:rPr>
          <w:rFonts w:ascii="Arial" w:eastAsia="Arial" w:hAnsi="Arial" w:cs="Arial"/>
          <w:color w:val="404040"/>
          <w:sz w:val="24"/>
          <w:szCs w:val="24"/>
        </w:rPr>
      </w:pPr>
      <w:r w:rsidRPr="00AB6087">
        <w:rPr>
          <w:rFonts w:ascii="Arial" w:eastAsia="Arial" w:hAnsi="Arial" w:cs="Arial"/>
          <w:color w:val="404040"/>
          <w:sz w:val="24"/>
          <w:szCs w:val="24"/>
        </w:rPr>
        <w:t xml:space="preserve">The Hyundai Motor Company is a well-known automobile manufacturing company. It was established in 1967 and has headquarters located in Seoul, South Korea. It has shifted its attention towards EVs through its IONIQ line and Genesis sub-line of brands. With the introduction of the Electric-Global Modular Platform (E-GMP), the speed of development </w:t>
      </w:r>
      <w:r w:rsidR="00240041">
        <w:rPr>
          <w:rFonts w:ascii="Arial" w:eastAsia="Arial" w:hAnsi="Arial" w:cs="Arial"/>
          <w:color w:val="404040"/>
          <w:sz w:val="24"/>
          <w:szCs w:val="24"/>
        </w:rPr>
        <w:t>has</w:t>
      </w:r>
      <w:r w:rsidRPr="00AB6087">
        <w:rPr>
          <w:rFonts w:ascii="Arial" w:eastAsia="Arial" w:hAnsi="Arial" w:cs="Arial"/>
          <w:color w:val="404040"/>
          <w:sz w:val="24"/>
          <w:szCs w:val="24"/>
        </w:rPr>
        <w:t xml:space="preserve"> increased and the range of vehicles has also </w:t>
      </w:r>
      <w:r w:rsidR="00A14729">
        <w:rPr>
          <w:rFonts w:ascii="Arial" w:eastAsia="Arial" w:hAnsi="Arial" w:cs="Arial"/>
          <w:color w:val="404040"/>
          <w:sz w:val="24"/>
          <w:szCs w:val="24"/>
        </w:rPr>
        <w:t>expanded</w:t>
      </w:r>
      <w:r w:rsidRPr="00AB6087">
        <w:rPr>
          <w:rFonts w:ascii="Arial" w:eastAsia="Arial" w:hAnsi="Arial" w:cs="Arial"/>
          <w:color w:val="404040"/>
          <w:sz w:val="24"/>
          <w:szCs w:val="24"/>
        </w:rPr>
        <w:t xml:space="preserve">. Hyundai also has production facilities in other countries such as </w:t>
      </w:r>
      <w:r w:rsidR="00231BD1">
        <w:rPr>
          <w:rFonts w:ascii="Arial" w:eastAsia="Arial" w:hAnsi="Arial" w:cs="Arial"/>
          <w:color w:val="404040"/>
          <w:sz w:val="24"/>
          <w:szCs w:val="24"/>
        </w:rPr>
        <w:t xml:space="preserve">the </w:t>
      </w:r>
      <w:r w:rsidRPr="00AB6087">
        <w:rPr>
          <w:rFonts w:ascii="Arial" w:eastAsia="Arial" w:hAnsi="Arial" w:cs="Arial"/>
          <w:color w:val="404040"/>
          <w:sz w:val="24"/>
          <w:szCs w:val="24"/>
        </w:rPr>
        <w:t>United States, China, and Czech Republic. The report has been compiled by the new CFO of Hyundai. The Board has directed a financial assessment spanning five years from 2020 to 2024. This will also consider the various issues and successes faced by the organization while analyzing their profits due to their IONIQ 5 and IONIQ 6 cars and their return to average profitability due to greater competition in the market.</w:t>
      </w:r>
      <w:r w:rsidR="00DE16E1" w:rsidRPr="00DE16D4">
        <w:rPr>
          <w:rFonts w:ascii="Arial" w:eastAsia="Arial" w:hAnsi="Arial" w:cs="Arial"/>
          <w:color w:val="404040"/>
          <w:sz w:val="24"/>
          <w:szCs w:val="24"/>
        </w:rPr>
        <w:t xml:space="preserve"> All analysis is grounded in data derived from Hyundai's consolidated income statements, balance sheets, and cash flow statements as published in official annual reports available at</w:t>
      </w:r>
      <w:r w:rsidR="002E79F4" w:rsidRPr="00DE16D4">
        <w:rPr>
          <w:rFonts w:ascii="Arial" w:eastAsia="Arial" w:hAnsi="Arial" w:cs="Arial"/>
          <w:color w:val="404040"/>
          <w:sz w:val="24"/>
          <w:szCs w:val="24"/>
        </w:rPr>
        <w:t>-</w:t>
      </w:r>
    </w:p>
    <w:p w14:paraId="130BCD95" w14:textId="7085B622" w:rsidR="00DE16E1" w:rsidRPr="00DE16D4" w:rsidRDefault="00DE16E1" w:rsidP="00DE16D4">
      <w:pPr>
        <w:spacing w:before="60" w:after="60" w:line="360" w:lineRule="auto"/>
        <w:jc w:val="both"/>
        <w:rPr>
          <w:sz w:val="24"/>
          <w:szCs w:val="24"/>
        </w:rPr>
      </w:pPr>
      <w:r w:rsidRPr="00DE16D4">
        <w:rPr>
          <w:rFonts w:ascii="Arial" w:eastAsia="Arial" w:hAnsi="Arial" w:cs="Arial"/>
          <w:color w:val="404040"/>
          <w:sz w:val="24"/>
          <w:szCs w:val="24"/>
        </w:rPr>
        <w:t>https://www.hyundai.com/worldwide/en/company/ir/ir-resources/annual-report.</w:t>
      </w:r>
    </w:p>
    <w:p w14:paraId="54F9BC23" w14:textId="5A91E726" w:rsidR="00966FF3" w:rsidRPr="00DE16D4" w:rsidRDefault="00F43D2A" w:rsidP="00DE16D4">
      <w:pPr>
        <w:spacing w:before="60" w:after="60" w:line="360" w:lineRule="auto"/>
        <w:jc w:val="both"/>
        <w:rPr>
          <w:sz w:val="24"/>
          <w:szCs w:val="24"/>
        </w:rPr>
      </w:pPr>
      <w:r w:rsidRPr="00F43D2A">
        <w:rPr>
          <w:rFonts w:ascii="Arial" w:eastAsia="Arial" w:hAnsi="Arial" w:cs="Arial"/>
          <w:color w:val="404040"/>
          <w:sz w:val="24"/>
          <w:szCs w:val="24"/>
        </w:rPr>
        <w:t>The report comprises four main parts: (i) Financial Health Test with five-year ratio analysis, (ii) Working Capital Management analysis and restructuring proposals, (iii) Strategic Financial Restructuring and (iv) Investment Appraisal of three competitive projects with varying financial measures. The overall objective is to deliver a workable plan that can be implemented internationally in line with ethics, which will maximize value for shareholders in an era of transformation in the automotive industry.</w:t>
      </w:r>
    </w:p>
    <w:p w14:paraId="3869C47C" w14:textId="77777777" w:rsidR="00172353" w:rsidRDefault="00172353" w:rsidP="00172353">
      <w:pPr>
        <w:pStyle w:val="Heading1"/>
      </w:pPr>
      <w:bookmarkStart w:id="1" w:name="_Toc227660463"/>
      <w:r>
        <w:t>Section 1: Financial Health Check (2020–2024)</w:t>
      </w:r>
      <w:bookmarkEnd w:id="1"/>
    </w:p>
    <w:p w14:paraId="56372D68" w14:textId="77777777" w:rsidR="00172353" w:rsidRDefault="00172353" w:rsidP="00172353">
      <w:pPr>
        <w:pStyle w:val="Heading2"/>
      </w:pPr>
      <w:bookmarkStart w:id="2" w:name="_Toc227660464"/>
      <w:r>
        <w:rPr>
          <w:rFonts w:ascii="Arial" w:eastAsia="Arial" w:hAnsi="Arial" w:cs="Arial"/>
          <w:b/>
          <w:bCs/>
          <w:color w:val="2E75B6"/>
        </w:rPr>
        <w:t>1.1 Five-Year Consolidated Financial Summary</w:t>
      </w:r>
      <w:bookmarkEnd w:id="2"/>
    </w:p>
    <w:p w14:paraId="0AB46A3C" w14:textId="77777777" w:rsidR="00172353" w:rsidRPr="00FC4AD0" w:rsidRDefault="00172353" w:rsidP="00FC4AD0">
      <w:pPr>
        <w:pStyle w:val="Heading3"/>
        <w:spacing w:line="360" w:lineRule="auto"/>
      </w:pPr>
      <w:bookmarkStart w:id="3" w:name="_Toc227660465"/>
      <w:r w:rsidRPr="00FC4AD0">
        <w:rPr>
          <w:rFonts w:ascii="Arial" w:eastAsia="Arial" w:hAnsi="Arial" w:cs="Arial"/>
          <w:b/>
          <w:bCs/>
          <w:color w:val="404040"/>
        </w:rPr>
        <w:t>Table 1.1 – Consolidated Financial Summary (KRW Billions)</w:t>
      </w:r>
      <w:bookmarkEnd w:id="3"/>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1560"/>
        <w:gridCol w:w="1560"/>
        <w:gridCol w:w="1560"/>
        <w:gridCol w:w="1560"/>
        <w:gridCol w:w="1560"/>
      </w:tblGrid>
      <w:tr w:rsidR="00172353" w:rsidRPr="00D40CBE" w14:paraId="69EB51AC" w14:textId="77777777" w:rsidTr="00D40CBE">
        <w:tc>
          <w:tcPr>
            <w:tcW w:w="1560" w:type="dxa"/>
            <w:shd w:val="clear" w:color="auto" w:fill="auto"/>
            <w:tcMar>
              <w:top w:w="80" w:type="dxa"/>
              <w:left w:w="100" w:type="dxa"/>
              <w:bottom w:w="80" w:type="dxa"/>
              <w:right w:w="100" w:type="dxa"/>
            </w:tcMar>
            <w:vAlign w:val="center"/>
          </w:tcPr>
          <w:p w14:paraId="465C3705" w14:textId="77777777" w:rsidR="00172353" w:rsidRPr="00D40CBE" w:rsidRDefault="00172353" w:rsidP="003E12E5">
            <w:pPr>
              <w:jc w:val="center"/>
              <w:rPr>
                <w:rFonts w:ascii="Arial" w:hAnsi="Arial" w:cs="Arial"/>
                <w:sz w:val="24"/>
                <w:szCs w:val="24"/>
              </w:rPr>
            </w:pPr>
            <w:r w:rsidRPr="00D40CBE">
              <w:rPr>
                <w:rFonts w:ascii="Arial" w:hAnsi="Arial" w:cs="Arial"/>
                <w:sz w:val="24"/>
                <w:szCs w:val="24"/>
              </w:rPr>
              <w:t>Metric</w:t>
            </w:r>
          </w:p>
        </w:tc>
        <w:tc>
          <w:tcPr>
            <w:tcW w:w="1560" w:type="dxa"/>
            <w:shd w:val="clear" w:color="auto" w:fill="auto"/>
            <w:tcMar>
              <w:top w:w="80" w:type="dxa"/>
              <w:left w:w="100" w:type="dxa"/>
              <w:bottom w:w="80" w:type="dxa"/>
              <w:right w:w="100" w:type="dxa"/>
            </w:tcMar>
            <w:vAlign w:val="center"/>
          </w:tcPr>
          <w:p w14:paraId="5AB78FA2" w14:textId="77777777" w:rsidR="00172353" w:rsidRPr="00D40CBE" w:rsidRDefault="00172353" w:rsidP="003E12E5">
            <w:pPr>
              <w:jc w:val="center"/>
              <w:rPr>
                <w:rFonts w:ascii="Arial" w:hAnsi="Arial" w:cs="Arial"/>
                <w:sz w:val="24"/>
                <w:szCs w:val="24"/>
              </w:rPr>
            </w:pPr>
            <w:r w:rsidRPr="00D40CBE">
              <w:rPr>
                <w:rFonts w:ascii="Arial" w:hAnsi="Arial" w:cs="Arial"/>
                <w:sz w:val="24"/>
                <w:szCs w:val="24"/>
              </w:rPr>
              <w:t>2020</w:t>
            </w:r>
          </w:p>
        </w:tc>
        <w:tc>
          <w:tcPr>
            <w:tcW w:w="1560" w:type="dxa"/>
            <w:shd w:val="clear" w:color="auto" w:fill="auto"/>
            <w:tcMar>
              <w:top w:w="80" w:type="dxa"/>
              <w:left w:w="100" w:type="dxa"/>
              <w:bottom w:w="80" w:type="dxa"/>
              <w:right w:w="100" w:type="dxa"/>
            </w:tcMar>
            <w:vAlign w:val="center"/>
          </w:tcPr>
          <w:p w14:paraId="4F0E2B5E" w14:textId="77777777" w:rsidR="00172353" w:rsidRPr="00D40CBE" w:rsidRDefault="00172353" w:rsidP="003E12E5">
            <w:pPr>
              <w:jc w:val="center"/>
              <w:rPr>
                <w:rFonts w:ascii="Arial" w:hAnsi="Arial" w:cs="Arial"/>
                <w:sz w:val="24"/>
                <w:szCs w:val="24"/>
              </w:rPr>
            </w:pPr>
            <w:r w:rsidRPr="00D40CBE">
              <w:rPr>
                <w:rFonts w:ascii="Arial" w:hAnsi="Arial" w:cs="Arial"/>
                <w:sz w:val="24"/>
                <w:szCs w:val="24"/>
              </w:rPr>
              <w:t>2021</w:t>
            </w:r>
          </w:p>
        </w:tc>
        <w:tc>
          <w:tcPr>
            <w:tcW w:w="1560" w:type="dxa"/>
            <w:shd w:val="clear" w:color="auto" w:fill="auto"/>
            <w:tcMar>
              <w:top w:w="80" w:type="dxa"/>
              <w:left w:w="100" w:type="dxa"/>
              <w:bottom w:w="80" w:type="dxa"/>
              <w:right w:w="100" w:type="dxa"/>
            </w:tcMar>
            <w:vAlign w:val="center"/>
          </w:tcPr>
          <w:p w14:paraId="6DA2961A" w14:textId="77777777" w:rsidR="00172353" w:rsidRPr="00D40CBE" w:rsidRDefault="00172353" w:rsidP="003E12E5">
            <w:pPr>
              <w:jc w:val="center"/>
              <w:rPr>
                <w:rFonts w:ascii="Arial" w:hAnsi="Arial" w:cs="Arial"/>
                <w:sz w:val="24"/>
                <w:szCs w:val="24"/>
              </w:rPr>
            </w:pPr>
            <w:r w:rsidRPr="00D40CBE">
              <w:rPr>
                <w:rFonts w:ascii="Arial" w:hAnsi="Arial" w:cs="Arial"/>
                <w:sz w:val="24"/>
                <w:szCs w:val="24"/>
              </w:rPr>
              <w:t>2022</w:t>
            </w:r>
          </w:p>
        </w:tc>
        <w:tc>
          <w:tcPr>
            <w:tcW w:w="1560" w:type="dxa"/>
            <w:shd w:val="clear" w:color="auto" w:fill="auto"/>
            <w:tcMar>
              <w:top w:w="80" w:type="dxa"/>
              <w:left w:w="100" w:type="dxa"/>
              <w:bottom w:w="80" w:type="dxa"/>
              <w:right w:w="100" w:type="dxa"/>
            </w:tcMar>
            <w:vAlign w:val="center"/>
          </w:tcPr>
          <w:p w14:paraId="1165654D" w14:textId="77777777" w:rsidR="00172353" w:rsidRPr="00D40CBE" w:rsidRDefault="00172353" w:rsidP="003E12E5">
            <w:pPr>
              <w:jc w:val="center"/>
              <w:rPr>
                <w:rFonts w:ascii="Arial" w:hAnsi="Arial" w:cs="Arial"/>
                <w:sz w:val="24"/>
                <w:szCs w:val="24"/>
              </w:rPr>
            </w:pPr>
            <w:r w:rsidRPr="00D40CBE">
              <w:rPr>
                <w:rFonts w:ascii="Arial" w:hAnsi="Arial" w:cs="Arial"/>
                <w:sz w:val="24"/>
                <w:szCs w:val="24"/>
              </w:rPr>
              <w:t>2023</w:t>
            </w:r>
          </w:p>
        </w:tc>
        <w:tc>
          <w:tcPr>
            <w:tcW w:w="1560" w:type="dxa"/>
            <w:shd w:val="clear" w:color="auto" w:fill="auto"/>
            <w:tcMar>
              <w:top w:w="80" w:type="dxa"/>
              <w:left w:w="100" w:type="dxa"/>
              <w:bottom w:w="80" w:type="dxa"/>
              <w:right w:w="100" w:type="dxa"/>
            </w:tcMar>
            <w:vAlign w:val="center"/>
          </w:tcPr>
          <w:p w14:paraId="79EBE634" w14:textId="1AAF4D7C" w:rsidR="00172353" w:rsidRPr="00D40CBE" w:rsidRDefault="00172353" w:rsidP="003E12E5">
            <w:pPr>
              <w:jc w:val="center"/>
              <w:rPr>
                <w:rFonts w:ascii="Arial" w:hAnsi="Arial" w:cs="Arial"/>
                <w:sz w:val="24"/>
                <w:szCs w:val="24"/>
              </w:rPr>
            </w:pPr>
            <w:r w:rsidRPr="00D40CBE">
              <w:rPr>
                <w:rFonts w:ascii="Arial" w:hAnsi="Arial" w:cs="Arial"/>
                <w:sz w:val="24"/>
                <w:szCs w:val="24"/>
              </w:rPr>
              <w:t>2024</w:t>
            </w:r>
          </w:p>
        </w:tc>
      </w:tr>
      <w:tr w:rsidR="00172353" w:rsidRPr="00D40CBE" w14:paraId="07AD04FE" w14:textId="77777777" w:rsidTr="00D40CBE">
        <w:tc>
          <w:tcPr>
            <w:tcW w:w="1560" w:type="dxa"/>
            <w:shd w:val="clear" w:color="auto" w:fill="auto"/>
            <w:tcMar>
              <w:top w:w="60" w:type="dxa"/>
              <w:left w:w="100" w:type="dxa"/>
              <w:bottom w:w="60" w:type="dxa"/>
              <w:right w:w="100" w:type="dxa"/>
            </w:tcMar>
            <w:vAlign w:val="center"/>
          </w:tcPr>
          <w:p w14:paraId="03A92C33"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Revenue</w:t>
            </w:r>
          </w:p>
        </w:tc>
        <w:tc>
          <w:tcPr>
            <w:tcW w:w="1560" w:type="dxa"/>
            <w:shd w:val="clear" w:color="auto" w:fill="auto"/>
            <w:tcMar>
              <w:top w:w="60" w:type="dxa"/>
              <w:left w:w="100" w:type="dxa"/>
              <w:bottom w:w="60" w:type="dxa"/>
              <w:right w:w="100" w:type="dxa"/>
            </w:tcMar>
            <w:vAlign w:val="center"/>
          </w:tcPr>
          <w:p w14:paraId="0C11458C"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103,998</w:t>
            </w:r>
          </w:p>
        </w:tc>
        <w:tc>
          <w:tcPr>
            <w:tcW w:w="1560" w:type="dxa"/>
            <w:shd w:val="clear" w:color="auto" w:fill="auto"/>
            <w:tcMar>
              <w:top w:w="60" w:type="dxa"/>
              <w:left w:w="100" w:type="dxa"/>
              <w:bottom w:w="60" w:type="dxa"/>
              <w:right w:w="100" w:type="dxa"/>
            </w:tcMar>
            <w:vAlign w:val="center"/>
          </w:tcPr>
          <w:p w14:paraId="0DA5B500"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117,611</w:t>
            </w:r>
          </w:p>
        </w:tc>
        <w:tc>
          <w:tcPr>
            <w:tcW w:w="1560" w:type="dxa"/>
            <w:shd w:val="clear" w:color="auto" w:fill="auto"/>
            <w:tcMar>
              <w:top w:w="60" w:type="dxa"/>
              <w:left w:w="100" w:type="dxa"/>
              <w:bottom w:w="60" w:type="dxa"/>
              <w:right w:w="100" w:type="dxa"/>
            </w:tcMar>
            <w:vAlign w:val="center"/>
          </w:tcPr>
          <w:p w14:paraId="291D69C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142,515</w:t>
            </w:r>
          </w:p>
        </w:tc>
        <w:tc>
          <w:tcPr>
            <w:tcW w:w="1560" w:type="dxa"/>
            <w:shd w:val="clear" w:color="auto" w:fill="auto"/>
            <w:tcMar>
              <w:top w:w="60" w:type="dxa"/>
              <w:left w:w="100" w:type="dxa"/>
              <w:bottom w:w="60" w:type="dxa"/>
              <w:right w:w="100" w:type="dxa"/>
            </w:tcMar>
            <w:vAlign w:val="center"/>
          </w:tcPr>
          <w:p w14:paraId="686F307C"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162,664</w:t>
            </w:r>
          </w:p>
        </w:tc>
        <w:tc>
          <w:tcPr>
            <w:tcW w:w="1560" w:type="dxa"/>
            <w:shd w:val="clear" w:color="auto" w:fill="auto"/>
            <w:tcMar>
              <w:top w:w="60" w:type="dxa"/>
              <w:left w:w="100" w:type="dxa"/>
              <w:bottom w:w="60" w:type="dxa"/>
              <w:right w:w="100" w:type="dxa"/>
            </w:tcMar>
            <w:vAlign w:val="center"/>
          </w:tcPr>
          <w:p w14:paraId="0CA3EC4D"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175,500</w:t>
            </w:r>
          </w:p>
        </w:tc>
      </w:tr>
      <w:tr w:rsidR="00172353" w:rsidRPr="00D40CBE" w14:paraId="28092700" w14:textId="77777777" w:rsidTr="00D40CBE">
        <w:tc>
          <w:tcPr>
            <w:tcW w:w="1560" w:type="dxa"/>
            <w:shd w:val="clear" w:color="auto" w:fill="auto"/>
            <w:tcMar>
              <w:top w:w="60" w:type="dxa"/>
              <w:left w:w="100" w:type="dxa"/>
              <w:bottom w:w="60" w:type="dxa"/>
              <w:right w:w="100" w:type="dxa"/>
            </w:tcMar>
            <w:vAlign w:val="center"/>
          </w:tcPr>
          <w:p w14:paraId="13A52E89"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lastRenderedPageBreak/>
              <w:t>Cost of Goods Sold (COGS)</w:t>
            </w:r>
          </w:p>
        </w:tc>
        <w:tc>
          <w:tcPr>
            <w:tcW w:w="1560" w:type="dxa"/>
            <w:shd w:val="clear" w:color="auto" w:fill="auto"/>
            <w:tcMar>
              <w:top w:w="60" w:type="dxa"/>
              <w:left w:w="100" w:type="dxa"/>
              <w:bottom w:w="60" w:type="dxa"/>
              <w:right w:w="100" w:type="dxa"/>
            </w:tcMar>
            <w:vAlign w:val="center"/>
          </w:tcPr>
          <w:p w14:paraId="42F70254"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86,200</w:t>
            </w:r>
          </w:p>
        </w:tc>
        <w:tc>
          <w:tcPr>
            <w:tcW w:w="1560" w:type="dxa"/>
            <w:shd w:val="clear" w:color="auto" w:fill="auto"/>
            <w:tcMar>
              <w:top w:w="60" w:type="dxa"/>
              <w:left w:w="100" w:type="dxa"/>
              <w:bottom w:w="60" w:type="dxa"/>
              <w:right w:w="100" w:type="dxa"/>
            </w:tcMar>
            <w:vAlign w:val="center"/>
          </w:tcPr>
          <w:p w14:paraId="1921321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95,100</w:t>
            </w:r>
          </w:p>
        </w:tc>
        <w:tc>
          <w:tcPr>
            <w:tcW w:w="1560" w:type="dxa"/>
            <w:shd w:val="clear" w:color="auto" w:fill="auto"/>
            <w:tcMar>
              <w:top w:w="60" w:type="dxa"/>
              <w:left w:w="100" w:type="dxa"/>
              <w:bottom w:w="60" w:type="dxa"/>
              <w:right w:w="100" w:type="dxa"/>
            </w:tcMar>
            <w:vAlign w:val="center"/>
          </w:tcPr>
          <w:p w14:paraId="298AC969"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116,200</w:t>
            </w:r>
          </w:p>
        </w:tc>
        <w:tc>
          <w:tcPr>
            <w:tcW w:w="1560" w:type="dxa"/>
            <w:shd w:val="clear" w:color="auto" w:fill="auto"/>
            <w:tcMar>
              <w:top w:w="60" w:type="dxa"/>
              <w:left w:w="100" w:type="dxa"/>
              <w:bottom w:w="60" w:type="dxa"/>
              <w:right w:w="100" w:type="dxa"/>
            </w:tcMar>
            <w:vAlign w:val="center"/>
          </w:tcPr>
          <w:p w14:paraId="4C5D9810"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130,100</w:t>
            </w:r>
          </w:p>
        </w:tc>
        <w:tc>
          <w:tcPr>
            <w:tcW w:w="1560" w:type="dxa"/>
            <w:shd w:val="clear" w:color="auto" w:fill="auto"/>
            <w:tcMar>
              <w:top w:w="60" w:type="dxa"/>
              <w:left w:w="100" w:type="dxa"/>
              <w:bottom w:w="60" w:type="dxa"/>
              <w:right w:w="100" w:type="dxa"/>
            </w:tcMar>
            <w:vAlign w:val="center"/>
          </w:tcPr>
          <w:p w14:paraId="3D9F6C4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141,500</w:t>
            </w:r>
          </w:p>
        </w:tc>
      </w:tr>
      <w:tr w:rsidR="00172353" w:rsidRPr="00D40CBE" w14:paraId="0BB4A982" w14:textId="77777777" w:rsidTr="00D40CBE">
        <w:tc>
          <w:tcPr>
            <w:tcW w:w="1560" w:type="dxa"/>
            <w:shd w:val="clear" w:color="auto" w:fill="auto"/>
            <w:tcMar>
              <w:top w:w="60" w:type="dxa"/>
              <w:left w:w="100" w:type="dxa"/>
              <w:bottom w:w="60" w:type="dxa"/>
              <w:right w:w="100" w:type="dxa"/>
            </w:tcMar>
            <w:vAlign w:val="center"/>
          </w:tcPr>
          <w:p w14:paraId="0229EA9E"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Gross Profit</w:t>
            </w:r>
          </w:p>
        </w:tc>
        <w:tc>
          <w:tcPr>
            <w:tcW w:w="1560" w:type="dxa"/>
            <w:shd w:val="clear" w:color="auto" w:fill="auto"/>
            <w:tcMar>
              <w:top w:w="60" w:type="dxa"/>
              <w:left w:w="100" w:type="dxa"/>
              <w:bottom w:w="60" w:type="dxa"/>
              <w:right w:w="100" w:type="dxa"/>
            </w:tcMar>
            <w:vAlign w:val="center"/>
          </w:tcPr>
          <w:p w14:paraId="1D1A6B0B"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17,798</w:t>
            </w:r>
          </w:p>
        </w:tc>
        <w:tc>
          <w:tcPr>
            <w:tcW w:w="1560" w:type="dxa"/>
            <w:shd w:val="clear" w:color="auto" w:fill="auto"/>
            <w:tcMar>
              <w:top w:w="60" w:type="dxa"/>
              <w:left w:w="100" w:type="dxa"/>
              <w:bottom w:w="60" w:type="dxa"/>
              <w:right w:w="100" w:type="dxa"/>
            </w:tcMar>
            <w:vAlign w:val="center"/>
          </w:tcPr>
          <w:p w14:paraId="19894EF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22,511</w:t>
            </w:r>
          </w:p>
        </w:tc>
        <w:tc>
          <w:tcPr>
            <w:tcW w:w="1560" w:type="dxa"/>
            <w:shd w:val="clear" w:color="auto" w:fill="auto"/>
            <w:tcMar>
              <w:top w:w="60" w:type="dxa"/>
              <w:left w:w="100" w:type="dxa"/>
              <w:bottom w:w="60" w:type="dxa"/>
              <w:right w:w="100" w:type="dxa"/>
            </w:tcMar>
            <w:vAlign w:val="center"/>
          </w:tcPr>
          <w:p w14:paraId="43A6BBD6"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26,315</w:t>
            </w:r>
          </w:p>
        </w:tc>
        <w:tc>
          <w:tcPr>
            <w:tcW w:w="1560" w:type="dxa"/>
            <w:shd w:val="clear" w:color="auto" w:fill="auto"/>
            <w:tcMar>
              <w:top w:w="60" w:type="dxa"/>
              <w:left w:w="100" w:type="dxa"/>
              <w:bottom w:w="60" w:type="dxa"/>
              <w:right w:w="100" w:type="dxa"/>
            </w:tcMar>
            <w:vAlign w:val="center"/>
          </w:tcPr>
          <w:p w14:paraId="6E80C85F"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32,564</w:t>
            </w:r>
          </w:p>
        </w:tc>
        <w:tc>
          <w:tcPr>
            <w:tcW w:w="1560" w:type="dxa"/>
            <w:shd w:val="clear" w:color="auto" w:fill="auto"/>
            <w:tcMar>
              <w:top w:w="60" w:type="dxa"/>
              <w:left w:w="100" w:type="dxa"/>
              <w:bottom w:w="60" w:type="dxa"/>
              <w:right w:w="100" w:type="dxa"/>
            </w:tcMar>
            <w:vAlign w:val="center"/>
          </w:tcPr>
          <w:p w14:paraId="5D93D73A"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34,000</w:t>
            </w:r>
          </w:p>
        </w:tc>
      </w:tr>
      <w:tr w:rsidR="00172353" w:rsidRPr="00D40CBE" w14:paraId="55AB86B8" w14:textId="77777777" w:rsidTr="00D40CBE">
        <w:tc>
          <w:tcPr>
            <w:tcW w:w="1560" w:type="dxa"/>
            <w:shd w:val="clear" w:color="auto" w:fill="auto"/>
            <w:tcMar>
              <w:top w:w="60" w:type="dxa"/>
              <w:left w:w="100" w:type="dxa"/>
              <w:bottom w:w="60" w:type="dxa"/>
              <w:right w:w="100" w:type="dxa"/>
            </w:tcMar>
            <w:vAlign w:val="center"/>
          </w:tcPr>
          <w:p w14:paraId="2CD7A71C"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Operating Profit</w:t>
            </w:r>
          </w:p>
        </w:tc>
        <w:tc>
          <w:tcPr>
            <w:tcW w:w="1560" w:type="dxa"/>
            <w:shd w:val="clear" w:color="auto" w:fill="auto"/>
            <w:tcMar>
              <w:top w:w="60" w:type="dxa"/>
              <w:left w:w="100" w:type="dxa"/>
              <w:bottom w:w="60" w:type="dxa"/>
              <w:right w:w="100" w:type="dxa"/>
            </w:tcMar>
            <w:vAlign w:val="center"/>
          </w:tcPr>
          <w:p w14:paraId="6832B091"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2,749</w:t>
            </w:r>
          </w:p>
        </w:tc>
        <w:tc>
          <w:tcPr>
            <w:tcW w:w="1560" w:type="dxa"/>
            <w:shd w:val="clear" w:color="auto" w:fill="auto"/>
            <w:tcMar>
              <w:top w:w="60" w:type="dxa"/>
              <w:left w:w="100" w:type="dxa"/>
              <w:bottom w:w="60" w:type="dxa"/>
              <w:right w:w="100" w:type="dxa"/>
            </w:tcMar>
            <w:vAlign w:val="center"/>
          </w:tcPr>
          <w:p w14:paraId="7BAC8AE1"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6,679</w:t>
            </w:r>
          </w:p>
        </w:tc>
        <w:tc>
          <w:tcPr>
            <w:tcW w:w="1560" w:type="dxa"/>
            <w:shd w:val="clear" w:color="auto" w:fill="auto"/>
            <w:tcMar>
              <w:top w:w="60" w:type="dxa"/>
              <w:left w:w="100" w:type="dxa"/>
              <w:bottom w:w="60" w:type="dxa"/>
              <w:right w:w="100" w:type="dxa"/>
            </w:tcMar>
            <w:vAlign w:val="center"/>
          </w:tcPr>
          <w:p w14:paraId="2558E2A2"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9,823</w:t>
            </w:r>
          </w:p>
        </w:tc>
        <w:tc>
          <w:tcPr>
            <w:tcW w:w="1560" w:type="dxa"/>
            <w:shd w:val="clear" w:color="auto" w:fill="auto"/>
            <w:tcMar>
              <w:top w:w="60" w:type="dxa"/>
              <w:left w:w="100" w:type="dxa"/>
              <w:bottom w:w="60" w:type="dxa"/>
              <w:right w:w="100" w:type="dxa"/>
            </w:tcMar>
            <w:vAlign w:val="center"/>
          </w:tcPr>
          <w:p w14:paraId="5DFB354B"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15,130</w:t>
            </w:r>
          </w:p>
        </w:tc>
        <w:tc>
          <w:tcPr>
            <w:tcW w:w="1560" w:type="dxa"/>
            <w:shd w:val="clear" w:color="auto" w:fill="auto"/>
            <w:tcMar>
              <w:top w:w="60" w:type="dxa"/>
              <w:left w:w="100" w:type="dxa"/>
              <w:bottom w:w="60" w:type="dxa"/>
              <w:right w:w="100" w:type="dxa"/>
            </w:tcMar>
            <w:vAlign w:val="center"/>
          </w:tcPr>
          <w:p w14:paraId="0938734A"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13,800</w:t>
            </w:r>
          </w:p>
        </w:tc>
      </w:tr>
      <w:tr w:rsidR="00172353" w:rsidRPr="00D40CBE" w14:paraId="1A2C92E0" w14:textId="77777777" w:rsidTr="00D40CBE">
        <w:tc>
          <w:tcPr>
            <w:tcW w:w="1560" w:type="dxa"/>
            <w:shd w:val="clear" w:color="auto" w:fill="auto"/>
            <w:tcMar>
              <w:top w:w="60" w:type="dxa"/>
              <w:left w:w="100" w:type="dxa"/>
              <w:bottom w:w="60" w:type="dxa"/>
              <w:right w:w="100" w:type="dxa"/>
            </w:tcMar>
            <w:vAlign w:val="center"/>
          </w:tcPr>
          <w:p w14:paraId="305C1A76"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Net Profit after Tax</w:t>
            </w:r>
          </w:p>
        </w:tc>
        <w:tc>
          <w:tcPr>
            <w:tcW w:w="1560" w:type="dxa"/>
            <w:shd w:val="clear" w:color="auto" w:fill="auto"/>
            <w:tcMar>
              <w:top w:w="60" w:type="dxa"/>
              <w:left w:w="100" w:type="dxa"/>
              <w:bottom w:w="60" w:type="dxa"/>
              <w:right w:w="100" w:type="dxa"/>
            </w:tcMar>
            <w:vAlign w:val="center"/>
          </w:tcPr>
          <w:p w14:paraId="586FDDA2"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1,637</w:t>
            </w:r>
          </w:p>
        </w:tc>
        <w:tc>
          <w:tcPr>
            <w:tcW w:w="1560" w:type="dxa"/>
            <w:shd w:val="clear" w:color="auto" w:fill="auto"/>
            <w:tcMar>
              <w:top w:w="60" w:type="dxa"/>
              <w:left w:w="100" w:type="dxa"/>
              <w:bottom w:w="60" w:type="dxa"/>
              <w:right w:w="100" w:type="dxa"/>
            </w:tcMar>
            <w:vAlign w:val="center"/>
          </w:tcPr>
          <w:p w14:paraId="5696759A"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5,775</w:t>
            </w:r>
          </w:p>
        </w:tc>
        <w:tc>
          <w:tcPr>
            <w:tcW w:w="1560" w:type="dxa"/>
            <w:shd w:val="clear" w:color="auto" w:fill="auto"/>
            <w:tcMar>
              <w:top w:w="60" w:type="dxa"/>
              <w:left w:w="100" w:type="dxa"/>
              <w:bottom w:w="60" w:type="dxa"/>
              <w:right w:w="100" w:type="dxa"/>
            </w:tcMar>
            <w:vAlign w:val="center"/>
          </w:tcPr>
          <w:p w14:paraId="652A8868"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7,962</w:t>
            </w:r>
          </w:p>
        </w:tc>
        <w:tc>
          <w:tcPr>
            <w:tcW w:w="1560" w:type="dxa"/>
            <w:shd w:val="clear" w:color="auto" w:fill="auto"/>
            <w:tcMar>
              <w:top w:w="60" w:type="dxa"/>
              <w:left w:w="100" w:type="dxa"/>
              <w:bottom w:w="60" w:type="dxa"/>
              <w:right w:w="100" w:type="dxa"/>
            </w:tcMar>
            <w:vAlign w:val="center"/>
          </w:tcPr>
          <w:p w14:paraId="2BBFFA77"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12,451</w:t>
            </w:r>
          </w:p>
        </w:tc>
        <w:tc>
          <w:tcPr>
            <w:tcW w:w="1560" w:type="dxa"/>
            <w:shd w:val="clear" w:color="auto" w:fill="auto"/>
            <w:tcMar>
              <w:top w:w="60" w:type="dxa"/>
              <w:left w:w="100" w:type="dxa"/>
              <w:bottom w:w="60" w:type="dxa"/>
              <w:right w:w="100" w:type="dxa"/>
            </w:tcMar>
            <w:vAlign w:val="center"/>
          </w:tcPr>
          <w:p w14:paraId="7EF8644B"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10,900</w:t>
            </w:r>
          </w:p>
        </w:tc>
      </w:tr>
      <w:tr w:rsidR="00172353" w:rsidRPr="00D40CBE" w14:paraId="6D4DEEAF" w14:textId="77777777" w:rsidTr="00D40CBE">
        <w:tc>
          <w:tcPr>
            <w:tcW w:w="1560" w:type="dxa"/>
            <w:shd w:val="clear" w:color="auto" w:fill="auto"/>
            <w:tcMar>
              <w:top w:w="60" w:type="dxa"/>
              <w:left w:w="100" w:type="dxa"/>
              <w:bottom w:w="60" w:type="dxa"/>
              <w:right w:w="100" w:type="dxa"/>
            </w:tcMar>
            <w:vAlign w:val="center"/>
          </w:tcPr>
          <w:p w14:paraId="3B0B5824"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Total Assets</w:t>
            </w:r>
          </w:p>
        </w:tc>
        <w:tc>
          <w:tcPr>
            <w:tcW w:w="1560" w:type="dxa"/>
            <w:shd w:val="clear" w:color="auto" w:fill="auto"/>
            <w:tcMar>
              <w:top w:w="60" w:type="dxa"/>
              <w:left w:w="100" w:type="dxa"/>
              <w:bottom w:w="60" w:type="dxa"/>
              <w:right w:w="100" w:type="dxa"/>
            </w:tcMar>
            <w:vAlign w:val="center"/>
          </w:tcPr>
          <w:p w14:paraId="3D4142D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233,000</w:t>
            </w:r>
          </w:p>
        </w:tc>
        <w:tc>
          <w:tcPr>
            <w:tcW w:w="1560" w:type="dxa"/>
            <w:shd w:val="clear" w:color="auto" w:fill="auto"/>
            <w:tcMar>
              <w:top w:w="60" w:type="dxa"/>
              <w:left w:w="100" w:type="dxa"/>
              <w:bottom w:w="60" w:type="dxa"/>
              <w:right w:w="100" w:type="dxa"/>
            </w:tcMar>
            <w:vAlign w:val="center"/>
          </w:tcPr>
          <w:p w14:paraId="0BADB27C"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246,000</w:t>
            </w:r>
          </w:p>
        </w:tc>
        <w:tc>
          <w:tcPr>
            <w:tcW w:w="1560" w:type="dxa"/>
            <w:shd w:val="clear" w:color="auto" w:fill="auto"/>
            <w:tcMar>
              <w:top w:w="60" w:type="dxa"/>
              <w:left w:w="100" w:type="dxa"/>
              <w:bottom w:w="60" w:type="dxa"/>
              <w:right w:w="100" w:type="dxa"/>
            </w:tcMar>
            <w:vAlign w:val="center"/>
          </w:tcPr>
          <w:p w14:paraId="21A4EF01"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265,000</w:t>
            </w:r>
          </w:p>
        </w:tc>
        <w:tc>
          <w:tcPr>
            <w:tcW w:w="1560" w:type="dxa"/>
            <w:shd w:val="clear" w:color="auto" w:fill="auto"/>
            <w:tcMar>
              <w:top w:w="60" w:type="dxa"/>
              <w:left w:w="100" w:type="dxa"/>
              <w:bottom w:w="60" w:type="dxa"/>
              <w:right w:w="100" w:type="dxa"/>
            </w:tcMar>
            <w:vAlign w:val="center"/>
          </w:tcPr>
          <w:p w14:paraId="4F71B66E"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285,000</w:t>
            </w:r>
          </w:p>
        </w:tc>
        <w:tc>
          <w:tcPr>
            <w:tcW w:w="1560" w:type="dxa"/>
            <w:shd w:val="clear" w:color="auto" w:fill="auto"/>
            <w:tcMar>
              <w:top w:w="60" w:type="dxa"/>
              <w:left w:w="100" w:type="dxa"/>
              <w:bottom w:w="60" w:type="dxa"/>
              <w:right w:w="100" w:type="dxa"/>
            </w:tcMar>
            <w:vAlign w:val="center"/>
          </w:tcPr>
          <w:p w14:paraId="58707539"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302,000</w:t>
            </w:r>
          </w:p>
        </w:tc>
      </w:tr>
      <w:tr w:rsidR="00172353" w:rsidRPr="00D40CBE" w14:paraId="52A29E82" w14:textId="77777777" w:rsidTr="00D40CBE">
        <w:tc>
          <w:tcPr>
            <w:tcW w:w="1560" w:type="dxa"/>
            <w:shd w:val="clear" w:color="auto" w:fill="auto"/>
            <w:tcMar>
              <w:top w:w="60" w:type="dxa"/>
              <w:left w:w="100" w:type="dxa"/>
              <w:bottom w:w="60" w:type="dxa"/>
              <w:right w:w="100" w:type="dxa"/>
            </w:tcMar>
            <w:vAlign w:val="center"/>
          </w:tcPr>
          <w:p w14:paraId="61CAADC0"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Total Equity</w:t>
            </w:r>
          </w:p>
        </w:tc>
        <w:tc>
          <w:tcPr>
            <w:tcW w:w="1560" w:type="dxa"/>
            <w:shd w:val="clear" w:color="auto" w:fill="auto"/>
            <w:tcMar>
              <w:top w:w="60" w:type="dxa"/>
              <w:left w:w="100" w:type="dxa"/>
              <w:bottom w:w="60" w:type="dxa"/>
              <w:right w:w="100" w:type="dxa"/>
            </w:tcMar>
            <w:vAlign w:val="center"/>
          </w:tcPr>
          <w:p w14:paraId="37789A7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86,000</w:t>
            </w:r>
          </w:p>
        </w:tc>
        <w:tc>
          <w:tcPr>
            <w:tcW w:w="1560" w:type="dxa"/>
            <w:shd w:val="clear" w:color="auto" w:fill="auto"/>
            <w:tcMar>
              <w:top w:w="60" w:type="dxa"/>
              <w:left w:w="100" w:type="dxa"/>
              <w:bottom w:w="60" w:type="dxa"/>
              <w:right w:w="100" w:type="dxa"/>
            </w:tcMar>
            <w:vAlign w:val="center"/>
          </w:tcPr>
          <w:p w14:paraId="28CA501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89,000</w:t>
            </w:r>
          </w:p>
        </w:tc>
        <w:tc>
          <w:tcPr>
            <w:tcW w:w="1560" w:type="dxa"/>
            <w:shd w:val="clear" w:color="auto" w:fill="auto"/>
            <w:tcMar>
              <w:top w:w="60" w:type="dxa"/>
              <w:left w:w="100" w:type="dxa"/>
              <w:bottom w:w="60" w:type="dxa"/>
              <w:right w:w="100" w:type="dxa"/>
            </w:tcMar>
            <w:vAlign w:val="center"/>
          </w:tcPr>
          <w:p w14:paraId="746EAD02"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96,000</w:t>
            </w:r>
          </w:p>
        </w:tc>
        <w:tc>
          <w:tcPr>
            <w:tcW w:w="1560" w:type="dxa"/>
            <w:shd w:val="clear" w:color="auto" w:fill="auto"/>
            <w:tcMar>
              <w:top w:w="60" w:type="dxa"/>
              <w:left w:w="100" w:type="dxa"/>
              <w:bottom w:w="60" w:type="dxa"/>
              <w:right w:w="100" w:type="dxa"/>
            </w:tcMar>
            <w:vAlign w:val="center"/>
          </w:tcPr>
          <w:p w14:paraId="54F02A3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108,000</w:t>
            </w:r>
          </w:p>
        </w:tc>
        <w:tc>
          <w:tcPr>
            <w:tcW w:w="1560" w:type="dxa"/>
            <w:shd w:val="clear" w:color="auto" w:fill="auto"/>
            <w:tcMar>
              <w:top w:w="60" w:type="dxa"/>
              <w:left w:w="100" w:type="dxa"/>
              <w:bottom w:w="60" w:type="dxa"/>
              <w:right w:w="100" w:type="dxa"/>
            </w:tcMar>
            <w:vAlign w:val="center"/>
          </w:tcPr>
          <w:p w14:paraId="1C8FC5C4"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116,000</w:t>
            </w:r>
          </w:p>
        </w:tc>
      </w:tr>
      <w:tr w:rsidR="00172353" w:rsidRPr="00D40CBE" w14:paraId="4B90B0FC" w14:textId="77777777" w:rsidTr="00D40CBE">
        <w:tc>
          <w:tcPr>
            <w:tcW w:w="1560" w:type="dxa"/>
            <w:shd w:val="clear" w:color="auto" w:fill="auto"/>
            <w:tcMar>
              <w:top w:w="60" w:type="dxa"/>
              <w:left w:w="100" w:type="dxa"/>
              <w:bottom w:w="60" w:type="dxa"/>
              <w:right w:w="100" w:type="dxa"/>
            </w:tcMar>
            <w:vAlign w:val="center"/>
          </w:tcPr>
          <w:p w14:paraId="43A7C4CE"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Total Liabilities</w:t>
            </w:r>
          </w:p>
        </w:tc>
        <w:tc>
          <w:tcPr>
            <w:tcW w:w="1560" w:type="dxa"/>
            <w:shd w:val="clear" w:color="auto" w:fill="auto"/>
            <w:tcMar>
              <w:top w:w="60" w:type="dxa"/>
              <w:left w:w="100" w:type="dxa"/>
              <w:bottom w:w="60" w:type="dxa"/>
              <w:right w:w="100" w:type="dxa"/>
            </w:tcMar>
            <w:vAlign w:val="center"/>
          </w:tcPr>
          <w:p w14:paraId="1635FC0A"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147,000</w:t>
            </w:r>
          </w:p>
        </w:tc>
        <w:tc>
          <w:tcPr>
            <w:tcW w:w="1560" w:type="dxa"/>
            <w:shd w:val="clear" w:color="auto" w:fill="auto"/>
            <w:tcMar>
              <w:top w:w="60" w:type="dxa"/>
              <w:left w:w="100" w:type="dxa"/>
              <w:bottom w:w="60" w:type="dxa"/>
              <w:right w:w="100" w:type="dxa"/>
            </w:tcMar>
            <w:vAlign w:val="center"/>
          </w:tcPr>
          <w:p w14:paraId="3012C002"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157,000</w:t>
            </w:r>
          </w:p>
        </w:tc>
        <w:tc>
          <w:tcPr>
            <w:tcW w:w="1560" w:type="dxa"/>
            <w:shd w:val="clear" w:color="auto" w:fill="auto"/>
            <w:tcMar>
              <w:top w:w="60" w:type="dxa"/>
              <w:left w:w="100" w:type="dxa"/>
              <w:bottom w:w="60" w:type="dxa"/>
              <w:right w:w="100" w:type="dxa"/>
            </w:tcMar>
            <w:vAlign w:val="center"/>
          </w:tcPr>
          <w:p w14:paraId="5A5CE54A"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169,000</w:t>
            </w:r>
          </w:p>
        </w:tc>
        <w:tc>
          <w:tcPr>
            <w:tcW w:w="1560" w:type="dxa"/>
            <w:shd w:val="clear" w:color="auto" w:fill="auto"/>
            <w:tcMar>
              <w:top w:w="60" w:type="dxa"/>
              <w:left w:w="100" w:type="dxa"/>
              <w:bottom w:w="60" w:type="dxa"/>
              <w:right w:w="100" w:type="dxa"/>
            </w:tcMar>
            <w:vAlign w:val="center"/>
          </w:tcPr>
          <w:p w14:paraId="38D53C8C"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177,000</w:t>
            </w:r>
          </w:p>
        </w:tc>
        <w:tc>
          <w:tcPr>
            <w:tcW w:w="1560" w:type="dxa"/>
            <w:shd w:val="clear" w:color="auto" w:fill="auto"/>
            <w:tcMar>
              <w:top w:w="60" w:type="dxa"/>
              <w:left w:w="100" w:type="dxa"/>
              <w:bottom w:w="60" w:type="dxa"/>
              <w:right w:w="100" w:type="dxa"/>
            </w:tcMar>
            <w:vAlign w:val="center"/>
          </w:tcPr>
          <w:p w14:paraId="67809994"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186,000</w:t>
            </w:r>
          </w:p>
        </w:tc>
      </w:tr>
      <w:tr w:rsidR="00172353" w:rsidRPr="00D40CBE" w14:paraId="0E4E55F3" w14:textId="77777777" w:rsidTr="00D40CBE">
        <w:tc>
          <w:tcPr>
            <w:tcW w:w="1560" w:type="dxa"/>
            <w:shd w:val="clear" w:color="auto" w:fill="auto"/>
            <w:tcMar>
              <w:top w:w="60" w:type="dxa"/>
              <w:left w:w="100" w:type="dxa"/>
              <w:bottom w:w="60" w:type="dxa"/>
              <w:right w:w="100" w:type="dxa"/>
            </w:tcMar>
            <w:vAlign w:val="center"/>
          </w:tcPr>
          <w:p w14:paraId="08E294CF"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Current Assets</w:t>
            </w:r>
          </w:p>
        </w:tc>
        <w:tc>
          <w:tcPr>
            <w:tcW w:w="1560" w:type="dxa"/>
            <w:shd w:val="clear" w:color="auto" w:fill="auto"/>
            <w:tcMar>
              <w:top w:w="60" w:type="dxa"/>
              <w:left w:w="100" w:type="dxa"/>
              <w:bottom w:w="60" w:type="dxa"/>
              <w:right w:w="100" w:type="dxa"/>
            </w:tcMar>
            <w:vAlign w:val="center"/>
          </w:tcPr>
          <w:p w14:paraId="777373D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75,000</w:t>
            </w:r>
          </w:p>
        </w:tc>
        <w:tc>
          <w:tcPr>
            <w:tcW w:w="1560" w:type="dxa"/>
            <w:shd w:val="clear" w:color="auto" w:fill="auto"/>
            <w:tcMar>
              <w:top w:w="60" w:type="dxa"/>
              <w:left w:w="100" w:type="dxa"/>
              <w:bottom w:w="60" w:type="dxa"/>
              <w:right w:w="100" w:type="dxa"/>
            </w:tcMar>
            <w:vAlign w:val="center"/>
          </w:tcPr>
          <w:p w14:paraId="232F99C8"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79,000</w:t>
            </w:r>
          </w:p>
        </w:tc>
        <w:tc>
          <w:tcPr>
            <w:tcW w:w="1560" w:type="dxa"/>
            <w:shd w:val="clear" w:color="auto" w:fill="auto"/>
            <w:tcMar>
              <w:top w:w="60" w:type="dxa"/>
              <w:left w:w="100" w:type="dxa"/>
              <w:bottom w:w="60" w:type="dxa"/>
              <w:right w:w="100" w:type="dxa"/>
            </w:tcMar>
            <w:vAlign w:val="center"/>
          </w:tcPr>
          <w:p w14:paraId="742B5A9B"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88,000</w:t>
            </w:r>
          </w:p>
        </w:tc>
        <w:tc>
          <w:tcPr>
            <w:tcW w:w="1560" w:type="dxa"/>
            <w:shd w:val="clear" w:color="auto" w:fill="auto"/>
            <w:tcMar>
              <w:top w:w="60" w:type="dxa"/>
              <w:left w:w="100" w:type="dxa"/>
              <w:bottom w:w="60" w:type="dxa"/>
              <w:right w:w="100" w:type="dxa"/>
            </w:tcMar>
            <w:vAlign w:val="center"/>
          </w:tcPr>
          <w:p w14:paraId="3E3FDB0E"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95,000</w:t>
            </w:r>
          </w:p>
        </w:tc>
        <w:tc>
          <w:tcPr>
            <w:tcW w:w="1560" w:type="dxa"/>
            <w:shd w:val="clear" w:color="auto" w:fill="auto"/>
            <w:tcMar>
              <w:top w:w="60" w:type="dxa"/>
              <w:left w:w="100" w:type="dxa"/>
              <w:bottom w:w="60" w:type="dxa"/>
              <w:right w:w="100" w:type="dxa"/>
            </w:tcMar>
            <w:vAlign w:val="center"/>
          </w:tcPr>
          <w:p w14:paraId="32C36D8C"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100,000</w:t>
            </w:r>
          </w:p>
        </w:tc>
      </w:tr>
      <w:tr w:rsidR="00172353" w:rsidRPr="00D40CBE" w14:paraId="4C532956" w14:textId="77777777" w:rsidTr="00D40CBE">
        <w:tc>
          <w:tcPr>
            <w:tcW w:w="1560" w:type="dxa"/>
            <w:shd w:val="clear" w:color="auto" w:fill="auto"/>
            <w:tcMar>
              <w:top w:w="60" w:type="dxa"/>
              <w:left w:w="100" w:type="dxa"/>
              <w:bottom w:w="60" w:type="dxa"/>
              <w:right w:w="100" w:type="dxa"/>
            </w:tcMar>
            <w:vAlign w:val="center"/>
          </w:tcPr>
          <w:p w14:paraId="6E4406B1"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Current Liabilities</w:t>
            </w:r>
          </w:p>
        </w:tc>
        <w:tc>
          <w:tcPr>
            <w:tcW w:w="1560" w:type="dxa"/>
            <w:shd w:val="clear" w:color="auto" w:fill="auto"/>
            <w:tcMar>
              <w:top w:w="60" w:type="dxa"/>
              <w:left w:w="100" w:type="dxa"/>
              <w:bottom w:w="60" w:type="dxa"/>
              <w:right w:w="100" w:type="dxa"/>
            </w:tcMar>
            <w:vAlign w:val="center"/>
          </w:tcPr>
          <w:p w14:paraId="42C1B614"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70,000</w:t>
            </w:r>
          </w:p>
        </w:tc>
        <w:tc>
          <w:tcPr>
            <w:tcW w:w="1560" w:type="dxa"/>
            <w:shd w:val="clear" w:color="auto" w:fill="auto"/>
            <w:tcMar>
              <w:top w:w="60" w:type="dxa"/>
              <w:left w:w="100" w:type="dxa"/>
              <w:bottom w:w="60" w:type="dxa"/>
              <w:right w:w="100" w:type="dxa"/>
            </w:tcMar>
            <w:vAlign w:val="center"/>
          </w:tcPr>
          <w:p w14:paraId="1C72E7D2"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73,000</w:t>
            </w:r>
          </w:p>
        </w:tc>
        <w:tc>
          <w:tcPr>
            <w:tcW w:w="1560" w:type="dxa"/>
            <w:shd w:val="clear" w:color="auto" w:fill="auto"/>
            <w:tcMar>
              <w:top w:w="60" w:type="dxa"/>
              <w:left w:w="100" w:type="dxa"/>
              <w:bottom w:w="60" w:type="dxa"/>
              <w:right w:w="100" w:type="dxa"/>
            </w:tcMar>
            <w:vAlign w:val="center"/>
          </w:tcPr>
          <w:p w14:paraId="7F3432DC"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80,000</w:t>
            </w:r>
          </w:p>
        </w:tc>
        <w:tc>
          <w:tcPr>
            <w:tcW w:w="1560" w:type="dxa"/>
            <w:shd w:val="clear" w:color="auto" w:fill="auto"/>
            <w:tcMar>
              <w:top w:w="60" w:type="dxa"/>
              <w:left w:w="100" w:type="dxa"/>
              <w:bottom w:w="60" w:type="dxa"/>
              <w:right w:w="100" w:type="dxa"/>
            </w:tcMar>
            <w:vAlign w:val="center"/>
          </w:tcPr>
          <w:p w14:paraId="10901E62"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85,000</w:t>
            </w:r>
          </w:p>
        </w:tc>
        <w:tc>
          <w:tcPr>
            <w:tcW w:w="1560" w:type="dxa"/>
            <w:shd w:val="clear" w:color="auto" w:fill="auto"/>
            <w:tcMar>
              <w:top w:w="60" w:type="dxa"/>
              <w:left w:w="100" w:type="dxa"/>
              <w:bottom w:w="60" w:type="dxa"/>
              <w:right w:w="100" w:type="dxa"/>
            </w:tcMar>
            <w:vAlign w:val="center"/>
          </w:tcPr>
          <w:p w14:paraId="03EA3DD8"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89,000</w:t>
            </w:r>
          </w:p>
        </w:tc>
      </w:tr>
      <w:tr w:rsidR="00172353" w:rsidRPr="00D40CBE" w14:paraId="1F90F455" w14:textId="77777777" w:rsidTr="00D40CBE">
        <w:tc>
          <w:tcPr>
            <w:tcW w:w="1560" w:type="dxa"/>
            <w:shd w:val="clear" w:color="auto" w:fill="auto"/>
            <w:tcMar>
              <w:top w:w="60" w:type="dxa"/>
              <w:left w:w="100" w:type="dxa"/>
              <w:bottom w:w="60" w:type="dxa"/>
              <w:right w:w="100" w:type="dxa"/>
            </w:tcMar>
            <w:vAlign w:val="center"/>
          </w:tcPr>
          <w:p w14:paraId="2D65A5FB"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Cash &amp; Cash Equivalents</w:t>
            </w:r>
          </w:p>
        </w:tc>
        <w:tc>
          <w:tcPr>
            <w:tcW w:w="1560" w:type="dxa"/>
            <w:shd w:val="clear" w:color="auto" w:fill="auto"/>
            <w:tcMar>
              <w:top w:w="60" w:type="dxa"/>
              <w:left w:w="100" w:type="dxa"/>
              <w:bottom w:w="60" w:type="dxa"/>
              <w:right w:w="100" w:type="dxa"/>
            </w:tcMar>
            <w:vAlign w:val="center"/>
          </w:tcPr>
          <w:p w14:paraId="2F9D4A94"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16,500</w:t>
            </w:r>
          </w:p>
        </w:tc>
        <w:tc>
          <w:tcPr>
            <w:tcW w:w="1560" w:type="dxa"/>
            <w:shd w:val="clear" w:color="auto" w:fill="auto"/>
            <w:tcMar>
              <w:top w:w="60" w:type="dxa"/>
              <w:left w:w="100" w:type="dxa"/>
              <w:bottom w:w="60" w:type="dxa"/>
              <w:right w:w="100" w:type="dxa"/>
            </w:tcMar>
            <w:vAlign w:val="center"/>
          </w:tcPr>
          <w:p w14:paraId="4042D2AD"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18,000</w:t>
            </w:r>
          </w:p>
        </w:tc>
        <w:tc>
          <w:tcPr>
            <w:tcW w:w="1560" w:type="dxa"/>
            <w:shd w:val="clear" w:color="auto" w:fill="auto"/>
            <w:tcMar>
              <w:top w:w="60" w:type="dxa"/>
              <w:left w:w="100" w:type="dxa"/>
              <w:bottom w:w="60" w:type="dxa"/>
              <w:right w:w="100" w:type="dxa"/>
            </w:tcMar>
            <w:vAlign w:val="center"/>
          </w:tcPr>
          <w:p w14:paraId="5E99188D"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19,500</w:t>
            </w:r>
          </w:p>
        </w:tc>
        <w:tc>
          <w:tcPr>
            <w:tcW w:w="1560" w:type="dxa"/>
            <w:shd w:val="clear" w:color="auto" w:fill="auto"/>
            <w:tcMar>
              <w:top w:w="60" w:type="dxa"/>
              <w:left w:w="100" w:type="dxa"/>
              <w:bottom w:w="60" w:type="dxa"/>
              <w:right w:w="100" w:type="dxa"/>
            </w:tcMar>
            <w:vAlign w:val="center"/>
          </w:tcPr>
          <w:p w14:paraId="324FD408"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22,000</w:t>
            </w:r>
          </w:p>
        </w:tc>
        <w:tc>
          <w:tcPr>
            <w:tcW w:w="1560" w:type="dxa"/>
            <w:shd w:val="clear" w:color="auto" w:fill="auto"/>
            <w:tcMar>
              <w:top w:w="60" w:type="dxa"/>
              <w:left w:w="100" w:type="dxa"/>
              <w:bottom w:w="60" w:type="dxa"/>
              <w:right w:w="100" w:type="dxa"/>
            </w:tcMar>
            <w:vAlign w:val="center"/>
          </w:tcPr>
          <w:p w14:paraId="3B86059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24,500</w:t>
            </w:r>
          </w:p>
        </w:tc>
      </w:tr>
      <w:tr w:rsidR="00172353" w:rsidRPr="00D40CBE" w14:paraId="40D1B4AB" w14:textId="77777777" w:rsidTr="00D40CBE">
        <w:tc>
          <w:tcPr>
            <w:tcW w:w="1560" w:type="dxa"/>
            <w:shd w:val="clear" w:color="auto" w:fill="auto"/>
            <w:tcMar>
              <w:top w:w="60" w:type="dxa"/>
              <w:left w:w="100" w:type="dxa"/>
              <w:bottom w:w="60" w:type="dxa"/>
              <w:right w:w="100" w:type="dxa"/>
            </w:tcMar>
            <w:vAlign w:val="center"/>
          </w:tcPr>
          <w:p w14:paraId="16FA1422"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Inventories</w:t>
            </w:r>
          </w:p>
        </w:tc>
        <w:tc>
          <w:tcPr>
            <w:tcW w:w="1560" w:type="dxa"/>
            <w:shd w:val="clear" w:color="auto" w:fill="auto"/>
            <w:tcMar>
              <w:top w:w="60" w:type="dxa"/>
              <w:left w:w="100" w:type="dxa"/>
              <w:bottom w:w="60" w:type="dxa"/>
              <w:right w:w="100" w:type="dxa"/>
            </w:tcMar>
            <w:vAlign w:val="center"/>
          </w:tcPr>
          <w:p w14:paraId="12E3191F"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11,500</w:t>
            </w:r>
          </w:p>
        </w:tc>
        <w:tc>
          <w:tcPr>
            <w:tcW w:w="1560" w:type="dxa"/>
            <w:shd w:val="clear" w:color="auto" w:fill="auto"/>
            <w:tcMar>
              <w:top w:w="60" w:type="dxa"/>
              <w:left w:w="100" w:type="dxa"/>
              <w:bottom w:w="60" w:type="dxa"/>
              <w:right w:w="100" w:type="dxa"/>
            </w:tcMar>
            <w:vAlign w:val="center"/>
          </w:tcPr>
          <w:p w14:paraId="2D4779A7"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12,000</w:t>
            </w:r>
          </w:p>
        </w:tc>
        <w:tc>
          <w:tcPr>
            <w:tcW w:w="1560" w:type="dxa"/>
            <w:shd w:val="clear" w:color="auto" w:fill="auto"/>
            <w:tcMar>
              <w:top w:w="60" w:type="dxa"/>
              <w:left w:w="100" w:type="dxa"/>
              <w:bottom w:w="60" w:type="dxa"/>
              <w:right w:w="100" w:type="dxa"/>
            </w:tcMar>
            <w:vAlign w:val="center"/>
          </w:tcPr>
          <w:p w14:paraId="2A12C8C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14,500</w:t>
            </w:r>
          </w:p>
        </w:tc>
        <w:tc>
          <w:tcPr>
            <w:tcW w:w="1560" w:type="dxa"/>
            <w:shd w:val="clear" w:color="auto" w:fill="auto"/>
            <w:tcMar>
              <w:top w:w="60" w:type="dxa"/>
              <w:left w:w="100" w:type="dxa"/>
              <w:bottom w:w="60" w:type="dxa"/>
              <w:right w:w="100" w:type="dxa"/>
            </w:tcMar>
            <w:vAlign w:val="center"/>
          </w:tcPr>
          <w:p w14:paraId="2DAD03E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13,500</w:t>
            </w:r>
          </w:p>
        </w:tc>
        <w:tc>
          <w:tcPr>
            <w:tcW w:w="1560" w:type="dxa"/>
            <w:shd w:val="clear" w:color="auto" w:fill="auto"/>
            <w:tcMar>
              <w:top w:w="60" w:type="dxa"/>
              <w:left w:w="100" w:type="dxa"/>
              <w:bottom w:w="60" w:type="dxa"/>
              <w:right w:w="100" w:type="dxa"/>
            </w:tcMar>
            <w:vAlign w:val="center"/>
          </w:tcPr>
          <w:p w14:paraId="617AD888"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14,000</w:t>
            </w:r>
          </w:p>
        </w:tc>
      </w:tr>
      <w:tr w:rsidR="00172353" w:rsidRPr="00D40CBE" w14:paraId="2A1E281D" w14:textId="77777777" w:rsidTr="00D40CBE">
        <w:tc>
          <w:tcPr>
            <w:tcW w:w="1560" w:type="dxa"/>
            <w:shd w:val="clear" w:color="auto" w:fill="auto"/>
            <w:tcMar>
              <w:top w:w="60" w:type="dxa"/>
              <w:left w:w="100" w:type="dxa"/>
              <w:bottom w:w="60" w:type="dxa"/>
              <w:right w:w="100" w:type="dxa"/>
            </w:tcMar>
            <w:vAlign w:val="center"/>
          </w:tcPr>
          <w:p w14:paraId="480CE71A"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Trade Receivables</w:t>
            </w:r>
          </w:p>
        </w:tc>
        <w:tc>
          <w:tcPr>
            <w:tcW w:w="1560" w:type="dxa"/>
            <w:shd w:val="clear" w:color="auto" w:fill="auto"/>
            <w:tcMar>
              <w:top w:w="60" w:type="dxa"/>
              <w:left w:w="100" w:type="dxa"/>
              <w:bottom w:w="60" w:type="dxa"/>
              <w:right w:w="100" w:type="dxa"/>
            </w:tcMar>
            <w:vAlign w:val="center"/>
          </w:tcPr>
          <w:p w14:paraId="320AA843"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8,000</w:t>
            </w:r>
          </w:p>
        </w:tc>
        <w:tc>
          <w:tcPr>
            <w:tcW w:w="1560" w:type="dxa"/>
            <w:shd w:val="clear" w:color="auto" w:fill="auto"/>
            <w:tcMar>
              <w:top w:w="60" w:type="dxa"/>
              <w:left w:w="100" w:type="dxa"/>
              <w:bottom w:w="60" w:type="dxa"/>
              <w:right w:w="100" w:type="dxa"/>
            </w:tcMar>
            <w:vAlign w:val="center"/>
          </w:tcPr>
          <w:p w14:paraId="5DE5E7AF"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9,000</w:t>
            </w:r>
          </w:p>
        </w:tc>
        <w:tc>
          <w:tcPr>
            <w:tcW w:w="1560" w:type="dxa"/>
            <w:shd w:val="clear" w:color="auto" w:fill="auto"/>
            <w:tcMar>
              <w:top w:w="60" w:type="dxa"/>
              <w:left w:w="100" w:type="dxa"/>
              <w:bottom w:w="60" w:type="dxa"/>
              <w:right w:w="100" w:type="dxa"/>
            </w:tcMar>
            <w:vAlign w:val="center"/>
          </w:tcPr>
          <w:p w14:paraId="57F5FA24"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10,000</w:t>
            </w:r>
          </w:p>
        </w:tc>
        <w:tc>
          <w:tcPr>
            <w:tcW w:w="1560" w:type="dxa"/>
            <w:shd w:val="clear" w:color="auto" w:fill="auto"/>
            <w:tcMar>
              <w:top w:w="60" w:type="dxa"/>
              <w:left w:w="100" w:type="dxa"/>
              <w:bottom w:w="60" w:type="dxa"/>
              <w:right w:w="100" w:type="dxa"/>
            </w:tcMar>
            <w:vAlign w:val="center"/>
          </w:tcPr>
          <w:p w14:paraId="128A218E"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11,000</w:t>
            </w:r>
          </w:p>
        </w:tc>
        <w:tc>
          <w:tcPr>
            <w:tcW w:w="1560" w:type="dxa"/>
            <w:shd w:val="clear" w:color="auto" w:fill="auto"/>
            <w:tcMar>
              <w:top w:w="60" w:type="dxa"/>
              <w:left w:w="100" w:type="dxa"/>
              <w:bottom w:w="60" w:type="dxa"/>
              <w:right w:w="100" w:type="dxa"/>
            </w:tcMar>
            <w:vAlign w:val="center"/>
          </w:tcPr>
          <w:p w14:paraId="5835FC55"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11,800</w:t>
            </w:r>
          </w:p>
        </w:tc>
      </w:tr>
      <w:tr w:rsidR="00172353" w:rsidRPr="00D40CBE" w14:paraId="0B8E30B5" w14:textId="77777777" w:rsidTr="00D40CBE">
        <w:tc>
          <w:tcPr>
            <w:tcW w:w="1560" w:type="dxa"/>
            <w:shd w:val="clear" w:color="auto" w:fill="auto"/>
            <w:tcMar>
              <w:top w:w="60" w:type="dxa"/>
              <w:left w:w="100" w:type="dxa"/>
              <w:bottom w:w="60" w:type="dxa"/>
              <w:right w:w="100" w:type="dxa"/>
            </w:tcMar>
            <w:vAlign w:val="center"/>
          </w:tcPr>
          <w:p w14:paraId="61F5B534" w14:textId="77777777" w:rsidR="00172353" w:rsidRPr="00D40CBE" w:rsidRDefault="00172353" w:rsidP="003E12E5">
            <w:pPr>
              <w:jc w:val="center"/>
              <w:rPr>
                <w:rFonts w:ascii="Arial" w:hAnsi="Arial" w:cs="Arial"/>
                <w:sz w:val="24"/>
                <w:szCs w:val="24"/>
              </w:rPr>
            </w:pPr>
            <w:r w:rsidRPr="00D40CBE">
              <w:rPr>
                <w:rFonts w:ascii="Arial" w:hAnsi="Arial" w:cs="Arial"/>
                <w:color w:val="404040"/>
                <w:sz w:val="24"/>
                <w:szCs w:val="24"/>
              </w:rPr>
              <w:t>Trade Payables</w:t>
            </w:r>
          </w:p>
        </w:tc>
        <w:tc>
          <w:tcPr>
            <w:tcW w:w="1560" w:type="dxa"/>
            <w:shd w:val="clear" w:color="auto" w:fill="auto"/>
            <w:tcMar>
              <w:top w:w="60" w:type="dxa"/>
              <w:left w:w="100" w:type="dxa"/>
              <w:bottom w:w="60" w:type="dxa"/>
              <w:right w:w="100" w:type="dxa"/>
            </w:tcMar>
            <w:vAlign w:val="center"/>
          </w:tcPr>
          <w:p w14:paraId="2A356F79"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10,500</w:t>
            </w:r>
          </w:p>
        </w:tc>
        <w:tc>
          <w:tcPr>
            <w:tcW w:w="1560" w:type="dxa"/>
            <w:shd w:val="clear" w:color="auto" w:fill="auto"/>
            <w:tcMar>
              <w:top w:w="60" w:type="dxa"/>
              <w:left w:w="100" w:type="dxa"/>
              <w:bottom w:w="60" w:type="dxa"/>
              <w:right w:w="100" w:type="dxa"/>
            </w:tcMar>
            <w:vAlign w:val="center"/>
          </w:tcPr>
          <w:p w14:paraId="5F0237CB"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11,000</w:t>
            </w:r>
          </w:p>
        </w:tc>
        <w:tc>
          <w:tcPr>
            <w:tcW w:w="1560" w:type="dxa"/>
            <w:shd w:val="clear" w:color="auto" w:fill="auto"/>
            <w:tcMar>
              <w:top w:w="60" w:type="dxa"/>
              <w:left w:w="100" w:type="dxa"/>
              <w:bottom w:w="60" w:type="dxa"/>
              <w:right w:w="100" w:type="dxa"/>
            </w:tcMar>
            <w:vAlign w:val="center"/>
          </w:tcPr>
          <w:p w14:paraId="7323417B"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12,500</w:t>
            </w:r>
          </w:p>
        </w:tc>
        <w:tc>
          <w:tcPr>
            <w:tcW w:w="1560" w:type="dxa"/>
            <w:shd w:val="clear" w:color="auto" w:fill="auto"/>
            <w:tcMar>
              <w:top w:w="60" w:type="dxa"/>
              <w:left w:w="100" w:type="dxa"/>
              <w:bottom w:w="60" w:type="dxa"/>
              <w:right w:w="100" w:type="dxa"/>
            </w:tcMar>
            <w:vAlign w:val="center"/>
          </w:tcPr>
          <w:p w14:paraId="2A940A9D" w14:textId="77777777" w:rsidR="00172353" w:rsidRPr="00D40CBE" w:rsidRDefault="00172353" w:rsidP="001372CD">
            <w:pPr>
              <w:jc w:val="center"/>
              <w:rPr>
                <w:rFonts w:ascii="Arial" w:hAnsi="Arial" w:cs="Arial"/>
                <w:sz w:val="24"/>
                <w:szCs w:val="24"/>
              </w:rPr>
            </w:pPr>
            <w:r w:rsidRPr="00D40CBE">
              <w:rPr>
                <w:rFonts w:ascii="Arial" w:hAnsi="Arial" w:cs="Arial"/>
                <w:color w:val="404040"/>
                <w:sz w:val="24"/>
                <w:szCs w:val="24"/>
              </w:rPr>
              <w:t>13,000</w:t>
            </w:r>
          </w:p>
        </w:tc>
        <w:tc>
          <w:tcPr>
            <w:tcW w:w="1560" w:type="dxa"/>
            <w:shd w:val="clear" w:color="auto" w:fill="auto"/>
            <w:tcMar>
              <w:top w:w="60" w:type="dxa"/>
              <w:left w:w="100" w:type="dxa"/>
              <w:bottom w:w="60" w:type="dxa"/>
              <w:right w:w="100" w:type="dxa"/>
            </w:tcMar>
            <w:vAlign w:val="center"/>
          </w:tcPr>
          <w:p w14:paraId="0C67F77D" w14:textId="77777777" w:rsidR="00172353" w:rsidRPr="00D40CBE" w:rsidRDefault="00172353" w:rsidP="00A10506">
            <w:pPr>
              <w:keepNext/>
              <w:jc w:val="center"/>
              <w:rPr>
                <w:rFonts w:ascii="Arial" w:hAnsi="Arial" w:cs="Arial"/>
                <w:sz w:val="24"/>
                <w:szCs w:val="24"/>
              </w:rPr>
            </w:pPr>
            <w:r w:rsidRPr="00D40CBE">
              <w:rPr>
                <w:rFonts w:ascii="Arial" w:hAnsi="Arial" w:cs="Arial"/>
                <w:color w:val="404040"/>
                <w:sz w:val="24"/>
                <w:szCs w:val="24"/>
              </w:rPr>
              <w:t>13,800</w:t>
            </w:r>
          </w:p>
        </w:tc>
      </w:tr>
    </w:tbl>
    <w:p w14:paraId="68EF4F5E" w14:textId="248E1021" w:rsidR="00172353" w:rsidRDefault="00A10506" w:rsidP="00A10506">
      <w:pPr>
        <w:pStyle w:val="Caption"/>
      </w:pPr>
      <w:r>
        <w:t xml:space="preserve">Table </w:t>
      </w:r>
      <w:r w:rsidR="00553D26">
        <w:fldChar w:fldCharType="begin"/>
      </w:r>
      <w:r w:rsidR="00553D26">
        <w:instrText xml:space="preserve"> SEQ Table \* ARABIC </w:instrText>
      </w:r>
      <w:r w:rsidR="00553D26">
        <w:fldChar w:fldCharType="separate"/>
      </w:r>
      <w:r w:rsidR="00215885">
        <w:rPr>
          <w:noProof/>
        </w:rPr>
        <w:t>1</w:t>
      </w:r>
      <w:r w:rsidR="00553D26">
        <w:rPr>
          <w:noProof/>
        </w:rPr>
        <w:fldChar w:fldCharType="end"/>
      </w:r>
      <w:r>
        <w:t xml:space="preserve"> </w:t>
      </w:r>
      <w:r w:rsidRPr="004B7431">
        <w:t>Source: Hyundai Motor Company Annual Reports 2020–2024, available at https://www.hyundai.com/worldwide/en/company/ir/ir-resources/annual-report</w:t>
      </w:r>
    </w:p>
    <w:p w14:paraId="3FC4AB28" w14:textId="77777777" w:rsidR="00172353" w:rsidRDefault="00172353" w:rsidP="00172353">
      <w:pPr>
        <w:pStyle w:val="Heading2"/>
      </w:pPr>
      <w:bookmarkStart w:id="4" w:name="_Toc227660466"/>
      <w:r>
        <w:rPr>
          <w:rFonts w:ascii="Arial" w:eastAsia="Arial" w:hAnsi="Arial" w:cs="Arial"/>
          <w:b/>
          <w:bCs/>
          <w:color w:val="2E75B6"/>
        </w:rPr>
        <w:lastRenderedPageBreak/>
        <w:t>1.2 Profitability Ratios</w:t>
      </w:r>
      <w:bookmarkEnd w:id="4"/>
    </w:p>
    <w:p w14:paraId="71F1F131" w14:textId="77777777" w:rsidR="00966365" w:rsidRPr="002E79F4" w:rsidRDefault="00966365" w:rsidP="002E79F4">
      <w:pPr>
        <w:pStyle w:val="Heading3"/>
        <w:spacing w:line="360" w:lineRule="auto"/>
      </w:pPr>
      <w:bookmarkStart w:id="5" w:name="_Toc227660467"/>
      <w:r w:rsidRPr="002E79F4">
        <w:rPr>
          <w:rFonts w:ascii="Arial" w:eastAsia="Arial" w:hAnsi="Arial" w:cs="Arial"/>
          <w:b/>
          <w:bCs/>
          <w:color w:val="404040"/>
        </w:rPr>
        <w:t>Table 1.2 – Profitability Ratios</w:t>
      </w:r>
      <w:bookmarkEnd w:id="5"/>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50"/>
        <w:gridCol w:w="1550"/>
        <w:gridCol w:w="1550"/>
        <w:gridCol w:w="1550"/>
        <w:gridCol w:w="1550"/>
        <w:gridCol w:w="1550"/>
      </w:tblGrid>
      <w:tr w:rsidR="00966365" w:rsidRPr="00FC4AD0" w14:paraId="6A2DDF32" w14:textId="77777777" w:rsidTr="00B656EF">
        <w:trPr>
          <w:trHeight w:val="429"/>
        </w:trPr>
        <w:tc>
          <w:tcPr>
            <w:tcW w:w="1550" w:type="dxa"/>
            <w:shd w:val="clear" w:color="auto" w:fill="auto"/>
            <w:tcMar>
              <w:top w:w="80" w:type="dxa"/>
              <w:left w:w="100" w:type="dxa"/>
              <w:bottom w:w="80" w:type="dxa"/>
              <w:right w:w="100" w:type="dxa"/>
            </w:tcMar>
            <w:vAlign w:val="center"/>
          </w:tcPr>
          <w:p w14:paraId="69BED770" w14:textId="77777777" w:rsidR="00966365" w:rsidRPr="00FC4AD0" w:rsidRDefault="00966365" w:rsidP="00FC4AD0">
            <w:pPr>
              <w:jc w:val="center"/>
              <w:rPr>
                <w:rFonts w:ascii="Arial" w:hAnsi="Arial" w:cs="Arial"/>
                <w:sz w:val="24"/>
                <w:szCs w:val="24"/>
              </w:rPr>
            </w:pPr>
            <w:r w:rsidRPr="00FC4AD0">
              <w:rPr>
                <w:rFonts w:ascii="Arial" w:hAnsi="Arial" w:cs="Arial"/>
                <w:sz w:val="24"/>
                <w:szCs w:val="24"/>
              </w:rPr>
              <w:t>Ratio</w:t>
            </w:r>
          </w:p>
        </w:tc>
        <w:tc>
          <w:tcPr>
            <w:tcW w:w="1550" w:type="dxa"/>
            <w:shd w:val="clear" w:color="auto" w:fill="auto"/>
            <w:tcMar>
              <w:top w:w="80" w:type="dxa"/>
              <w:left w:w="100" w:type="dxa"/>
              <w:bottom w:w="80" w:type="dxa"/>
              <w:right w:w="100" w:type="dxa"/>
            </w:tcMar>
            <w:vAlign w:val="center"/>
          </w:tcPr>
          <w:p w14:paraId="595BE097" w14:textId="77777777" w:rsidR="00966365" w:rsidRPr="00FC4AD0" w:rsidRDefault="00966365" w:rsidP="00FC4AD0">
            <w:pPr>
              <w:jc w:val="center"/>
              <w:rPr>
                <w:rFonts w:ascii="Arial" w:hAnsi="Arial" w:cs="Arial"/>
                <w:sz w:val="24"/>
                <w:szCs w:val="24"/>
              </w:rPr>
            </w:pPr>
            <w:r w:rsidRPr="00FC4AD0">
              <w:rPr>
                <w:rFonts w:ascii="Arial" w:hAnsi="Arial" w:cs="Arial"/>
                <w:sz w:val="24"/>
                <w:szCs w:val="24"/>
              </w:rPr>
              <w:t>2020</w:t>
            </w:r>
          </w:p>
        </w:tc>
        <w:tc>
          <w:tcPr>
            <w:tcW w:w="1550" w:type="dxa"/>
            <w:shd w:val="clear" w:color="auto" w:fill="auto"/>
            <w:tcMar>
              <w:top w:w="80" w:type="dxa"/>
              <w:left w:w="100" w:type="dxa"/>
              <w:bottom w:w="80" w:type="dxa"/>
              <w:right w:w="100" w:type="dxa"/>
            </w:tcMar>
            <w:vAlign w:val="center"/>
          </w:tcPr>
          <w:p w14:paraId="34C3F931" w14:textId="77777777" w:rsidR="00966365" w:rsidRPr="00FC4AD0" w:rsidRDefault="00966365" w:rsidP="00FC4AD0">
            <w:pPr>
              <w:jc w:val="center"/>
              <w:rPr>
                <w:rFonts w:ascii="Arial" w:hAnsi="Arial" w:cs="Arial"/>
                <w:sz w:val="24"/>
                <w:szCs w:val="24"/>
              </w:rPr>
            </w:pPr>
            <w:r w:rsidRPr="00FC4AD0">
              <w:rPr>
                <w:rFonts w:ascii="Arial" w:hAnsi="Arial" w:cs="Arial"/>
                <w:sz w:val="24"/>
                <w:szCs w:val="24"/>
              </w:rPr>
              <w:t>2021</w:t>
            </w:r>
          </w:p>
        </w:tc>
        <w:tc>
          <w:tcPr>
            <w:tcW w:w="1550" w:type="dxa"/>
            <w:shd w:val="clear" w:color="auto" w:fill="auto"/>
            <w:tcMar>
              <w:top w:w="80" w:type="dxa"/>
              <w:left w:w="100" w:type="dxa"/>
              <w:bottom w:w="80" w:type="dxa"/>
              <w:right w:w="100" w:type="dxa"/>
            </w:tcMar>
            <w:vAlign w:val="center"/>
          </w:tcPr>
          <w:p w14:paraId="5D3B9BB3" w14:textId="77777777" w:rsidR="00966365" w:rsidRPr="00FC4AD0" w:rsidRDefault="00966365" w:rsidP="00FC4AD0">
            <w:pPr>
              <w:jc w:val="center"/>
              <w:rPr>
                <w:rFonts w:ascii="Arial" w:hAnsi="Arial" w:cs="Arial"/>
                <w:sz w:val="24"/>
                <w:szCs w:val="24"/>
              </w:rPr>
            </w:pPr>
            <w:r w:rsidRPr="00FC4AD0">
              <w:rPr>
                <w:rFonts w:ascii="Arial" w:hAnsi="Arial" w:cs="Arial"/>
                <w:sz w:val="24"/>
                <w:szCs w:val="24"/>
              </w:rPr>
              <w:t>2022</w:t>
            </w:r>
          </w:p>
        </w:tc>
        <w:tc>
          <w:tcPr>
            <w:tcW w:w="1550" w:type="dxa"/>
            <w:shd w:val="clear" w:color="auto" w:fill="auto"/>
            <w:tcMar>
              <w:top w:w="80" w:type="dxa"/>
              <w:left w:w="100" w:type="dxa"/>
              <w:bottom w:w="80" w:type="dxa"/>
              <w:right w:w="100" w:type="dxa"/>
            </w:tcMar>
            <w:vAlign w:val="center"/>
          </w:tcPr>
          <w:p w14:paraId="52D10621" w14:textId="77777777" w:rsidR="00966365" w:rsidRPr="00FC4AD0" w:rsidRDefault="00966365" w:rsidP="00FC4AD0">
            <w:pPr>
              <w:jc w:val="center"/>
              <w:rPr>
                <w:rFonts w:ascii="Arial" w:hAnsi="Arial" w:cs="Arial"/>
                <w:sz w:val="24"/>
                <w:szCs w:val="24"/>
              </w:rPr>
            </w:pPr>
            <w:r w:rsidRPr="00FC4AD0">
              <w:rPr>
                <w:rFonts w:ascii="Arial" w:hAnsi="Arial" w:cs="Arial"/>
                <w:sz w:val="24"/>
                <w:szCs w:val="24"/>
              </w:rPr>
              <w:t>2023</w:t>
            </w:r>
          </w:p>
        </w:tc>
        <w:tc>
          <w:tcPr>
            <w:tcW w:w="1550" w:type="dxa"/>
            <w:shd w:val="clear" w:color="auto" w:fill="auto"/>
            <w:tcMar>
              <w:top w:w="80" w:type="dxa"/>
              <w:left w:w="100" w:type="dxa"/>
              <w:bottom w:w="80" w:type="dxa"/>
              <w:right w:w="100" w:type="dxa"/>
            </w:tcMar>
            <w:vAlign w:val="center"/>
          </w:tcPr>
          <w:p w14:paraId="37E5139A" w14:textId="4C3C630B" w:rsidR="00966365" w:rsidRPr="00FC4AD0" w:rsidRDefault="00966365" w:rsidP="00FC4AD0">
            <w:pPr>
              <w:jc w:val="center"/>
              <w:rPr>
                <w:rFonts w:ascii="Arial" w:hAnsi="Arial" w:cs="Arial"/>
                <w:sz w:val="24"/>
                <w:szCs w:val="24"/>
              </w:rPr>
            </w:pPr>
            <w:r w:rsidRPr="00FC4AD0">
              <w:rPr>
                <w:rFonts w:ascii="Arial" w:hAnsi="Arial" w:cs="Arial"/>
                <w:sz w:val="24"/>
                <w:szCs w:val="24"/>
              </w:rPr>
              <w:t>2024</w:t>
            </w:r>
          </w:p>
        </w:tc>
      </w:tr>
      <w:tr w:rsidR="00966365" w:rsidRPr="00FC4AD0" w14:paraId="0B5F8D36" w14:textId="77777777" w:rsidTr="00B656EF">
        <w:trPr>
          <w:trHeight w:val="730"/>
        </w:trPr>
        <w:tc>
          <w:tcPr>
            <w:tcW w:w="1550" w:type="dxa"/>
            <w:shd w:val="clear" w:color="auto" w:fill="auto"/>
            <w:tcMar>
              <w:top w:w="60" w:type="dxa"/>
              <w:left w:w="100" w:type="dxa"/>
              <w:bottom w:w="60" w:type="dxa"/>
              <w:right w:w="100" w:type="dxa"/>
            </w:tcMar>
            <w:vAlign w:val="center"/>
          </w:tcPr>
          <w:p w14:paraId="7CD882B6" w14:textId="77777777" w:rsidR="00966365" w:rsidRPr="00FC4AD0" w:rsidRDefault="00966365" w:rsidP="00FC4AD0">
            <w:pPr>
              <w:jc w:val="center"/>
              <w:rPr>
                <w:rFonts w:ascii="Arial" w:hAnsi="Arial" w:cs="Arial"/>
                <w:sz w:val="24"/>
                <w:szCs w:val="24"/>
              </w:rPr>
            </w:pPr>
            <w:r w:rsidRPr="00FC4AD0">
              <w:rPr>
                <w:rFonts w:ascii="Arial" w:hAnsi="Arial" w:cs="Arial"/>
                <w:color w:val="404040"/>
                <w:sz w:val="24"/>
                <w:szCs w:val="24"/>
              </w:rPr>
              <w:t>Gross Profit Margin</w:t>
            </w:r>
          </w:p>
        </w:tc>
        <w:tc>
          <w:tcPr>
            <w:tcW w:w="1550" w:type="dxa"/>
            <w:shd w:val="clear" w:color="auto" w:fill="auto"/>
            <w:tcMar>
              <w:top w:w="60" w:type="dxa"/>
              <w:left w:w="100" w:type="dxa"/>
              <w:bottom w:w="60" w:type="dxa"/>
              <w:right w:w="100" w:type="dxa"/>
            </w:tcMar>
            <w:vAlign w:val="center"/>
          </w:tcPr>
          <w:p w14:paraId="191B827F"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17.1%</w:t>
            </w:r>
          </w:p>
        </w:tc>
        <w:tc>
          <w:tcPr>
            <w:tcW w:w="1550" w:type="dxa"/>
            <w:shd w:val="clear" w:color="auto" w:fill="auto"/>
            <w:tcMar>
              <w:top w:w="60" w:type="dxa"/>
              <w:left w:w="100" w:type="dxa"/>
              <w:bottom w:w="60" w:type="dxa"/>
              <w:right w:w="100" w:type="dxa"/>
            </w:tcMar>
            <w:vAlign w:val="center"/>
          </w:tcPr>
          <w:p w14:paraId="4F69F7B6"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19.1%</w:t>
            </w:r>
          </w:p>
        </w:tc>
        <w:tc>
          <w:tcPr>
            <w:tcW w:w="1550" w:type="dxa"/>
            <w:shd w:val="clear" w:color="auto" w:fill="auto"/>
            <w:tcMar>
              <w:top w:w="60" w:type="dxa"/>
              <w:left w:w="100" w:type="dxa"/>
              <w:bottom w:w="60" w:type="dxa"/>
              <w:right w:w="100" w:type="dxa"/>
            </w:tcMar>
            <w:vAlign w:val="center"/>
          </w:tcPr>
          <w:p w14:paraId="2F50D616"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18.5%</w:t>
            </w:r>
          </w:p>
        </w:tc>
        <w:tc>
          <w:tcPr>
            <w:tcW w:w="1550" w:type="dxa"/>
            <w:shd w:val="clear" w:color="auto" w:fill="auto"/>
            <w:tcMar>
              <w:top w:w="60" w:type="dxa"/>
              <w:left w:w="100" w:type="dxa"/>
              <w:bottom w:w="60" w:type="dxa"/>
              <w:right w:w="100" w:type="dxa"/>
            </w:tcMar>
            <w:vAlign w:val="center"/>
          </w:tcPr>
          <w:p w14:paraId="4B31E315"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20.0%</w:t>
            </w:r>
          </w:p>
        </w:tc>
        <w:tc>
          <w:tcPr>
            <w:tcW w:w="1550" w:type="dxa"/>
            <w:shd w:val="clear" w:color="auto" w:fill="auto"/>
            <w:tcMar>
              <w:top w:w="60" w:type="dxa"/>
              <w:left w:w="100" w:type="dxa"/>
              <w:bottom w:w="60" w:type="dxa"/>
              <w:right w:w="100" w:type="dxa"/>
            </w:tcMar>
            <w:vAlign w:val="center"/>
          </w:tcPr>
          <w:p w14:paraId="53E17558"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19.4%</w:t>
            </w:r>
          </w:p>
        </w:tc>
      </w:tr>
      <w:tr w:rsidR="00966365" w:rsidRPr="00FC4AD0" w14:paraId="3BB2E672" w14:textId="77777777" w:rsidTr="00B656EF">
        <w:trPr>
          <w:trHeight w:val="1020"/>
        </w:trPr>
        <w:tc>
          <w:tcPr>
            <w:tcW w:w="1550" w:type="dxa"/>
            <w:shd w:val="clear" w:color="auto" w:fill="auto"/>
            <w:tcMar>
              <w:top w:w="60" w:type="dxa"/>
              <w:left w:w="100" w:type="dxa"/>
              <w:bottom w:w="60" w:type="dxa"/>
              <w:right w:w="100" w:type="dxa"/>
            </w:tcMar>
            <w:vAlign w:val="center"/>
          </w:tcPr>
          <w:p w14:paraId="6BB8F4BB" w14:textId="77777777" w:rsidR="00966365" w:rsidRPr="00FC4AD0" w:rsidRDefault="00966365" w:rsidP="00FC4AD0">
            <w:pPr>
              <w:jc w:val="center"/>
              <w:rPr>
                <w:rFonts w:ascii="Arial" w:hAnsi="Arial" w:cs="Arial"/>
                <w:sz w:val="24"/>
                <w:szCs w:val="24"/>
              </w:rPr>
            </w:pPr>
            <w:r w:rsidRPr="00FC4AD0">
              <w:rPr>
                <w:rFonts w:ascii="Arial" w:hAnsi="Arial" w:cs="Arial"/>
                <w:color w:val="404040"/>
                <w:sz w:val="24"/>
                <w:szCs w:val="24"/>
              </w:rPr>
              <w:t>Operating Profit Margin</w:t>
            </w:r>
          </w:p>
        </w:tc>
        <w:tc>
          <w:tcPr>
            <w:tcW w:w="1550" w:type="dxa"/>
            <w:shd w:val="clear" w:color="auto" w:fill="auto"/>
            <w:tcMar>
              <w:top w:w="60" w:type="dxa"/>
              <w:left w:w="100" w:type="dxa"/>
              <w:bottom w:w="60" w:type="dxa"/>
              <w:right w:w="100" w:type="dxa"/>
            </w:tcMar>
            <w:vAlign w:val="center"/>
          </w:tcPr>
          <w:p w14:paraId="319198E7"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2.6%</w:t>
            </w:r>
          </w:p>
        </w:tc>
        <w:tc>
          <w:tcPr>
            <w:tcW w:w="1550" w:type="dxa"/>
            <w:shd w:val="clear" w:color="auto" w:fill="auto"/>
            <w:tcMar>
              <w:top w:w="60" w:type="dxa"/>
              <w:left w:w="100" w:type="dxa"/>
              <w:bottom w:w="60" w:type="dxa"/>
              <w:right w:w="100" w:type="dxa"/>
            </w:tcMar>
            <w:vAlign w:val="center"/>
          </w:tcPr>
          <w:p w14:paraId="39A3B035"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5.7%</w:t>
            </w:r>
          </w:p>
        </w:tc>
        <w:tc>
          <w:tcPr>
            <w:tcW w:w="1550" w:type="dxa"/>
            <w:shd w:val="clear" w:color="auto" w:fill="auto"/>
            <w:tcMar>
              <w:top w:w="60" w:type="dxa"/>
              <w:left w:w="100" w:type="dxa"/>
              <w:bottom w:w="60" w:type="dxa"/>
              <w:right w:w="100" w:type="dxa"/>
            </w:tcMar>
            <w:vAlign w:val="center"/>
          </w:tcPr>
          <w:p w14:paraId="57ABB65F"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6.9%</w:t>
            </w:r>
          </w:p>
        </w:tc>
        <w:tc>
          <w:tcPr>
            <w:tcW w:w="1550" w:type="dxa"/>
            <w:shd w:val="clear" w:color="auto" w:fill="auto"/>
            <w:tcMar>
              <w:top w:w="60" w:type="dxa"/>
              <w:left w:w="100" w:type="dxa"/>
              <w:bottom w:w="60" w:type="dxa"/>
              <w:right w:w="100" w:type="dxa"/>
            </w:tcMar>
            <w:vAlign w:val="center"/>
          </w:tcPr>
          <w:p w14:paraId="71804189"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9.3%</w:t>
            </w:r>
          </w:p>
        </w:tc>
        <w:tc>
          <w:tcPr>
            <w:tcW w:w="1550" w:type="dxa"/>
            <w:shd w:val="clear" w:color="auto" w:fill="auto"/>
            <w:tcMar>
              <w:top w:w="60" w:type="dxa"/>
              <w:left w:w="100" w:type="dxa"/>
              <w:bottom w:w="60" w:type="dxa"/>
              <w:right w:w="100" w:type="dxa"/>
            </w:tcMar>
            <w:vAlign w:val="center"/>
          </w:tcPr>
          <w:p w14:paraId="605F1B9B"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7.9%</w:t>
            </w:r>
          </w:p>
        </w:tc>
      </w:tr>
      <w:tr w:rsidR="00966365" w:rsidRPr="00FC4AD0" w14:paraId="03675926" w14:textId="77777777" w:rsidTr="00B656EF">
        <w:trPr>
          <w:trHeight w:val="730"/>
        </w:trPr>
        <w:tc>
          <w:tcPr>
            <w:tcW w:w="1550" w:type="dxa"/>
            <w:shd w:val="clear" w:color="auto" w:fill="auto"/>
            <w:tcMar>
              <w:top w:w="60" w:type="dxa"/>
              <w:left w:w="100" w:type="dxa"/>
              <w:bottom w:w="60" w:type="dxa"/>
              <w:right w:w="100" w:type="dxa"/>
            </w:tcMar>
            <w:vAlign w:val="center"/>
          </w:tcPr>
          <w:p w14:paraId="593F74C9" w14:textId="77777777" w:rsidR="00966365" w:rsidRPr="00FC4AD0" w:rsidRDefault="00966365" w:rsidP="00FC4AD0">
            <w:pPr>
              <w:jc w:val="center"/>
              <w:rPr>
                <w:rFonts w:ascii="Arial" w:hAnsi="Arial" w:cs="Arial"/>
                <w:sz w:val="24"/>
                <w:szCs w:val="24"/>
              </w:rPr>
            </w:pPr>
            <w:r w:rsidRPr="00FC4AD0">
              <w:rPr>
                <w:rFonts w:ascii="Arial" w:hAnsi="Arial" w:cs="Arial"/>
                <w:color w:val="404040"/>
                <w:sz w:val="24"/>
                <w:szCs w:val="24"/>
              </w:rPr>
              <w:t>Net Profit Margin</w:t>
            </w:r>
          </w:p>
        </w:tc>
        <w:tc>
          <w:tcPr>
            <w:tcW w:w="1550" w:type="dxa"/>
            <w:shd w:val="clear" w:color="auto" w:fill="auto"/>
            <w:tcMar>
              <w:top w:w="60" w:type="dxa"/>
              <w:left w:w="100" w:type="dxa"/>
              <w:bottom w:w="60" w:type="dxa"/>
              <w:right w:w="100" w:type="dxa"/>
            </w:tcMar>
            <w:vAlign w:val="center"/>
          </w:tcPr>
          <w:p w14:paraId="727026E5"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1.6%</w:t>
            </w:r>
          </w:p>
        </w:tc>
        <w:tc>
          <w:tcPr>
            <w:tcW w:w="1550" w:type="dxa"/>
            <w:shd w:val="clear" w:color="auto" w:fill="auto"/>
            <w:tcMar>
              <w:top w:w="60" w:type="dxa"/>
              <w:left w:w="100" w:type="dxa"/>
              <w:bottom w:w="60" w:type="dxa"/>
              <w:right w:w="100" w:type="dxa"/>
            </w:tcMar>
            <w:vAlign w:val="center"/>
          </w:tcPr>
          <w:p w14:paraId="53912443"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4.9%</w:t>
            </w:r>
          </w:p>
        </w:tc>
        <w:tc>
          <w:tcPr>
            <w:tcW w:w="1550" w:type="dxa"/>
            <w:shd w:val="clear" w:color="auto" w:fill="auto"/>
            <w:tcMar>
              <w:top w:w="60" w:type="dxa"/>
              <w:left w:w="100" w:type="dxa"/>
              <w:bottom w:w="60" w:type="dxa"/>
              <w:right w:w="100" w:type="dxa"/>
            </w:tcMar>
            <w:vAlign w:val="center"/>
          </w:tcPr>
          <w:p w14:paraId="02290EF6"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5.6%</w:t>
            </w:r>
          </w:p>
        </w:tc>
        <w:tc>
          <w:tcPr>
            <w:tcW w:w="1550" w:type="dxa"/>
            <w:shd w:val="clear" w:color="auto" w:fill="auto"/>
            <w:tcMar>
              <w:top w:w="60" w:type="dxa"/>
              <w:left w:w="100" w:type="dxa"/>
              <w:bottom w:w="60" w:type="dxa"/>
              <w:right w:w="100" w:type="dxa"/>
            </w:tcMar>
            <w:vAlign w:val="center"/>
          </w:tcPr>
          <w:p w14:paraId="7C2FA710"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7.7%</w:t>
            </w:r>
          </w:p>
        </w:tc>
        <w:tc>
          <w:tcPr>
            <w:tcW w:w="1550" w:type="dxa"/>
            <w:shd w:val="clear" w:color="auto" w:fill="auto"/>
            <w:tcMar>
              <w:top w:w="60" w:type="dxa"/>
              <w:left w:w="100" w:type="dxa"/>
              <w:bottom w:w="60" w:type="dxa"/>
              <w:right w:w="100" w:type="dxa"/>
            </w:tcMar>
            <w:vAlign w:val="center"/>
          </w:tcPr>
          <w:p w14:paraId="4B291DC1"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6.2%</w:t>
            </w:r>
          </w:p>
        </w:tc>
      </w:tr>
      <w:tr w:rsidR="00966365" w:rsidRPr="00FC4AD0" w14:paraId="711AD109" w14:textId="77777777" w:rsidTr="00B656EF">
        <w:trPr>
          <w:trHeight w:val="1008"/>
        </w:trPr>
        <w:tc>
          <w:tcPr>
            <w:tcW w:w="1550" w:type="dxa"/>
            <w:shd w:val="clear" w:color="auto" w:fill="auto"/>
            <w:tcMar>
              <w:top w:w="60" w:type="dxa"/>
              <w:left w:w="100" w:type="dxa"/>
              <w:bottom w:w="60" w:type="dxa"/>
              <w:right w:w="100" w:type="dxa"/>
            </w:tcMar>
            <w:vAlign w:val="center"/>
          </w:tcPr>
          <w:p w14:paraId="2ED3A6BA" w14:textId="77777777" w:rsidR="00966365" w:rsidRPr="00FC4AD0" w:rsidRDefault="00966365" w:rsidP="00FC4AD0">
            <w:pPr>
              <w:jc w:val="center"/>
              <w:rPr>
                <w:rFonts w:ascii="Arial" w:hAnsi="Arial" w:cs="Arial"/>
                <w:sz w:val="24"/>
                <w:szCs w:val="24"/>
              </w:rPr>
            </w:pPr>
            <w:r w:rsidRPr="00FC4AD0">
              <w:rPr>
                <w:rFonts w:ascii="Arial" w:hAnsi="Arial" w:cs="Arial"/>
                <w:color w:val="404040"/>
                <w:sz w:val="24"/>
                <w:szCs w:val="24"/>
              </w:rPr>
              <w:t>Return on Equity (ROE)</w:t>
            </w:r>
          </w:p>
        </w:tc>
        <w:tc>
          <w:tcPr>
            <w:tcW w:w="1550" w:type="dxa"/>
            <w:shd w:val="clear" w:color="auto" w:fill="auto"/>
            <w:tcMar>
              <w:top w:w="60" w:type="dxa"/>
              <w:left w:w="100" w:type="dxa"/>
              <w:bottom w:w="60" w:type="dxa"/>
              <w:right w:w="100" w:type="dxa"/>
            </w:tcMar>
            <w:vAlign w:val="center"/>
          </w:tcPr>
          <w:p w14:paraId="08AFEF96"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1.9%</w:t>
            </w:r>
          </w:p>
        </w:tc>
        <w:tc>
          <w:tcPr>
            <w:tcW w:w="1550" w:type="dxa"/>
            <w:shd w:val="clear" w:color="auto" w:fill="auto"/>
            <w:tcMar>
              <w:top w:w="60" w:type="dxa"/>
              <w:left w:w="100" w:type="dxa"/>
              <w:bottom w:w="60" w:type="dxa"/>
              <w:right w:w="100" w:type="dxa"/>
            </w:tcMar>
            <w:vAlign w:val="center"/>
          </w:tcPr>
          <w:p w14:paraId="608701F1"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6.5%</w:t>
            </w:r>
          </w:p>
        </w:tc>
        <w:tc>
          <w:tcPr>
            <w:tcW w:w="1550" w:type="dxa"/>
            <w:shd w:val="clear" w:color="auto" w:fill="auto"/>
            <w:tcMar>
              <w:top w:w="60" w:type="dxa"/>
              <w:left w:w="100" w:type="dxa"/>
              <w:bottom w:w="60" w:type="dxa"/>
              <w:right w:w="100" w:type="dxa"/>
            </w:tcMar>
            <w:vAlign w:val="center"/>
          </w:tcPr>
          <w:p w14:paraId="36625A16"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8.3%</w:t>
            </w:r>
          </w:p>
        </w:tc>
        <w:tc>
          <w:tcPr>
            <w:tcW w:w="1550" w:type="dxa"/>
            <w:shd w:val="clear" w:color="auto" w:fill="auto"/>
            <w:tcMar>
              <w:top w:w="60" w:type="dxa"/>
              <w:left w:w="100" w:type="dxa"/>
              <w:bottom w:w="60" w:type="dxa"/>
              <w:right w:w="100" w:type="dxa"/>
            </w:tcMar>
            <w:vAlign w:val="center"/>
          </w:tcPr>
          <w:p w14:paraId="7626C82B"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11.5%</w:t>
            </w:r>
          </w:p>
        </w:tc>
        <w:tc>
          <w:tcPr>
            <w:tcW w:w="1550" w:type="dxa"/>
            <w:shd w:val="clear" w:color="auto" w:fill="auto"/>
            <w:tcMar>
              <w:top w:w="60" w:type="dxa"/>
              <w:left w:w="100" w:type="dxa"/>
              <w:bottom w:w="60" w:type="dxa"/>
              <w:right w:w="100" w:type="dxa"/>
            </w:tcMar>
            <w:vAlign w:val="center"/>
          </w:tcPr>
          <w:p w14:paraId="48DA1314"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9.4%</w:t>
            </w:r>
          </w:p>
        </w:tc>
      </w:tr>
      <w:tr w:rsidR="00966365" w:rsidRPr="00FC4AD0" w14:paraId="75075721" w14:textId="77777777" w:rsidTr="00B656EF">
        <w:trPr>
          <w:trHeight w:val="1020"/>
        </w:trPr>
        <w:tc>
          <w:tcPr>
            <w:tcW w:w="1550" w:type="dxa"/>
            <w:shd w:val="clear" w:color="auto" w:fill="auto"/>
            <w:tcMar>
              <w:top w:w="60" w:type="dxa"/>
              <w:left w:w="100" w:type="dxa"/>
              <w:bottom w:w="60" w:type="dxa"/>
              <w:right w:w="100" w:type="dxa"/>
            </w:tcMar>
            <w:vAlign w:val="center"/>
          </w:tcPr>
          <w:p w14:paraId="2CD24041" w14:textId="77777777" w:rsidR="00966365" w:rsidRPr="00FC4AD0" w:rsidRDefault="00966365" w:rsidP="00FC4AD0">
            <w:pPr>
              <w:jc w:val="center"/>
              <w:rPr>
                <w:rFonts w:ascii="Arial" w:hAnsi="Arial" w:cs="Arial"/>
                <w:sz w:val="24"/>
                <w:szCs w:val="24"/>
              </w:rPr>
            </w:pPr>
            <w:r w:rsidRPr="00FC4AD0">
              <w:rPr>
                <w:rFonts w:ascii="Arial" w:hAnsi="Arial" w:cs="Arial"/>
                <w:color w:val="404040"/>
                <w:sz w:val="24"/>
                <w:szCs w:val="24"/>
              </w:rPr>
              <w:t>Return on Assets (ROA)</w:t>
            </w:r>
          </w:p>
        </w:tc>
        <w:tc>
          <w:tcPr>
            <w:tcW w:w="1550" w:type="dxa"/>
            <w:shd w:val="clear" w:color="auto" w:fill="auto"/>
            <w:tcMar>
              <w:top w:w="60" w:type="dxa"/>
              <w:left w:w="100" w:type="dxa"/>
              <w:bottom w:w="60" w:type="dxa"/>
              <w:right w:w="100" w:type="dxa"/>
            </w:tcMar>
            <w:vAlign w:val="center"/>
          </w:tcPr>
          <w:p w14:paraId="18F7CC5E"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0.7%</w:t>
            </w:r>
          </w:p>
        </w:tc>
        <w:tc>
          <w:tcPr>
            <w:tcW w:w="1550" w:type="dxa"/>
            <w:shd w:val="clear" w:color="auto" w:fill="auto"/>
            <w:tcMar>
              <w:top w:w="60" w:type="dxa"/>
              <w:left w:w="100" w:type="dxa"/>
              <w:bottom w:w="60" w:type="dxa"/>
              <w:right w:w="100" w:type="dxa"/>
            </w:tcMar>
            <w:vAlign w:val="center"/>
          </w:tcPr>
          <w:p w14:paraId="7567E1F3"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2.3%</w:t>
            </w:r>
          </w:p>
        </w:tc>
        <w:tc>
          <w:tcPr>
            <w:tcW w:w="1550" w:type="dxa"/>
            <w:shd w:val="clear" w:color="auto" w:fill="auto"/>
            <w:tcMar>
              <w:top w:w="60" w:type="dxa"/>
              <w:left w:w="100" w:type="dxa"/>
              <w:bottom w:w="60" w:type="dxa"/>
              <w:right w:w="100" w:type="dxa"/>
            </w:tcMar>
            <w:vAlign w:val="center"/>
          </w:tcPr>
          <w:p w14:paraId="2D542323"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3.0%</w:t>
            </w:r>
          </w:p>
        </w:tc>
        <w:tc>
          <w:tcPr>
            <w:tcW w:w="1550" w:type="dxa"/>
            <w:shd w:val="clear" w:color="auto" w:fill="auto"/>
            <w:tcMar>
              <w:top w:w="60" w:type="dxa"/>
              <w:left w:w="100" w:type="dxa"/>
              <w:bottom w:w="60" w:type="dxa"/>
              <w:right w:w="100" w:type="dxa"/>
            </w:tcMar>
            <w:vAlign w:val="center"/>
          </w:tcPr>
          <w:p w14:paraId="0FD4B2EF"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4.4%</w:t>
            </w:r>
          </w:p>
        </w:tc>
        <w:tc>
          <w:tcPr>
            <w:tcW w:w="1550" w:type="dxa"/>
            <w:shd w:val="clear" w:color="auto" w:fill="auto"/>
            <w:tcMar>
              <w:top w:w="60" w:type="dxa"/>
              <w:left w:w="100" w:type="dxa"/>
              <w:bottom w:w="60" w:type="dxa"/>
              <w:right w:w="100" w:type="dxa"/>
            </w:tcMar>
            <w:vAlign w:val="center"/>
          </w:tcPr>
          <w:p w14:paraId="6DE13DA8"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3.6%</w:t>
            </w:r>
          </w:p>
        </w:tc>
      </w:tr>
      <w:tr w:rsidR="00966365" w:rsidRPr="00FC4AD0" w14:paraId="395DE277" w14:textId="77777777" w:rsidTr="00B656EF">
        <w:trPr>
          <w:trHeight w:val="695"/>
        </w:trPr>
        <w:tc>
          <w:tcPr>
            <w:tcW w:w="1550" w:type="dxa"/>
            <w:shd w:val="clear" w:color="auto" w:fill="auto"/>
            <w:tcMar>
              <w:top w:w="60" w:type="dxa"/>
              <w:left w:w="100" w:type="dxa"/>
              <w:bottom w:w="60" w:type="dxa"/>
              <w:right w:w="100" w:type="dxa"/>
            </w:tcMar>
            <w:vAlign w:val="center"/>
          </w:tcPr>
          <w:p w14:paraId="35A68BFE" w14:textId="77777777" w:rsidR="00966365" w:rsidRPr="00FC4AD0" w:rsidRDefault="00966365" w:rsidP="00FC4AD0">
            <w:pPr>
              <w:jc w:val="center"/>
              <w:rPr>
                <w:rFonts w:ascii="Arial" w:hAnsi="Arial" w:cs="Arial"/>
                <w:sz w:val="24"/>
                <w:szCs w:val="24"/>
              </w:rPr>
            </w:pPr>
            <w:r w:rsidRPr="00FC4AD0">
              <w:rPr>
                <w:rFonts w:ascii="Arial" w:hAnsi="Arial" w:cs="Arial"/>
                <w:color w:val="404040"/>
                <w:sz w:val="24"/>
                <w:szCs w:val="24"/>
              </w:rPr>
              <w:t>EBITDA Margin (approx.)</w:t>
            </w:r>
          </w:p>
        </w:tc>
        <w:tc>
          <w:tcPr>
            <w:tcW w:w="1550" w:type="dxa"/>
            <w:shd w:val="clear" w:color="auto" w:fill="auto"/>
            <w:tcMar>
              <w:top w:w="60" w:type="dxa"/>
              <w:left w:w="100" w:type="dxa"/>
              <w:bottom w:w="60" w:type="dxa"/>
              <w:right w:w="100" w:type="dxa"/>
            </w:tcMar>
            <w:vAlign w:val="center"/>
          </w:tcPr>
          <w:p w14:paraId="5155649E"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6.1%</w:t>
            </w:r>
          </w:p>
        </w:tc>
        <w:tc>
          <w:tcPr>
            <w:tcW w:w="1550" w:type="dxa"/>
            <w:shd w:val="clear" w:color="auto" w:fill="auto"/>
            <w:tcMar>
              <w:top w:w="60" w:type="dxa"/>
              <w:left w:w="100" w:type="dxa"/>
              <w:bottom w:w="60" w:type="dxa"/>
              <w:right w:w="100" w:type="dxa"/>
            </w:tcMar>
            <w:vAlign w:val="center"/>
          </w:tcPr>
          <w:p w14:paraId="5401D6F7"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9.4%</w:t>
            </w:r>
          </w:p>
        </w:tc>
        <w:tc>
          <w:tcPr>
            <w:tcW w:w="1550" w:type="dxa"/>
            <w:shd w:val="clear" w:color="auto" w:fill="auto"/>
            <w:tcMar>
              <w:top w:w="60" w:type="dxa"/>
              <w:left w:w="100" w:type="dxa"/>
              <w:bottom w:w="60" w:type="dxa"/>
              <w:right w:w="100" w:type="dxa"/>
            </w:tcMar>
            <w:vAlign w:val="center"/>
          </w:tcPr>
          <w:p w14:paraId="65A0AC34"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10.5%</w:t>
            </w:r>
          </w:p>
        </w:tc>
        <w:tc>
          <w:tcPr>
            <w:tcW w:w="1550" w:type="dxa"/>
            <w:shd w:val="clear" w:color="auto" w:fill="auto"/>
            <w:tcMar>
              <w:top w:w="60" w:type="dxa"/>
              <w:left w:w="100" w:type="dxa"/>
              <w:bottom w:w="60" w:type="dxa"/>
              <w:right w:w="100" w:type="dxa"/>
            </w:tcMar>
            <w:vAlign w:val="center"/>
          </w:tcPr>
          <w:p w14:paraId="5FFB2500" w14:textId="77777777" w:rsidR="00966365" w:rsidRPr="00FC4AD0" w:rsidRDefault="00966365" w:rsidP="001372CD">
            <w:pPr>
              <w:jc w:val="center"/>
              <w:rPr>
                <w:rFonts w:ascii="Arial" w:hAnsi="Arial" w:cs="Arial"/>
                <w:sz w:val="24"/>
                <w:szCs w:val="24"/>
              </w:rPr>
            </w:pPr>
            <w:r w:rsidRPr="00FC4AD0">
              <w:rPr>
                <w:rFonts w:ascii="Arial" w:hAnsi="Arial" w:cs="Arial"/>
                <w:color w:val="404040"/>
                <w:sz w:val="24"/>
                <w:szCs w:val="24"/>
              </w:rPr>
              <w:t>13.0%</w:t>
            </w:r>
          </w:p>
        </w:tc>
        <w:tc>
          <w:tcPr>
            <w:tcW w:w="1550" w:type="dxa"/>
            <w:shd w:val="clear" w:color="auto" w:fill="auto"/>
            <w:tcMar>
              <w:top w:w="60" w:type="dxa"/>
              <w:left w:w="100" w:type="dxa"/>
              <w:bottom w:w="60" w:type="dxa"/>
              <w:right w:w="100" w:type="dxa"/>
            </w:tcMar>
            <w:vAlign w:val="center"/>
          </w:tcPr>
          <w:p w14:paraId="40C7503C" w14:textId="77777777" w:rsidR="00966365" w:rsidRPr="00FC4AD0" w:rsidRDefault="00966365" w:rsidP="00A10506">
            <w:pPr>
              <w:keepNext/>
              <w:jc w:val="center"/>
              <w:rPr>
                <w:rFonts w:ascii="Arial" w:hAnsi="Arial" w:cs="Arial"/>
                <w:sz w:val="24"/>
                <w:szCs w:val="24"/>
              </w:rPr>
            </w:pPr>
            <w:r w:rsidRPr="00FC4AD0">
              <w:rPr>
                <w:rFonts w:ascii="Arial" w:hAnsi="Arial" w:cs="Arial"/>
                <w:color w:val="404040"/>
                <w:sz w:val="24"/>
                <w:szCs w:val="24"/>
              </w:rPr>
              <w:t>11.8%</w:t>
            </w:r>
          </w:p>
        </w:tc>
      </w:tr>
    </w:tbl>
    <w:p w14:paraId="61C5D2CF" w14:textId="7FB3C41E" w:rsidR="00966365" w:rsidRDefault="00A10506" w:rsidP="00A10506">
      <w:pPr>
        <w:pStyle w:val="Caption"/>
      </w:pPr>
      <w:r>
        <w:t>Table 1.</w:t>
      </w:r>
      <w:r w:rsidR="00553D26">
        <w:fldChar w:fldCharType="begin"/>
      </w:r>
      <w:r w:rsidR="00553D26">
        <w:instrText xml:space="preserve"> SEQ Table \* ARABIC </w:instrText>
      </w:r>
      <w:r w:rsidR="00553D26">
        <w:fldChar w:fldCharType="separate"/>
      </w:r>
      <w:r w:rsidR="00215885">
        <w:rPr>
          <w:noProof/>
        </w:rPr>
        <w:t>2</w:t>
      </w:r>
      <w:r w:rsidR="00553D26">
        <w:rPr>
          <w:noProof/>
        </w:rPr>
        <w:fldChar w:fldCharType="end"/>
      </w:r>
      <w:r>
        <w:t xml:space="preserve"> </w:t>
      </w:r>
      <w:r w:rsidRPr="009667D8">
        <w:t>Source: Hyundai Motor Company Annual Reports 2020–2024; Author's calculations</w:t>
      </w:r>
    </w:p>
    <w:p w14:paraId="2946E170" w14:textId="2D78D0FA" w:rsidR="00CF3578" w:rsidRDefault="00603FB5" w:rsidP="00CF3578">
      <w:pPr>
        <w:keepNext/>
        <w:jc w:val="center"/>
      </w:pPr>
      <w:r>
        <w:rPr>
          <w:noProof/>
        </w:rPr>
        <w:lastRenderedPageBreak/>
        <w:drawing>
          <wp:inline distT="0" distB="0" distL="0" distR="0" wp14:anchorId="3CA1AB64" wp14:editId="0BF3BE14">
            <wp:extent cx="5160255" cy="37566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9717" cy="3778109"/>
                    </a:xfrm>
                    <a:prstGeom prst="rect">
                      <a:avLst/>
                    </a:prstGeom>
                    <a:noFill/>
                    <a:ln>
                      <a:noFill/>
                    </a:ln>
                  </pic:spPr>
                </pic:pic>
              </a:graphicData>
            </a:graphic>
          </wp:inline>
        </w:drawing>
      </w:r>
    </w:p>
    <w:p w14:paraId="56CAFECD" w14:textId="6F44AFDB" w:rsidR="00451E57" w:rsidRDefault="00CF3578" w:rsidP="00CF3578">
      <w:pPr>
        <w:pStyle w:val="Caption"/>
        <w:jc w:val="center"/>
      </w:pPr>
      <w:r>
        <w:t xml:space="preserve">Figure </w:t>
      </w:r>
      <w:r w:rsidR="00553D26">
        <w:fldChar w:fldCharType="begin"/>
      </w:r>
      <w:r w:rsidR="00553D26">
        <w:instrText xml:space="preserve"> SEQ Figure \* ARABIC </w:instrText>
      </w:r>
      <w:r w:rsidR="00553D26">
        <w:fldChar w:fldCharType="separate"/>
      </w:r>
      <w:r w:rsidR="002D1A8C">
        <w:rPr>
          <w:noProof/>
        </w:rPr>
        <w:t>1</w:t>
      </w:r>
      <w:r w:rsidR="00553D26">
        <w:rPr>
          <w:noProof/>
        </w:rPr>
        <w:fldChar w:fldCharType="end"/>
      </w:r>
      <w:r>
        <w:t xml:space="preserve"> Profitability Ratios (2020-2024). Source: Annual Reports and Author’s Calculation.</w:t>
      </w:r>
    </w:p>
    <w:p w14:paraId="0B5ED2B8" w14:textId="77777777" w:rsidR="00451E57" w:rsidRDefault="00451E57" w:rsidP="00451E57">
      <w:pPr>
        <w:jc w:val="center"/>
      </w:pPr>
    </w:p>
    <w:p w14:paraId="4193E255" w14:textId="4A558449" w:rsidR="00A01DFD" w:rsidRPr="00134213" w:rsidRDefault="00134213" w:rsidP="00134213">
      <w:pPr>
        <w:spacing w:line="360" w:lineRule="auto"/>
        <w:rPr>
          <w:rFonts w:ascii="Arial" w:hAnsi="Arial" w:cs="Arial"/>
          <w:sz w:val="28"/>
          <w:szCs w:val="28"/>
        </w:rPr>
      </w:pPr>
      <w:r w:rsidRPr="00134213">
        <w:rPr>
          <w:rFonts w:ascii="Arial" w:hAnsi="Arial" w:cs="Arial"/>
          <w:sz w:val="24"/>
          <w:szCs w:val="24"/>
          <w:shd w:val="clear" w:color="auto" w:fill="FFFFFF"/>
        </w:rPr>
        <w:t>Operating margin increased from the low of 2.6% in 2020 (affected by the pandemic) to a record high of 9.3% in 2023 due to the high pricing of the IONIQ 5/6 cars and efficiencies in the E-GMP platform, before settling to 7.9% in 2024 as BYD and Tesla lowered their prices significantly (McKinsey and Company, 2023). ROE increased from 1.9% to 11.5%, which is a record high, and this is supported by the Du Pont analysis showing higher margins and higher asset turnover ratio (Ross, Westerfield and Jordan, 2022).</w:t>
      </w:r>
    </w:p>
    <w:p w14:paraId="7DC17BCA" w14:textId="77777777" w:rsidR="00966365" w:rsidRDefault="00966365" w:rsidP="00966365">
      <w:pPr>
        <w:pStyle w:val="Heading2"/>
      </w:pPr>
      <w:bookmarkStart w:id="6" w:name="_Toc227660468"/>
      <w:r>
        <w:rPr>
          <w:rFonts w:ascii="Arial" w:eastAsia="Arial" w:hAnsi="Arial" w:cs="Arial"/>
          <w:b/>
          <w:bCs/>
          <w:color w:val="2E75B6"/>
        </w:rPr>
        <w:t>1.3 Liquidity Ratios</w:t>
      </w:r>
      <w:bookmarkEnd w:id="6"/>
    </w:p>
    <w:p w14:paraId="0F939646" w14:textId="77777777" w:rsidR="00966365" w:rsidRPr="002E79F4" w:rsidRDefault="00966365" w:rsidP="00966365">
      <w:pPr>
        <w:pStyle w:val="Heading3"/>
      </w:pPr>
      <w:bookmarkStart w:id="7" w:name="_Toc227660469"/>
      <w:r w:rsidRPr="002E79F4">
        <w:rPr>
          <w:rFonts w:ascii="Arial" w:eastAsia="Arial" w:hAnsi="Arial" w:cs="Arial"/>
          <w:b/>
          <w:bCs/>
          <w:color w:val="404040"/>
        </w:rPr>
        <w:t>Table 1.3 – Liquidity Ratios</w:t>
      </w:r>
      <w:bookmarkEnd w:id="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1560"/>
        <w:gridCol w:w="1560"/>
        <w:gridCol w:w="1560"/>
        <w:gridCol w:w="1560"/>
        <w:gridCol w:w="1560"/>
      </w:tblGrid>
      <w:tr w:rsidR="00966365" w:rsidRPr="002E79F4" w14:paraId="76B9FFEE" w14:textId="77777777" w:rsidTr="002E79F4">
        <w:tc>
          <w:tcPr>
            <w:tcW w:w="1560" w:type="dxa"/>
            <w:shd w:val="clear" w:color="auto" w:fill="auto"/>
            <w:tcMar>
              <w:top w:w="80" w:type="dxa"/>
              <w:left w:w="100" w:type="dxa"/>
              <w:bottom w:w="80" w:type="dxa"/>
              <w:right w:w="100" w:type="dxa"/>
            </w:tcMar>
            <w:vAlign w:val="center"/>
          </w:tcPr>
          <w:p w14:paraId="2BF8B02E" w14:textId="77777777" w:rsidR="00966365" w:rsidRPr="002E79F4" w:rsidRDefault="00966365" w:rsidP="002E79F4">
            <w:pPr>
              <w:jc w:val="center"/>
              <w:rPr>
                <w:rFonts w:ascii="Arial" w:hAnsi="Arial" w:cs="Arial"/>
                <w:sz w:val="24"/>
                <w:szCs w:val="24"/>
              </w:rPr>
            </w:pPr>
            <w:r w:rsidRPr="002E79F4">
              <w:rPr>
                <w:rFonts w:ascii="Arial" w:hAnsi="Arial" w:cs="Arial"/>
                <w:sz w:val="24"/>
                <w:szCs w:val="24"/>
              </w:rPr>
              <w:t>Ratio</w:t>
            </w:r>
          </w:p>
        </w:tc>
        <w:tc>
          <w:tcPr>
            <w:tcW w:w="1560" w:type="dxa"/>
            <w:shd w:val="clear" w:color="auto" w:fill="auto"/>
            <w:tcMar>
              <w:top w:w="80" w:type="dxa"/>
              <w:left w:w="100" w:type="dxa"/>
              <w:bottom w:w="80" w:type="dxa"/>
              <w:right w:w="100" w:type="dxa"/>
            </w:tcMar>
            <w:vAlign w:val="center"/>
          </w:tcPr>
          <w:p w14:paraId="7E8BA9C0" w14:textId="77777777" w:rsidR="00966365" w:rsidRPr="002E79F4" w:rsidRDefault="00966365" w:rsidP="002E79F4">
            <w:pPr>
              <w:jc w:val="center"/>
              <w:rPr>
                <w:rFonts w:ascii="Arial" w:hAnsi="Arial" w:cs="Arial"/>
                <w:sz w:val="24"/>
                <w:szCs w:val="24"/>
              </w:rPr>
            </w:pPr>
            <w:r w:rsidRPr="002E79F4">
              <w:rPr>
                <w:rFonts w:ascii="Arial" w:hAnsi="Arial" w:cs="Arial"/>
                <w:sz w:val="24"/>
                <w:szCs w:val="24"/>
              </w:rPr>
              <w:t>2020</w:t>
            </w:r>
          </w:p>
        </w:tc>
        <w:tc>
          <w:tcPr>
            <w:tcW w:w="1560" w:type="dxa"/>
            <w:shd w:val="clear" w:color="auto" w:fill="auto"/>
            <w:tcMar>
              <w:top w:w="80" w:type="dxa"/>
              <w:left w:w="100" w:type="dxa"/>
              <w:bottom w:w="80" w:type="dxa"/>
              <w:right w:w="100" w:type="dxa"/>
            </w:tcMar>
            <w:vAlign w:val="center"/>
          </w:tcPr>
          <w:p w14:paraId="4EFC312C" w14:textId="77777777" w:rsidR="00966365" w:rsidRPr="002E79F4" w:rsidRDefault="00966365" w:rsidP="002E79F4">
            <w:pPr>
              <w:jc w:val="center"/>
              <w:rPr>
                <w:rFonts w:ascii="Arial" w:hAnsi="Arial" w:cs="Arial"/>
                <w:sz w:val="24"/>
                <w:szCs w:val="24"/>
              </w:rPr>
            </w:pPr>
            <w:r w:rsidRPr="002E79F4">
              <w:rPr>
                <w:rFonts w:ascii="Arial" w:hAnsi="Arial" w:cs="Arial"/>
                <w:sz w:val="24"/>
                <w:szCs w:val="24"/>
              </w:rPr>
              <w:t>2021</w:t>
            </w:r>
          </w:p>
        </w:tc>
        <w:tc>
          <w:tcPr>
            <w:tcW w:w="1560" w:type="dxa"/>
            <w:shd w:val="clear" w:color="auto" w:fill="auto"/>
            <w:tcMar>
              <w:top w:w="80" w:type="dxa"/>
              <w:left w:w="100" w:type="dxa"/>
              <w:bottom w:w="80" w:type="dxa"/>
              <w:right w:w="100" w:type="dxa"/>
            </w:tcMar>
            <w:vAlign w:val="center"/>
          </w:tcPr>
          <w:p w14:paraId="3BF739BB" w14:textId="77777777" w:rsidR="00966365" w:rsidRPr="002E79F4" w:rsidRDefault="00966365" w:rsidP="002E79F4">
            <w:pPr>
              <w:jc w:val="center"/>
              <w:rPr>
                <w:rFonts w:ascii="Arial" w:hAnsi="Arial" w:cs="Arial"/>
                <w:sz w:val="24"/>
                <w:szCs w:val="24"/>
              </w:rPr>
            </w:pPr>
            <w:r w:rsidRPr="002E79F4">
              <w:rPr>
                <w:rFonts w:ascii="Arial" w:hAnsi="Arial" w:cs="Arial"/>
                <w:sz w:val="24"/>
                <w:szCs w:val="24"/>
              </w:rPr>
              <w:t>2022</w:t>
            </w:r>
          </w:p>
        </w:tc>
        <w:tc>
          <w:tcPr>
            <w:tcW w:w="1560" w:type="dxa"/>
            <w:shd w:val="clear" w:color="auto" w:fill="auto"/>
            <w:tcMar>
              <w:top w:w="80" w:type="dxa"/>
              <w:left w:w="100" w:type="dxa"/>
              <w:bottom w:w="80" w:type="dxa"/>
              <w:right w:w="100" w:type="dxa"/>
            </w:tcMar>
            <w:vAlign w:val="center"/>
          </w:tcPr>
          <w:p w14:paraId="166E7F1F" w14:textId="77777777" w:rsidR="00966365" w:rsidRPr="002E79F4" w:rsidRDefault="00966365" w:rsidP="002E79F4">
            <w:pPr>
              <w:jc w:val="center"/>
              <w:rPr>
                <w:rFonts w:ascii="Arial" w:hAnsi="Arial" w:cs="Arial"/>
                <w:sz w:val="24"/>
                <w:szCs w:val="24"/>
              </w:rPr>
            </w:pPr>
            <w:r w:rsidRPr="002E79F4">
              <w:rPr>
                <w:rFonts w:ascii="Arial" w:hAnsi="Arial" w:cs="Arial"/>
                <w:sz w:val="24"/>
                <w:szCs w:val="24"/>
              </w:rPr>
              <w:t>2023</w:t>
            </w:r>
          </w:p>
        </w:tc>
        <w:tc>
          <w:tcPr>
            <w:tcW w:w="1560" w:type="dxa"/>
            <w:shd w:val="clear" w:color="auto" w:fill="auto"/>
            <w:tcMar>
              <w:top w:w="80" w:type="dxa"/>
              <w:left w:w="100" w:type="dxa"/>
              <w:bottom w:w="80" w:type="dxa"/>
              <w:right w:w="100" w:type="dxa"/>
            </w:tcMar>
            <w:vAlign w:val="center"/>
          </w:tcPr>
          <w:p w14:paraId="280F86FA" w14:textId="43B077CF" w:rsidR="00966365" w:rsidRPr="002E79F4" w:rsidRDefault="00966365" w:rsidP="002E79F4">
            <w:pPr>
              <w:jc w:val="center"/>
              <w:rPr>
                <w:rFonts w:ascii="Arial" w:hAnsi="Arial" w:cs="Arial"/>
                <w:sz w:val="24"/>
                <w:szCs w:val="24"/>
              </w:rPr>
            </w:pPr>
            <w:r w:rsidRPr="002E79F4">
              <w:rPr>
                <w:rFonts w:ascii="Arial" w:hAnsi="Arial" w:cs="Arial"/>
                <w:sz w:val="24"/>
                <w:szCs w:val="24"/>
              </w:rPr>
              <w:t>2024</w:t>
            </w:r>
          </w:p>
        </w:tc>
      </w:tr>
      <w:tr w:rsidR="00966365" w:rsidRPr="002E79F4" w14:paraId="2F797E72" w14:textId="77777777" w:rsidTr="002E79F4">
        <w:tc>
          <w:tcPr>
            <w:tcW w:w="1560" w:type="dxa"/>
            <w:shd w:val="clear" w:color="auto" w:fill="auto"/>
            <w:tcMar>
              <w:top w:w="60" w:type="dxa"/>
              <w:left w:w="100" w:type="dxa"/>
              <w:bottom w:w="60" w:type="dxa"/>
              <w:right w:w="100" w:type="dxa"/>
            </w:tcMar>
            <w:vAlign w:val="center"/>
          </w:tcPr>
          <w:p w14:paraId="589C48DE" w14:textId="77777777" w:rsidR="00966365" w:rsidRPr="002E79F4" w:rsidRDefault="00966365" w:rsidP="002E79F4">
            <w:pPr>
              <w:jc w:val="center"/>
              <w:rPr>
                <w:rFonts w:ascii="Arial" w:hAnsi="Arial" w:cs="Arial"/>
                <w:sz w:val="24"/>
                <w:szCs w:val="24"/>
              </w:rPr>
            </w:pPr>
            <w:r w:rsidRPr="002E79F4">
              <w:rPr>
                <w:rFonts w:ascii="Arial" w:hAnsi="Arial" w:cs="Arial"/>
                <w:color w:val="404040"/>
                <w:sz w:val="24"/>
                <w:szCs w:val="24"/>
              </w:rPr>
              <w:t>Current Ratio (x)</w:t>
            </w:r>
          </w:p>
        </w:tc>
        <w:tc>
          <w:tcPr>
            <w:tcW w:w="1560" w:type="dxa"/>
            <w:shd w:val="clear" w:color="auto" w:fill="auto"/>
            <w:tcMar>
              <w:top w:w="60" w:type="dxa"/>
              <w:left w:w="100" w:type="dxa"/>
              <w:bottom w:w="60" w:type="dxa"/>
              <w:right w:w="100" w:type="dxa"/>
            </w:tcMar>
            <w:vAlign w:val="center"/>
          </w:tcPr>
          <w:p w14:paraId="7EA44CC7"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1.07</w:t>
            </w:r>
          </w:p>
        </w:tc>
        <w:tc>
          <w:tcPr>
            <w:tcW w:w="1560" w:type="dxa"/>
            <w:shd w:val="clear" w:color="auto" w:fill="auto"/>
            <w:tcMar>
              <w:top w:w="60" w:type="dxa"/>
              <w:left w:w="100" w:type="dxa"/>
              <w:bottom w:w="60" w:type="dxa"/>
              <w:right w:w="100" w:type="dxa"/>
            </w:tcMar>
            <w:vAlign w:val="center"/>
          </w:tcPr>
          <w:p w14:paraId="00227039"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1.08</w:t>
            </w:r>
          </w:p>
        </w:tc>
        <w:tc>
          <w:tcPr>
            <w:tcW w:w="1560" w:type="dxa"/>
            <w:shd w:val="clear" w:color="auto" w:fill="auto"/>
            <w:tcMar>
              <w:top w:w="60" w:type="dxa"/>
              <w:left w:w="100" w:type="dxa"/>
              <w:bottom w:w="60" w:type="dxa"/>
              <w:right w:w="100" w:type="dxa"/>
            </w:tcMar>
            <w:vAlign w:val="center"/>
          </w:tcPr>
          <w:p w14:paraId="4437ECFC"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1.10</w:t>
            </w:r>
          </w:p>
        </w:tc>
        <w:tc>
          <w:tcPr>
            <w:tcW w:w="1560" w:type="dxa"/>
            <w:shd w:val="clear" w:color="auto" w:fill="auto"/>
            <w:tcMar>
              <w:top w:w="60" w:type="dxa"/>
              <w:left w:w="100" w:type="dxa"/>
              <w:bottom w:w="60" w:type="dxa"/>
              <w:right w:w="100" w:type="dxa"/>
            </w:tcMar>
            <w:vAlign w:val="center"/>
          </w:tcPr>
          <w:p w14:paraId="308B54D1"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1.12</w:t>
            </w:r>
          </w:p>
        </w:tc>
        <w:tc>
          <w:tcPr>
            <w:tcW w:w="1560" w:type="dxa"/>
            <w:shd w:val="clear" w:color="auto" w:fill="auto"/>
            <w:tcMar>
              <w:top w:w="60" w:type="dxa"/>
              <w:left w:w="100" w:type="dxa"/>
              <w:bottom w:w="60" w:type="dxa"/>
              <w:right w:w="100" w:type="dxa"/>
            </w:tcMar>
            <w:vAlign w:val="center"/>
          </w:tcPr>
          <w:p w14:paraId="6C41B2E9"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1.12</w:t>
            </w:r>
          </w:p>
        </w:tc>
      </w:tr>
      <w:tr w:rsidR="00966365" w:rsidRPr="002E79F4" w14:paraId="460C4212" w14:textId="77777777" w:rsidTr="002E79F4">
        <w:tc>
          <w:tcPr>
            <w:tcW w:w="1560" w:type="dxa"/>
            <w:shd w:val="clear" w:color="auto" w:fill="auto"/>
            <w:tcMar>
              <w:top w:w="60" w:type="dxa"/>
              <w:left w:w="100" w:type="dxa"/>
              <w:bottom w:w="60" w:type="dxa"/>
              <w:right w:w="100" w:type="dxa"/>
            </w:tcMar>
            <w:vAlign w:val="center"/>
          </w:tcPr>
          <w:p w14:paraId="62F4A12C" w14:textId="77777777" w:rsidR="00966365" w:rsidRPr="002E79F4" w:rsidRDefault="00966365" w:rsidP="002E79F4">
            <w:pPr>
              <w:jc w:val="center"/>
              <w:rPr>
                <w:rFonts w:ascii="Arial" w:hAnsi="Arial" w:cs="Arial"/>
                <w:sz w:val="24"/>
                <w:szCs w:val="24"/>
              </w:rPr>
            </w:pPr>
            <w:r w:rsidRPr="002E79F4">
              <w:rPr>
                <w:rFonts w:ascii="Arial" w:hAnsi="Arial" w:cs="Arial"/>
                <w:color w:val="404040"/>
                <w:sz w:val="24"/>
                <w:szCs w:val="24"/>
              </w:rPr>
              <w:lastRenderedPageBreak/>
              <w:t>Quick Ratio (x)</w:t>
            </w:r>
          </w:p>
        </w:tc>
        <w:tc>
          <w:tcPr>
            <w:tcW w:w="1560" w:type="dxa"/>
            <w:shd w:val="clear" w:color="auto" w:fill="auto"/>
            <w:tcMar>
              <w:top w:w="60" w:type="dxa"/>
              <w:left w:w="100" w:type="dxa"/>
              <w:bottom w:w="60" w:type="dxa"/>
              <w:right w:w="100" w:type="dxa"/>
            </w:tcMar>
            <w:vAlign w:val="center"/>
          </w:tcPr>
          <w:p w14:paraId="5DD7F2F1"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0.91</w:t>
            </w:r>
          </w:p>
        </w:tc>
        <w:tc>
          <w:tcPr>
            <w:tcW w:w="1560" w:type="dxa"/>
            <w:shd w:val="clear" w:color="auto" w:fill="auto"/>
            <w:tcMar>
              <w:top w:w="60" w:type="dxa"/>
              <w:left w:w="100" w:type="dxa"/>
              <w:bottom w:w="60" w:type="dxa"/>
              <w:right w:w="100" w:type="dxa"/>
            </w:tcMar>
            <w:vAlign w:val="center"/>
          </w:tcPr>
          <w:p w14:paraId="408FFF36"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0.92</w:t>
            </w:r>
          </w:p>
        </w:tc>
        <w:tc>
          <w:tcPr>
            <w:tcW w:w="1560" w:type="dxa"/>
            <w:shd w:val="clear" w:color="auto" w:fill="auto"/>
            <w:tcMar>
              <w:top w:w="60" w:type="dxa"/>
              <w:left w:w="100" w:type="dxa"/>
              <w:bottom w:w="60" w:type="dxa"/>
              <w:right w:w="100" w:type="dxa"/>
            </w:tcMar>
            <w:vAlign w:val="center"/>
          </w:tcPr>
          <w:p w14:paraId="6F3E9787"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0.93</w:t>
            </w:r>
          </w:p>
        </w:tc>
        <w:tc>
          <w:tcPr>
            <w:tcW w:w="1560" w:type="dxa"/>
            <w:shd w:val="clear" w:color="auto" w:fill="auto"/>
            <w:tcMar>
              <w:top w:w="60" w:type="dxa"/>
              <w:left w:w="100" w:type="dxa"/>
              <w:bottom w:w="60" w:type="dxa"/>
              <w:right w:w="100" w:type="dxa"/>
            </w:tcMar>
            <w:vAlign w:val="center"/>
          </w:tcPr>
          <w:p w14:paraId="4F47F8DF"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0.96</w:t>
            </w:r>
          </w:p>
        </w:tc>
        <w:tc>
          <w:tcPr>
            <w:tcW w:w="1560" w:type="dxa"/>
            <w:shd w:val="clear" w:color="auto" w:fill="auto"/>
            <w:tcMar>
              <w:top w:w="60" w:type="dxa"/>
              <w:left w:w="100" w:type="dxa"/>
              <w:bottom w:w="60" w:type="dxa"/>
              <w:right w:w="100" w:type="dxa"/>
            </w:tcMar>
            <w:vAlign w:val="center"/>
          </w:tcPr>
          <w:p w14:paraId="17237355"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0.97</w:t>
            </w:r>
          </w:p>
        </w:tc>
      </w:tr>
      <w:tr w:rsidR="00966365" w:rsidRPr="002E79F4" w14:paraId="68D438A7" w14:textId="77777777" w:rsidTr="002E79F4">
        <w:tc>
          <w:tcPr>
            <w:tcW w:w="1560" w:type="dxa"/>
            <w:shd w:val="clear" w:color="auto" w:fill="auto"/>
            <w:tcMar>
              <w:top w:w="60" w:type="dxa"/>
              <w:left w:w="100" w:type="dxa"/>
              <w:bottom w:w="60" w:type="dxa"/>
              <w:right w:w="100" w:type="dxa"/>
            </w:tcMar>
            <w:vAlign w:val="center"/>
          </w:tcPr>
          <w:p w14:paraId="5F4F7D3C" w14:textId="77777777" w:rsidR="00966365" w:rsidRPr="002E79F4" w:rsidRDefault="00966365" w:rsidP="002E79F4">
            <w:pPr>
              <w:jc w:val="center"/>
              <w:rPr>
                <w:rFonts w:ascii="Arial" w:hAnsi="Arial" w:cs="Arial"/>
                <w:sz w:val="24"/>
                <w:szCs w:val="24"/>
              </w:rPr>
            </w:pPr>
            <w:r w:rsidRPr="002E79F4">
              <w:rPr>
                <w:rFonts w:ascii="Arial" w:hAnsi="Arial" w:cs="Arial"/>
                <w:color w:val="404040"/>
                <w:sz w:val="24"/>
                <w:szCs w:val="24"/>
              </w:rPr>
              <w:t>Cash Ratio (x)</w:t>
            </w:r>
          </w:p>
        </w:tc>
        <w:tc>
          <w:tcPr>
            <w:tcW w:w="1560" w:type="dxa"/>
            <w:shd w:val="clear" w:color="auto" w:fill="auto"/>
            <w:tcMar>
              <w:top w:w="60" w:type="dxa"/>
              <w:left w:w="100" w:type="dxa"/>
              <w:bottom w:w="60" w:type="dxa"/>
              <w:right w:w="100" w:type="dxa"/>
            </w:tcMar>
            <w:vAlign w:val="center"/>
          </w:tcPr>
          <w:p w14:paraId="078458B1"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0.24</w:t>
            </w:r>
          </w:p>
        </w:tc>
        <w:tc>
          <w:tcPr>
            <w:tcW w:w="1560" w:type="dxa"/>
            <w:shd w:val="clear" w:color="auto" w:fill="auto"/>
            <w:tcMar>
              <w:top w:w="60" w:type="dxa"/>
              <w:left w:w="100" w:type="dxa"/>
              <w:bottom w:w="60" w:type="dxa"/>
              <w:right w:w="100" w:type="dxa"/>
            </w:tcMar>
            <w:vAlign w:val="center"/>
          </w:tcPr>
          <w:p w14:paraId="7B4B355F"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0.25</w:t>
            </w:r>
          </w:p>
        </w:tc>
        <w:tc>
          <w:tcPr>
            <w:tcW w:w="1560" w:type="dxa"/>
            <w:shd w:val="clear" w:color="auto" w:fill="auto"/>
            <w:tcMar>
              <w:top w:w="60" w:type="dxa"/>
              <w:left w:w="100" w:type="dxa"/>
              <w:bottom w:w="60" w:type="dxa"/>
              <w:right w:w="100" w:type="dxa"/>
            </w:tcMar>
            <w:vAlign w:val="center"/>
          </w:tcPr>
          <w:p w14:paraId="0F4B6AC3"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0.24</w:t>
            </w:r>
          </w:p>
        </w:tc>
        <w:tc>
          <w:tcPr>
            <w:tcW w:w="1560" w:type="dxa"/>
            <w:shd w:val="clear" w:color="auto" w:fill="auto"/>
            <w:tcMar>
              <w:top w:w="60" w:type="dxa"/>
              <w:left w:w="100" w:type="dxa"/>
              <w:bottom w:w="60" w:type="dxa"/>
              <w:right w:w="100" w:type="dxa"/>
            </w:tcMar>
            <w:vAlign w:val="center"/>
          </w:tcPr>
          <w:p w14:paraId="5B4B6805"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0.26</w:t>
            </w:r>
          </w:p>
        </w:tc>
        <w:tc>
          <w:tcPr>
            <w:tcW w:w="1560" w:type="dxa"/>
            <w:shd w:val="clear" w:color="auto" w:fill="auto"/>
            <w:tcMar>
              <w:top w:w="60" w:type="dxa"/>
              <w:left w:w="100" w:type="dxa"/>
              <w:bottom w:w="60" w:type="dxa"/>
              <w:right w:w="100" w:type="dxa"/>
            </w:tcMar>
            <w:vAlign w:val="center"/>
          </w:tcPr>
          <w:p w14:paraId="76E275F5"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0.28</w:t>
            </w:r>
          </w:p>
        </w:tc>
      </w:tr>
      <w:tr w:rsidR="00966365" w:rsidRPr="002E79F4" w14:paraId="2230C63B" w14:textId="77777777" w:rsidTr="002E79F4">
        <w:tc>
          <w:tcPr>
            <w:tcW w:w="1560" w:type="dxa"/>
            <w:shd w:val="clear" w:color="auto" w:fill="auto"/>
            <w:tcMar>
              <w:top w:w="60" w:type="dxa"/>
              <w:left w:w="100" w:type="dxa"/>
              <w:bottom w:w="60" w:type="dxa"/>
              <w:right w:w="100" w:type="dxa"/>
            </w:tcMar>
            <w:vAlign w:val="center"/>
          </w:tcPr>
          <w:p w14:paraId="308E5A3A" w14:textId="77777777" w:rsidR="00966365" w:rsidRPr="002E79F4" w:rsidRDefault="00966365" w:rsidP="002E79F4">
            <w:pPr>
              <w:jc w:val="center"/>
              <w:rPr>
                <w:rFonts w:ascii="Arial" w:hAnsi="Arial" w:cs="Arial"/>
                <w:sz w:val="24"/>
                <w:szCs w:val="24"/>
              </w:rPr>
            </w:pPr>
            <w:r w:rsidRPr="002E79F4">
              <w:rPr>
                <w:rFonts w:ascii="Arial" w:hAnsi="Arial" w:cs="Arial"/>
                <w:color w:val="404040"/>
                <w:sz w:val="24"/>
                <w:szCs w:val="24"/>
              </w:rPr>
              <w:t>Net Working Capital (KRW bn)</w:t>
            </w:r>
          </w:p>
        </w:tc>
        <w:tc>
          <w:tcPr>
            <w:tcW w:w="1560" w:type="dxa"/>
            <w:shd w:val="clear" w:color="auto" w:fill="auto"/>
            <w:tcMar>
              <w:top w:w="60" w:type="dxa"/>
              <w:left w:w="100" w:type="dxa"/>
              <w:bottom w:w="60" w:type="dxa"/>
              <w:right w:w="100" w:type="dxa"/>
            </w:tcMar>
            <w:vAlign w:val="center"/>
          </w:tcPr>
          <w:p w14:paraId="60282AB3"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5,000</w:t>
            </w:r>
          </w:p>
        </w:tc>
        <w:tc>
          <w:tcPr>
            <w:tcW w:w="1560" w:type="dxa"/>
            <w:shd w:val="clear" w:color="auto" w:fill="auto"/>
            <w:tcMar>
              <w:top w:w="60" w:type="dxa"/>
              <w:left w:w="100" w:type="dxa"/>
              <w:bottom w:w="60" w:type="dxa"/>
              <w:right w:w="100" w:type="dxa"/>
            </w:tcMar>
            <w:vAlign w:val="center"/>
          </w:tcPr>
          <w:p w14:paraId="7FFB07BD"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6,000</w:t>
            </w:r>
          </w:p>
        </w:tc>
        <w:tc>
          <w:tcPr>
            <w:tcW w:w="1560" w:type="dxa"/>
            <w:shd w:val="clear" w:color="auto" w:fill="auto"/>
            <w:tcMar>
              <w:top w:w="60" w:type="dxa"/>
              <w:left w:w="100" w:type="dxa"/>
              <w:bottom w:w="60" w:type="dxa"/>
              <w:right w:w="100" w:type="dxa"/>
            </w:tcMar>
            <w:vAlign w:val="center"/>
          </w:tcPr>
          <w:p w14:paraId="5C64E162"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8,000</w:t>
            </w:r>
          </w:p>
        </w:tc>
        <w:tc>
          <w:tcPr>
            <w:tcW w:w="1560" w:type="dxa"/>
            <w:shd w:val="clear" w:color="auto" w:fill="auto"/>
            <w:tcMar>
              <w:top w:w="60" w:type="dxa"/>
              <w:left w:w="100" w:type="dxa"/>
              <w:bottom w:w="60" w:type="dxa"/>
              <w:right w:w="100" w:type="dxa"/>
            </w:tcMar>
            <w:vAlign w:val="center"/>
          </w:tcPr>
          <w:p w14:paraId="25275308" w14:textId="77777777" w:rsidR="00966365" w:rsidRPr="002E79F4" w:rsidRDefault="00966365" w:rsidP="002E79F4">
            <w:pPr>
              <w:rPr>
                <w:rFonts w:ascii="Arial" w:hAnsi="Arial" w:cs="Arial"/>
                <w:sz w:val="24"/>
                <w:szCs w:val="24"/>
              </w:rPr>
            </w:pPr>
            <w:r w:rsidRPr="002E79F4">
              <w:rPr>
                <w:rFonts w:ascii="Arial" w:hAnsi="Arial" w:cs="Arial"/>
                <w:color w:val="404040"/>
                <w:sz w:val="24"/>
                <w:szCs w:val="24"/>
              </w:rPr>
              <w:t>10,000</w:t>
            </w:r>
          </w:p>
        </w:tc>
        <w:tc>
          <w:tcPr>
            <w:tcW w:w="1560" w:type="dxa"/>
            <w:shd w:val="clear" w:color="auto" w:fill="auto"/>
            <w:tcMar>
              <w:top w:w="60" w:type="dxa"/>
              <w:left w:w="100" w:type="dxa"/>
              <w:bottom w:w="60" w:type="dxa"/>
              <w:right w:w="100" w:type="dxa"/>
            </w:tcMar>
            <w:vAlign w:val="center"/>
          </w:tcPr>
          <w:p w14:paraId="70A918FE" w14:textId="77777777" w:rsidR="00966365" w:rsidRPr="002E79F4" w:rsidRDefault="00966365" w:rsidP="00A10506">
            <w:pPr>
              <w:keepNext/>
              <w:rPr>
                <w:rFonts w:ascii="Arial" w:hAnsi="Arial" w:cs="Arial"/>
                <w:sz w:val="24"/>
                <w:szCs w:val="24"/>
              </w:rPr>
            </w:pPr>
            <w:r w:rsidRPr="002E79F4">
              <w:rPr>
                <w:rFonts w:ascii="Arial" w:hAnsi="Arial" w:cs="Arial"/>
                <w:color w:val="404040"/>
                <w:sz w:val="24"/>
                <w:szCs w:val="24"/>
              </w:rPr>
              <w:t>11,000</w:t>
            </w:r>
          </w:p>
        </w:tc>
      </w:tr>
    </w:tbl>
    <w:p w14:paraId="443185F2" w14:textId="0D91DCBF" w:rsidR="00966365" w:rsidRDefault="00A10506" w:rsidP="00A10506">
      <w:pPr>
        <w:pStyle w:val="Caption"/>
      </w:pPr>
      <w:r>
        <w:t>Table 1.</w:t>
      </w:r>
      <w:r w:rsidR="00553D26">
        <w:fldChar w:fldCharType="begin"/>
      </w:r>
      <w:r w:rsidR="00553D26">
        <w:instrText xml:space="preserve"> SEQ Table \* ARABIC </w:instrText>
      </w:r>
      <w:r w:rsidR="00553D26">
        <w:fldChar w:fldCharType="separate"/>
      </w:r>
      <w:r w:rsidR="00215885">
        <w:rPr>
          <w:noProof/>
        </w:rPr>
        <w:t>3</w:t>
      </w:r>
      <w:r w:rsidR="00553D26">
        <w:rPr>
          <w:noProof/>
        </w:rPr>
        <w:fldChar w:fldCharType="end"/>
      </w:r>
      <w:r>
        <w:t xml:space="preserve"> </w:t>
      </w:r>
      <w:r w:rsidRPr="0090451E">
        <w:t>Source: Hyundai Motor Company Annual Reports 2020–2024; Author's calculations</w:t>
      </w:r>
    </w:p>
    <w:p w14:paraId="15B8E7A7" w14:textId="5B77F744" w:rsidR="009833C7" w:rsidRDefault="00E60ADE" w:rsidP="009833C7">
      <w:pPr>
        <w:keepNext/>
        <w:jc w:val="center"/>
      </w:pPr>
      <w:r>
        <w:rPr>
          <w:noProof/>
        </w:rPr>
        <w:drawing>
          <wp:inline distT="0" distB="0" distL="0" distR="0" wp14:anchorId="2455D43B" wp14:editId="09CE6119">
            <wp:extent cx="5943600" cy="31921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192145"/>
                    </a:xfrm>
                    <a:prstGeom prst="rect">
                      <a:avLst/>
                    </a:prstGeom>
                  </pic:spPr>
                </pic:pic>
              </a:graphicData>
            </a:graphic>
          </wp:inline>
        </w:drawing>
      </w:r>
    </w:p>
    <w:p w14:paraId="3161F092" w14:textId="2268F57E" w:rsidR="00AF1AA5" w:rsidRDefault="009833C7" w:rsidP="009833C7">
      <w:pPr>
        <w:pStyle w:val="Caption"/>
        <w:jc w:val="center"/>
      </w:pPr>
      <w:r>
        <w:t xml:space="preserve">Figure </w:t>
      </w:r>
      <w:r w:rsidR="00553D26">
        <w:fldChar w:fldCharType="begin"/>
      </w:r>
      <w:r w:rsidR="00553D26">
        <w:instrText xml:space="preserve"> SEQ Figure \* ARABIC </w:instrText>
      </w:r>
      <w:r w:rsidR="00553D26">
        <w:fldChar w:fldCharType="separate"/>
      </w:r>
      <w:r w:rsidR="002D1A8C">
        <w:rPr>
          <w:noProof/>
        </w:rPr>
        <w:t>2</w:t>
      </w:r>
      <w:r w:rsidR="00553D26">
        <w:rPr>
          <w:noProof/>
        </w:rPr>
        <w:fldChar w:fldCharType="end"/>
      </w:r>
      <w:r>
        <w:t xml:space="preserve"> </w:t>
      </w:r>
      <w:r w:rsidRPr="009833C7">
        <w:rPr>
          <w:rFonts w:ascii="Arial" w:eastAsia="Arial" w:hAnsi="Arial" w:cs="Arial"/>
          <w:color w:val="404040"/>
        </w:rPr>
        <w:t>Liquidity Ratios</w:t>
      </w:r>
      <w:r w:rsidRPr="00657A20">
        <w:t xml:space="preserve"> Source: Annual Reports and Author’s Calculation</w:t>
      </w:r>
    </w:p>
    <w:p w14:paraId="7D92E199" w14:textId="73FF8754" w:rsidR="00124C6B" w:rsidRDefault="00247001" w:rsidP="00F8609B">
      <w:pPr>
        <w:spacing w:line="360" w:lineRule="auto"/>
        <w:jc w:val="both"/>
        <w:rPr>
          <w:rFonts w:ascii="Arial" w:hAnsi="Arial" w:cs="Arial"/>
          <w:sz w:val="24"/>
          <w:szCs w:val="24"/>
        </w:rPr>
      </w:pPr>
      <w:r w:rsidRPr="00BA3224">
        <w:rPr>
          <w:rFonts w:ascii="Arial" w:hAnsi="Arial" w:cs="Arial"/>
          <w:sz w:val="24"/>
          <w:szCs w:val="24"/>
          <w:shd w:val="clear" w:color="auto" w:fill="FFFFFF"/>
        </w:rPr>
        <w:t>The current ratio showed an increase from 1.07x to 1.12x, but this is still low in comparison to the industry average of around 1.3x (Deloitte, 2024). The quick ratio being close to 1.0x indicates that the company relies on its inventories to satisfy its liabilities. It should be noted that the process of converting inventory into cash becomes increasingly difficult when changing models (PwC, 2024). Fortunately, the cash ratio increased to 0.28x, which can be attributed to positive changes in the FCF</w:t>
      </w:r>
      <w:r w:rsidR="008417F2" w:rsidRPr="008417F2">
        <w:rPr>
          <w:rFonts w:ascii="Arial" w:eastAsia="Arial" w:hAnsi="Arial" w:cs="Arial"/>
          <w:color w:val="404040"/>
          <w:sz w:val="21"/>
          <w:szCs w:val="21"/>
        </w:rPr>
        <w:t xml:space="preserve"> </w:t>
      </w:r>
      <w:r w:rsidR="008417F2" w:rsidRPr="00F8609B">
        <w:rPr>
          <w:rFonts w:ascii="Arial" w:hAnsi="Arial" w:cs="Arial"/>
          <w:sz w:val="24"/>
          <w:szCs w:val="24"/>
        </w:rPr>
        <w:t>and net working capital quadrupled to KRW 11,000bn.</w:t>
      </w:r>
    </w:p>
    <w:p w14:paraId="36C3AC7A" w14:textId="77777777" w:rsidR="004F68D7" w:rsidRPr="00BA3224" w:rsidRDefault="004F68D7" w:rsidP="00F8609B">
      <w:pPr>
        <w:spacing w:line="360" w:lineRule="auto"/>
        <w:jc w:val="both"/>
        <w:rPr>
          <w:rFonts w:ascii="Arial" w:hAnsi="Arial" w:cs="Arial"/>
          <w:sz w:val="28"/>
          <w:szCs w:val="28"/>
        </w:rPr>
      </w:pPr>
    </w:p>
    <w:p w14:paraId="0E856BE1" w14:textId="60A4CBC2" w:rsidR="00124C6B" w:rsidRDefault="00124C6B" w:rsidP="004F68D7">
      <w:pPr>
        <w:pStyle w:val="Heading2"/>
        <w:spacing w:line="360" w:lineRule="auto"/>
      </w:pPr>
      <w:bookmarkStart w:id="8" w:name="_Toc227660470"/>
      <w:r>
        <w:rPr>
          <w:rFonts w:ascii="Arial" w:eastAsia="Arial" w:hAnsi="Arial" w:cs="Arial"/>
          <w:b/>
          <w:bCs/>
          <w:color w:val="2E75B6"/>
        </w:rPr>
        <w:lastRenderedPageBreak/>
        <w:t>1.4 Efficiency Ratios</w:t>
      </w:r>
      <w:bookmarkEnd w:id="8"/>
    </w:p>
    <w:p w14:paraId="2F884DF6" w14:textId="77777777" w:rsidR="00124C6B" w:rsidRPr="002E79F4" w:rsidRDefault="00124C6B" w:rsidP="004F68D7">
      <w:pPr>
        <w:pStyle w:val="Heading3"/>
        <w:spacing w:line="360" w:lineRule="auto"/>
      </w:pPr>
      <w:bookmarkStart w:id="9" w:name="_Toc227660471"/>
      <w:r w:rsidRPr="002E79F4">
        <w:rPr>
          <w:rFonts w:ascii="Arial" w:eastAsia="Arial" w:hAnsi="Arial" w:cs="Arial"/>
          <w:b/>
          <w:bCs/>
          <w:color w:val="404040"/>
        </w:rPr>
        <w:t>Table 1.4 – Efficiency (Activity) Ratios</w:t>
      </w:r>
      <w:bookmarkEnd w:id="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1560"/>
        <w:gridCol w:w="1560"/>
        <w:gridCol w:w="1560"/>
        <w:gridCol w:w="1560"/>
        <w:gridCol w:w="1560"/>
      </w:tblGrid>
      <w:tr w:rsidR="00124C6B" w:rsidRPr="002E79F4" w14:paraId="62950312" w14:textId="77777777" w:rsidTr="002E79F4">
        <w:tc>
          <w:tcPr>
            <w:tcW w:w="1560" w:type="dxa"/>
            <w:shd w:val="clear" w:color="auto" w:fill="auto"/>
            <w:tcMar>
              <w:top w:w="80" w:type="dxa"/>
              <w:left w:w="100" w:type="dxa"/>
              <w:bottom w:w="80" w:type="dxa"/>
              <w:right w:w="100" w:type="dxa"/>
            </w:tcMar>
            <w:vAlign w:val="center"/>
          </w:tcPr>
          <w:p w14:paraId="1B23AB30" w14:textId="77777777" w:rsidR="00124C6B" w:rsidRPr="002E79F4" w:rsidRDefault="00124C6B" w:rsidP="002E79F4">
            <w:pPr>
              <w:jc w:val="center"/>
              <w:rPr>
                <w:rFonts w:ascii="Arial" w:hAnsi="Arial" w:cs="Arial"/>
                <w:sz w:val="24"/>
                <w:szCs w:val="24"/>
              </w:rPr>
            </w:pPr>
            <w:r w:rsidRPr="002E79F4">
              <w:rPr>
                <w:rFonts w:ascii="Arial" w:hAnsi="Arial" w:cs="Arial"/>
                <w:sz w:val="24"/>
                <w:szCs w:val="24"/>
              </w:rPr>
              <w:t>Ratio</w:t>
            </w:r>
          </w:p>
        </w:tc>
        <w:tc>
          <w:tcPr>
            <w:tcW w:w="1560" w:type="dxa"/>
            <w:shd w:val="clear" w:color="auto" w:fill="auto"/>
            <w:tcMar>
              <w:top w:w="80" w:type="dxa"/>
              <w:left w:w="100" w:type="dxa"/>
              <w:bottom w:w="80" w:type="dxa"/>
              <w:right w:w="100" w:type="dxa"/>
            </w:tcMar>
            <w:vAlign w:val="center"/>
          </w:tcPr>
          <w:p w14:paraId="426B1B97" w14:textId="77777777" w:rsidR="00124C6B" w:rsidRPr="002E79F4" w:rsidRDefault="00124C6B" w:rsidP="002E79F4">
            <w:pPr>
              <w:jc w:val="center"/>
              <w:rPr>
                <w:rFonts w:ascii="Arial" w:hAnsi="Arial" w:cs="Arial"/>
                <w:sz w:val="24"/>
                <w:szCs w:val="24"/>
              </w:rPr>
            </w:pPr>
            <w:r w:rsidRPr="002E79F4">
              <w:rPr>
                <w:rFonts w:ascii="Arial" w:hAnsi="Arial" w:cs="Arial"/>
                <w:sz w:val="24"/>
                <w:szCs w:val="24"/>
              </w:rPr>
              <w:t>2020</w:t>
            </w:r>
          </w:p>
        </w:tc>
        <w:tc>
          <w:tcPr>
            <w:tcW w:w="1560" w:type="dxa"/>
            <w:shd w:val="clear" w:color="auto" w:fill="auto"/>
            <w:tcMar>
              <w:top w:w="80" w:type="dxa"/>
              <w:left w:w="100" w:type="dxa"/>
              <w:bottom w:w="80" w:type="dxa"/>
              <w:right w:w="100" w:type="dxa"/>
            </w:tcMar>
            <w:vAlign w:val="center"/>
          </w:tcPr>
          <w:p w14:paraId="220E50D1" w14:textId="77777777" w:rsidR="00124C6B" w:rsidRPr="002E79F4" w:rsidRDefault="00124C6B" w:rsidP="002E79F4">
            <w:pPr>
              <w:jc w:val="center"/>
              <w:rPr>
                <w:rFonts w:ascii="Arial" w:hAnsi="Arial" w:cs="Arial"/>
                <w:sz w:val="24"/>
                <w:szCs w:val="24"/>
              </w:rPr>
            </w:pPr>
            <w:r w:rsidRPr="002E79F4">
              <w:rPr>
                <w:rFonts w:ascii="Arial" w:hAnsi="Arial" w:cs="Arial"/>
                <w:sz w:val="24"/>
                <w:szCs w:val="24"/>
              </w:rPr>
              <w:t>2021</w:t>
            </w:r>
          </w:p>
        </w:tc>
        <w:tc>
          <w:tcPr>
            <w:tcW w:w="1560" w:type="dxa"/>
            <w:shd w:val="clear" w:color="auto" w:fill="auto"/>
            <w:tcMar>
              <w:top w:w="80" w:type="dxa"/>
              <w:left w:w="100" w:type="dxa"/>
              <w:bottom w:w="80" w:type="dxa"/>
              <w:right w:w="100" w:type="dxa"/>
            </w:tcMar>
            <w:vAlign w:val="center"/>
          </w:tcPr>
          <w:p w14:paraId="1A3F170D" w14:textId="77777777" w:rsidR="00124C6B" w:rsidRPr="002E79F4" w:rsidRDefault="00124C6B" w:rsidP="002E79F4">
            <w:pPr>
              <w:jc w:val="center"/>
              <w:rPr>
                <w:rFonts w:ascii="Arial" w:hAnsi="Arial" w:cs="Arial"/>
                <w:sz w:val="24"/>
                <w:szCs w:val="24"/>
              </w:rPr>
            </w:pPr>
            <w:r w:rsidRPr="002E79F4">
              <w:rPr>
                <w:rFonts w:ascii="Arial" w:hAnsi="Arial" w:cs="Arial"/>
                <w:sz w:val="24"/>
                <w:szCs w:val="24"/>
              </w:rPr>
              <w:t>2022</w:t>
            </w:r>
          </w:p>
        </w:tc>
        <w:tc>
          <w:tcPr>
            <w:tcW w:w="1560" w:type="dxa"/>
            <w:shd w:val="clear" w:color="auto" w:fill="auto"/>
            <w:tcMar>
              <w:top w:w="80" w:type="dxa"/>
              <w:left w:w="100" w:type="dxa"/>
              <w:bottom w:w="80" w:type="dxa"/>
              <w:right w:w="100" w:type="dxa"/>
            </w:tcMar>
            <w:vAlign w:val="center"/>
          </w:tcPr>
          <w:p w14:paraId="01641F40" w14:textId="77777777" w:rsidR="00124C6B" w:rsidRPr="002E79F4" w:rsidRDefault="00124C6B" w:rsidP="002E79F4">
            <w:pPr>
              <w:jc w:val="center"/>
              <w:rPr>
                <w:rFonts w:ascii="Arial" w:hAnsi="Arial" w:cs="Arial"/>
                <w:sz w:val="24"/>
                <w:szCs w:val="24"/>
              </w:rPr>
            </w:pPr>
            <w:r w:rsidRPr="002E79F4">
              <w:rPr>
                <w:rFonts w:ascii="Arial" w:hAnsi="Arial" w:cs="Arial"/>
                <w:sz w:val="24"/>
                <w:szCs w:val="24"/>
              </w:rPr>
              <w:t>2023</w:t>
            </w:r>
          </w:p>
        </w:tc>
        <w:tc>
          <w:tcPr>
            <w:tcW w:w="1560" w:type="dxa"/>
            <w:shd w:val="clear" w:color="auto" w:fill="auto"/>
            <w:tcMar>
              <w:top w:w="80" w:type="dxa"/>
              <w:left w:w="100" w:type="dxa"/>
              <w:bottom w:w="80" w:type="dxa"/>
              <w:right w:w="100" w:type="dxa"/>
            </w:tcMar>
            <w:vAlign w:val="center"/>
          </w:tcPr>
          <w:p w14:paraId="790F7F56" w14:textId="63F11FBB" w:rsidR="00124C6B" w:rsidRPr="002E79F4" w:rsidRDefault="00124C6B" w:rsidP="002E79F4">
            <w:pPr>
              <w:jc w:val="center"/>
              <w:rPr>
                <w:rFonts w:ascii="Arial" w:hAnsi="Arial" w:cs="Arial"/>
                <w:sz w:val="24"/>
                <w:szCs w:val="24"/>
              </w:rPr>
            </w:pPr>
            <w:r w:rsidRPr="002E79F4">
              <w:rPr>
                <w:rFonts w:ascii="Arial" w:hAnsi="Arial" w:cs="Arial"/>
                <w:sz w:val="24"/>
                <w:szCs w:val="24"/>
              </w:rPr>
              <w:t>2024</w:t>
            </w:r>
          </w:p>
        </w:tc>
      </w:tr>
      <w:tr w:rsidR="00124C6B" w:rsidRPr="002E79F4" w14:paraId="442D6535" w14:textId="77777777" w:rsidTr="002E79F4">
        <w:tc>
          <w:tcPr>
            <w:tcW w:w="1560" w:type="dxa"/>
            <w:shd w:val="clear" w:color="auto" w:fill="auto"/>
            <w:tcMar>
              <w:top w:w="60" w:type="dxa"/>
              <w:left w:w="100" w:type="dxa"/>
              <w:bottom w:w="60" w:type="dxa"/>
              <w:right w:w="100" w:type="dxa"/>
            </w:tcMar>
            <w:vAlign w:val="center"/>
          </w:tcPr>
          <w:p w14:paraId="09A3C673" w14:textId="77777777" w:rsidR="00124C6B" w:rsidRPr="002E79F4" w:rsidRDefault="00124C6B" w:rsidP="002E79F4">
            <w:pPr>
              <w:jc w:val="center"/>
              <w:rPr>
                <w:rFonts w:ascii="Arial" w:hAnsi="Arial" w:cs="Arial"/>
                <w:sz w:val="24"/>
                <w:szCs w:val="24"/>
              </w:rPr>
            </w:pPr>
            <w:r w:rsidRPr="002E79F4">
              <w:rPr>
                <w:rFonts w:ascii="Arial" w:hAnsi="Arial" w:cs="Arial"/>
                <w:color w:val="404040"/>
                <w:sz w:val="24"/>
                <w:szCs w:val="24"/>
              </w:rPr>
              <w:t>Inventory Days (days)</w:t>
            </w:r>
          </w:p>
        </w:tc>
        <w:tc>
          <w:tcPr>
            <w:tcW w:w="1560" w:type="dxa"/>
            <w:shd w:val="clear" w:color="auto" w:fill="auto"/>
            <w:tcMar>
              <w:top w:w="60" w:type="dxa"/>
              <w:left w:w="100" w:type="dxa"/>
              <w:bottom w:w="60" w:type="dxa"/>
              <w:right w:w="100" w:type="dxa"/>
            </w:tcMar>
            <w:vAlign w:val="center"/>
          </w:tcPr>
          <w:p w14:paraId="6B00D562"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48.8</w:t>
            </w:r>
          </w:p>
        </w:tc>
        <w:tc>
          <w:tcPr>
            <w:tcW w:w="1560" w:type="dxa"/>
            <w:shd w:val="clear" w:color="auto" w:fill="auto"/>
            <w:tcMar>
              <w:top w:w="60" w:type="dxa"/>
              <w:left w:w="100" w:type="dxa"/>
              <w:bottom w:w="60" w:type="dxa"/>
              <w:right w:w="100" w:type="dxa"/>
            </w:tcMar>
            <w:vAlign w:val="center"/>
          </w:tcPr>
          <w:p w14:paraId="1A0705DE"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46.1</w:t>
            </w:r>
          </w:p>
        </w:tc>
        <w:tc>
          <w:tcPr>
            <w:tcW w:w="1560" w:type="dxa"/>
            <w:shd w:val="clear" w:color="auto" w:fill="auto"/>
            <w:tcMar>
              <w:top w:w="60" w:type="dxa"/>
              <w:left w:w="100" w:type="dxa"/>
              <w:bottom w:w="60" w:type="dxa"/>
              <w:right w:w="100" w:type="dxa"/>
            </w:tcMar>
            <w:vAlign w:val="center"/>
          </w:tcPr>
          <w:p w14:paraId="1A78D37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45.6</w:t>
            </w:r>
          </w:p>
        </w:tc>
        <w:tc>
          <w:tcPr>
            <w:tcW w:w="1560" w:type="dxa"/>
            <w:shd w:val="clear" w:color="auto" w:fill="auto"/>
            <w:tcMar>
              <w:top w:w="60" w:type="dxa"/>
              <w:left w:w="100" w:type="dxa"/>
              <w:bottom w:w="60" w:type="dxa"/>
              <w:right w:w="100" w:type="dxa"/>
            </w:tcMar>
            <w:vAlign w:val="center"/>
          </w:tcPr>
          <w:p w14:paraId="28555074"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37.9</w:t>
            </w:r>
          </w:p>
        </w:tc>
        <w:tc>
          <w:tcPr>
            <w:tcW w:w="1560" w:type="dxa"/>
            <w:shd w:val="clear" w:color="auto" w:fill="auto"/>
            <w:tcMar>
              <w:top w:w="60" w:type="dxa"/>
              <w:left w:w="100" w:type="dxa"/>
              <w:bottom w:w="60" w:type="dxa"/>
              <w:right w:w="100" w:type="dxa"/>
            </w:tcMar>
            <w:vAlign w:val="center"/>
          </w:tcPr>
          <w:p w14:paraId="6BFC2BE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36.1</w:t>
            </w:r>
          </w:p>
        </w:tc>
      </w:tr>
      <w:tr w:rsidR="00124C6B" w:rsidRPr="002E79F4" w14:paraId="453AF465" w14:textId="77777777" w:rsidTr="002E79F4">
        <w:tc>
          <w:tcPr>
            <w:tcW w:w="1560" w:type="dxa"/>
            <w:shd w:val="clear" w:color="auto" w:fill="auto"/>
            <w:tcMar>
              <w:top w:w="60" w:type="dxa"/>
              <w:left w:w="100" w:type="dxa"/>
              <w:bottom w:w="60" w:type="dxa"/>
              <w:right w:w="100" w:type="dxa"/>
            </w:tcMar>
            <w:vAlign w:val="center"/>
          </w:tcPr>
          <w:p w14:paraId="1C907AE6" w14:textId="77777777" w:rsidR="00124C6B" w:rsidRPr="002E79F4" w:rsidRDefault="00124C6B" w:rsidP="002E79F4">
            <w:pPr>
              <w:jc w:val="center"/>
              <w:rPr>
                <w:rFonts w:ascii="Arial" w:hAnsi="Arial" w:cs="Arial"/>
                <w:sz w:val="24"/>
                <w:szCs w:val="24"/>
              </w:rPr>
            </w:pPr>
            <w:r w:rsidRPr="002E79F4">
              <w:rPr>
                <w:rFonts w:ascii="Arial" w:hAnsi="Arial" w:cs="Arial"/>
                <w:color w:val="404040"/>
                <w:sz w:val="24"/>
                <w:szCs w:val="24"/>
              </w:rPr>
              <w:t>Receivables Days (days)</w:t>
            </w:r>
          </w:p>
        </w:tc>
        <w:tc>
          <w:tcPr>
            <w:tcW w:w="1560" w:type="dxa"/>
            <w:shd w:val="clear" w:color="auto" w:fill="auto"/>
            <w:tcMar>
              <w:top w:w="60" w:type="dxa"/>
              <w:left w:w="100" w:type="dxa"/>
              <w:bottom w:w="60" w:type="dxa"/>
              <w:right w:w="100" w:type="dxa"/>
            </w:tcMar>
            <w:vAlign w:val="center"/>
          </w:tcPr>
          <w:p w14:paraId="6DC77875"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28.1</w:t>
            </w:r>
          </w:p>
        </w:tc>
        <w:tc>
          <w:tcPr>
            <w:tcW w:w="1560" w:type="dxa"/>
            <w:shd w:val="clear" w:color="auto" w:fill="auto"/>
            <w:tcMar>
              <w:top w:w="60" w:type="dxa"/>
              <w:left w:w="100" w:type="dxa"/>
              <w:bottom w:w="60" w:type="dxa"/>
              <w:right w:w="100" w:type="dxa"/>
            </w:tcMar>
            <w:vAlign w:val="center"/>
          </w:tcPr>
          <w:p w14:paraId="1865157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27.9</w:t>
            </w:r>
          </w:p>
        </w:tc>
        <w:tc>
          <w:tcPr>
            <w:tcW w:w="1560" w:type="dxa"/>
            <w:shd w:val="clear" w:color="auto" w:fill="auto"/>
            <w:tcMar>
              <w:top w:w="60" w:type="dxa"/>
              <w:left w:w="100" w:type="dxa"/>
              <w:bottom w:w="60" w:type="dxa"/>
              <w:right w:w="100" w:type="dxa"/>
            </w:tcMar>
            <w:vAlign w:val="center"/>
          </w:tcPr>
          <w:p w14:paraId="78F564E5"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25.6</w:t>
            </w:r>
          </w:p>
        </w:tc>
        <w:tc>
          <w:tcPr>
            <w:tcW w:w="1560" w:type="dxa"/>
            <w:shd w:val="clear" w:color="auto" w:fill="auto"/>
            <w:tcMar>
              <w:top w:w="60" w:type="dxa"/>
              <w:left w:w="100" w:type="dxa"/>
              <w:bottom w:w="60" w:type="dxa"/>
              <w:right w:w="100" w:type="dxa"/>
            </w:tcMar>
            <w:vAlign w:val="center"/>
          </w:tcPr>
          <w:p w14:paraId="792CB041"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24.7</w:t>
            </w:r>
          </w:p>
        </w:tc>
        <w:tc>
          <w:tcPr>
            <w:tcW w:w="1560" w:type="dxa"/>
            <w:shd w:val="clear" w:color="auto" w:fill="auto"/>
            <w:tcMar>
              <w:top w:w="60" w:type="dxa"/>
              <w:left w:w="100" w:type="dxa"/>
              <w:bottom w:w="60" w:type="dxa"/>
              <w:right w:w="100" w:type="dxa"/>
            </w:tcMar>
            <w:vAlign w:val="center"/>
          </w:tcPr>
          <w:p w14:paraId="4272B29C"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24.5</w:t>
            </w:r>
          </w:p>
        </w:tc>
      </w:tr>
      <w:tr w:rsidR="00124C6B" w:rsidRPr="002E79F4" w14:paraId="1487A93D" w14:textId="77777777" w:rsidTr="002E79F4">
        <w:tc>
          <w:tcPr>
            <w:tcW w:w="1560" w:type="dxa"/>
            <w:shd w:val="clear" w:color="auto" w:fill="auto"/>
            <w:tcMar>
              <w:top w:w="60" w:type="dxa"/>
              <w:left w:w="100" w:type="dxa"/>
              <w:bottom w:w="60" w:type="dxa"/>
              <w:right w:w="100" w:type="dxa"/>
            </w:tcMar>
            <w:vAlign w:val="center"/>
          </w:tcPr>
          <w:p w14:paraId="01BEABD9" w14:textId="77777777" w:rsidR="00124C6B" w:rsidRPr="002E79F4" w:rsidRDefault="00124C6B" w:rsidP="002E79F4">
            <w:pPr>
              <w:jc w:val="center"/>
              <w:rPr>
                <w:rFonts w:ascii="Arial" w:hAnsi="Arial" w:cs="Arial"/>
                <w:sz w:val="24"/>
                <w:szCs w:val="24"/>
              </w:rPr>
            </w:pPr>
            <w:r w:rsidRPr="002E79F4">
              <w:rPr>
                <w:rFonts w:ascii="Arial" w:hAnsi="Arial" w:cs="Arial"/>
                <w:color w:val="404040"/>
                <w:sz w:val="24"/>
                <w:szCs w:val="24"/>
              </w:rPr>
              <w:t>Payables Days (days)</w:t>
            </w:r>
          </w:p>
        </w:tc>
        <w:tc>
          <w:tcPr>
            <w:tcW w:w="1560" w:type="dxa"/>
            <w:shd w:val="clear" w:color="auto" w:fill="auto"/>
            <w:tcMar>
              <w:top w:w="60" w:type="dxa"/>
              <w:left w:w="100" w:type="dxa"/>
              <w:bottom w:w="60" w:type="dxa"/>
              <w:right w:w="100" w:type="dxa"/>
            </w:tcMar>
            <w:vAlign w:val="center"/>
          </w:tcPr>
          <w:p w14:paraId="0AD35F8E"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44.6</w:t>
            </w:r>
          </w:p>
        </w:tc>
        <w:tc>
          <w:tcPr>
            <w:tcW w:w="1560" w:type="dxa"/>
            <w:shd w:val="clear" w:color="auto" w:fill="auto"/>
            <w:tcMar>
              <w:top w:w="60" w:type="dxa"/>
              <w:left w:w="100" w:type="dxa"/>
              <w:bottom w:w="60" w:type="dxa"/>
              <w:right w:w="100" w:type="dxa"/>
            </w:tcMar>
            <w:vAlign w:val="center"/>
          </w:tcPr>
          <w:p w14:paraId="6A057525"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42.3</w:t>
            </w:r>
          </w:p>
        </w:tc>
        <w:tc>
          <w:tcPr>
            <w:tcW w:w="1560" w:type="dxa"/>
            <w:shd w:val="clear" w:color="auto" w:fill="auto"/>
            <w:tcMar>
              <w:top w:w="60" w:type="dxa"/>
              <w:left w:w="100" w:type="dxa"/>
              <w:bottom w:w="60" w:type="dxa"/>
              <w:right w:w="100" w:type="dxa"/>
            </w:tcMar>
            <w:vAlign w:val="center"/>
          </w:tcPr>
          <w:p w14:paraId="6E6C03DD"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39.3</w:t>
            </w:r>
          </w:p>
        </w:tc>
        <w:tc>
          <w:tcPr>
            <w:tcW w:w="1560" w:type="dxa"/>
            <w:shd w:val="clear" w:color="auto" w:fill="auto"/>
            <w:tcMar>
              <w:top w:w="60" w:type="dxa"/>
              <w:left w:w="100" w:type="dxa"/>
              <w:bottom w:w="60" w:type="dxa"/>
              <w:right w:w="100" w:type="dxa"/>
            </w:tcMar>
            <w:vAlign w:val="center"/>
          </w:tcPr>
          <w:p w14:paraId="40DD3ABC"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36.5</w:t>
            </w:r>
          </w:p>
        </w:tc>
        <w:tc>
          <w:tcPr>
            <w:tcW w:w="1560" w:type="dxa"/>
            <w:shd w:val="clear" w:color="auto" w:fill="auto"/>
            <w:tcMar>
              <w:top w:w="60" w:type="dxa"/>
              <w:left w:w="100" w:type="dxa"/>
              <w:bottom w:w="60" w:type="dxa"/>
              <w:right w:w="100" w:type="dxa"/>
            </w:tcMar>
            <w:vAlign w:val="center"/>
          </w:tcPr>
          <w:p w14:paraId="0223051C"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35.6</w:t>
            </w:r>
          </w:p>
        </w:tc>
      </w:tr>
      <w:tr w:rsidR="00124C6B" w:rsidRPr="002E79F4" w14:paraId="2A1BB611" w14:textId="77777777" w:rsidTr="002E79F4">
        <w:tc>
          <w:tcPr>
            <w:tcW w:w="1560" w:type="dxa"/>
            <w:shd w:val="clear" w:color="auto" w:fill="auto"/>
            <w:tcMar>
              <w:top w:w="60" w:type="dxa"/>
              <w:left w:w="100" w:type="dxa"/>
              <w:bottom w:w="60" w:type="dxa"/>
              <w:right w:w="100" w:type="dxa"/>
            </w:tcMar>
            <w:vAlign w:val="center"/>
          </w:tcPr>
          <w:p w14:paraId="33744721" w14:textId="77777777" w:rsidR="00124C6B" w:rsidRPr="002E79F4" w:rsidRDefault="00124C6B" w:rsidP="002E79F4">
            <w:pPr>
              <w:jc w:val="center"/>
              <w:rPr>
                <w:rFonts w:ascii="Arial" w:hAnsi="Arial" w:cs="Arial"/>
                <w:sz w:val="24"/>
                <w:szCs w:val="24"/>
              </w:rPr>
            </w:pPr>
            <w:r w:rsidRPr="002E79F4">
              <w:rPr>
                <w:rFonts w:ascii="Arial" w:hAnsi="Arial" w:cs="Arial"/>
                <w:color w:val="404040"/>
                <w:sz w:val="24"/>
                <w:szCs w:val="24"/>
              </w:rPr>
              <w:t>Cash Operating Cycle (days)</w:t>
            </w:r>
          </w:p>
        </w:tc>
        <w:tc>
          <w:tcPr>
            <w:tcW w:w="1560" w:type="dxa"/>
            <w:shd w:val="clear" w:color="auto" w:fill="auto"/>
            <w:tcMar>
              <w:top w:w="60" w:type="dxa"/>
              <w:left w:w="100" w:type="dxa"/>
              <w:bottom w:w="60" w:type="dxa"/>
              <w:right w:w="100" w:type="dxa"/>
            </w:tcMar>
            <w:vAlign w:val="center"/>
          </w:tcPr>
          <w:p w14:paraId="0ED98FCA"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32.3</w:t>
            </w:r>
          </w:p>
        </w:tc>
        <w:tc>
          <w:tcPr>
            <w:tcW w:w="1560" w:type="dxa"/>
            <w:shd w:val="clear" w:color="auto" w:fill="auto"/>
            <w:tcMar>
              <w:top w:w="60" w:type="dxa"/>
              <w:left w:w="100" w:type="dxa"/>
              <w:bottom w:w="60" w:type="dxa"/>
              <w:right w:w="100" w:type="dxa"/>
            </w:tcMar>
            <w:vAlign w:val="center"/>
          </w:tcPr>
          <w:p w14:paraId="4B6DE0D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31.7</w:t>
            </w:r>
          </w:p>
        </w:tc>
        <w:tc>
          <w:tcPr>
            <w:tcW w:w="1560" w:type="dxa"/>
            <w:shd w:val="clear" w:color="auto" w:fill="auto"/>
            <w:tcMar>
              <w:top w:w="60" w:type="dxa"/>
              <w:left w:w="100" w:type="dxa"/>
              <w:bottom w:w="60" w:type="dxa"/>
              <w:right w:w="100" w:type="dxa"/>
            </w:tcMar>
            <w:vAlign w:val="center"/>
          </w:tcPr>
          <w:p w14:paraId="51579B9B"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31.9</w:t>
            </w:r>
          </w:p>
        </w:tc>
        <w:tc>
          <w:tcPr>
            <w:tcW w:w="1560" w:type="dxa"/>
            <w:shd w:val="clear" w:color="auto" w:fill="auto"/>
            <w:tcMar>
              <w:top w:w="60" w:type="dxa"/>
              <w:left w:w="100" w:type="dxa"/>
              <w:bottom w:w="60" w:type="dxa"/>
              <w:right w:w="100" w:type="dxa"/>
            </w:tcMar>
            <w:vAlign w:val="center"/>
          </w:tcPr>
          <w:p w14:paraId="28F95AAF"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26.1</w:t>
            </w:r>
          </w:p>
        </w:tc>
        <w:tc>
          <w:tcPr>
            <w:tcW w:w="1560" w:type="dxa"/>
            <w:shd w:val="clear" w:color="auto" w:fill="auto"/>
            <w:tcMar>
              <w:top w:w="60" w:type="dxa"/>
              <w:left w:w="100" w:type="dxa"/>
              <w:bottom w:w="60" w:type="dxa"/>
              <w:right w:w="100" w:type="dxa"/>
            </w:tcMar>
            <w:vAlign w:val="center"/>
          </w:tcPr>
          <w:p w14:paraId="0118A91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25.0</w:t>
            </w:r>
          </w:p>
        </w:tc>
      </w:tr>
      <w:tr w:rsidR="00124C6B" w:rsidRPr="002E79F4" w14:paraId="6D319A95" w14:textId="77777777" w:rsidTr="002E79F4">
        <w:tc>
          <w:tcPr>
            <w:tcW w:w="1560" w:type="dxa"/>
            <w:shd w:val="clear" w:color="auto" w:fill="auto"/>
            <w:tcMar>
              <w:top w:w="60" w:type="dxa"/>
              <w:left w:w="100" w:type="dxa"/>
              <w:bottom w:w="60" w:type="dxa"/>
              <w:right w:w="100" w:type="dxa"/>
            </w:tcMar>
            <w:vAlign w:val="center"/>
          </w:tcPr>
          <w:p w14:paraId="0424746F" w14:textId="77777777" w:rsidR="00124C6B" w:rsidRPr="002E79F4" w:rsidRDefault="00124C6B" w:rsidP="002E79F4">
            <w:pPr>
              <w:jc w:val="center"/>
              <w:rPr>
                <w:rFonts w:ascii="Arial" w:hAnsi="Arial" w:cs="Arial"/>
                <w:sz w:val="24"/>
                <w:szCs w:val="24"/>
              </w:rPr>
            </w:pPr>
            <w:r w:rsidRPr="002E79F4">
              <w:rPr>
                <w:rFonts w:ascii="Arial" w:hAnsi="Arial" w:cs="Arial"/>
                <w:color w:val="404040"/>
                <w:sz w:val="24"/>
                <w:szCs w:val="24"/>
              </w:rPr>
              <w:t>Asset Turnover (x)</w:t>
            </w:r>
          </w:p>
        </w:tc>
        <w:tc>
          <w:tcPr>
            <w:tcW w:w="1560" w:type="dxa"/>
            <w:shd w:val="clear" w:color="auto" w:fill="auto"/>
            <w:tcMar>
              <w:top w:w="60" w:type="dxa"/>
              <w:left w:w="100" w:type="dxa"/>
              <w:bottom w:w="60" w:type="dxa"/>
              <w:right w:w="100" w:type="dxa"/>
            </w:tcMar>
            <w:vAlign w:val="center"/>
          </w:tcPr>
          <w:p w14:paraId="0593858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0.45</w:t>
            </w:r>
          </w:p>
        </w:tc>
        <w:tc>
          <w:tcPr>
            <w:tcW w:w="1560" w:type="dxa"/>
            <w:shd w:val="clear" w:color="auto" w:fill="auto"/>
            <w:tcMar>
              <w:top w:w="60" w:type="dxa"/>
              <w:left w:w="100" w:type="dxa"/>
              <w:bottom w:w="60" w:type="dxa"/>
              <w:right w:w="100" w:type="dxa"/>
            </w:tcMar>
            <w:vAlign w:val="center"/>
          </w:tcPr>
          <w:p w14:paraId="07765AE9"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0.48</w:t>
            </w:r>
          </w:p>
        </w:tc>
        <w:tc>
          <w:tcPr>
            <w:tcW w:w="1560" w:type="dxa"/>
            <w:shd w:val="clear" w:color="auto" w:fill="auto"/>
            <w:tcMar>
              <w:top w:w="60" w:type="dxa"/>
              <w:left w:w="100" w:type="dxa"/>
              <w:bottom w:w="60" w:type="dxa"/>
              <w:right w:w="100" w:type="dxa"/>
            </w:tcMar>
            <w:vAlign w:val="center"/>
          </w:tcPr>
          <w:p w14:paraId="628A43B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0.54</w:t>
            </w:r>
          </w:p>
        </w:tc>
        <w:tc>
          <w:tcPr>
            <w:tcW w:w="1560" w:type="dxa"/>
            <w:shd w:val="clear" w:color="auto" w:fill="auto"/>
            <w:tcMar>
              <w:top w:w="60" w:type="dxa"/>
              <w:left w:w="100" w:type="dxa"/>
              <w:bottom w:w="60" w:type="dxa"/>
              <w:right w:w="100" w:type="dxa"/>
            </w:tcMar>
            <w:vAlign w:val="center"/>
          </w:tcPr>
          <w:p w14:paraId="6D54CC56"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0.57</w:t>
            </w:r>
          </w:p>
        </w:tc>
        <w:tc>
          <w:tcPr>
            <w:tcW w:w="1560" w:type="dxa"/>
            <w:shd w:val="clear" w:color="auto" w:fill="auto"/>
            <w:tcMar>
              <w:top w:w="60" w:type="dxa"/>
              <w:left w:w="100" w:type="dxa"/>
              <w:bottom w:w="60" w:type="dxa"/>
              <w:right w:w="100" w:type="dxa"/>
            </w:tcMar>
            <w:vAlign w:val="center"/>
          </w:tcPr>
          <w:p w14:paraId="692FE358"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0.58</w:t>
            </w:r>
          </w:p>
        </w:tc>
      </w:tr>
      <w:tr w:rsidR="00124C6B" w:rsidRPr="002E79F4" w14:paraId="06FB8D0C" w14:textId="77777777" w:rsidTr="002E79F4">
        <w:tc>
          <w:tcPr>
            <w:tcW w:w="1560" w:type="dxa"/>
            <w:shd w:val="clear" w:color="auto" w:fill="auto"/>
            <w:tcMar>
              <w:top w:w="60" w:type="dxa"/>
              <w:left w:w="100" w:type="dxa"/>
              <w:bottom w:w="60" w:type="dxa"/>
              <w:right w:w="100" w:type="dxa"/>
            </w:tcMar>
            <w:vAlign w:val="center"/>
          </w:tcPr>
          <w:p w14:paraId="23042A63" w14:textId="77777777" w:rsidR="00124C6B" w:rsidRPr="002E79F4" w:rsidRDefault="00124C6B" w:rsidP="002E79F4">
            <w:pPr>
              <w:jc w:val="center"/>
              <w:rPr>
                <w:rFonts w:ascii="Arial" w:hAnsi="Arial" w:cs="Arial"/>
                <w:sz w:val="24"/>
                <w:szCs w:val="24"/>
              </w:rPr>
            </w:pPr>
            <w:r w:rsidRPr="002E79F4">
              <w:rPr>
                <w:rFonts w:ascii="Arial" w:hAnsi="Arial" w:cs="Arial"/>
                <w:color w:val="404040"/>
                <w:sz w:val="24"/>
                <w:szCs w:val="24"/>
              </w:rPr>
              <w:t>Fixed Asset Turnover (x)</w:t>
            </w:r>
          </w:p>
        </w:tc>
        <w:tc>
          <w:tcPr>
            <w:tcW w:w="1560" w:type="dxa"/>
            <w:shd w:val="clear" w:color="auto" w:fill="auto"/>
            <w:tcMar>
              <w:top w:w="60" w:type="dxa"/>
              <w:left w:w="100" w:type="dxa"/>
              <w:bottom w:w="60" w:type="dxa"/>
              <w:right w:w="100" w:type="dxa"/>
            </w:tcMar>
            <w:vAlign w:val="center"/>
          </w:tcPr>
          <w:p w14:paraId="71DACCF0"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1.21</w:t>
            </w:r>
          </w:p>
        </w:tc>
        <w:tc>
          <w:tcPr>
            <w:tcW w:w="1560" w:type="dxa"/>
            <w:shd w:val="clear" w:color="auto" w:fill="auto"/>
            <w:tcMar>
              <w:top w:w="60" w:type="dxa"/>
              <w:left w:w="100" w:type="dxa"/>
              <w:bottom w:w="60" w:type="dxa"/>
              <w:right w:w="100" w:type="dxa"/>
            </w:tcMar>
            <w:vAlign w:val="center"/>
          </w:tcPr>
          <w:p w14:paraId="71F4FD22"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1.34</w:t>
            </w:r>
          </w:p>
        </w:tc>
        <w:tc>
          <w:tcPr>
            <w:tcW w:w="1560" w:type="dxa"/>
            <w:shd w:val="clear" w:color="auto" w:fill="auto"/>
            <w:tcMar>
              <w:top w:w="60" w:type="dxa"/>
              <w:left w:w="100" w:type="dxa"/>
              <w:bottom w:w="60" w:type="dxa"/>
              <w:right w:w="100" w:type="dxa"/>
            </w:tcMar>
            <w:vAlign w:val="center"/>
          </w:tcPr>
          <w:p w14:paraId="5E9FFB8F"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1.52</w:t>
            </w:r>
          </w:p>
        </w:tc>
        <w:tc>
          <w:tcPr>
            <w:tcW w:w="1560" w:type="dxa"/>
            <w:shd w:val="clear" w:color="auto" w:fill="auto"/>
            <w:tcMar>
              <w:top w:w="60" w:type="dxa"/>
              <w:left w:w="100" w:type="dxa"/>
              <w:bottom w:w="60" w:type="dxa"/>
              <w:right w:w="100" w:type="dxa"/>
            </w:tcMar>
            <w:vAlign w:val="center"/>
          </w:tcPr>
          <w:p w14:paraId="3A8280AE" w14:textId="77777777" w:rsidR="00124C6B" w:rsidRPr="002E79F4" w:rsidRDefault="00124C6B" w:rsidP="002E79F4">
            <w:pPr>
              <w:rPr>
                <w:rFonts w:ascii="Arial" w:hAnsi="Arial" w:cs="Arial"/>
                <w:sz w:val="24"/>
                <w:szCs w:val="24"/>
              </w:rPr>
            </w:pPr>
            <w:r w:rsidRPr="002E79F4">
              <w:rPr>
                <w:rFonts w:ascii="Arial" w:hAnsi="Arial" w:cs="Arial"/>
                <w:color w:val="404040"/>
                <w:sz w:val="24"/>
                <w:szCs w:val="24"/>
              </w:rPr>
              <w:t>1.67</w:t>
            </w:r>
          </w:p>
        </w:tc>
        <w:tc>
          <w:tcPr>
            <w:tcW w:w="1560" w:type="dxa"/>
            <w:shd w:val="clear" w:color="auto" w:fill="auto"/>
            <w:tcMar>
              <w:top w:w="60" w:type="dxa"/>
              <w:left w:w="100" w:type="dxa"/>
              <w:bottom w:w="60" w:type="dxa"/>
              <w:right w:w="100" w:type="dxa"/>
            </w:tcMar>
            <w:vAlign w:val="center"/>
          </w:tcPr>
          <w:p w14:paraId="3B8F63FC" w14:textId="77777777" w:rsidR="00124C6B" w:rsidRPr="002E79F4" w:rsidRDefault="00124C6B" w:rsidP="001E1E66">
            <w:pPr>
              <w:keepNext/>
              <w:rPr>
                <w:rFonts w:ascii="Arial" w:hAnsi="Arial" w:cs="Arial"/>
                <w:sz w:val="24"/>
                <w:szCs w:val="24"/>
              </w:rPr>
            </w:pPr>
            <w:r w:rsidRPr="002E79F4">
              <w:rPr>
                <w:rFonts w:ascii="Arial" w:hAnsi="Arial" w:cs="Arial"/>
                <w:color w:val="404040"/>
                <w:sz w:val="24"/>
                <w:szCs w:val="24"/>
              </w:rPr>
              <w:t>1.68</w:t>
            </w:r>
          </w:p>
        </w:tc>
      </w:tr>
    </w:tbl>
    <w:p w14:paraId="7B5EB84F" w14:textId="441C099F" w:rsidR="00124C6B" w:rsidRDefault="001E1E66" w:rsidP="001E1E66">
      <w:pPr>
        <w:pStyle w:val="Caption"/>
      </w:pPr>
      <w:r>
        <w:t>Table 1.</w:t>
      </w:r>
      <w:r w:rsidR="00553D26">
        <w:fldChar w:fldCharType="begin"/>
      </w:r>
      <w:r w:rsidR="00553D26">
        <w:instrText xml:space="preserve"> SEQ Table \* ARABIC </w:instrText>
      </w:r>
      <w:r w:rsidR="00553D26">
        <w:fldChar w:fldCharType="separate"/>
      </w:r>
      <w:r w:rsidR="00215885">
        <w:rPr>
          <w:noProof/>
        </w:rPr>
        <w:t>4</w:t>
      </w:r>
      <w:r w:rsidR="00553D26">
        <w:rPr>
          <w:noProof/>
        </w:rPr>
        <w:fldChar w:fldCharType="end"/>
      </w:r>
      <w:r>
        <w:t xml:space="preserve"> </w:t>
      </w:r>
      <w:r w:rsidRPr="00905B16">
        <w:t>Source: Hyundai Motor Company Annual Reports 2020–2024; Author's calculations</w:t>
      </w:r>
    </w:p>
    <w:p w14:paraId="2695FE9F" w14:textId="77777777" w:rsidR="002D1A8C" w:rsidRDefault="00D13A64" w:rsidP="002D1A8C">
      <w:pPr>
        <w:keepNext/>
        <w:jc w:val="center"/>
      </w:pPr>
      <w:r w:rsidRPr="00D13A64">
        <w:rPr>
          <w:noProof/>
        </w:rPr>
        <w:drawing>
          <wp:inline distT="0" distB="0" distL="0" distR="0" wp14:anchorId="333E99BA" wp14:editId="79424505">
            <wp:extent cx="5082540" cy="307268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98560" cy="3082365"/>
                    </a:xfrm>
                    <a:prstGeom prst="rect">
                      <a:avLst/>
                    </a:prstGeom>
                  </pic:spPr>
                </pic:pic>
              </a:graphicData>
            </a:graphic>
          </wp:inline>
        </w:drawing>
      </w:r>
    </w:p>
    <w:p w14:paraId="06E57312" w14:textId="45544DEE" w:rsidR="00747881" w:rsidRDefault="002D1A8C" w:rsidP="002D1A8C">
      <w:pPr>
        <w:pStyle w:val="Caption"/>
        <w:jc w:val="center"/>
      </w:pPr>
      <w:r>
        <w:t xml:space="preserve">Figure </w:t>
      </w:r>
      <w:r w:rsidR="00553D26">
        <w:fldChar w:fldCharType="begin"/>
      </w:r>
      <w:r w:rsidR="00553D26">
        <w:instrText xml:space="preserve"> SEQ Figure \* ARABIC </w:instrText>
      </w:r>
      <w:r w:rsidR="00553D26">
        <w:fldChar w:fldCharType="separate"/>
      </w:r>
      <w:r>
        <w:rPr>
          <w:noProof/>
        </w:rPr>
        <w:t>3</w:t>
      </w:r>
      <w:r w:rsidR="00553D26">
        <w:rPr>
          <w:noProof/>
        </w:rPr>
        <w:fldChar w:fldCharType="end"/>
      </w:r>
      <w:r>
        <w:t xml:space="preserve"> Efficiency</w:t>
      </w:r>
      <w:r w:rsidRPr="00216E3E">
        <w:t xml:space="preserve"> Ratios Source: Annual Reports and Author’s Calculation</w:t>
      </w:r>
    </w:p>
    <w:p w14:paraId="7BD19C51" w14:textId="0524957B" w:rsidR="00124C6B" w:rsidRPr="008D2561" w:rsidRDefault="008D2561" w:rsidP="008D2561">
      <w:pPr>
        <w:spacing w:line="360" w:lineRule="auto"/>
        <w:jc w:val="both"/>
        <w:rPr>
          <w:rFonts w:ascii="Arial" w:hAnsi="Arial" w:cs="Arial"/>
          <w:sz w:val="24"/>
          <w:szCs w:val="24"/>
        </w:rPr>
      </w:pPr>
      <w:r w:rsidRPr="008D2561">
        <w:rPr>
          <w:rFonts w:ascii="Arial" w:hAnsi="Arial" w:cs="Arial"/>
          <w:sz w:val="24"/>
          <w:szCs w:val="24"/>
          <w:shd w:val="clear" w:color="auto" w:fill="FFFFFF"/>
        </w:rPr>
        <w:lastRenderedPageBreak/>
        <w:t>The Cash Operating Cycle (COC) was decreased from 32.3 days to 25.0 days, representing the working capital liberation of around KRW 3,600 billion on 2024 revenue basis. Days of inventory outstanding have been reduced to 36.1 from 48.8 owing to better demand forecasting and normalization of semiconductors. On the other hand, the reduction of payables days (from 44.6 to 35.6) indicates the absence of the free financing advantage obtained through trade credit, which Lazaridis &amp; Tryfonidis (2006) associate with lower operating effectiveness</w:t>
      </w:r>
      <w:r w:rsidR="00124C6B" w:rsidRPr="008D2561">
        <w:rPr>
          <w:rFonts w:ascii="Arial" w:hAnsi="Arial" w:cs="Arial"/>
          <w:sz w:val="24"/>
          <w:szCs w:val="24"/>
        </w:rPr>
        <w:t>.</w:t>
      </w:r>
    </w:p>
    <w:p w14:paraId="3366C5BD" w14:textId="77777777" w:rsidR="00124C6B" w:rsidRDefault="00124C6B" w:rsidP="00124C6B">
      <w:pPr>
        <w:pStyle w:val="Heading2"/>
      </w:pPr>
      <w:bookmarkStart w:id="10" w:name="_Toc227660472"/>
      <w:r>
        <w:rPr>
          <w:rFonts w:ascii="Arial" w:eastAsia="Arial" w:hAnsi="Arial" w:cs="Arial"/>
          <w:b/>
          <w:bCs/>
          <w:color w:val="2E75B6"/>
        </w:rPr>
        <w:t>1.5 Gearing (Leverage) Ratios</w:t>
      </w:r>
      <w:bookmarkEnd w:id="10"/>
    </w:p>
    <w:p w14:paraId="120520E0" w14:textId="77777777" w:rsidR="00124C6B" w:rsidRPr="00D37EF2" w:rsidRDefault="00124C6B" w:rsidP="00D37EF2">
      <w:pPr>
        <w:pStyle w:val="Heading3"/>
        <w:spacing w:line="360" w:lineRule="auto"/>
      </w:pPr>
      <w:bookmarkStart w:id="11" w:name="_Toc227660473"/>
      <w:r w:rsidRPr="00D37EF2">
        <w:rPr>
          <w:rFonts w:ascii="Arial" w:eastAsia="Arial" w:hAnsi="Arial" w:cs="Arial"/>
          <w:b/>
          <w:bCs/>
          <w:color w:val="404040"/>
        </w:rPr>
        <w:t>Table 1.5 – Gearing / Leverage Ratios</w:t>
      </w:r>
      <w:bookmarkEnd w:id="1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1560"/>
        <w:gridCol w:w="1560"/>
        <w:gridCol w:w="1560"/>
        <w:gridCol w:w="1560"/>
        <w:gridCol w:w="1560"/>
      </w:tblGrid>
      <w:tr w:rsidR="00124C6B" w:rsidRPr="00D37EF2" w14:paraId="54DE2E89" w14:textId="77777777" w:rsidTr="00D37EF2">
        <w:tc>
          <w:tcPr>
            <w:tcW w:w="1560" w:type="dxa"/>
            <w:shd w:val="clear" w:color="auto" w:fill="auto"/>
            <w:tcMar>
              <w:top w:w="80" w:type="dxa"/>
              <w:left w:w="100" w:type="dxa"/>
              <w:bottom w:w="80" w:type="dxa"/>
              <w:right w:w="100" w:type="dxa"/>
            </w:tcMar>
            <w:vAlign w:val="center"/>
          </w:tcPr>
          <w:p w14:paraId="69CADBA2" w14:textId="77777777" w:rsidR="00124C6B" w:rsidRPr="00D37EF2" w:rsidRDefault="00124C6B" w:rsidP="00D37EF2">
            <w:pPr>
              <w:jc w:val="center"/>
              <w:rPr>
                <w:rFonts w:ascii="Arial" w:hAnsi="Arial" w:cs="Arial"/>
                <w:sz w:val="24"/>
                <w:szCs w:val="24"/>
              </w:rPr>
            </w:pPr>
            <w:r w:rsidRPr="00D37EF2">
              <w:rPr>
                <w:rFonts w:ascii="Arial" w:hAnsi="Arial" w:cs="Arial"/>
                <w:sz w:val="24"/>
                <w:szCs w:val="24"/>
              </w:rPr>
              <w:t>Ratio</w:t>
            </w:r>
          </w:p>
        </w:tc>
        <w:tc>
          <w:tcPr>
            <w:tcW w:w="1560" w:type="dxa"/>
            <w:shd w:val="clear" w:color="auto" w:fill="auto"/>
            <w:tcMar>
              <w:top w:w="80" w:type="dxa"/>
              <w:left w:w="100" w:type="dxa"/>
              <w:bottom w:w="80" w:type="dxa"/>
              <w:right w:w="100" w:type="dxa"/>
            </w:tcMar>
            <w:vAlign w:val="center"/>
          </w:tcPr>
          <w:p w14:paraId="2658C0C7" w14:textId="77777777" w:rsidR="00124C6B" w:rsidRPr="00D37EF2" w:rsidRDefault="00124C6B" w:rsidP="00D37EF2">
            <w:pPr>
              <w:jc w:val="center"/>
              <w:rPr>
                <w:rFonts w:ascii="Arial" w:hAnsi="Arial" w:cs="Arial"/>
                <w:sz w:val="24"/>
                <w:szCs w:val="24"/>
              </w:rPr>
            </w:pPr>
            <w:r w:rsidRPr="00D37EF2">
              <w:rPr>
                <w:rFonts w:ascii="Arial" w:hAnsi="Arial" w:cs="Arial"/>
                <w:sz w:val="24"/>
                <w:szCs w:val="24"/>
              </w:rPr>
              <w:t>2020</w:t>
            </w:r>
          </w:p>
        </w:tc>
        <w:tc>
          <w:tcPr>
            <w:tcW w:w="1560" w:type="dxa"/>
            <w:shd w:val="clear" w:color="auto" w:fill="auto"/>
            <w:tcMar>
              <w:top w:w="80" w:type="dxa"/>
              <w:left w:w="100" w:type="dxa"/>
              <w:bottom w:w="80" w:type="dxa"/>
              <w:right w:w="100" w:type="dxa"/>
            </w:tcMar>
            <w:vAlign w:val="center"/>
          </w:tcPr>
          <w:p w14:paraId="35E84D7D" w14:textId="77777777" w:rsidR="00124C6B" w:rsidRPr="00D37EF2" w:rsidRDefault="00124C6B" w:rsidP="00D37EF2">
            <w:pPr>
              <w:jc w:val="center"/>
              <w:rPr>
                <w:rFonts w:ascii="Arial" w:hAnsi="Arial" w:cs="Arial"/>
                <w:sz w:val="24"/>
                <w:szCs w:val="24"/>
              </w:rPr>
            </w:pPr>
            <w:r w:rsidRPr="00D37EF2">
              <w:rPr>
                <w:rFonts w:ascii="Arial" w:hAnsi="Arial" w:cs="Arial"/>
                <w:sz w:val="24"/>
                <w:szCs w:val="24"/>
              </w:rPr>
              <w:t>2021</w:t>
            </w:r>
          </w:p>
        </w:tc>
        <w:tc>
          <w:tcPr>
            <w:tcW w:w="1560" w:type="dxa"/>
            <w:shd w:val="clear" w:color="auto" w:fill="auto"/>
            <w:tcMar>
              <w:top w:w="80" w:type="dxa"/>
              <w:left w:w="100" w:type="dxa"/>
              <w:bottom w:w="80" w:type="dxa"/>
              <w:right w:w="100" w:type="dxa"/>
            </w:tcMar>
            <w:vAlign w:val="center"/>
          </w:tcPr>
          <w:p w14:paraId="2BF17AEB" w14:textId="77777777" w:rsidR="00124C6B" w:rsidRPr="00D37EF2" w:rsidRDefault="00124C6B" w:rsidP="00D37EF2">
            <w:pPr>
              <w:jc w:val="center"/>
              <w:rPr>
                <w:rFonts w:ascii="Arial" w:hAnsi="Arial" w:cs="Arial"/>
                <w:sz w:val="24"/>
                <w:szCs w:val="24"/>
              </w:rPr>
            </w:pPr>
            <w:r w:rsidRPr="00D37EF2">
              <w:rPr>
                <w:rFonts w:ascii="Arial" w:hAnsi="Arial" w:cs="Arial"/>
                <w:sz w:val="24"/>
                <w:szCs w:val="24"/>
              </w:rPr>
              <w:t>2022</w:t>
            </w:r>
          </w:p>
        </w:tc>
        <w:tc>
          <w:tcPr>
            <w:tcW w:w="1560" w:type="dxa"/>
            <w:shd w:val="clear" w:color="auto" w:fill="auto"/>
            <w:tcMar>
              <w:top w:w="80" w:type="dxa"/>
              <w:left w:w="100" w:type="dxa"/>
              <w:bottom w:w="80" w:type="dxa"/>
              <w:right w:w="100" w:type="dxa"/>
            </w:tcMar>
            <w:vAlign w:val="center"/>
          </w:tcPr>
          <w:p w14:paraId="6A056049" w14:textId="77777777" w:rsidR="00124C6B" w:rsidRPr="00D37EF2" w:rsidRDefault="00124C6B" w:rsidP="00D37EF2">
            <w:pPr>
              <w:jc w:val="center"/>
              <w:rPr>
                <w:rFonts w:ascii="Arial" w:hAnsi="Arial" w:cs="Arial"/>
                <w:sz w:val="24"/>
                <w:szCs w:val="24"/>
              </w:rPr>
            </w:pPr>
            <w:r w:rsidRPr="00D37EF2">
              <w:rPr>
                <w:rFonts w:ascii="Arial" w:hAnsi="Arial" w:cs="Arial"/>
                <w:sz w:val="24"/>
                <w:szCs w:val="24"/>
              </w:rPr>
              <w:t>2023</w:t>
            </w:r>
          </w:p>
        </w:tc>
        <w:tc>
          <w:tcPr>
            <w:tcW w:w="1560" w:type="dxa"/>
            <w:shd w:val="clear" w:color="auto" w:fill="auto"/>
            <w:tcMar>
              <w:top w:w="80" w:type="dxa"/>
              <w:left w:w="100" w:type="dxa"/>
              <w:bottom w:w="80" w:type="dxa"/>
              <w:right w:w="100" w:type="dxa"/>
            </w:tcMar>
            <w:vAlign w:val="center"/>
          </w:tcPr>
          <w:p w14:paraId="6B4BC555" w14:textId="345B397A" w:rsidR="00124C6B" w:rsidRPr="00D37EF2" w:rsidRDefault="00124C6B" w:rsidP="00D37EF2">
            <w:pPr>
              <w:jc w:val="center"/>
              <w:rPr>
                <w:rFonts w:ascii="Arial" w:hAnsi="Arial" w:cs="Arial"/>
                <w:sz w:val="24"/>
                <w:szCs w:val="24"/>
              </w:rPr>
            </w:pPr>
            <w:r w:rsidRPr="00D37EF2">
              <w:rPr>
                <w:rFonts w:ascii="Arial" w:hAnsi="Arial" w:cs="Arial"/>
                <w:sz w:val="24"/>
                <w:szCs w:val="24"/>
              </w:rPr>
              <w:t>2024</w:t>
            </w:r>
          </w:p>
        </w:tc>
      </w:tr>
      <w:tr w:rsidR="00124C6B" w:rsidRPr="00D37EF2" w14:paraId="57272FCF" w14:textId="77777777" w:rsidTr="00D37EF2">
        <w:tc>
          <w:tcPr>
            <w:tcW w:w="1560" w:type="dxa"/>
            <w:shd w:val="clear" w:color="auto" w:fill="auto"/>
            <w:tcMar>
              <w:top w:w="60" w:type="dxa"/>
              <w:left w:w="100" w:type="dxa"/>
              <w:bottom w:w="60" w:type="dxa"/>
              <w:right w:w="100" w:type="dxa"/>
            </w:tcMar>
            <w:vAlign w:val="center"/>
          </w:tcPr>
          <w:p w14:paraId="6AAC23E5" w14:textId="77777777" w:rsidR="00124C6B" w:rsidRPr="00D37EF2" w:rsidRDefault="00124C6B" w:rsidP="00D37EF2">
            <w:pPr>
              <w:jc w:val="center"/>
              <w:rPr>
                <w:rFonts w:ascii="Arial" w:hAnsi="Arial" w:cs="Arial"/>
                <w:sz w:val="24"/>
                <w:szCs w:val="24"/>
              </w:rPr>
            </w:pPr>
            <w:r w:rsidRPr="00D37EF2">
              <w:rPr>
                <w:rFonts w:ascii="Arial" w:hAnsi="Arial" w:cs="Arial"/>
                <w:color w:val="404040"/>
                <w:sz w:val="24"/>
                <w:szCs w:val="24"/>
              </w:rPr>
              <w:t>Debt-to-Equity (x)</w:t>
            </w:r>
          </w:p>
        </w:tc>
        <w:tc>
          <w:tcPr>
            <w:tcW w:w="1560" w:type="dxa"/>
            <w:shd w:val="clear" w:color="auto" w:fill="auto"/>
            <w:tcMar>
              <w:top w:w="60" w:type="dxa"/>
              <w:left w:w="100" w:type="dxa"/>
              <w:bottom w:w="60" w:type="dxa"/>
              <w:right w:w="100" w:type="dxa"/>
            </w:tcMar>
            <w:vAlign w:val="center"/>
          </w:tcPr>
          <w:p w14:paraId="68E9F822"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1.71</w:t>
            </w:r>
          </w:p>
        </w:tc>
        <w:tc>
          <w:tcPr>
            <w:tcW w:w="1560" w:type="dxa"/>
            <w:shd w:val="clear" w:color="auto" w:fill="auto"/>
            <w:tcMar>
              <w:top w:w="60" w:type="dxa"/>
              <w:left w:w="100" w:type="dxa"/>
              <w:bottom w:w="60" w:type="dxa"/>
              <w:right w:w="100" w:type="dxa"/>
            </w:tcMar>
            <w:vAlign w:val="center"/>
          </w:tcPr>
          <w:p w14:paraId="72E1186D"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1.76</w:t>
            </w:r>
          </w:p>
        </w:tc>
        <w:tc>
          <w:tcPr>
            <w:tcW w:w="1560" w:type="dxa"/>
            <w:shd w:val="clear" w:color="auto" w:fill="auto"/>
            <w:tcMar>
              <w:top w:w="60" w:type="dxa"/>
              <w:left w:w="100" w:type="dxa"/>
              <w:bottom w:w="60" w:type="dxa"/>
              <w:right w:w="100" w:type="dxa"/>
            </w:tcMar>
            <w:vAlign w:val="center"/>
          </w:tcPr>
          <w:p w14:paraId="4072F2E7"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1.76</w:t>
            </w:r>
          </w:p>
        </w:tc>
        <w:tc>
          <w:tcPr>
            <w:tcW w:w="1560" w:type="dxa"/>
            <w:shd w:val="clear" w:color="auto" w:fill="auto"/>
            <w:tcMar>
              <w:top w:w="60" w:type="dxa"/>
              <w:left w:w="100" w:type="dxa"/>
              <w:bottom w:w="60" w:type="dxa"/>
              <w:right w:w="100" w:type="dxa"/>
            </w:tcMar>
            <w:vAlign w:val="center"/>
          </w:tcPr>
          <w:p w14:paraId="14DD5193"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1.64</w:t>
            </w:r>
          </w:p>
        </w:tc>
        <w:tc>
          <w:tcPr>
            <w:tcW w:w="1560" w:type="dxa"/>
            <w:shd w:val="clear" w:color="auto" w:fill="auto"/>
            <w:tcMar>
              <w:top w:w="60" w:type="dxa"/>
              <w:left w:w="100" w:type="dxa"/>
              <w:bottom w:w="60" w:type="dxa"/>
              <w:right w:w="100" w:type="dxa"/>
            </w:tcMar>
            <w:vAlign w:val="center"/>
          </w:tcPr>
          <w:p w14:paraId="098F3D16"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1.60</w:t>
            </w:r>
          </w:p>
        </w:tc>
      </w:tr>
      <w:tr w:rsidR="00124C6B" w:rsidRPr="00D37EF2" w14:paraId="4C3C5A32" w14:textId="77777777" w:rsidTr="00D37EF2">
        <w:tc>
          <w:tcPr>
            <w:tcW w:w="1560" w:type="dxa"/>
            <w:shd w:val="clear" w:color="auto" w:fill="auto"/>
            <w:tcMar>
              <w:top w:w="60" w:type="dxa"/>
              <w:left w:w="100" w:type="dxa"/>
              <w:bottom w:w="60" w:type="dxa"/>
              <w:right w:w="100" w:type="dxa"/>
            </w:tcMar>
            <w:vAlign w:val="center"/>
          </w:tcPr>
          <w:p w14:paraId="15620898" w14:textId="77777777" w:rsidR="00124C6B" w:rsidRPr="00D37EF2" w:rsidRDefault="00124C6B" w:rsidP="00D37EF2">
            <w:pPr>
              <w:jc w:val="center"/>
              <w:rPr>
                <w:rFonts w:ascii="Arial" w:hAnsi="Arial" w:cs="Arial"/>
                <w:sz w:val="24"/>
                <w:szCs w:val="24"/>
              </w:rPr>
            </w:pPr>
            <w:r w:rsidRPr="00D37EF2">
              <w:rPr>
                <w:rFonts w:ascii="Arial" w:hAnsi="Arial" w:cs="Arial"/>
                <w:color w:val="404040"/>
                <w:sz w:val="24"/>
                <w:szCs w:val="24"/>
              </w:rPr>
              <w:t>Debt-to-Assets (%)</w:t>
            </w:r>
          </w:p>
        </w:tc>
        <w:tc>
          <w:tcPr>
            <w:tcW w:w="1560" w:type="dxa"/>
            <w:shd w:val="clear" w:color="auto" w:fill="auto"/>
            <w:tcMar>
              <w:top w:w="60" w:type="dxa"/>
              <w:left w:w="100" w:type="dxa"/>
              <w:bottom w:w="60" w:type="dxa"/>
              <w:right w:w="100" w:type="dxa"/>
            </w:tcMar>
            <w:vAlign w:val="center"/>
          </w:tcPr>
          <w:p w14:paraId="6CF07460"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63.1%</w:t>
            </w:r>
          </w:p>
        </w:tc>
        <w:tc>
          <w:tcPr>
            <w:tcW w:w="1560" w:type="dxa"/>
            <w:shd w:val="clear" w:color="auto" w:fill="auto"/>
            <w:tcMar>
              <w:top w:w="60" w:type="dxa"/>
              <w:left w:w="100" w:type="dxa"/>
              <w:bottom w:w="60" w:type="dxa"/>
              <w:right w:w="100" w:type="dxa"/>
            </w:tcMar>
            <w:vAlign w:val="center"/>
          </w:tcPr>
          <w:p w14:paraId="5FAD79D0"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63.8%</w:t>
            </w:r>
          </w:p>
        </w:tc>
        <w:tc>
          <w:tcPr>
            <w:tcW w:w="1560" w:type="dxa"/>
            <w:shd w:val="clear" w:color="auto" w:fill="auto"/>
            <w:tcMar>
              <w:top w:w="60" w:type="dxa"/>
              <w:left w:w="100" w:type="dxa"/>
              <w:bottom w:w="60" w:type="dxa"/>
              <w:right w:w="100" w:type="dxa"/>
            </w:tcMar>
            <w:vAlign w:val="center"/>
          </w:tcPr>
          <w:p w14:paraId="1D2712FB"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63.8%</w:t>
            </w:r>
          </w:p>
        </w:tc>
        <w:tc>
          <w:tcPr>
            <w:tcW w:w="1560" w:type="dxa"/>
            <w:shd w:val="clear" w:color="auto" w:fill="auto"/>
            <w:tcMar>
              <w:top w:w="60" w:type="dxa"/>
              <w:left w:w="100" w:type="dxa"/>
              <w:bottom w:w="60" w:type="dxa"/>
              <w:right w:w="100" w:type="dxa"/>
            </w:tcMar>
            <w:vAlign w:val="center"/>
          </w:tcPr>
          <w:p w14:paraId="7F0FE8AB"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62.1%</w:t>
            </w:r>
          </w:p>
        </w:tc>
        <w:tc>
          <w:tcPr>
            <w:tcW w:w="1560" w:type="dxa"/>
            <w:shd w:val="clear" w:color="auto" w:fill="auto"/>
            <w:tcMar>
              <w:top w:w="60" w:type="dxa"/>
              <w:left w:w="100" w:type="dxa"/>
              <w:bottom w:w="60" w:type="dxa"/>
              <w:right w:w="100" w:type="dxa"/>
            </w:tcMar>
            <w:vAlign w:val="center"/>
          </w:tcPr>
          <w:p w14:paraId="205DDEE2"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61.6%</w:t>
            </w:r>
          </w:p>
        </w:tc>
      </w:tr>
      <w:tr w:rsidR="00124C6B" w:rsidRPr="00D37EF2" w14:paraId="24517B06" w14:textId="77777777" w:rsidTr="00D37EF2">
        <w:tc>
          <w:tcPr>
            <w:tcW w:w="1560" w:type="dxa"/>
            <w:shd w:val="clear" w:color="auto" w:fill="auto"/>
            <w:tcMar>
              <w:top w:w="60" w:type="dxa"/>
              <w:left w:w="100" w:type="dxa"/>
              <w:bottom w:w="60" w:type="dxa"/>
              <w:right w:w="100" w:type="dxa"/>
            </w:tcMar>
            <w:vAlign w:val="center"/>
          </w:tcPr>
          <w:p w14:paraId="425CFEB0" w14:textId="77777777" w:rsidR="00124C6B" w:rsidRPr="00D37EF2" w:rsidRDefault="00124C6B" w:rsidP="00D37EF2">
            <w:pPr>
              <w:jc w:val="center"/>
              <w:rPr>
                <w:rFonts w:ascii="Arial" w:hAnsi="Arial" w:cs="Arial"/>
                <w:sz w:val="24"/>
                <w:szCs w:val="24"/>
              </w:rPr>
            </w:pPr>
            <w:r w:rsidRPr="00D37EF2">
              <w:rPr>
                <w:rFonts w:ascii="Arial" w:hAnsi="Arial" w:cs="Arial"/>
                <w:color w:val="404040"/>
                <w:sz w:val="24"/>
                <w:szCs w:val="24"/>
              </w:rPr>
              <w:t>Equity Ratio (%)</w:t>
            </w:r>
          </w:p>
        </w:tc>
        <w:tc>
          <w:tcPr>
            <w:tcW w:w="1560" w:type="dxa"/>
            <w:shd w:val="clear" w:color="auto" w:fill="auto"/>
            <w:tcMar>
              <w:top w:w="60" w:type="dxa"/>
              <w:left w:w="100" w:type="dxa"/>
              <w:bottom w:w="60" w:type="dxa"/>
              <w:right w:w="100" w:type="dxa"/>
            </w:tcMar>
            <w:vAlign w:val="center"/>
          </w:tcPr>
          <w:p w14:paraId="04A38D91"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36.9%</w:t>
            </w:r>
          </w:p>
        </w:tc>
        <w:tc>
          <w:tcPr>
            <w:tcW w:w="1560" w:type="dxa"/>
            <w:shd w:val="clear" w:color="auto" w:fill="auto"/>
            <w:tcMar>
              <w:top w:w="60" w:type="dxa"/>
              <w:left w:w="100" w:type="dxa"/>
              <w:bottom w:w="60" w:type="dxa"/>
              <w:right w:w="100" w:type="dxa"/>
            </w:tcMar>
            <w:vAlign w:val="center"/>
          </w:tcPr>
          <w:p w14:paraId="117AAF2C"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36.2%</w:t>
            </w:r>
          </w:p>
        </w:tc>
        <w:tc>
          <w:tcPr>
            <w:tcW w:w="1560" w:type="dxa"/>
            <w:shd w:val="clear" w:color="auto" w:fill="auto"/>
            <w:tcMar>
              <w:top w:w="60" w:type="dxa"/>
              <w:left w:w="100" w:type="dxa"/>
              <w:bottom w:w="60" w:type="dxa"/>
              <w:right w:w="100" w:type="dxa"/>
            </w:tcMar>
            <w:vAlign w:val="center"/>
          </w:tcPr>
          <w:p w14:paraId="2A9EE701"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36.2%</w:t>
            </w:r>
          </w:p>
        </w:tc>
        <w:tc>
          <w:tcPr>
            <w:tcW w:w="1560" w:type="dxa"/>
            <w:shd w:val="clear" w:color="auto" w:fill="auto"/>
            <w:tcMar>
              <w:top w:w="60" w:type="dxa"/>
              <w:left w:w="100" w:type="dxa"/>
              <w:bottom w:w="60" w:type="dxa"/>
              <w:right w:w="100" w:type="dxa"/>
            </w:tcMar>
            <w:vAlign w:val="center"/>
          </w:tcPr>
          <w:p w14:paraId="2D10D7CC"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37.9%</w:t>
            </w:r>
          </w:p>
        </w:tc>
        <w:tc>
          <w:tcPr>
            <w:tcW w:w="1560" w:type="dxa"/>
            <w:shd w:val="clear" w:color="auto" w:fill="auto"/>
            <w:tcMar>
              <w:top w:w="60" w:type="dxa"/>
              <w:left w:w="100" w:type="dxa"/>
              <w:bottom w:w="60" w:type="dxa"/>
              <w:right w:w="100" w:type="dxa"/>
            </w:tcMar>
            <w:vAlign w:val="center"/>
          </w:tcPr>
          <w:p w14:paraId="7A337D0E"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38.4%</w:t>
            </w:r>
          </w:p>
        </w:tc>
      </w:tr>
      <w:tr w:rsidR="00124C6B" w:rsidRPr="00D37EF2" w14:paraId="00108E1E" w14:textId="77777777" w:rsidTr="00D37EF2">
        <w:tc>
          <w:tcPr>
            <w:tcW w:w="1560" w:type="dxa"/>
            <w:shd w:val="clear" w:color="auto" w:fill="auto"/>
            <w:tcMar>
              <w:top w:w="60" w:type="dxa"/>
              <w:left w:w="100" w:type="dxa"/>
              <w:bottom w:w="60" w:type="dxa"/>
              <w:right w:w="100" w:type="dxa"/>
            </w:tcMar>
            <w:vAlign w:val="center"/>
          </w:tcPr>
          <w:p w14:paraId="64E94F3F" w14:textId="77777777" w:rsidR="00124C6B" w:rsidRPr="00D37EF2" w:rsidRDefault="00124C6B" w:rsidP="00D37EF2">
            <w:pPr>
              <w:jc w:val="center"/>
              <w:rPr>
                <w:rFonts w:ascii="Arial" w:hAnsi="Arial" w:cs="Arial"/>
                <w:sz w:val="24"/>
                <w:szCs w:val="24"/>
              </w:rPr>
            </w:pPr>
            <w:r w:rsidRPr="00D37EF2">
              <w:rPr>
                <w:rFonts w:ascii="Arial" w:hAnsi="Arial" w:cs="Arial"/>
                <w:color w:val="404040"/>
                <w:sz w:val="24"/>
                <w:szCs w:val="24"/>
              </w:rPr>
              <w:t>Interest Coverage (x)</w:t>
            </w:r>
          </w:p>
        </w:tc>
        <w:tc>
          <w:tcPr>
            <w:tcW w:w="1560" w:type="dxa"/>
            <w:shd w:val="clear" w:color="auto" w:fill="auto"/>
            <w:tcMar>
              <w:top w:w="60" w:type="dxa"/>
              <w:left w:w="100" w:type="dxa"/>
              <w:bottom w:w="60" w:type="dxa"/>
              <w:right w:w="100" w:type="dxa"/>
            </w:tcMar>
            <w:vAlign w:val="center"/>
          </w:tcPr>
          <w:p w14:paraId="65921B52"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1.4x</w:t>
            </w:r>
          </w:p>
        </w:tc>
        <w:tc>
          <w:tcPr>
            <w:tcW w:w="1560" w:type="dxa"/>
            <w:shd w:val="clear" w:color="auto" w:fill="auto"/>
            <w:tcMar>
              <w:top w:w="60" w:type="dxa"/>
              <w:left w:w="100" w:type="dxa"/>
              <w:bottom w:w="60" w:type="dxa"/>
              <w:right w:w="100" w:type="dxa"/>
            </w:tcMar>
            <w:vAlign w:val="center"/>
          </w:tcPr>
          <w:p w14:paraId="312F0729"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3.8x</w:t>
            </w:r>
          </w:p>
        </w:tc>
        <w:tc>
          <w:tcPr>
            <w:tcW w:w="1560" w:type="dxa"/>
            <w:shd w:val="clear" w:color="auto" w:fill="auto"/>
            <w:tcMar>
              <w:top w:w="60" w:type="dxa"/>
              <w:left w:w="100" w:type="dxa"/>
              <w:bottom w:w="60" w:type="dxa"/>
              <w:right w:w="100" w:type="dxa"/>
            </w:tcMar>
            <w:vAlign w:val="center"/>
          </w:tcPr>
          <w:p w14:paraId="743278B9"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5.2x</w:t>
            </w:r>
          </w:p>
        </w:tc>
        <w:tc>
          <w:tcPr>
            <w:tcW w:w="1560" w:type="dxa"/>
            <w:shd w:val="clear" w:color="auto" w:fill="auto"/>
            <w:tcMar>
              <w:top w:w="60" w:type="dxa"/>
              <w:left w:w="100" w:type="dxa"/>
              <w:bottom w:w="60" w:type="dxa"/>
              <w:right w:w="100" w:type="dxa"/>
            </w:tcMar>
            <w:vAlign w:val="center"/>
          </w:tcPr>
          <w:p w14:paraId="4F4E4053"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7.2x</w:t>
            </w:r>
          </w:p>
        </w:tc>
        <w:tc>
          <w:tcPr>
            <w:tcW w:w="1560" w:type="dxa"/>
            <w:shd w:val="clear" w:color="auto" w:fill="auto"/>
            <w:tcMar>
              <w:top w:w="60" w:type="dxa"/>
              <w:left w:w="100" w:type="dxa"/>
              <w:bottom w:w="60" w:type="dxa"/>
              <w:right w:w="100" w:type="dxa"/>
            </w:tcMar>
            <w:vAlign w:val="center"/>
          </w:tcPr>
          <w:p w14:paraId="08069862"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6.5x</w:t>
            </w:r>
          </w:p>
        </w:tc>
      </w:tr>
      <w:tr w:rsidR="00124C6B" w:rsidRPr="00D37EF2" w14:paraId="56BE754C" w14:textId="77777777" w:rsidTr="00D37EF2">
        <w:tc>
          <w:tcPr>
            <w:tcW w:w="1560" w:type="dxa"/>
            <w:shd w:val="clear" w:color="auto" w:fill="auto"/>
            <w:tcMar>
              <w:top w:w="60" w:type="dxa"/>
              <w:left w:w="100" w:type="dxa"/>
              <w:bottom w:w="60" w:type="dxa"/>
              <w:right w:w="100" w:type="dxa"/>
            </w:tcMar>
            <w:vAlign w:val="center"/>
          </w:tcPr>
          <w:p w14:paraId="1628D650" w14:textId="77777777" w:rsidR="00124C6B" w:rsidRPr="00D37EF2" w:rsidRDefault="00124C6B" w:rsidP="00D37EF2">
            <w:pPr>
              <w:jc w:val="center"/>
              <w:rPr>
                <w:rFonts w:ascii="Arial" w:hAnsi="Arial" w:cs="Arial"/>
                <w:sz w:val="24"/>
                <w:szCs w:val="24"/>
              </w:rPr>
            </w:pPr>
            <w:r w:rsidRPr="00D37EF2">
              <w:rPr>
                <w:rFonts w:ascii="Arial" w:hAnsi="Arial" w:cs="Arial"/>
                <w:color w:val="404040"/>
                <w:sz w:val="24"/>
                <w:szCs w:val="24"/>
              </w:rPr>
              <w:t>Net Debt / EBITDA (x)</w:t>
            </w:r>
          </w:p>
        </w:tc>
        <w:tc>
          <w:tcPr>
            <w:tcW w:w="1560" w:type="dxa"/>
            <w:shd w:val="clear" w:color="auto" w:fill="auto"/>
            <w:tcMar>
              <w:top w:w="60" w:type="dxa"/>
              <w:left w:w="100" w:type="dxa"/>
              <w:bottom w:w="60" w:type="dxa"/>
              <w:right w:w="100" w:type="dxa"/>
            </w:tcMar>
            <w:vAlign w:val="center"/>
          </w:tcPr>
          <w:p w14:paraId="37B2847F"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4.8x</w:t>
            </w:r>
          </w:p>
        </w:tc>
        <w:tc>
          <w:tcPr>
            <w:tcW w:w="1560" w:type="dxa"/>
            <w:shd w:val="clear" w:color="auto" w:fill="auto"/>
            <w:tcMar>
              <w:top w:w="60" w:type="dxa"/>
              <w:left w:w="100" w:type="dxa"/>
              <w:bottom w:w="60" w:type="dxa"/>
              <w:right w:w="100" w:type="dxa"/>
            </w:tcMar>
            <w:vAlign w:val="center"/>
          </w:tcPr>
          <w:p w14:paraId="5691BD91"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3.6x</w:t>
            </w:r>
          </w:p>
        </w:tc>
        <w:tc>
          <w:tcPr>
            <w:tcW w:w="1560" w:type="dxa"/>
            <w:shd w:val="clear" w:color="auto" w:fill="auto"/>
            <w:tcMar>
              <w:top w:w="60" w:type="dxa"/>
              <w:left w:w="100" w:type="dxa"/>
              <w:bottom w:w="60" w:type="dxa"/>
              <w:right w:w="100" w:type="dxa"/>
            </w:tcMar>
            <w:vAlign w:val="center"/>
          </w:tcPr>
          <w:p w14:paraId="30224B9A"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3.0x</w:t>
            </w:r>
          </w:p>
        </w:tc>
        <w:tc>
          <w:tcPr>
            <w:tcW w:w="1560" w:type="dxa"/>
            <w:shd w:val="clear" w:color="auto" w:fill="auto"/>
            <w:tcMar>
              <w:top w:w="60" w:type="dxa"/>
              <w:left w:w="100" w:type="dxa"/>
              <w:bottom w:w="60" w:type="dxa"/>
              <w:right w:w="100" w:type="dxa"/>
            </w:tcMar>
            <w:vAlign w:val="center"/>
          </w:tcPr>
          <w:p w14:paraId="2EBB2A50" w14:textId="77777777" w:rsidR="00124C6B" w:rsidRPr="00D37EF2" w:rsidRDefault="00124C6B" w:rsidP="00D37EF2">
            <w:pPr>
              <w:rPr>
                <w:rFonts w:ascii="Arial" w:hAnsi="Arial" w:cs="Arial"/>
                <w:sz w:val="24"/>
                <w:szCs w:val="24"/>
              </w:rPr>
            </w:pPr>
            <w:r w:rsidRPr="00D37EF2">
              <w:rPr>
                <w:rFonts w:ascii="Arial" w:hAnsi="Arial" w:cs="Arial"/>
                <w:color w:val="404040"/>
                <w:sz w:val="24"/>
                <w:szCs w:val="24"/>
              </w:rPr>
              <w:t>2.3x</w:t>
            </w:r>
          </w:p>
        </w:tc>
        <w:tc>
          <w:tcPr>
            <w:tcW w:w="1560" w:type="dxa"/>
            <w:shd w:val="clear" w:color="auto" w:fill="auto"/>
            <w:tcMar>
              <w:top w:w="60" w:type="dxa"/>
              <w:left w:w="100" w:type="dxa"/>
              <w:bottom w:w="60" w:type="dxa"/>
              <w:right w:w="100" w:type="dxa"/>
            </w:tcMar>
            <w:vAlign w:val="center"/>
          </w:tcPr>
          <w:p w14:paraId="5D5310F5" w14:textId="77777777" w:rsidR="00124C6B" w:rsidRPr="00D37EF2" w:rsidRDefault="00124C6B" w:rsidP="001E1E66">
            <w:pPr>
              <w:keepNext/>
              <w:rPr>
                <w:rFonts w:ascii="Arial" w:hAnsi="Arial" w:cs="Arial"/>
                <w:sz w:val="24"/>
                <w:szCs w:val="24"/>
              </w:rPr>
            </w:pPr>
            <w:r w:rsidRPr="00D37EF2">
              <w:rPr>
                <w:rFonts w:ascii="Arial" w:hAnsi="Arial" w:cs="Arial"/>
                <w:color w:val="404040"/>
                <w:sz w:val="24"/>
                <w:szCs w:val="24"/>
              </w:rPr>
              <w:t>2.5x</w:t>
            </w:r>
          </w:p>
        </w:tc>
      </w:tr>
    </w:tbl>
    <w:p w14:paraId="4E03ED75" w14:textId="42CBB64D" w:rsidR="00A03485" w:rsidRDefault="001E1E66" w:rsidP="001E1E66">
      <w:pPr>
        <w:pStyle w:val="Caption"/>
        <w:rPr>
          <w:rFonts w:ascii="Arial" w:eastAsia="Arial" w:hAnsi="Arial" w:cs="Arial"/>
          <w:color w:val="404040"/>
        </w:rPr>
      </w:pPr>
      <w:r>
        <w:t>Table 1.</w:t>
      </w:r>
      <w:r w:rsidR="00553D26">
        <w:fldChar w:fldCharType="begin"/>
      </w:r>
      <w:r w:rsidR="00553D26">
        <w:instrText xml:space="preserve"> SEQ Table \* ARABIC </w:instrText>
      </w:r>
      <w:r w:rsidR="00553D26">
        <w:fldChar w:fldCharType="separate"/>
      </w:r>
      <w:r w:rsidR="00215885">
        <w:rPr>
          <w:noProof/>
        </w:rPr>
        <w:t>5</w:t>
      </w:r>
      <w:r w:rsidR="00553D26">
        <w:rPr>
          <w:noProof/>
        </w:rPr>
        <w:fldChar w:fldCharType="end"/>
      </w:r>
      <w:r>
        <w:t xml:space="preserve"> </w:t>
      </w:r>
      <w:r w:rsidRPr="00D879FE">
        <w:t>Source: Hyundai Motor Company Annual Reports 2020–2024; Author's calculations</w:t>
      </w:r>
    </w:p>
    <w:p w14:paraId="5CE2404D" w14:textId="77777777" w:rsidR="002D1A8C" w:rsidRDefault="004E7F78" w:rsidP="002D1A8C">
      <w:pPr>
        <w:keepNext/>
        <w:spacing w:before="60" w:after="60" w:line="276" w:lineRule="auto"/>
        <w:jc w:val="center"/>
      </w:pPr>
      <w:r w:rsidRPr="004E7F78">
        <w:rPr>
          <w:rFonts w:ascii="Arial" w:eastAsia="Arial" w:hAnsi="Arial" w:cs="Arial"/>
          <w:noProof/>
          <w:color w:val="404040"/>
        </w:rPr>
        <w:lastRenderedPageBreak/>
        <w:drawing>
          <wp:inline distT="0" distB="0" distL="0" distR="0" wp14:anchorId="14BE5FC7" wp14:editId="4D4EA7B6">
            <wp:extent cx="6016673" cy="31242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37147" cy="3134831"/>
                    </a:xfrm>
                    <a:prstGeom prst="rect">
                      <a:avLst/>
                    </a:prstGeom>
                  </pic:spPr>
                </pic:pic>
              </a:graphicData>
            </a:graphic>
          </wp:inline>
        </w:drawing>
      </w:r>
    </w:p>
    <w:p w14:paraId="073E33C6" w14:textId="0B9D34F2" w:rsidR="00702A9A" w:rsidRDefault="002D1A8C" w:rsidP="002D1A8C">
      <w:pPr>
        <w:pStyle w:val="Caption"/>
        <w:jc w:val="center"/>
        <w:rPr>
          <w:rFonts w:ascii="Arial" w:eastAsia="Arial" w:hAnsi="Arial" w:cs="Arial"/>
          <w:color w:val="404040"/>
        </w:rPr>
      </w:pPr>
      <w:r>
        <w:t xml:space="preserve">Figure </w:t>
      </w:r>
      <w:r w:rsidR="00553D26">
        <w:fldChar w:fldCharType="begin"/>
      </w:r>
      <w:r w:rsidR="00553D26">
        <w:instrText xml:space="preserve"> SEQ Figure \* ARABIC </w:instrText>
      </w:r>
      <w:r w:rsidR="00553D26">
        <w:fldChar w:fldCharType="separate"/>
      </w:r>
      <w:r>
        <w:rPr>
          <w:noProof/>
        </w:rPr>
        <w:t>4</w:t>
      </w:r>
      <w:r w:rsidR="00553D26">
        <w:rPr>
          <w:noProof/>
        </w:rPr>
        <w:fldChar w:fldCharType="end"/>
      </w:r>
      <w:r>
        <w:t xml:space="preserve"> Gearing</w:t>
      </w:r>
      <w:r w:rsidRPr="00393C7A">
        <w:t xml:space="preserve"> Ratios Source: Annual Reports and Author’s Calculation</w:t>
      </w:r>
    </w:p>
    <w:p w14:paraId="284F09D1" w14:textId="6EF16F12" w:rsidR="00113EFE" w:rsidRPr="00025153" w:rsidRDefault="00025153" w:rsidP="00025153">
      <w:pPr>
        <w:spacing w:line="360" w:lineRule="auto"/>
        <w:jc w:val="both"/>
        <w:rPr>
          <w:rFonts w:ascii="Arial" w:hAnsi="Arial" w:cs="Arial"/>
          <w:sz w:val="24"/>
          <w:szCs w:val="24"/>
        </w:rPr>
      </w:pPr>
      <w:r w:rsidRPr="00025153">
        <w:rPr>
          <w:rFonts w:ascii="Arial" w:hAnsi="Arial" w:cs="Arial"/>
          <w:sz w:val="24"/>
          <w:szCs w:val="24"/>
          <w:shd w:val="clear" w:color="auto" w:fill="FFFFFF"/>
        </w:rPr>
        <w:t>The level of leverage was highest when D/E was 1.76x (2021-2022) because of investments into E-GMP and fell to 1.60x in 2024. Most importantly, the interest coverage was rehabilitated from the vulnerable position of 1.4x (2020), below the investment-grade level (Damodaran, 2012), to a healthy 6.5x, implying improved debt servicing capacity. Myers (1984) cautions against high leverage because financial distress costs outweigh tax shield gains; at 1.60x D/E ratio, Hyundai is highly leveraged, but is still in control, especially considering its improved interest coverage trend. Net Debt/EBITDA of 2.5x stays within the automotive sector comfort zone of below 3.0x (KPMG, 2024)</w:t>
      </w:r>
      <w:r w:rsidR="009843EE" w:rsidRPr="00025153">
        <w:rPr>
          <w:rFonts w:ascii="Arial" w:hAnsi="Arial" w:cs="Arial"/>
          <w:sz w:val="24"/>
          <w:szCs w:val="24"/>
        </w:rPr>
        <w:t>.</w:t>
      </w:r>
    </w:p>
    <w:p w14:paraId="7B386CB7" w14:textId="77777777" w:rsidR="00113EFE" w:rsidRDefault="00113EFE" w:rsidP="00113EFE">
      <w:pPr>
        <w:pStyle w:val="Heading2"/>
      </w:pPr>
      <w:bookmarkStart w:id="12" w:name="_Toc227660474"/>
      <w:r>
        <w:rPr>
          <w:rFonts w:ascii="Arial" w:eastAsia="Arial" w:hAnsi="Arial" w:cs="Arial"/>
          <w:b/>
          <w:bCs/>
          <w:color w:val="2E75B6"/>
        </w:rPr>
        <w:t>1.6 Investment Ratios</w:t>
      </w:r>
      <w:bookmarkEnd w:id="12"/>
    </w:p>
    <w:p w14:paraId="45D3A47B" w14:textId="77777777" w:rsidR="00113EFE" w:rsidRPr="00D37EF2" w:rsidRDefault="00113EFE" w:rsidP="00D37EF2">
      <w:pPr>
        <w:pStyle w:val="Heading3"/>
        <w:spacing w:line="360" w:lineRule="auto"/>
      </w:pPr>
      <w:bookmarkStart w:id="13" w:name="_Toc227660475"/>
      <w:r w:rsidRPr="00D37EF2">
        <w:rPr>
          <w:rFonts w:ascii="Arial" w:eastAsia="Arial" w:hAnsi="Arial" w:cs="Arial"/>
          <w:b/>
          <w:bCs/>
          <w:color w:val="404040"/>
          <w:u w:color="2E75B6"/>
        </w:rPr>
        <w:t>Table 1.6 – Investment Ratios</w:t>
      </w:r>
      <w:bookmarkEnd w:id="13"/>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0"/>
        <w:gridCol w:w="1560"/>
        <w:gridCol w:w="1560"/>
        <w:gridCol w:w="1560"/>
        <w:gridCol w:w="1560"/>
        <w:gridCol w:w="1560"/>
      </w:tblGrid>
      <w:tr w:rsidR="00113EFE" w:rsidRPr="00D37EF2" w14:paraId="3B885134" w14:textId="77777777" w:rsidTr="00D37EF2">
        <w:tc>
          <w:tcPr>
            <w:tcW w:w="1560" w:type="dxa"/>
            <w:shd w:val="clear" w:color="auto" w:fill="auto"/>
            <w:tcMar>
              <w:top w:w="80" w:type="dxa"/>
              <w:left w:w="100" w:type="dxa"/>
              <w:bottom w:w="80" w:type="dxa"/>
              <w:right w:w="100" w:type="dxa"/>
            </w:tcMar>
            <w:vAlign w:val="center"/>
          </w:tcPr>
          <w:p w14:paraId="6359CCF0" w14:textId="77777777" w:rsidR="00113EFE" w:rsidRPr="00D37EF2" w:rsidRDefault="00113EFE" w:rsidP="00D37EF2">
            <w:pPr>
              <w:jc w:val="center"/>
              <w:rPr>
                <w:rFonts w:ascii="Arial" w:hAnsi="Arial" w:cs="Arial"/>
                <w:sz w:val="24"/>
                <w:szCs w:val="24"/>
              </w:rPr>
            </w:pPr>
            <w:r w:rsidRPr="00D37EF2">
              <w:rPr>
                <w:rFonts w:ascii="Arial" w:hAnsi="Arial" w:cs="Arial"/>
                <w:sz w:val="24"/>
                <w:szCs w:val="24"/>
              </w:rPr>
              <w:t>Ratio</w:t>
            </w:r>
          </w:p>
        </w:tc>
        <w:tc>
          <w:tcPr>
            <w:tcW w:w="1560" w:type="dxa"/>
            <w:shd w:val="clear" w:color="auto" w:fill="auto"/>
            <w:tcMar>
              <w:top w:w="80" w:type="dxa"/>
              <w:left w:w="100" w:type="dxa"/>
              <w:bottom w:w="80" w:type="dxa"/>
              <w:right w:w="100" w:type="dxa"/>
            </w:tcMar>
            <w:vAlign w:val="center"/>
          </w:tcPr>
          <w:p w14:paraId="0717ED41" w14:textId="77777777" w:rsidR="00113EFE" w:rsidRPr="00D37EF2" w:rsidRDefault="00113EFE" w:rsidP="00D37EF2">
            <w:pPr>
              <w:jc w:val="center"/>
              <w:rPr>
                <w:rFonts w:ascii="Arial" w:hAnsi="Arial" w:cs="Arial"/>
                <w:sz w:val="24"/>
                <w:szCs w:val="24"/>
              </w:rPr>
            </w:pPr>
            <w:r w:rsidRPr="00D37EF2">
              <w:rPr>
                <w:rFonts w:ascii="Arial" w:hAnsi="Arial" w:cs="Arial"/>
                <w:sz w:val="24"/>
                <w:szCs w:val="24"/>
              </w:rPr>
              <w:t>2020</w:t>
            </w:r>
          </w:p>
        </w:tc>
        <w:tc>
          <w:tcPr>
            <w:tcW w:w="1560" w:type="dxa"/>
            <w:shd w:val="clear" w:color="auto" w:fill="auto"/>
            <w:tcMar>
              <w:top w:w="80" w:type="dxa"/>
              <w:left w:w="100" w:type="dxa"/>
              <w:bottom w:w="80" w:type="dxa"/>
              <w:right w:w="100" w:type="dxa"/>
            </w:tcMar>
            <w:vAlign w:val="center"/>
          </w:tcPr>
          <w:p w14:paraId="3BF596D4" w14:textId="77777777" w:rsidR="00113EFE" w:rsidRPr="00D37EF2" w:rsidRDefault="00113EFE" w:rsidP="00D37EF2">
            <w:pPr>
              <w:jc w:val="center"/>
              <w:rPr>
                <w:rFonts w:ascii="Arial" w:hAnsi="Arial" w:cs="Arial"/>
                <w:sz w:val="24"/>
                <w:szCs w:val="24"/>
              </w:rPr>
            </w:pPr>
            <w:r w:rsidRPr="00D37EF2">
              <w:rPr>
                <w:rFonts w:ascii="Arial" w:hAnsi="Arial" w:cs="Arial"/>
                <w:sz w:val="24"/>
                <w:szCs w:val="24"/>
              </w:rPr>
              <w:t>2021</w:t>
            </w:r>
          </w:p>
        </w:tc>
        <w:tc>
          <w:tcPr>
            <w:tcW w:w="1560" w:type="dxa"/>
            <w:shd w:val="clear" w:color="auto" w:fill="auto"/>
            <w:tcMar>
              <w:top w:w="80" w:type="dxa"/>
              <w:left w:w="100" w:type="dxa"/>
              <w:bottom w:w="80" w:type="dxa"/>
              <w:right w:w="100" w:type="dxa"/>
            </w:tcMar>
            <w:vAlign w:val="center"/>
          </w:tcPr>
          <w:p w14:paraId="57A8100A" w14:textId="77777777" w:rsidR="00113EFE" w:rsidRPr="00D37EF2" w:rsidRDefault="00113EFE" w:rsidP="00D37EF2">
            <w:pPr>
              <w:jc w:val="center"/>
              <w:rPr>
                <w:rFonts w:ascii="Arial" w:hAnsi="Arial" w:cs="Arial"/>
                <w:sz w:val="24"/>
                <w:szCs w:val="24"/>
              </w:rPr>
            </w:pPr>
            <w:r w:rsidRPr="00D37EF2">
              <w:rPr>
                <w:rFonts w:ascii="Arial" w:hAnsi="Arial" w:cs="Arial"/>
                <w:sz w:val="24"/>
                <w:szCs w:val="24"/>
              </w:rPr>
              <w:t>2022</w:t>
            </w:r>
          </w:p>
        </w:tc>
        <w:tc>
          <w:tcPr>
            <w:tcW w:w="1560" w:type="dxa"/>
            <w:shd w:val="clear" w:color="auto" w:fill="auto"/>
            <w:tcMar>
              <w:top w:w="80" w:type="dxa"/>
              <w:left w:w="100" w:type="dxa"/>
              <w:bottom w:w="80" w:type="dxa"/>
              <w:right w:w="100" w:type="dxa"/>
            </w:tcMar>
            <w:vAlign w:val="center"/>
          </w:tcPr>
          <w:p w14:paraId="657C4558" w14:textId="77777777" w:rsidR="00113EFE" w:rsidRPr="00D37EF2" w:rsidRDefault="00113EFE" w:rsidP="00D37EF2">
            <w:pPr>
              <w:jc w:val="center"/>
              <w:rPr>
                <w:rFonts w:ascii="Arial" w:hAnsi="Arial" w:cs="Arial"/>
                <w:sz w:val="24"/>
                <w:szCs w:val="24"/>
              </w:rPr>
            </w:pPr>
            <w:r w:rsidRPr="00D37EF2">
              <w:rPr>
                <w:rFonts w:ascii="Arial" w:hAnsi="Arial" w:cs="Arial"/>
                <w:sz w:val="24"/>
                <w:szCs w:val="24"/>
              </w:rPr>
              <w:t>2023</w:t>
            </w:r>
          </w:p>
        </w:tc>
        <w:tc>
          <w:tcPr>
            <w:tcW w:w="1560" w:type="dxa"/>
            <w:shd w:val="clear" w:color="auto" w:fill="auto"/>
            <w:tcMar>
              <w:top w:w="80" w:type="dxa"/>
              <w:left w:w="100" w:type="dxa"/>
              <w:bottom w:w="80" w:type="dxa"/>
              <w:right w:w="100" w:type="dxa"/>
            </w:tcMar>
            <w:vAlign w:val="center"/>
          </w:tcPr>
          <w:p w14:paraId="6B7D2884" w14:textId="2AB8D06B" w:rsidR="00113EFE" w:rsidRPr="00D37EF2" w:rsidRDefault="00113EFE" w:rsidP="00D37EF2">
            <w:pPr>
              <w:jc w:val="center"/>
              <w:rPr>
                <w:rFonts w:ascii="Arial" w:hAnsi="Arial" w:cs="Arial"/>
                <w:sz w:val="24"/>
                <w:szCs w:val="24"/>
              </w:rPr>
            </w:pPr>
            <w:r w:rsidRPr="00D37EF2">
              <w:rPr>
                <w:rFonts w:ascii="Arial" w:hAnsi="Arial" w:cs="Arial"/>
                <w:sz w:val="24"/>
                <w:szCs w:val="24"/>
              </w:rPr>
              <w:t>2024</w:t>
            </w:r>
          </w:p>
        </w:tc>
      </w:tr>
      <w:tr w:rsidR="00113EFE" w:rsidRPr="00D37EF2" w14:paraId="5ECB4DC3" w14:textId="77777777" w:rsidTr="00D37EF2">
        <w:tc>
          <w:tcPr>
            <w:tcW w:w="1560" w:type="dxa"/>
            <w:shd w:val="clear" w:color="auto" w:fill="auto"/>
            <w:tcMar>
              <w:top w:w="60" w:type="dxa"/>
              <w:left w:w="100" w:type="dxa"/>
              <w:bottom w:w="60" w:type="dxa"/>
              <w:right w:w="100" w:type="dxa"/>
            </w:tcMar>
            <w:vAlign w:val="center"/>
          </w:tcPr>
          <w:p w14:paraId="77A01E77" w14:textId="77777777" w:rsidR="00113EFE" w:rsidRPr="00D37EF2" w:rsidRDefault="00113EFE" w:rsidP="00D37EF2">
            <w:pPr>
              <w:jc w:val="center"/>
              <w:rPr>
                <w:rFonts w:ascii="Arial" w:hAnsi="Arial" w:cs="Arial"/>
                <w:sz w:val="24"/>
                <w:szCs w:val="24"/>
              </w:rPr>
            </w:pPr>
            <w:r w:rsidRPr="00D37EF2">
              <w:rPr>
                <w:rFonts w:ascii="Arial" w:hAnsi="Arial" w:cs="Arial"/>
                <w:color w:val="404040"/>
                <w:sz w:val="24"/>
                <w:szCs w:val="24"/>
              </w:rPr>
              <w:t>EPS (KRW, approx.)</w:t>
            </w:r>
          </w:p>
        </w:tc>
        <w:tc>
          <w:tcPr>
            <w:tcW w:w="1560" w:type="dxa"/>
            <w:shd w:val="clear" w:color="auto" w:fill="auto"/>
            <w:tcMar>
              <w:top w:w="60" w:type="dxa"/>
              <w:left w:w="100" w:type="dxa"/>
              <w:bottom w:w="60" w:type="dxa"/>
              <w:right w:w="100" w:type="dxa"/>
            </w:tcMar>
            <w:vAlign w:val="center"/>
          </w:tcPr>
          <w:p w14:paraId="54BDAE9E"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7,614</w:t>
            </w:r>
          </w:p>
        </w:tc>
        <w:tc>
          <w:tcPr>
            <w:tcW w:w="1560" w:type="dxa"/>
            <w:shd w:val="clear" w:color="auto" w:fill="auto"/>
            <w:tcMar>
              <w:top w:w="60" w:type="dxa"/>
              <w:left w:w="100" w:type="dxa"/>
              <w:bottom w:w="60" w:type="dxa"/>
              <w:right w:w="100" w:type="dxa"/>
            </w:tcMar>
            <w:vAlign w:val="center"/>
          </w:tcPr>
          <w:p w14:paraId="0BE0D91D"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26,860</w:t>
            </w:r>
          </w:p>
        </w:tc>
        <w:tc>
          <w:tcPr>
            <w:tcW w:w="1560" w:type="dxa"/>
            <w:shd w:val="clear" w:color="auto" w:fill="auto"/>
            <w:tcMar>
              <w:top w:w="60" w:type="dxa"/>
              <w:left w:w="100" w:type="dxa"/>
              <w:bottom w:w="60" w:type="dxa"/>
              <w:right w:w="100" w:type="dxa"/>
            </w:tcMar>
            <w:vAlign w:val="center"/>
          </w:tcPr>
          <w:p w14:paraId="4BF5EEB9"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37,033</w:t>
            </w:r>
          </w:p>
        </w:tc>
        <w:tc>
          <w:tcPr>
            <w:tcW w:w="1560" w:type="dxa"/>
            <w:shd w:val="clear" w:color="auto" w:fill="auto"/>
            <w:tcMar>
              <w:top w:w="60" w:type="dxa"/>
              <w:left w:w="100" w:type="dxa"/>
              <w:bottom w:w="60" w:type="dxa"/>
              <w:right w:w="100" w:type="dxa"/>
            </w:tcMar>
            <w:vAlign w:val="center"/>
          </w:tcPr>
          <w:p w14:paraId="34D40A19"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57,912</w:t>
            </w:r>
          </w:p>
        </w:tc>
        <w:tc>
          <w:tcPr>
            <w:tcW w:w="1560" w:type="dxa"/>
            <w:shd w:val="clear" w:color="auto" w:fill="auto"/>
            <w:tcMar>
              <w:top w:w="60" w:type="dxa"/>
              <w:left w:w="100" w:type="dxa"/>
              <w:bottom w:w="60" w:type="dxa"/>
              <w:right w:w="100" w:type="dxa"/>
            </w:tcMar>
            <w:vAlign w:val="center"/>
          </w:tcPr>
          <w:p w14:paraId="45942138"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50,700</w:t>
            </w:r>
          </w:p>
        </w:tc>
      </w:tr>
      <w:tr w:rsidR="00113EFE" w:rsidRPr="00D37EF2" w14:paraId="2D8F0E31" w14:textId="77777777" w:rsidTr="00D37EF2">
        <w:tc>
          <w:tcPr>
            <w:tcW w:w="1560" w:type="dxa"/>
            <w:shd w:val="clear" w:color="auto" w:fill="auto"/>
            <w:tcMar>
              <w:top w:w="60" w:type="dxa"/>
              <w:left w:w="100" w:type="dxa"/>
              <w:bottom w:w="60" w:type="dxa"/>
              <w:right w:w="100" w:type="dxa"/>
            </w:tcMar>
            <w:vAlign w:val="center"/>
          </w:tcPr>
          <w:p w14:paraId="38732BAD" w14:textId="77777777" w:rsidR="00113EFE" w:rsidRPr="00D37EF2" w:rsidRDefault="00113EFE" w:rsidP="00D37EF2">
            <w:pPr>
              <w:jc w:val="center"/>
              <w:rPr>
                <w:rFonts w:ascii="Arial" w:hAnsi="Arial" w:cs="Arial"/>
                <w:sz w:val="24"/>
                <w:szCs w:val="24"/>
              </w:rPr>
            </w:pPr>
            <w:r w:rsidRPr="00D37EF2">
              <w:rPr>
                <w:rFonts w:ascii="Arial" w:hAnsi="Arial" w:cs="Arial"/>
                <w:color w:val="404040"/>
                <w:sz w:val="24"/>
                <w:szCs w:val="24"/>
              </w:rPr>
              <w:t>Dividend per Share (KRW)</w:t>
            </w:r>
          </w:p>
        </w:tc>
        <w:tc>
          <w:tcPr>
            <w:tcW w:w="1560" w:type="dxa"/>
            <w:shd w:val="clear" w:color="auto" w:fill="auto"/>
            <w:tcMar>
              <w:top w:w="60" w:type="dxa"/>
              <w:left w:w="100" w:type="dxa"/>
              <w:bottom w:w="60" w:type="dxa"/>
              <w:right w:w="100" w:type="dxa"/>
            </w:tcMar>
            <w:vAlign w:val="center"/>
          </w:tcPr>
          <w:p w14:paraId="355F4CA9"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2,500</w:t>
            </w:r>
          </w:p>
        </w:tc>
        <w:tc>
          <w:tcPr>
            <w:tcW w:w="1560" w:type="dxa"/>
            <w:shd w:val="clear" w:color="auto" w:fill="auto"/>
            <w:tcMar>
              <w:top w:w="60" w:type="dxa"/>
              <w:left w:w="100" w:type="dxa"/>
              <w:bottom w:w="60" w:type="dxa"/>
              <w:right w:w="100" w:type="dxa"/>
            </w:tcMar>
            <w:vAlign w:val="center"/>
          </w:tcPr>
          <w:p w14:paraId="240CCDCE"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5,000</w:t>
            </w:r>
          </w:p>
        </w:tc>
        <w:tc>
          <w:tcPr>
            <w:tcW w:w="1560" w:type="dxa"/>
            <w:shd w:val="clear" w:color="auto" w:fill="auto"/>
            <w:tcMar>
              <w:top w:w="60" w:type="dxa"/>
              <w:left w:w="100" w:type="dxa"/>
              <w:bottom w:w="60" w:type="dxa"/>
              <w:right w:w="100" w:type="dxa"/>
            </w:tcMar>
            <w:vAlign w:val="center"/>
          </w:tcPr>
          <w:p w14:paraId="1A402C95"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6,000</w:t>
            </w:r>
          </w:p>
        </w:tc>
        <w:tc>
          <w:tcPr>
            <w:tcW w:w="1560" w:type="dxa"/>
            <w:shd w:val="clear" w:color="auto" w:fill="auto"/>
            <w:tcMar>
              <w:top w:w="60" w:type="dxa"/>
              <w:left w:w="100" w:type="dxa"/>
              <w:bottom w:w="60" w:type="dxa"/>
              <w:right w:w="100" w:type="dxa"/>
            </w:tcMar>
            <w:vAlign w:val="center"/>
          </w:tcPr>
          <w:p w14:paraId="2AFB1451"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7,000</w:t>
            </w:r>
          </w:p>
        </w:tc>
        <w:tc>
          <w:tcPr>
            <w:tcW w:w="1560" w:type="dxa"/>
            <w:shd w:val="clear" w:color="auto" w:fill="auto"/>
            <w:tcMar>
              <w:top w:w="60" w:type="dxa"/>
              <w:left w:w="100" w:type="dxa"/>
              <w:bottom w:w="60" w:type="dxa"/>
              <w:right w:w="100" w:type="dxa"/>
            </w:tcMar>
            <w:vAlign w:val="center"/>
          </w:tcPr>
          <w:p w14:paraId="7D472623"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7,500</w:t>
            </w:r>
          </w:p>
        </w:tc>
      </w:tr>
      <w:tr w:rsidR="00113EFE" w:rsidRPr="00D37EF2" w14:paraId="50361D3F" w14:textId="77777777" w:rsidTr="00D37EF2">
        <w:tc>
          <w:tcPr>
            <w:tcW w:w="1560" w:type="dxa"/>
            <w:shd w:val="clear" w:color="auto" w:fill="auto"/>
            <w:tcMar>
              <w:top w:w="60" w:type="dxa"/>
              <w:left w:w="100" w:type="dxa"/>
              <w:bottom w:w="60" w:type="dxa"/>
              <w:right w:w="100" w:type="dxa"/>
            </w:tcMar>
            <w:vAlign w:val="center"/>
          </w:tcPr>
          <w:p w14:paraId="642042D8" w14:textId="77777777" w:rsidR="00113EFE" w:rsidRPr="00D37EF2" w:rsidRDefault="00113EFE" w:rsidP="00D37EF2">
            <w:pPr>
              <w:jc w:val="center"/>
              <w:rPr>
                <w:rFonts w:ascii="Arial" w:hAnsi="Arial" w:cs="Arial"/>
                <w:sz w:val="24"/>
                <w:szCs w:val="24"/>
              </w:rPr>
            </w:pPr>
            <w:r w:rsidRPr="00D37EF2">
              <w:rPr>
                <w:rFonts w:ascii="Arial" w:hAnsi="Arial" w:cs="Arial"/>
                <w:color w:val="404040"/>
                <w:sz w:val="24"/>
                <w:szCs w:val="24"/>
              </w:rPr>
              <w:lastRenderedPageBreak/>
              <w:t>Dividend Payout Ratio (%)</w:t>
            </w:r>
          </w:p>
        </w:tc>
        <w:tc>
          <w:tcPr>
            <w:tcW w:w="1560" w:type="dxa"/>
            <w:shd w:val="clear" w:color="auto" w:fill="auto"/>
            <w:tcMar>
              <w:top w:w="60" w:type="dxa"/>
              <w:left w:w="100" w:type="dxa"/>
              <w:bottom w:w="60" w:type="dxa"/>
              <w:right w:w="100" w:type="dxa"/>
            </w:tcMar>
            <w:vAlign w:val="center"/>
          </w:tcPr>
          <w:p w14:paraId="44B13887"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32.8%</w:t>
            </w:r>
          </w:p>
        </w:tc>
        <w:tc>
          <w:tcPr>
            <w:tcW w:w="1560" w:type="dxa"/>
            <w:shd w:val="clear" w:color="auto" w:fill="auto"/>
            <w:tcMar>
              <w:top w:w="60" w:type="dxa"/>
              <w:left w:w="100" w:type="dxa"/>
              <w:bottom w:w="60" w:type="dxa"/>
              <w:right w:w="100" w:type="dxa"/>
            </w:tcMar>
            <w:vAlign w:val="center"/>
          </w:tcPr>
          <w:p w14:paraId="5DD267A3"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18.6%</w:t>
            </w:r>
          </w:p>
        </w:tc>
        <w:tc>
          <w:tcPr>
            <w:tcW w:w="1560" w:type="dxa"/>
            <w:shd w:val="clear" w:color="auto" w:fill="auto"/>
            <w:tcMar>
              <w:top w:w="60" w:type="dxa"/>
              <w:left w:w="100" w:type="dxa"/>
              <w:bottom w:w="60" w:type="dxa"/>
              <w:right w:w="100" w:type="dxa"/>
            </w:tcMar>
            <w:vAlign w:val="center"/>
          </w:tcPr>
          <w:p w14:paraId="6BDEB4D3"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16.2%</w:t>
            </w:r>
          </w:p>
        </w:tc>
        <w:tc>
          <w:tcPr>
            <w:tcW w:w="1560" w:type="dxa"/>
            <w:shd w:val="clear" w:color="auto" w:fill="auto"/>
            <w:tcMar>
              <w:top w:w="60" w:type="dxa"/>
              <w:left w:w="100" w:type="dxa"/>
              <w:bottom w:w="60" w:type="dxa"/>
              <w:right w:w="100" w:type="dxa"/>
            </w:tcMar>
            <w:vAlign w:val="center"/>
          </w:tcPr>
          <w:p w14:paraId="59CBEFF9"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12.1%</w:t>
            </w:r>
          </w:p>
        </w:tc>
        <w:tc>
          <w:tcPr>
            <w:tcW w:w="1560" w:type="dxa"/>
            <w:shd w:val="clear" w:color="auto" w:fill="auto"/>
            <w:tcMar>
              <w:top w:w="60" w:type="dxa"/>
              <w:left w:w="100" w:type="dxa"/>
              <w:bottom w:w="60" w:type="dxa"/>
              <w:right w:w="100" w:type="dxa"/>
            </w:tcMar>
            <w:vAlign w:val="center"/>
          </w:tcPr>
          <w:p w14:paraId="7FC1FDE4"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14.8%</w:t>
            </w:r>
          </w:p>
        </w:tc>
      </w:tr>
      <w:tr w:rsidR="00113EFE" w:rsidRPr="00D37EF2" w14:paraId="713FDFE9" w14:textId="77777777" w:rsidTr="00D37EF2">
        <w:tc>
          <w:tcPr>
            <w:tcW w:w="1560" w:type="dxa"/>
            <w:shd w:val="clear" w:color="auto" w:fill="auto"/>
            <w:tcMar>
              <w:top w:w="60" w:type="dxa"/>
              <w:left w:w="100" w:type="dxa"/>
              <w:bottom w:w="60" w:type="dxa"/>
              <w:right w:w="100" w:type="dxa"/>
            </w:tcMar>
            <w:vAlign w:val="center"/>
          </w:tcPr>
          <w:p w14:paraId="470CD8D2" w14:textId="77777777" w:rsidR="00113EFE" w:rsidRPr="00D37EF2" w:rsidRDefault="00113EFE" w:rsidP="00D37EF2">
            <w:pPr>
              <w:jc w:val="center"/>
              <w:rPr>
                <w:rFonts w:ascii="Arial" w:hAnsi="Arial" w:cs="Arial"/>
                <w:sz w:val="24"/>
                <w:szCs w:val="24"/>
              </w:rPr>
            </w:pPr>
            <w:r w:rsidRPr="00D37EF2">
              <w:rPr>
                <w:rFonts w:ascii="Arial" w:hAnsi="Arial" w:cs="Arial"/>
                <w:color w:val="404040"/>
                <w:sz w:val="24"/>
                <w:szCs w:val="24"/>
              </w:rPr>
              <w:t>P/E Ratio (approx.)</w:t>
            </w:r>
          </w:p>
        </w:tc>
        <w:tc>
          <w:tcPr>
            <w:tcW w:w="1560" w:type="dxa"/>
            <w:shd w:val="clear" w:color="auto" w:fill="auto"/>
            <w:tcMar>
              <w:top w:w="60" w:type="dxa"/>
              <w:left w:w="100" w:type="dxa"/>
              <w:bottom w:w="60" w:type="dxa"/>
              <w:right w:w="100" w:type="dxa"/>
            </w:tcMar>
            <w:vAlign w:val="center"/>
          </w:tcPr>
          <w:p w14:paraId="52E6CF72"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18.3x</w:t>
            </w:r>
          </w:p>
        </w:tc>
        <w:tc>
          <w:tcPr>
            <w:tcW w:w="1560" w:type="dxa"/>
            <w:shd w:val="clear" w:color="auto" w:fill="auto"/>
            <w:tcMar>
              <w:top w:w="60" w:type="dxa"/>
              <w:left w:w="100" w:type="dxa"/>
              <w:bottom w:w="60" w:type="dxa"/>
              <w:right w:w="100" w:type="dxa"/>
            </w:tcMar>
            <w:vAlign w:val="center"/>
          </w:tcPr>
          <w:p w14:paraId="7BB13C7A"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7.4x</w:t>
            </w:r>
          </w:p>
        </w:tc>
        <w:tc>
          <w:tcPr>
            <w:tcW w:w="1560" w:type="dxa"/>
            <w:shd w:val="clear" w:color="auto" w:fill="auto"/>
            <w:tcMar>
              <w:top w:w="60" w:type="dxa"/>
              <w:left w:w="100" w:type="dxa"/>
              <w:bottom w:w="60" w:type="dxa"/>
              <w:right w:w="100" w:type="dxa"/>
            </w:tcMar>
            <w:vAlign w:val="center"/>
          </w:tcPr>
          <w:p w14:paraId="5969FC05"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5.2x</w:t>
            </w:r>
          </w:p>
        </w:tc>
        <w:tc>
          <w:tcPr>
            <w:tcW w:w="1560" w:type="dxa"/>
            <w:shd w:val="clear" w:color="auto" w:fill="auto"/>
            <w:tcMar>
              <w:top w:w="60" w:type="dxa"/>
              <w:left w:w="100" w:type="dxa"/>
              <w:bottom w:w="60" w:type="dxa"/>
              <w:right w:w="100" w:type="dxa"/>
            </w:tcMar>
            <w:vAlign w:val="center"/>
          </w:tcPr>
          <w:p w14:paraId="51F634A4"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3.8x</w:t>
            </w:r>
          </w:p>
        </w:tc>
        <w:tc>
          <w:tcPr>
            <w:tcW w:w="1560" w:type="dxa"/>
            <w:shd w:val="clear" w:color="auto" w:fill="auto"/>
            <w:tcMar>
              <w:top w:w="60" w:type="dxa"/>
              <w:left w:w="100" w:type="dxa"/>
              <w:bottom w:w="60" w:type="dxa"/>
              <w:right w:w="100" w:type="dxa"/>
            </w:tcMar>
            <w:vAlign w:val="center"/>
          </w:tcPr>
          <w:p w14:paraId="6D4E55D6"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4.5x</w:t>
            </w:r>
          </w:p>
        </w:tc>
      </w:tr>
      <w:tr w:rsidR="00113EFE" w:rsidRPr="00D37EF2" w14:paraId="651539EC" w14:textId="77777777" w:rsidTr="00D37EF2">
        <w:tc>
          <w:tcPr>
            <w:tcW w:w="1560" w:type="dxa"/>
            <w:shd w:val="clear" w:color="auto" w:fill="auto"/>
            <w:tcMar>
              <w:top w:w="60" w:type="dxa"/>
              <w:left w:w="100" w:type="dxa"/>
              <w:bottom w:w="60" w:type="dxa"/>
              <w:right w:w="100" w:type="dxa"/>
            </w:tcMar>
            <w:vAlign w:val="center"/>
          </w:tcPr>
          <w:p w14:paraId="3A7DE083" w14:textId="77777777" w:rsidR="00113EFE" w:rsidRPr="00D37EF2" w:rsidRDefault="00113EFE" w:rsidP="00D37EF2">
            <w:pPr>
              <w:jc w:val="center"/>
              <w:rPr>
                <w:rFonts w:ascii="Arial" w:hAnsi="Arial" w:cs="Arial"/>
                <w:sz w:val="24"/>
                <w:szCs w:val="24"/>
              </w:rPr>
            </w:pPr>
            <w:r w:rsidRPr="00D37EF2">
              <w:rPr>
                <w:rFonts w:ascii="Arial" w:hAnsi="Arial" w:cs="Arial"/>
                <w:color w:val="404040"/>
                <w:sz w:val="24"/>
                <w:szCs w:val="24"/>
              </w:rPr>
              <w:t>P/B Ratio (approx.)</w:t>
            </w:r>
          </w:p>
        </w:tc>
        <w:tc>
          <w:tcPr>
            <w:tcW w:w="1560" w:type="dxa"/>
            <w:shd w:val="clear" w:color="auto" w:fill="auto"/>
            <w:tcMar>
              <w:top w:w="60" w:type="dxa"/>
              <w:left w:w="100" w:type="dxa"/>
              <w:bottom w:w="60" w:type="dxa"/>
              <w:right w:w="100" w:type="dxa"/>
            </w:tcMar>
            <w:vAlign w:val="center"/>
          </w:tcPr>
          <w:p w14:paraId="0A1AC69A"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0.35x</w:t>
            </w:r>
          </w:p>
        </w:tc>
        <w:tc>
          <w:tcPr>
            <w:tcW w:w="1560" w:type="dxa"/>
            <w:shd w:val="clear" w:color="auto" w:fill="auto"/>
            <w:tcMar>
              <w:top w:w="60" w:type="dxa"/>
              <w:left w:w="100" w:type="dxa"/>
              <w:bottom w:w="60" w:type="dxa"/>
              <w:right w:w="100" w:type="dxa"/>
            </w:tcMar>
            <w:vAlign w:val="center"/>
          </w:tcPr>
          <w:p w14:paraId="4041C096"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0.48x</w:t>
            </w:r>
          </w:p>
        </w:tc>
        <w:tc>
          <w:tcPr>
            <w:tcW w:w="1560" w:type="dxa"/>
            <w:shd w:val="clear" w:color="auto" w:fill="auto"/>
            <w:tcMar>
              <w:top w:w="60" w:type="dxa"/>
              <w:left w:w="100" w:type="dxa"/>
              <w:bottom w:w="60" w:type="dxa"/>
              <w:right w:w="100" w:type="dxa"/>
            </w:tcMar>
            <w:vAlign w:val="center"/>
          </w:tcPr>
          <w:p w14:paraId="35860EA3"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0.43x</w:t>
            </w:r>
          </w:p>
        </w:tc>
        <w:tc>
          <w:tcPr>
            <w:tcW w:w="1560" w:type="dxa"/>
            <w:shd w:val="clear" w:color="auto" w:fill="auto"/>
            <w:tcMar>
              <w:top w:w="60" w:type="dxa"/>
              <w:left w:w="100" w:type="dxa"/>
              <w:bottom w:w="60" w:type="dxa"/>
              <w:right w:w="100" w:type="dxa"/>
            </w:tcMar>
            <w:vAlign w:val="center"/>
          </w:tcPr>
          <w:p w14:paraId="72EC5C60" w14:textId="77777777" w:rsidR="00113EFE" w:rsidRPr="00D37EF2" w:rsidRDefault="00113EFE" w:rsidP="00D37EF2">
            <w:pPr>
              <w:rPr>
                <w:rFonts w:ascii="Arial" w:hAnsi="Arial" w:cs="Arial"/>
                <w:sz w:val="24"/>
                <w:szCs w:val="24"/>
              </w:rPr>
            </w:pPr>
            <w:r w:rsidRPr="00D37EF2">
              <w:rPr>
                <w:rFonts w:ascii="Arial" w:hAnsi="Arial" w:cs="Arial"/>
                <w:color w:val="404040"/>
                <w:sz w:val="24"/>
                <w:szCs w:val="24"/>
              </w:rPr>
              <w:t>0.44x</w:t>
            </w:r>
          </w:p>
        </w:tc>
        <w:tc>
          <w:tcPr>
            <w:tcW w:w="1560" w:type="dxa"/>
            <w:shd w:val="clear" w:color="auto" w:fill="auto"/>
            <w:tcMar>
              <w:top w:w="60" w:type="dxa"/>
              <w:left w:w="100" w:type="dxa"/>
              <w:bottom w:w="60" w:type="dxa"/>
              <w:right w:w="100" w:type="dxa"/>
            </w:tcMar>
            <w:vAlign w:val="center"/>
          </w:tcPr>
          <w:p w14:paraId="70A0D4EB" w14:textId="77777777" w:rsidR="00113EFE" w:rsidRPr="00D37EF2" w:rsidRDefault="00113EFE" w:rsidP="001E1E66">
            <w:pPr>
              <w:keepNext/>
              <w:rPr>
                <w:rFonts w:ascii="Arial" w:hAnsi="Arial" w:cs="Arial"/>
                <w:sz w:val="24"/>
                <w:szCs w:val="24"/>
              </w:rPr>
            </w:pPr>
            <w:r w:rsidRPr="00D37EF2">
              <w:rPr>
                <w:rFonts w:ascii="Arial" w:hAnsi="Arial" w:cs="Arial"/>
                <w:color w:val="404040"/>
                <w:sz w:val="24"/>
                <w:szCs w:val="24"/>
              </w:rPr>
              <w:t>0.47x</w:t>
            </w:r>
          </w:p>
        </w:tc>
      </w:tr>
    </w:tbl>
    <w:p w14:paraId="0C7C60C1" w14:textId="1AA62AC9" w:rsidR="00AE100E" w:rsidRPr="00AE100E" w:rsidRDefault="001E1E66" w:rsidP="001E1E66">
      <w:pPr>
        <w:pStyle w:val="Caption"/>
        <w:rPr>
          <w:rFonts w:ascii="Arial" w:hAnsi="Arial" w:cs="Arial"/>
          <w:sz w:val="24"/>
          <w:szCs w:val="24"/>
        </w:rPr>
      </w:pPr>
      <w:r>
        <w:t>Table 1.</w:t>
      </w:r>
      <w:r w:rsidR="00553D26">
        <w:fldChar w:fldCharType="begin"/>
      </w:r>
      <w:r w:rsidR="00553D26">
        <w:instrText xml:space="preserve"> SEQ Table \* ARABIC </w:instrText>
      </w:r>
      <w:r w:rsidR="00553D26">
        <w:fldChar w:fldCharType="separate"/>
      </w:r>
      <w:r w:rsidR="00215885">
        <w:rPr>
          <w:noProof/>
        </w:rPr>
        <w:t>6</w:t>
      </w:r>
      <w:r w:rsidR="00553D26">
        <w:rPr>
          <w:noProof/>
        </w:rPr>
        <w:fldChar w:fldCharType="end"/>
      </w:r>
      <w:r>
        <w:t xml:space="preserve"> </w:t>
      </w:r>
      <w:r w:rsidRPr="00031B19">
        <w:t>Source: Hyundai Motor Company Annual Reports 2020–2024; Author's calculations</w:t>
      </w:r>
    </w:p>
    <w:p w14:paraId="7A5C0AFE" w14:textId="77777777" w:rsidR="00113EFE" w:rsidRDefault="00113EFE" w:rsidP="00113EFE"/>
    <w:p w14:paraId="17B5DB73" w14:textId="77777777" w:rsidR="002D1A8C" w:rsidRDefault="00A03485" w:rsidP="002D1A8C">
      <w:pPr>
        <w:keepNext/>
      </w:pPr>
      <w:r w:rsidRPr="00A03485">
        <w:rPr>
          <w:noProof/>
        </w:rPr>
        <w:drawing>
          <wp:inline distT="0" distB="0" distL="0" distR="0" wp14:anchorId="64DC495C" wp14:editId="038D9340">
            <wp:extent cx="5943600" cy="34823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82340"/>
                    </a:xfrm>
                    <a:prstGeom prst="rect">
                      <a:avLst/>
                    </a:prstGeom>
                  </pic:spPr>
                </pic:pic>
              </a:graphicData>
            </a:graphic>
          </wp:inline>
        </w:drawing>
      </w:r>
    </w:p>
    <w:p w14:paraId="1650DB39" w14:textId="446040F6" w:rsidR="00A03485" w:rsidRDefault="002D1A8C" w:rsidP="002D1A8C">
      <w:pPr>
        <w:pStyle w:val="Caption"/>
        <w:jc w:val="center"/>
      </w:pPr>
      <w:r>
        <w:t xml:space="preserve">Figure </w:t>
      </w:r>
      <w:r w:rsidR="00553D26">
        <w:fldChar w:fldCharType="begin"/>
      </w:r>
      <w:r w:rsidR="00553D26">
        <w:instrText xml:space="preserve"> SEQ Figure \* ARABIC </w:instrText>
      </w:r>
      <w:r w:rsidR="00553D26">
        <w:fldChar w:fldCharType="separate"/>
      </w:r>
      <w:r>
        <w:rPr>
          <w:noProof/>
        </w:rPr>
        <w:t>5</w:t>
      </w:r>
      <w:r w:rsidR="00553D26">
        <w:rPr>
          <w:noProof/>
        </w:rPr>
        <w:fldChar w:fldCharType="end"/>
      </w:r>
      <w:r>
        <w:t xml:space="preserve"> Investment</w:t>
      </w:r>
      <w:r w:rsidRPr="00DF5864">
        <w:t xml:space="preserve"> Ratios Source: Annual Reports and Author’s Calculation</w:t>
      </w:r>
    </w:p>
    <w:p w14:paraId="1976784F" w14:textId="0C516049" w:rsidR="00A03485" w:rsidRPr="00B47E81" w:rsidRDefault="00B47E81" w:rsidP="00B47E81">
      <w:pPr>
        <w:spacing w:line="360" w:lineRule="auto"/>
        <w:jc w:val="both"/>
        <w:rPr>
          <w:rFonts w:ascii="Arial" w:hAnsi="Arial" w:cs="Arial"/>
          <w:sz w:val="24"/>
          <w:szCs w:val="24"/>
        </w:rPr>
      </w:pPr>
      <w:r w:rsidRPr="00B47E81">
        <w:rPr>
          <w:rFonts w:ascii="Arial" w:hAnsi="Arial" w:cs="Arial"/>
          <w:sz w:val="24"/>
          <w:szCs w:val="24"/>
          <w:shd w:val="clear" w:color="auto" w:fill="FFFFFF"/>
        </w:rPr>
        <w:t xml:space="preserve">Although EPS rebounds from KRW 7,614 in 2020 to a high of KRW 57,912 in 2023, Hyundai’s P/E ratio at 4.5x is heavily discounted compared to the average 15–20x of its global peers in the electric vehicle industry (BloombergNEF, 2024). It is due to the Korea Discount, which refers to the consistent difference in valuation due to the Hyundai Motor Group's corporate governance system via cross-shareholdings (Choi, 2018; MSCI, 2023). The P/B ratio consistently lower than 0.5x shows that the market values Hyundai’s assets </w:t>
      </w:r>
      <w:r w:rsidRPr="00B47E81">
        <w:rPr>
          <w:rFonts w:ascii="Arial" w:hAnsi="Arial" w:cs="Arial"/>
          <w:sz w:val="24"/>
          <w:szCs w:val="24"/>
          <w:shd w:val="clear" w:color="auto" w:fill="FFFFFF"/>
        </w:rPr>
        <w:lastRenderedPageBreak/>
        <w:t>below their book value (Damodaran, 2012), representing a major shareholder value opportunity addressed in Section 3</w:t>
      </w:r>
      <w:r w:rsidR="00A20BB3" w:rsidRPr="00B47E81">
        <w:rPr>
          <w:rFonts w:ascii="Arial" w:hAnsi="Arial" w:cs="Arial"/>
          <w:sz w:val="24"/>
          <w:szCs w:val="24"/>
        </w:rPr>
        <w:t>.</w:t>
      </w:r>
    </w:p>
    <w:p w14:paraId="00A1F868" w14:textId="77777777" w:rsidR="000034A6" w:rsidRDefault="000034A6" w:rsidP="000034A6">
      <w:pPr>
        <w:pStyle w:val="Heading2"/>
        <w:rPr>
          <w:rFonts w:ascii="Arial" w:eastAsia="Arial" w:hAnsi="Arial" w:cs="Arial"/>
          <w:b/>
          <w:bCs/>
          <w:color w:val="2E75B6"/>
        </w:rPr>
      </w:pPr>
      <w:bookmarkStart w:id="14" w:name="_Toc227660476"/>
      <w:r>
        <w:rPr>
          <w:rFonts w:ascii="Arial" w:eastAsia="Arial" w:hAnsi="Arial" w:cs="Arial"/>
          <w:b/>
          <w:bCs/>
          <w:color w:val="2E75B6"/>
        </w:rPr>
        <w:t>1.7 Cash Flow Analysis</w:t>
      </w:r>
      <w:bookmarkEnd w:id="14"/>
    </w:p>
    <w:p w14:paraId="562091DC" w14:textId="77777777" w:rsidR="00C56842" w:rsidRPr="00E10B9C" w:rsidRDefault="00C56842" w:rsidP="00E10B9C">
      <w:pPr>
        <w:pStyle w:val="Heading3"/>
        <w:spacing w:line="360" w:lineRule="auto"/>
      </w:pPr>
      <w:bookmarkStart w:id="15" w:name="_Toc227660477"/>
      <w:r w:rsidRPr="00E10B9C">
        <w:rPr>
          <w:rFonts w:ascii="Arial" w:eastAsia="Arial" w:hAnsi="Arial" w:cs="Arial"/>
          <w:b/>
          <w:bCs/>
          <w:color w:val="404040"/>
        </w:rPr>
        <w:t>Table 1.7 – Cash Flow Summary (KRW Billions)</w:t>
      </w:r>
      <w:bookmarkEnd w:id="1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48"/>
        <w:gridCol w:w="1540"/>
        <w:gridCol w:w="1543"/>
        <w:gridCol w:w="1543"/>
        <w:gridCol w:w="1543"/>
        <w:gridCol w:w="1543"/>
      </w:tblGrid>
      <w:tr w:rsidR="00C56842" w:rsidRPr="00E10B9C" w14:paraId="1CEAD0A4" w14:textId="77777777" w:rsidTr="007978F7">
        <w:tc>
          <w:tcPr>
            <w:tcW w:w="1648" w:type="dxa"/>
            <w:shd w:val="clear" w:color="auto" w:fill="auto"/>
            <w:tcMar>
              <w:top w:w="80" w:type="dxa"/>
              <w:left w:w="100" w:type="dxa"/>
              <w:bottom w:w="80" w:type="dxa"/>
              <w:right w:w="100" w:type="dxa"/>
            </w:tcMar>
            <w:vAlign w:val="center"/>
          </w:tcPr>
          <w:p w14:paraId="3A887A91" w14:textId="77777777" w:rsidR="00C56842" w:rsidRPr="00E10B9C" w:rsidRDefault="00C56842" w:rsidP="00E10B9C">
            <w:pPr>
              <w:jc w:val="center"/>
              <w:rPr>
                <w:rFonts w:ascii="Arial" w:hAnsi="Arial" w:cs="Arial"/>
                <w:sz w:val="24"/>
                <w:szCs w:val="24"/>
              </w:rPr>
            </w:pPr>
            <w:r w:rsidRPr="00E10B9C">
              <w:rPr>
                <w:rFonts w:ascii="Arial" w:hAnsi="Arial" w:cs="Arial"/>
                <w:sz w:val="24"/>
                <w:szCs w:val="24"/>
              </w:rPr>
              <w:t>Metric</w:t>
            </w:r>
          </w:p>
        </w:tc>
        <w:tc>
          <w:tcPr>
            <w:tcW w:w="1540" w:type="dxa"/>
            <w:shd w:val="clear" w:color="auto" w:fill="auto"/>
            <w:tcMar>
              <w:top w:w="80" w:type="dxa"/>
              <w:left w:w="100" w:type="dxa"/>
              <w:bottom w:w="80" w:type="dxa"/>
              <w:right w:w="100" w:type="dxa"/>
            </w:tcMar>
            <w:vAlign w:val="center"/>
          </w:tcPr>
          <w:p w14:paraId="20D2D7C2" w14:textId="77777777" w:rsidR="00C56842" w:rsidRPr="00E10B9C" w:rsidRDefault="00C56842" w:rsidP="00E10B9C">
            <w:pPr>
              <w:jc w:val="center"/>
              <w:rPr>
                <w:rFonts w:ascii="Arial" w:hAnsi="Arial" w:cs="Arial"/>
                <w:sz w:val="24"/>
                <w:szCs w:val="24"/>
              </w:rPr>
            </w:pPr>
            <w:r w:rsidRPr="00E10B9C">
              <w:rPr>
                <w:rFonts w:ascii="Arial" w:hAnsi="Arial" w:cs="Arial"/>
                <w:sz w:val="24"/>
                <w:szCs w:val="24"/>
              </w:rPr>
              <w:t>2020</w:t>
            </w:r>
          </w:p>
        </w:tc>
        <w:tc>
          <w:tcPr>
            <w:tcW w:w="1543" w:type="dxa"/>
            <w:shd w:val="clear" w:color="auto" w:fill="auto"/>
            <w:tcMar>
              <w:top w:w="80" w:type="dxa"/>
              <w:left w:w="100" w:type="dxa"/>
              <w:bottom w:w="80" w:type="dxa"/>
              <w:right w:w="100" w:type="dxa"/>
            </w:tcMar>
            <w:vAlign w:val="center"/>
          </w:tcPr>
          <w:p w14:paraId="53ABE11A" w14:textId="77777777" w:rsidR="00C56842" w:rsidRPr="00E10B9C" w:rsidRDefault="00C56842" w:rsidP="00E10B9C">
            <w:pPr>
              <w:jc w:val="center"/>
              <w:rPr>
                <w:rFonts w:ascii="Arial" w:hAnsi="Arial" w:cs="Arial"/>
                <w:sz w:val="24"/>
                <w:szCs w:val="24"/>
              </w:rPr>
            </w:pPr>
            <w:r w:rsidRPr="00E10B9C">
              <w:rPr>
                <w:rFonts w:ascii="Arial" w:hAnsi="Arial" w:cs="Arial"/>
                <w:sz w:val="24"/>
                <w:szCs w:val="24"/>
              </w:rPr>
              <w:t>2021</w:t>
            </w:r>
          </w:p>
        </w:tc>
        <w:tc>
          <w:tcPr>
            <w:tcW w:w="1543" w:type="dxa"/>
            <w:shd w:val="clear" w:color="auto" w:fill="auto"/>
            <w:tcMar>
              <w:top w:w="80" w:type="dxa"/>
              <w:left w:w="100" w:type="dxa"/>
              <w:bottom w:w="80" w:type="dxa"/>
              <w:right w:w="100" w:type="dxa"/>
            </w:tcMar>
            <w:vAlign w:val="center"/>
          </w:tcPr>
          <w:p w14:paraId="03E7820F" w14:textId="77777777" w:rsidR="00C56842" w:rsidRPr="00E10B9C" w:rsidRDefault="00C56842" w:rsidP="00E10B9C">
            <w:pPr>
              <w:jc w:val="center"/>
              <w:rPr>
                <w:rFonts w:ascii="Arial" w:hAnsi="Arial" w:cs="Arial"/>
                <w:sz w:val="24"/>
                <w:szCs w:val="24"/>
              </w:rPr>
            </w:pPr>
            <w:r w:rsidRPr="00E10B9C">
              <w:rPr>
                <w:rFonts w:ascii="Arial" w:hAnsi="Arial" w:cs="Arial"/>
                <w:sz w:val="24"/>
                <w:szCs w:val="24"/>
              </w:rPr>
              <w:t>2022</w:t>
            </w:r>
          </w:p>
        </w:tc>
        <w:tc>
          <w:tcPr>
            <w:tcW w:w="1543" w:type="dxa"/>
            <w:shd w:val="clear" w:color="auto" w:fill="auto"/>
            <w:tcMar>
              <w:top w:w="80" w:type="dxa"/>
              <w:left w:w="100" w:type="dxa"/>
              <w:bottom w:w="80" w:type="dxa"/>
              <w:right w:w="100" w:type="dxa"/>
            </w:tcMar>
            <w:vAlign w:val="center"/>
          </w:tcPr>
          <w:p w14:paraId="6375243B" w14:textId="77777777" w:rsidR="00C56842" w:rsidRPr="00E10B9C" w:rsidRDefault="00C56842" w:rsidP="00E10B9C">
            <w:pPr>
              <w:jc w:val="center"/>
              <w:rPr>
                <w:rFonts w:ascii="Arial" w:hAnsi="Arial" w:cs="Arial"/>
                <w:sz w:val="24"/>
                <w:szCs w:val="24"/>
              </w:rPr>
            </w:pPr>
            <w:r w:rsidRPr="00E10B9C">
              <w:rPr>
                <w:rFonts w:ascii="Arial" w:hAnsi="Arial" w:cs="Arial"/>
                <w:sz w:val="24"/>
                <w:szCs w:val="24"/>
              </w:rPr>
              <w:t>2023</w:t>
            </w:r>
          </w:p>
        </w:tc>
        <w:tc>
          <w:tcPr>
            <w:tcW w:w="1543" w:type="dxa"/>
            <w:shd w:val="clear" w:color="auto" w:fill="auto"/>
            <w:tcMar>
              <w:top w:w="80" w:type="dxa"/>
              <w:left w:w="100" w:type="dxa"/>
              <w:bottom w:w="80" w:type="dxa"/>
              <w:right w:w="100" w:type="dxa"/>
            </w:tcMar>
            <w:vAlign w:val="center"/>
          </w:tcPr>
          <w:p w14:paraId="1FFBE0C6" w14:textId="0F205D36" w:rsidR="00C56842" w:rsidRPr="00E10B9C" w:rsidRDefault="00C56842" w:rsidP="00E10B9C">
            <w:pPr>
              <w:jc w:val="center"/>
              <w:rPr>
                <w:rFonts w:ascii="Arial" w:hAnsi="Arial" w:cs="Arial"/>
                <w:sz w:val="24"/>
                <w:szCs w:val="24"/>
              </w:rPr>
            </w:pPr>
            <w:r w:rsidRPr="00E10B9C">
              <w:rPr>
                <w:rFonts w:ascii="Arial" w:hAnsi="Arial" w:cs="Arial"/>
                <w:sz w:val="24"/>
                <w:szCs w:val="24"/>
              </w:rPr>
              <w:t>2024</w:t>
            </w:r>
          </w:p>
        </w:tc>
      </w:tr>
      <w:tr w:rsidR="00C56842" w:rsidRPr="00E10B9C" w14:paraId="7CF92C9E" w14:textId="77777777" w:rsidTr="007978F7">
        <w:tc>
          <w:tcPr>
            <w:tcW w:w="1648" w:type="dxa"/>
            <w:shd w:val="clear" w:color="auto" w:fill="auto"/>
            <w:tcMar>
              <w:top w:w="60" w:type="dxa"/>
              <w:left w:w="100" w:type="dxa"/>
              <w:bottom w:w="60" w:type="dxa"/>
              <w:right w:w="100" w:type="dxa"/>
            </w:tcMar>
            <w:vAlign w:val="center"/>
          </w:tcPr>
          <w:p w14:paraId="7752ECB5" w14:textId="77777777" w:rsidR="00C56842" w:rsidRPr="00E10B9C" w:rsidRDefault="00C56842" w:rsidP="00E10B9C">
            <w:pPr>
              <w:jc w:val="center"/>
              <w:rPr>
                <w:rFonts w:ascii="Arial" w:hAnsi="Arial" w:cs="Arial"/>
                <w:sz w:val="24"/>
                <w:szCs w:val="24"/>
              </w:rPr>
            </w:pPr>
            <w:r w:rsidRPr="00E10B9C">
              <w:rPr>
                <w:rFonts w:ascii="Arial" w:hAnsi="Arial" w:cs="Arial"/>
                <w:color w:val="404040"/>
                <w:sz w:val="24"/>
                <w:szCs w:val="24"/>
              </w:rPr>
              <w:t>Operating Cash Flow (OCF)</w:t>
            </w:r>
          </w:p>
        </w:tc>
        <w:tc>
          <w:tcPr>
            <w:tcW w:w="1540" w:type="dxa"/>
            <w:shd w:val="clear" w:color="auto" w:fill="auto"/>
            <w:tcMar>
              <w:top w:w="60" w:type="dxa"/>
              <w:left w:w="100" w:type="dxa"/>
              <w:bottom w:w="60" w:type="dxa"/>
              <w:right w:w="100" w:type="dxa"/>
            </w:tcMar>
            <w:vAlign w:val="center"/>
          </w:tcPr>
          <w:p w14:paraId="434FC062"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7,500</w:t>
            </w:r>
          </w:p>
        </w:tc>
        <w:tc>
          <w:tcPr>
            <w:tcW w:w="1543" w:type="dxa"/>
            <w:shd w:val="clear" w:color="auto" w:fill="auto"/>
            <w:tcMar>
              <w:top w:w="60" w:type="dxa"/>
              <w:left w:w="100" w:type="dxa"/>
              <w:bottom w:w="60" w:type="dxa"/>
              <w:right w:w="100" w:type="dxa"/>
            </w:tcMar>
            <w:vAlign w:val="center"/>
          </w:tcPr>
          <w:p w14:paraId="65944757"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10,400</w:t>
            </w:r>
          </w:p>
        </w:tc>
        <w:tc>
          <w:tcPr>
            <w:tcW w:w="1543" w:type="dxa"/>
            <w:shd w:val="clear" w:color="auto" w:fill="auto"/>
            <w:tcMar>
              <w:top w:w="60" w:type="dxa"/>
              <w:left w:w="100" w:type="dxa"/>
              <w:bottom w:w="60" w:type="dxa"/>
              <w:right w:w="100" w:type="dxa"/>
            </w:tcMar>
            <w:vAlign w:val="center"/>
          </w:tcPr>
          <w:p w14:paraId="0481C959"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13,800</w:t>
            </w:r>
          </w:p>
        </w:tc>
        <w:tc>
          <w:tcPr>
            <w:tcW w:w="1543" w:type="dxa"/>
            <w:shd w:val="clear" w:color="auto" w:fill="auto"/>
            <w:tcMar>
              <w:top w:w="60" w:type="dxa"/>
              <w:left w:w="100" w:type="dxa"/>
              <w:bottom w:w="60" w:type="dxa"/>
              <w:right w:w="100" w:type="dxa"/>
            </w:tcMar>
            <w:vAlign w:val="center"/>
          </w:tcPr>
          <w:p w14:paraId="02160EA9"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18,200</w:t>
            </w:r>
          </w:p>
        </w:tc>
        <w:tc>
          <w:tcPr>
            <w:tcW w:w="1543" w:type="dxa"/>
            <w:shd w:val="clear" w:color="auto" w:fill="auto"/>
            <w:tcMar>
              <w:top w:w="60" w:type="dxa"/>
              <w:left w:w="100" w:type="dxa"/>
              <w:bottom w:w="60" w:type="dxa"/>
              <w:right w:w="100" w:type="dxa"/>
            </w:tcMar>
            <w:vAlign w:val="center"/>
          </w:tcPr>
          <w:p w14:paraId="233D2D22"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16,500</w:t>
            </w:r>
          </w:p>
        </w:tc>
      </w:tr>
      <w:tr w:rsidR="00C56842" w:rsidRPr="00E10B9C" w14:paraId="4205687E" w14:textId="77777777" w:rsidTr="007978F7">
        <w:tc>
          <w:tcPr>
            <w:tcW w:w="1648" w:type="dxa"/>
            <w:shd w:val="clear" w:color="auto" w:fill="auto"/>
            <w:tcMar>
              <w:top w:w="60" w:type="dxa"/>
              <w:left w:w="100" w:type="dxa"/>
              <w:bottom w:w="60" w:type="dxa"/>
              <w:right w:w="100" w:type="dxa"/>
            </w:tcMar>
            <w:vAlign w:val="center"/>
          </w:tcPr>
          <w:p w14:paraId="7E31B43D" w14:textId="77777777" w:rsidR="00C56842" w:rsidRPr="00E10B9C" w:rsidRDefault="00C56842" w:rsidP="00E10B9C">
            <w:pPr>
              <w:jc w:val="center"/>
              <w:rPr>
                <w:rFonts w:ascii="Arial" w:hAnsi="Arial" w:cs="Arial"/>
                <w:sz w:val="24"/>
                <w:szCs w:val="24"/>
              </w:rPr>
            </w:pPr>
            <w:r w:rsidRPr="00E10B9C">
              <w:rPr>
                <w:rFonts w:ascii="Arial" w:hAnsi="Arial" w:cs="Arial"/>
                <w:color w:val="404040"/>
                <w:sz w:val="24"/>
                <w:szCs w:val="24"/>
              </w:rPr>
              <w:t>Capital Expenditure (CapEx)</w:t>
            </w:r>
          </w:p>
        </w:tc>
        <w:tc>
          <w:tcPr>
            <w:tcW w:w="1540" w:type="dxa"/>
            <w:shd w:val="clear" w:color="auto" w:fill="auto"/>
            <w:tcMar>
              <w:top w:w="60" w:type="dxa"/>
              <w:left w:w="100" w:type="dxa"/>
              <w:bottom w:w="60" w:type="dxa"/>
              <w:right w:w="100" w:type="dxa"/>
            </w:tcMar>
            <w:vAlign w:val="center"/>
          </w:tcPr>
          <w:p w14:paraId="53DC7854"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4,200</w:t>
            </w:r>
          </w:p>
        </w:tc>
        <w:tc>
          <w:tcPr>
            <w:tcW w:w="1543" w:type="dxa"/>
            <w:shd w:val="clear" w:color="auto" w:fill="auto"/>
            <w:tcMar>
              <w:top w:w="60" w:type="dxa"/>
              <w:left w:w="100" w:type="dxa"/>
              <w:bottom w:w="60" w:type="dxa"/>
              <w:right w:w="100" w:type="dxa"/>
            </w:tcMar>
            <w:vAlign w:val="center"/>
          </w:tcPr>
          <w:p w14:paraId="4C010535"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6,300</w:t>
            </w:r>
          </w:p>
        </w:tc>
        <w:tc>
          <w:tcPr>
            <w:tcW w:w="1543" w:type="dxa"/>
            <w:shd w:val="clear" w:color="auto" w:fill="auto"/>
            <w:tcMar>
              <w:top w:w="60" w:type="dxa"/>
              <w:left w:w="100" w:type="dxa"/>
              <w:bottom w:w="60" w:type="dxa"/>
              <w:right w:w="100" w:type="dxa"/>
            </w:tcMar>
            <w:vAlign w:val="center"/>
          </w:tcPr>
          <w:p w14:paraId="5E31A229"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8,500</w:t>
            </w:r>
          </w:p>
        </w:tc>
        <w:tc>
          <w:tcPr>
            <w:tcW w:w="1543" w:type="dxa"/>
            <w:shd w:val="clear" w:color="auto" w:fill="auto"/>
            <w:tcMar>
              <w:top w:w="60" w:type="dxa"/>
              <w:left w:w="100" w:type="dxa"/>
              <w:bottom w:w="60" w:type="dxa"/>
              <w:right w:w="100" w:type="dxa"/>
            </w:tcMar>
            <w:vAlign w:val="center"/>
          </w:tcPr>
          <w:p w14:paraId="3126EBEB"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9,700</w:t>
            </w:r>
          </w:p>
        </w:tc>
        <w:tc>
          <w:tcPr>
            <w:tcW w:w="1543" w:type="dxa"/>
            <w:shd w:val="clear" w:color="auto" w:fill="auto"/>
            <w:tcMar>
              <w:top w:w="60" w:type="dxa"/>
              <w:left w:w="100" w:type="dxa"/>
              <w:bottom w:w="60" w:type="dxa"/>
              <w:right w:w="100" w:type="dxa"/>
            </w:tcMar>
            <w:vAlign w:val="center"/>
          </w:tcPr>
          <w:p w14:paraId="3D3554DD"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10,800</w:t>
            </w:r>
          </w:p>
        </w:tc>
      </w:tr>
      <w:tr w:rsidR="00C56842" w:rsidRPr="00E10B9C" w14:paraId="53A6422D" w14:textId="77777777" w:rsidTr="007978F7">
        <w:tc>
          <w:tcPr>
            <w:tcW w:w="1648" w:type="dxa"/>
            <w:shd w:val="clear" w:color="auto" w:fill="auto"/>
            <w:tcMar>
              <w:top w:w="60" w:type="dxa"/>
              <w:left w:w="100" w:type="dxa"/>
              <w:bottom w:w="60" w:type="dxa"/>
              <w:right w:w="100" w:type="dxa"/>
            </w:tcMar>
            <w:vAlign w:val="center"/>
          </w:tcPr>
          <w:p w14:paraId="64868B2E" w14:textId="77777777" w:rsidR="00C56842" w:rsidRPr="00E10B9C" w:rsidRDefault="00C56842" w:rsidP="00E10B9C">
            <w:pPr>
              <w:jc w:val="center"/>
              <w:rPr>
                <w:rFonts w:ascii="Arial" w:hAnsi="Arial" w:cs="Arial"/>
                <w:sz w:val="24"/>
                <w:szCs w:val="24"/>
              </w:rPr>
            </w:pPr>
            <w:r w:rsidRPr="00E10B9C">
              <w:rPr>
                <w:rFonts w:ascii="Arial" w:hAnsi="Arial" w:cs="Arial"/>
                <w:color w:val="404040"/>
                <w:sz w:val="24"/>
                <w:szCs w:val="24"/>
              </w:rPr>
              <w:t>Free Cash Flow (FCF = OCF−CapEx)</w:t>
            </w:r>
          </w:p>
        </w:tc>
        <w:tc>
          <w:tcPr>
            <w:tcW w:w="1540" w:type="dxa"/>
            <w:shd w:val="clear" w:color="auto" w:fill="auto"/>
            <w:tcMar>
              <w:top w:w="60" w:type="dxa"/>
              <w:left w:w="100" w:type="dxa"/>
              <w:bottom w:w="60" w:type="dxa"/>
              <w:right w:w="100" w:type="dxa"/>
            </w:tcMar>
            <w:vAlign w:val="center"/>
          </w:tcPr>
          <w:p w14:paraId="189642A6"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3,300</w:t>
            </w:r>
          </w:p>
        </w:tc>
        <w:tc>
          <w:tcPr>
            <w:tcW w:w="1543" w:type="dxa"/>
            <w:shd w:val="clear" w:color="auto" w:fill="auto"/>
            <w:tcMar>
              <w:top w:w="60" w:type="dxa"/>
              <w:left w:w="100" w:type="dxa"/>
              <w:bottom w:w="60" w:type="dxa"/>
              <w:right w:w="100" w:type="dxa"/>
            </w:tcMar>
            <w:vAlign w:val="center"/>
          </w:tcPr>
          <w:p w14:paraId="57879319"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4,100</w:t>
            </w:r>
          </w:p>
        </w:tc>
        <w:tc>
          <w:tcPr>
            <w:tcW w:w="1543" w:type="dxa"/>
            <w:shd w:val="clear" w:color="auto" w:fill="auto"/>
            <w:tcMar>
              <w:top w:w="60" w:type="dxa"/>
              <w:left w:w="100" w:type="dxa"/>
              <w:bottom w:w="60" w:type="dxa"/>
              <w:right w:w="100" w:type="dxa"/>
            </w:tcMar>
            <w:vAlign w:val="center"/>
          </w:tcPr>
          <w:p w14:paraId="07231A26"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5,300</w:t>
            </w:r>
          </w:p>
        </w:tc>
        <w:tc>
          <w:tcPr>
            <w:tcW w:w="1543" w:type="dxa"/>
            <w:shd w:val="clear" w:color="auto" w:fill="auto"/>
            <w:tcMar>
              <w:top w:w="60" w:type="dxa"/>
              <w:left w:w="100" w:type="dxa"/>
              <w:bottom w:w="60" w:type="dxa"/>
              <w:right w:w="100" w:type="dxa"/>
            </w:tcMar>
            <w:vAlign w:val="center"/>
          </w:tcPr>
          <w:p w14:paraId="68AEE524"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8,500</w:t>
            </w:r>
          </w:p>
        </w:tc>
        <w:tc>
          <w:tcPr>
            <w:tcW w:w="1543" w:type="dxa"/>
            <w:shd w:val="clear" w:color="auto" w:fill="auto"/>
            <w:tcMar>
              <w:top w:w="60" w:type="dxa"/>
              <w:left w:w="100" w:type="dxa"/>
              <w:bottom w:w="60" w:type="dxa"/>
              <w:right w:w="100" w:type="dxa"/>
            </w:tcMar>
            <w:vAlign w:val="center"/>
          </w:tcPr>
          <w:p w14:paraId="18997EE8"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5,700</w:t>
            </w:r>
          </w:p>
        </w:tc>
      </w:tr>
      <w:tr w:rsidR="00C56842" w:rsidRPr="00E10B9C" w14:paraId="433EF6C8" w14:textId="77777777" w:rsidTr="007978F7">
        <w:tc>
          <w:tcPr>
            <w:tcW w:w="1648" w:type="dxa"/>
            <w:shd w:val="clear" w:color="auto" w:fill="auto"/>
            <w:tcMar>
              <w:top w:w="60" w:type="dxa"/>
              <w:left w:w="100" w:type="dxa"/>
              <w:bottom w:w="60" w:type="dxa"/>
              <w:right w:w="100" w:type="dxa"/>
            </w:tcMar>
            <w:vAlign w:val="center"/>
          </w:tcPr>
          <w:p w14:paraId="2C45A585" w14:textId="77777777" w:rsidR="00C56842" w:rsidRPr="00E10B9C" w:rsidRDefault="00C56842" w:rsidP="00E10B9C">
            <w:pPr>
              <w:jc w:val="center"/>
              <w:rPr>
                <w:rFonts w:ascii="Arial" w:hAnsi="Arial" w:cs="Arial"/>
                <w:sz w:val="24"/>
                <w:szCs w:val="24"/>
              </w:rPr>
            </w:pPr>
            <w:r w:rsidRPr="00E10B9C">
              <w:rPr>
                <w:rFonts w:ascii="Arial" w:hAnsi="Arial" w:cs="Arial"/>
                <w:color w:val="404040"/>
                <w:sz w:val="24"/>
                <w:szCs w:val="24"/>
              </w:rPr>
              <w:t>CapEx / Revenue (%)</w:t>
            </w:r>
          </w:p>
        </w:tc>
        <w:tc>
          <w:tcPr>
            <w:tcW w:w="1540" w:type="dxa"/>
            <w:shd w:val="clear" w:color="auto" w:fill="auto"/>
            <w:tcMar>
              <w:top w:w="60" w:type="dxa"/>
              <w:left w:w="100" w:type="dxa"/>
              <w:bottom w:w="60" w:type="dxa"/>
              <w:right w:w="100" w:type="dxa"/>
            </w:tcMar>
            <w:vAlign w:val="center"/>
          </w:tcPr>
          <w:p w14:paraId="06EBABBF"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4.0%</w:t>
            </w:r>
          </w:p>
        </w:tc>
        <w:tc>
          <w:tcPr>
            <w:tcW w:w="1543" w:type="dxa"/>
            <w:shd w:val="clear" w:color="auto" w:fill="auto"/>
            <w:tcMar>
              <w:top w:w="60" w:type="dxa"/>
              <w:left w:w="100" w:type="dxa"/>
              <w:bottom w:w="60" w:type="dxa"/>
              <w:right w:w="100" w:type="dxa"/>
            </w:tcMar>
            <w:vAlign w:val="center"/>
          </w:tcPr>
          <w:p w14:paraId="1A287C5B"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5.4%</w:t>
            </w:r>
          </w:p>
        </w:tc>
        <w:tc>
          <w:tcPr>
            <w:tcW w:w="1543" w:type="dxa"/>
            <w:shd w:val="clear" w:color="auto" w:fill="auto"/>
            <w:tcMar>
              <w:top w:w="60" w:type="dxa"/>
              <w:left w:w="100" w:type="dxa"/>
              <w:bottom w:w="60" w:type="dxa"/>
              <w:right w:w="100" w:type="dxa"/>
            </w:tcMar>
            <w:vAlign w:val="center"/>
          </w:tcPr>
          <w:p w14:paraId="1E376ADB"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6.0%</w:t>
            </w:r>
          </w:p>
        </w:tc>
        <w:tc>
          <w:tcPr>
            <w:tcW w:w="1543" w:type="dxa"/>
            <w:shd w:val="clear" w:color="auto" w:fill="auto"/>
            <w:tcMar>
              <w:top w:w="60" w:type="dxa"/>
              <w:left w:w="100" w:type="dxa"/>
              <w:bottom w:w="60" w:type="dxa"/>
              <w:right w:w="100" w:type="dxa"/>
            </w:tcMar>
            <w:vAlign w:val="center"/>
          </w:tcPr>
          <w:p w14:paraId="4F0B0516"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6.0%</w:t>
            </w:r>
          </w:p>
        </w:tc>
        <w:tc>
          <w:tcPr>
            <w:tcW w:w="1543" w:type="dxa"/>
            <w:shd w:val="clear" w:color="auto" w:fill="auto"/>
            <w:tcMar>
              <w:top w:w="60" w:type="dxa"/>
              <w:left w:w="100" w:type="dxa"/>
              <w:bottom w:w="60" w:type="dxa"/>
              <w:right w:w="100" w:type="dxa"/>
            </w:tcMar>
            <w:vAlign w:val="center"/>
          </w:tcPr>
          <w:p w14:paraId="74CEF94D"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6.2%</w:t>
            </w:r>
          </w:p>
        </w:tc>
      </w:tr>
      <w:tr w:rsidR="00C56842" w:rsidRPr="00E10B9C" w14:paraId="3E9317DD" w14:textId="77777777" w:rsidTr="007978F7">
        <w:tc>
          <w:tcPr>
            <w:tcW w:w="1648" w:type="dxa"/>
            <w:shd w:val="clear" w:color="auto" w:fill="auto"/>
            <w:tcMar>
              <w:top w:w="60" w:type="dxa"/>
              <w:left w:w="100" w:type="dxa"/>
              <w:bottom w:w="60" w:type="dxa"/>
              <w:right w:w="100" w:type="dxa"/>
            </w:tcMar>
            <w:vAlign w:val="center"/>
          </w:tcPr>
          <w:p w14:paraId="618E4194" w14:textId="77777777" w:rsidR="00C56842" w:rsidRPr="00E10B9C" w:rsidRDefault="00C56842" w:rsidP="00E10B9C">
            <w:pPr>
              <w:jc w:val="center"/>
              <w:rPr>
                <w:rFonts w:ascii="Arial" w:hAnsi="Arial" w:cs="Arial"/>
                <w:sz w:val="24"/>
                <w:szCs w:val="24"/>
              </w:rPr>
            </w:pPr>
            <w:r w:rsidRPr="00E10B9C">
              <w:rPr>
                <w:rFonts w:ascii="Arial" w:hAnsi="Arial" w:cs="Arial"/>
                <w:color w:val="404040"/>
                <w:sz w:val="24"/>
                <w:szCs w:val="24"/>
              </w:rPr>
              <w:t>OCF / Net Profit (Quality Ratio, x)</w:t>
            </w:r>
          </w:p>
        </w:tc>
        <w:tc>
          <w:tcPr>
            <w:tcW w:w="1540" w:type="dxa"/>
            <w:shd w:val="clear" w:color="auto" w:fill="auto"/>
            <w:tcMar>
              <w:top w:w="60" w:type="dxa"/>
              <w:left w:w="100" w:type="dxa"/>
              <w:bottom w:w="60" w:type="dxa"/>
              <w:right w:w="100" w:type="dxa"/>
            </w:tcMar>
            <w:vAlign w:val="center"/>
          </w:tcPr>
          <w:p w14:paraId="2976AC53"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4.58x</w:t>
            </w:r>
          </w:p>
        </w:tc>
        <w:tc>
          <w:tcPr>
            <w:tcW w:w="1543" w:type="dxa"/>
            <w:shd w:val="clear" w:color="auto" w:fill="auto"/>
            <w:tcMar>
              <w:top w:w="60" w:type="dxa"/>
              <w:left w:w="100" w:type="dxa"/>
              <w:bottom w:w="60" w:type="dxa"/>
              <w:right w:w="100" w:type="dxa"/>
            </w:tcMar>
            <w:vAlign w:val="center"/>
          </w:tcPr>
          <w:p w14:paraId="48BDB2A9"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1.80x</w:t>
            </w:r>
          </w:p>
        </w:tc>
        <w:tc>
          <w:tcPr>
            <w:tcW w:w="1543" w:type="dxa"/>
            <w:shd w:val="clear" w:color="auto" w:fill="auto"/>
            <w:tcMar>
              <w:top w:w="60" w:type="dxa"/>
              <w:left w:w="100" w:type="dxa"/>
              <w:bottom w:w="60" w:type="dxa"/>
              <w:right w:w="100" w:type="dxa"/>
            </w:tcMar>
            <w:vAlign w:val="center"/>
          </w:tcPr>
          <w:p w14:paraId="307BD450"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1.73x</w:t>
            </w:r>
          </w:p>
        </w:tc>
        <w:tc>
          <w:tcPr>
            <w:tcW w:w="1543" w:type="dxa"/>
            <w:shd w:val="clear" w:color="auto" w:fill="auto"/>
            <w:tcMar>
              <w:top w:w="60" w:type="dxa"/>
              <w:left w:w="100" w:type="dxa"/>
              <w:bottom w:w="60" w:type="dxa"/>
              <w:right w:w="100" w:type="dxa"/>
            </w:tcMar>
            <w:vAlign w:val="center"/>
          </w:tcPr>
          <w:p w14:paraId="198CCF84"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1.46x</w:t>
            </w:r>
          </w:p>
        </w:tc>
        <w:tc>
          <w:tcPr>
            <w:tcW w:w="1543" w:type="dxa"/>
            <w:shd w:val="clear" w:color="auto" w:fill="auto"/>
            <w:tcMar>
              <w:top w:w="60" w:type="dxa"/>
              <w:left w:w="100" w:type="dxa"/>
              <w:bottom w:w="60" w:type="dxa"/>
              <w:right w:w="100" w:type="dxa"/>
            </w:tcMar>
            <w:vAlign w:val="center"/>
          </w:tcPr>
          <w:p w14:paraId="4A01B53F"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1.51x</w:t>
            </w:r>
          </w:p>
        </w:tc>
      </w:tr>
      <w:tr w:rsidR="00C56842" w:rsidRPr="00E10B9C" w14:paraId="0389F736" w14:textId="77777777" w:rsidTr="007978F7">
        <w:tc>
          <w:tcPr>
            <w:tcW w:w="1648" w:type="dxa"/>
            <w:shd w:val="clear" w:color="auto" w:fill="auto"/>
            <w:tcMar>
              <w:top w:w="60" w:type="dxa"/>
              <w:left w:w="100" w:type="dxa"/>
              <w:bottom w:w="60" w:type="dxa"/>
              <w:right w:w="100" w:type="dxa"/>
            </w:tcMar>
            <w:vAlign w:val="center"/>
          </w:tcPr>
          <w:p w14:paraId="2C075B4B" w14:textId="77777777" w:rsidR="00C56842" w:rsidRPr="00E10B9C" w:rsidRDefault="00C56842" w:rsidP="00E10B9C">
            <w:pPr>
              <w:jc w:val="center"/>
              <w:rPr>
                <w:rFonts w:ascii="Arial" w:hAnsi="Arial" w:cs="Arial"/>
                <w:sz w:val="24"/>
                <w:szCs w:val="24"/>
              </w:rPr>
            </w:pPr>
            <w:r w:rsidRPr="00E10B9C">
              <w:rPr>
                <w:rFonts w:ascii="Arial" w:hAnsi="Arial" w:cs="Arial"/>
                <w:color w:val="404040"/>
                <w:sz w:val="24"/>
                <w:szCs w:val="24"/>
              </w:rPr>
              <w:t>FCF Yield on Revenue (%)</w:t>
            </w:r>
          </w:p>
        </w:tc>
        <w:tc>
          <w:tcPr>
            <w:tcW w:w="1540" w:type="dxa"/>
            <w:shd w:val="clear" w:color="auto" w:fill="auto"/>
            <w:tcMar>
              <w:top w:w="60" w:type="dxa"/>
              <w:left w:w="100" w:type="dxa"/>
              <w:bottom w:w="60" w:type="dxa"/>
              <w:right w:w="100" w:type="dxa"/>
            </w:tcMar>
            <w:vAlign w:val="center"/>
          </w:tcPr>
          <w:p w14:paraId="31461634"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3.2%</w:t>
            </w:r>
          </w:p>
        </w:tc>
        <w:tc>
          <w:tcPr>
            <w:tcW w:w="1543" w:type="dxa"/>
            <w:shd w:val="clear" w:color="auto" w:fill="auto"/>
            <w:tcMar>
              <w:top w:w="60" w:type="dxa"/>
              <w:left w:w="100" w:type="dxa"/>
              <w:bottom w:w="60" w:type="dxa"/>
              <w:right w:w="100" w:type="dxa"/>
            </w:tcMar>
            <w:vAlign w:val="center"/>
          </w:tcPr>
          <w:p w14:paraId="68CE8714"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3.5%</w:t>
            </w:r>
          </w:p>
        </w:tc>
        <w:tc>
          <w:tcPr>
            <w:tcW w:w="1543" w:type="dxa"/>
            <w:shd w:val="clear" w:color="auto" w:fill="auto"/>
            <w:tcMar>
              <w:top w:w="60" w:type="dxa"/>
              <w:left w:w="100" w:type="dxa"/>
              <w:bottom w:w="60" w:type="dxa"/>
              <w:right w:w="100" w:type="dxa"/>
            </w:tcMar>
            <w:vAlign w:val="center"/>
          </w:tcPr>
          <w:p w14:paraId="56210153"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3.7%</w:t>
            </w:r>
          </w:p>
        </w:tc>
        <w:tc>
          <w:tcPr>
            <w:tcW w:w="1543" w:type="dxa"/>
            <w:shd w:val="clear" w:color="auto" w:fill="auto"/>
            <w:tcMar>
              <w:top w:w="60" w:type="dxa"/>
              <w:left w:w="100" w:type="dxa"/>
              <w:bottom w:w="60" w:type="dxa"/>
              <w:right w:w="100" w:type="dxa"/>
            </w:tcMar>
            <w:vAlign w:val="center"/>
          </w:tcPr>
          <w:p w14:paraId="4B3CBF0B" w14:textId="77777777" w:rsidR="00C56842" w:rsidRPr="00E10B9C" w:rsidRDefault="00C56842" w:rsidP="00E10B9C">
            <w:pPr>
              <w:rPr>
                <w:rFonts w:ascii="Arial" w:hAnsi="Arial" w:cs="Arial"/>
                <w:sz w:val="24"/>
                <w:szCs w:val="24"/>
              </w:rPr>
            </w:pPr>
            <w:r w:rsidRPr="00E10B9C">
              <w:rPr>
                <w:rFonts w:ascii="Arial" w:hAnsi="Arial" w:cs="Arial"/>
                <w:color w:val="404040"/>
                <w:sz w:val="24"/>
                <w:szCs w:val="24"/>
              </w:rPr>
              <w:t>5.2%</w:t>
            </w:r>
          </w:p>
        </w:tc>
        <w:tc>
          <w:tcPr>
            <w:tcW w:w="1543" w:type="dxa"/>
            <w:shd w:val="clear" w:color="auto" w:fill="auto"/>
            <w:tcMar>
              <w:top w:w="60" w:type="dxa"/>
              <w:left w:w="100" w:type="dxa"/>
              <w:bottom w:w="60" w:type="dxa"/>
              <w:right w:w="100" w:type="dxa"/>
            </w:tcMar>
            <w:vAlign w:val="center"/>
          </w:tcPr>
          <w:p w14:paraId="7479E66E" w14:textId="77777777" w:rsidR="00C56842" w:rsidRPr="00E10B9C" w:rsidRDefault="00C56842" w:rsidP="001E1E66">
            <w:pPr>
              <w:keepNext/>
              <w:rPr>
                <w:rFonts w:ascii="Arial" w:hAnsi="Arial" w:cs="Arial"/>
                <w:sz w:val="24"/>
                <w:szCs w:val="24"/>
              </w:rPr>
            </w:pPr>
            <w:r w:rsidRPr="00E10B9C">
              <w:rPr>
                <w:rFonts w:ascii="Arial" w:hAnsi="Arial" w:cs="Arial"/>
                <w:color w:val="404040"/>
                <w:sz w:val="24"/>
                <w:szCs w:val="24"/>
              </w:rPr>
              <w:t>3.2%</w:t>
            </w:r>
          </w:p>
        </w:tc>
      </w:tr>
    </w:tbl>
    <w:p w14:paraId="5EDD7FCC" w14:textId="1AF3C0C1" w:rsidR="00C56842" w:rsidRDefault="001E1E66" w:rsidP="001E1E66">
      <w:pPr>
        <w:pStyle w:val="Caption"/>
      </w:pPr>
      <w:r>
        <w:t>Table 1.</w:t>
      </w:r>
      <w:r w:rsidR="00553D26">
        <w:fldChar w:fldCharType="begin"/>
      </w:r>
      <w:r w:rsidR="00553D26">
        <w:instrText xml:space="preserve"> SEQ Table \* ARABIC </w:instrText>
      </w:r>
      <w:r w:rsidR="00553D26">
        <w:fldChar w:fldCharType="separate"/>
      </w:r>
      <w:r w:rsidR="00215885">
        <w:rPr>
          <w:noProof/>
        </w:rPr>
        <w:t>7</w:t>
      </w:r>
      <w:r w:rsidR="00553D26">
        <w:rPr>
          <w:noProof/>
        </w:rPr>
        <w:fldChar w:fldCharType="end"/>
      </w:r>
      <w:r>
        <w:t xml:space="preserve"> </w:t>
      </w:r>
      <w:r w:rsidRPr="0046702F">
        <w:t>Source: Hyundai Motor Company Annual Reports 2020–2024, available at https://www.hyundai.com/worldwide/en/company/ir/ir-resources/annual-report</w:t>
      </w:r>
    </w:p>
    <w:p w14:paraId="02EB10AB" w14:textId="77777777" w:rsidR="002D1A8C" w:rsidRDefault="002D1A8C" w:rsidP="002D1A8C">
      <w:pPr>
        <w:keepNext/>
        <w:jc w:val="center"/>
      </w:pPr>
      <w:r>
        <w:rPr>
          <w:noProof/>
        </w:rPr>
        <w:lastRenderedPageBreak/>
        <w:drawing>
          <wp:inline distT="0" distB="0" distL="0" distR="0" wp14:anchorId="238024F2" wp14:editId="457313E7">
            <wp:extent cx="4983480" cy="3720465"/>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87575" cy="3723522"/>
                    </a:xfrm>
                    <a:prstGeom prst="rect">
                      <a:avLst/>
                    </a:prstGeom>
                  </pic:spPr>
                </pic:pic>
              </a:graphicData>
            </a:graphic>
          </wp:inline>
        </w:drawing>
      </w:r>
    </w:p>
    <w:p w14:paraId="4CF728A1" w14:textId="2372F6C5" w:rsidR="00514635" w:rsidRDefault="002D1A8C" w:rsidP="002D1A8C">
      <w:pPr>
        <w:pStyle w:val="Caption"/>
        <w:jc w:val="center"/>
      </w:pPr>
      <w:r>
        <w:t xml:space="preserve">Figure </w:t>
      </w:r>
      <w:r w:rsidR="00553D26">
        <w:fldChar w:fldCharType="begin"/>
      </w:r>
      <w:r w:rsidR="00553D26">
        <w:instrText xml:space="preserve"> SEQ Figure \* ARABIC </w:instrText>
      </w:r>
      <w:r w:rsidR="00553D26">
        <w:fldChar w:fldCharType="separate"/>
      </w:r>
      <w:r>
        <w:rPr>
          <w:noProof/>
        </w:rPr>
        <w:t>6</w:t>
      </w:r>
      <w:r w:rsidR="00553D26">
        <w:rPr>
          <w:noProof/>
        </w:rPr>
        <w:fldChar w:fldCharType="end"/>
      </w:r>
      <w:r>
        <w:t xml:space="preserve"> Cash Flow</w:t>
      </w:r>
      <w:r w:rsidRPr="00C978F5">
        <w:t xml:space="preserve"> Ratios Source: Annual Reports and Author’s Calculation</w:t>
      </w:r>
    </w:p>
    <w:p w14:paraId="727CA340" w14:textId="1D983477" w:rsidR="00C56842" w:rsidRPr="00F07F3B" w:rsidRDefault="00E2767F" w:rsidP="00F07F3B">
      <w:pPr>
        <w:spacing w:line="360" w:lineRule="auto"/>
        <w:jc w:val="both"/>
        <w:rPr>
          <w:rFonts w:ascii="Arial" w:hAnsi="Arial" w:cs="Arial"/>
          <w:sz w:val="24"/>
          <w:szCs w:val="24"/>
        </w:rPr>
      </w:pPr>
      <w:r w:rsidRPr="00F07F3B">
        <w:rPr>
          <w:rFonts w:ascii="Arial" w:hAnsi="Arial" w:cs="Arial"/>
          <w:sz w:val="24"/>
          <w:szCs w:val="24"/>
          <w:shd w:val="clear" w:color="auto" w:fill="FFFFFF"/>
        </w:rPr>
        <w:t xml:space="preserve">Throughout the entire period of analysis, OCF exceeded net income. The quality indicator was greater than 1.0x, indicating that the profits are backed by genuine cash—a key earnings quality signal (Penman, 2013). The maximum figure for FCF was KRW 8,500 billion in 2023; however, by 2024, it decreased to KRW 5,700 billion due to an increase in CapEx intensity to 6.2%. </w:t>
      </w:r>
      <w:r w:rsidR="00441BB4" w:rsidRPr="00F07F3B">
        <w:rPr>
          <w:rFonts w:ascii="Arial" w:hAnsi="Arial" w:cs="Arial"/>
          <w:color w:val="172B4D"/>
          <w:sz w:val="24"/>
          <w:szCs w:val="24"/>
          <w:shd w:val="clear" w:color="auto" w:fill="FFFFFF"/>
        </w:rPr>
        <w:t>It is worth mentioning that the aforementioned value is consistent with estimates provided by McKinsey and Company (2023), according to which successful EV OEMs would require CapEx of 5–8% till 2030 for platform and battery investment</w:t>
      </w:r>
      <w:r w:rsidR="00C56842" w:rsidRPr="00F07F3B">
        <w:rPr>
          <w:rFonts w:ascii="Arial" w:hAnsi="Arial" w:cs="Arial"/>
          <w:sz w:val="24"/>
          <w:szCs w:val="24"/>
        </w:rPr>
        <w:t>.</w:t>
      </w:r>
    </w:p>
    <w:p w14:paraId="328FCEE7" w14:textId="77777777" w:rsidR="00C56842" w:rsidRDefault="00C56842" w:rsidP="00E808AE">
      <w:pPr>
        <w:pStyle w:val="Heading2"/>
        <w:spacing w:line="360" w:lineRule="auto"/>
      </w:pPr>
      <w:bookmarkStart w:id="16" w:name="_Toc227660478"/>
      <w:r>
        <w:rPr>
          <w:rFonts w:ascii="Arial" w:eastAsia="Arial" w:hAnsi="Arial" w:cs="Arial"/>
          <w:b/>
          <w:bCs/>
          <w:color w:val="2E75B6"/>
        </w:rPr>
        <w:t>1.8 Trends, Strengths, and Threats</w:t>
      </w:r>
      <w:bookmarkEnd w:id="16"/>
    </w:p>
    <w:p w14:paraId="66FAE6E1" w14:textId="0BB47204" w:rsidR="004D47C8" w:rsidRPr="005F2C5C" w:rsidRDefault="004D47C8" w:rsidP="00E808AE">
      <w:pPr>
        <w:pStyle w:val="Heading3"/>
        <w:spacing w:line="360" w:lineRule="auto"/>
        <w:rPr>
          <w:rFonts w:ascii="Arial" w:hAnsi="Arial" w:cs="Arial"/>
          <w:b/>
          <w:bCs/>
        </w:rPr>
      </w:pPr>
      <w:bookmarkStart w:id="17" w:name="_Toc227660479"/>
      <w:r w:rsidRPr="005F2C5C">
        <w:rPr>
          <w:rFonts w:ascii="Arial" w:hAnsi="Arial" w:cs="Arial"/>
          <w:b/>
          <w:bCs/>
        </w:rPr>
        <w:t>Key Strengths</w:t>
      </w:r>
      <w:bookmarkEnd w:id="17"/>
    </w:p>
    <w:p w14:paraId="1B2B7FB5" w14:textId="66CB37CC" w:rsidR="004D47C8" w:rsidRPr="00E808AE" w:rsidRDefault="00736A92" w:rsidP="00E808AE">
      <w:pPr>
        <w:pStyle w:val="ListParagraph"/>
        <w:numPr>
          <w:ilvl w:val="0"/>
          <w:numId w:val="20"/>
        </w:numPr>
        <w:spacing w:line="360" w:lineRule="auto"/>
        <w:jc w:val="both"/>
        <w:rPr>
          <w:sz w:val="24"/>
          <w:szCs w:val="24"/>
        </w:rPr>
      </w:pPr>
      <w:r>
        <w:rPr>
          <w:sz w:val="24"/>
          <w:szCs w:val="24"/>
        </w:rPr>
        <w:t xml:space="preserve">There was </w:t>
      </w:r>
      <w:r w:rsidR="004D47C8" w:rsidRPr="00E808AE">
        <w:rPr>
          <w:sz w:val="24"/>
          <w:szCs w:val="24"/>
        </w:rPr>
        <w:t xml:space="preserve">Increase in operating margin from 2.6% in 2020 to 7.9% in 2024 and </w:t>
      </w:r>
      <w:r w:rsidR="00124796">
        <w:rPr>
          <w:sz w:val="24"/>
          <w:szCs w:val="24"/>
        </w:rPr>
        <w:t xml:space="preserve">the </w:t>
      </w:r>
      <w:r w:rsidR="004D47C8" w:rsidRPr="00E808AE">
        <w:rPr>
          <w:sz w:val="24"/>
          <w:szCs w:val="24"/>
        </w:rPr>
        <w:t>interest coverage ratio is at comfortable level at least of 6.5x (Hyundai Motor Company, 2024);</w:t>
      </w:r>
    </w:p>
    <w:p w14:paraId="17FF221F" w14:textId="56F941A4" w:rsidR="004D47C8" w:rsidRPr="00816395" w:rsidRDefault="00816395" w:rsidP="00816395">
      <w:pPr>
        <w:pStyle w:val="ListParagraph"/>
        <w:numPr>
          <w:ilvl w:val="0"/>
          <w:numId w:val="20"/>
        </w:numPr>
        <w:spacing w:line="360" w:lineRule="auto"/>
        <w:rPr>
          <w:sz w:val="32"/>
          <w:szCs w:val="32"/>
        </w:rPr>
      </w:pPr>
      <w:r w:rsidRPr="00816395">
        <w:rPr>
          <w:sz w:val="24"/>
          <w:szCs w:val="24"/>
        </w:rPr>
        <w:lastRenderedPageBreak/>
        <w:t>An OCF/Net Profit ratio of more than 1.0x over time means the income stream is of high quality (Penman, 2013). The KRW 5,700bn in cash flows from operations sufficiently pays for organic expenditure on EVs.</w:t>
      </w:r>
    </w:p>
    <w:p w14:paraId="1678BCBF" w14:textId="4BB3B00E" w:rsidR="004D47C8" w:rsidRPr="00E808AE" w:rsidRDefault="004D47C8" w:rsidP="00E808AE">
      <w:pPr>
        <w:pStyle w:val="ListParagraph"/>
        <w:numPr>
          <w:ilvl w:val="0"/>
          <w:numId w:val="20"/>
        </w:numPr>
        <w:spacing w:line="360" w:lineRule="auto"/>
        <w:jc w:val="both"/>
        <w:rPr>
          <w:sz w:val="24"/>
          <w:szCs w:val="24"/>
        </w:rPr>
      </w:pPr>
      <w:r w:rsidRPr="00E808AE">
        <w:rPr>
          <w:sz w:val="24"/>
          <w:szCs w:val="24"/>
        </w:rPr>
        <w:t>A reduction in COC indicator from 32.3 days to 25.0 days added approximately KRW 3,600bn working capital (Deloof, 2003).</w:t>
      </w:r>
    </w:p>
    <w:p w14:paraId="30EDAD66" w14:textId="4FDD2DC8" w:rsidR="004D47C8" w:rsidRPr="006C70A9" w:rsidRDefault="006C70A9" w:rsidP="00853F5D">
      <w:pPr>
        <w:pStyle w:val="ListParagraph"/>
        <w:numPr>
          <w:ilvl w:val="0"/>
          <w:numId w:val="20"/>
        </w:numPr>
        <w:spacing w:line="360" w:lineRule="auto"/>
        <w:rPr>
          <w:sz w:val="32"/>
          <w:szCs w:val="32"/>
        </w:rPr>
      </w:pPr>
      <w:r w:rsidRPr="006C70A9">
        <w:rPr>
          <w:sz w:val="24"/>
          <w:szCs w:val="24"/>
        </w:rPr>
        <w:t>The 2023 World Car of the Year is the Hyundai IONIQ 5. Additionally, the Meta Plant America opens in 2024 to qualify for IRA EV tax credits in the United States.</w:t>
      </w:r>
    </w:p>
    <w:p w14:paraId="3AE9C541" w14:textId="64D17BDE" w:rsidR="004D47C8" w:rsidRPr="005F2C5C" w:rsidRDefault="004D47C8" w:rsidP="005F2C5C">
      <w:pPr>
        <w:pStyle w:val="Heading3"/>
        <w:spacing w:line="360" w:lineRule="auto"/>
        <w:rPr>
          <w:rFonts w:ascii="Arial" w:hAnsi="Arial" w:cs="Arial"/>
          <w:b/>
          <w:bCs/>
        </w:rPr>
      </w:pPr>
      <w:bookmarkStart w:id="18" w:name="_Toc227660480"/>
      <w:r w:rsidRPr="005F2C5C">
        <w:rPr>
          <w:rFonts w:ascii="Arial" w:hAnsi="Arial" w:cs="Arial"/>
          <w:b/>
          <w:bCs/>
        </w:rPr>
        <w:t>Core Threats and Risks</w:t>
      </w:r>
      <w:bookmarkEnd w:id="18"/>
    </w:p>
    <w:p w14:paraId="1EB70774" w14:textId="21E4A6D6" w:rsidR="004D47C8" w:rsidRPr="00E808AE" w:rsidRDefault="004D47C8" w:rsidP="005F2C5C">
      <w:pPr>
        <w:pStyle w:val="ListParagraph"/>
        <w:numPr>
          <w:ilvl w:val="0"/>
          <w:numId w:val="19"/>
        </w:numPr>
        <w:spacing w:line="360" w:lineRule="auto"/>
        <w:jc w:val="both"/>
        <w:rPr>
          <w:sz w:val="24"/>
          <w:szCs w:val="24"/>
        </w:rPr>
      </w:pPr>
      <w:r w:rsidRPr="00E808AE">
        <w:rPr>
          <w:sz w:val="24"/>
          <w:szCs w:val="24"/>
        </w:rPr>
        <w:t xml:space="preserve">Current ratio is 1.12x, lower than </w:t>
      </w:r>
      <w:r w:rsidR="00DA4E9F">
        <w:rPr>
          <w:sz w:val="24"/>
          <w:szCs w:val="24"/>
        </w:rPr>
        <w:t xml:space="preserve">the </w:t>
      </w:r>
      <w:r w:rsidRPr="00E808AE">
        <w:rPr>
          <w:sz w:val="24"/>
          <w:szCs w:val="24"/>
        </w:rPr>
        <w:t>industry benchmark ~ 1.3x (Deloitte, 2024)</w:t>
      </w:r>
      <w:r w:rsidR="00B65FD7">
        <w:rPr>
          <w:sz w:val="24"/>
          <w:szCs w:val="24"/>
        </w:rPr>
        <w:t>.</w:t>
      </w:r>
      <w:r w:rsidRPr="00E808AE">
        <w:rPr>
          <w:sz w:val="24"/>
          <w:szCs w:val="24"/>
        </w:rPr>
        <w:t xml:space="preserve"> Quick ratio: Under 1.0x, </w:t>
      </w:r>
      <w:r w:rsidR="00B65FD7">
        <w:rPr>
          <w:sz w:val="24"/>
          <w:szCs w:val="24"/>
        </w:rPr>
        <w:t xml:space="preserve">meaning </w:t>
      </w:r>
      <w:r w:rsidRPr="00E808AE">
        <w:rPr>
          <w:sz w:val="24"/>
          <w:szCs w:val="24"/>
        </w:rPr>
        <w:t>the company is dependent on its inventory.</w:t>
      </w:r>
    </w:p>
    <w:p w14:paraId="66D5739D" w14:textId="1D29C917" w:rsidR="004D47C8" w:rsidRPr="00E808AE" w:rsidRDefault="004D47C8" w:rsidP="00E808AE">
      <w:pPr>
        <w:pStyle w:val="ListParagraph"/>
        <w:numPr>
          <w:ilvl w:val="0"/>
          <w:numId w:val="19"/>
        </w:numPr>
        <w:spacing w:line="360" w:lineRule="auto"/>
        <w:jc w:val="both"/>
        <w:rPr>
          <w:sz w:val="24"/>
          <w:szCs w:val="24"/>
        </w:rPr>
      </w:pPr>
      <w:r w:rsidRPr="00E808AE">
        <w:rPr>
          <w:sz w:val="24"/>
          <w:szCs w:val="24"/>
        </w:rPr>
        <w:t>Large bond value further constrains balance sheet flexibility in a rising rate environment (Myers, 1984)</w:t>
      </w:r>
      <w:r w:rsidR="006F70F8">
        <w:rPr>
          <w:sz w:val="24"/>
          <w:szCs w:val="24"/>
        </w:rPr>
        <w:t xml:space="preserve"> </w:t>
      </w:r>
      <w:r w:rsidRPr="00E808AE">
        <w:rPr>
          <w:sz w:val="24"/>
          <w:szCs w:val="24"/>
        </w:rPr>
        <w:t>with D/E of 1.60x</w:t>
      </w:r>
    </w:p>
    <w:p w14:paraId="034DD290" w14:textId="43B80580" w:rsidR="004D47C8" w:rsidRPr="00E808AE" w:rsidRDefault="00E6579F" w:rsidP="00E808AE">
      <w:pPr>
        <w:pStyle w:val="ListParagraph"/>
        <w:numPr>
          <w:ilvl w:val="0"/>
          <w:numId w:val="19"/>
        </w:numPr>
        <w:spacing w:line="360" w:lineRule="auto"/>
        <w:jc w:val="both"/>
        <w:rPr>
          <w:sz w:val="24"/>
          <w:szCs w:val="24"/>
        </w:rPr>
      </w:pPr>
      <w:r>
        <w:rPr>
          <w:sz w:val="24"/>
          <w:szCs w:val="24"/>
        </w:rPr>
        <w:t xml:space="preserve">The </w:t>
      </w:r>
      <w:r w:rsidR="004D47C8" w:rsidRPr="00E808AE">
        <w:rPr>
          <w:sz w:val="24"/>
          <w:szCs w:val="24"/>
        </w:rPr>
        <w:t>Korea Discount' deeply depressed P/E at 4.5x vs. EV peer averages of 15–20x (Choi, 2018; MSCI, 2023)</w:t>
      </w:r>
    </w:p>
    <w:p w14:paraId="44DA2040" w14:textId="2603AE56" w:rsidR="004D47C8" w:rsidRPr="00E808AE" w:rsidRDefault="004D47C8" w:rsidP="00E808AE">
      <w:pPr>
        <w:pStyle w:val="ListParagraph"/>
        <w:numPr>
          <w:ilvl w:val="0"/>
          <w:numId w:val="19"/>
        </w:numPr>
        <w:spacing w:line="360" w:lineRule="auto"/>
        <w:jc w:val="both"/>
        <w:rPr>
          <w:sz w:val="24"/>
          <w:szCs w:val="24"/>
        </w:rPr>
      </w:pPr>
      <w:r w:rsidRPr="00E808AE">
        <w:rPr>
          <w:sz w:val="24"/>
          <w:szCs w:val="24"/>
        </w:rPr>
        <w:t xml:space="preserve">BYD volumes reflected extreme pricing pressure on all global EV OEMs </w:t>
      </w:r>
      <w:r w:rsidR="00B010C0">
        <w:rPr>
          <w:sz w:val="24"/>
          <w:szCs w:val="24"/>
        </w:rPr>
        <w:t>driven</w:t>
      </w:r>
      <w:r w:rsidR="00324F65">
        <w:rPr>
          <w:sz w:val="24"/>
          <w:szCs w:val="24"/>
        </w:rPr>
        <w:t xml:space="preserve"> high sales</w:t>
      </w:r>
      <w:r w:rsidRPr="00E808AE">
        <w:rPr>
          <w:sz w:val="24"/>
          <w:szCs w:val="24"/>
        </w:rPr>
        <w:t xml:space="preserve"> volume (</w:t>
      </w:r>
      <w:r w:rsidR="006F70F8" w:rsidRPr="00E808AE">
        <w:rPr>
          <w:sz w:val="24"/>
          <w:szCs w:val="24"/>
        </w:rPr>
        <w:t>Bloembergen</w:t>
      </w:r>
      <w:r w:rsidRPr="00E808AE">
        <w:rPr>
          <w:sz w:val="24"/>
          <w:szCs w:val="24"/>
        </w:rPr>
        <w:t>, 2024).</w:t>
      </w:r>
    </w:p>
    <w:p w14:paraId="21A7DABD" w14:textId="2068C59A" w:rsidR="004D47C8" w:rsidRDefault="004D47C8" w:rsidP="00E808AE">
      <w:pPr>
        <w:pStyle w:val="ListParagraph"/>
        <w:numPr>
          <w:ilvl w:val="0"/>
          <w:numId w:val="19"/>
        </w:numPr>
        <w:spacing w:line="360" w:lineRule="auto"/>
        <w:jc w:val="both"/>
        <w:rPr>
          <w:sz w:val="24"/>
          <w:szCs w:val="24"/>
        </w:rPr>
      </w:pPr>
      <w:r w:rsidRPr="00E808AE">
        <w:rPr>
          <w:sz w:val="24"/>
          <w:szCs w:val="24"/>
        </w:rPr>
        <w:t>Price risk of battery raw materials (lithium +400% between 2020 and 2022) due to volatility in the supply chain. (</w:t>
      </w:r>
      <w:r w:rsidR="00E808AE" w:rsidRPr="00E808AE">
        <w:rPr>
          <w:sz w:val="24"/>
          <w:szCs w:val="24"/>
        </w:rPr>
        <w:t>Bloembergen</w:t>
      </w:r>
      <w:r w:rsidRPr="00E808AE">
        <w:rPr>
          <w:sz w:val="24"/>
          <w:szCs w:val="24"/>
        </w:rPr>
        <w:t>, 2024)</w:t>
      </w:r>
      <w:r w:rsidR="00A2427B">
        <w:rPr>
          <w:sz w:val="24"/>
          <w:szCs w:val="24"/>
        </w:rPr>
        <w:t>.</w:t>
      </w:r>
    </w:p>
    <w:p w14:paraId="0D87F6D7" w14:textId="77777777" w:rsidR="00A2427B" w:rsidRDefault="00A2427B" w:rsidP="00A2427B">
      <w:pPr>
        <w:spacing w:line="360" w:lineRule="auto"/>
        <w:jc w:val="both"/>
        <w:rPr>
          <w:sz w:val="24"/>
          <w:szCs w:val="24"/>
        </w:rPr>
      </w:pPr>
    </w:p>
    <w:p w14:paraId="53753D4A" w14:textId="77777777" w:rsidR="00A2427B" w:rsidRDefault="00A2427B" w:rsidP="00A2427B">
      <w:pPr>
        <w:spacing w:line="360" w:lineRule="auto"/>
        <w:jc w:val="both"/>
        <w:rPr>
          <w:sz w:val="24"/>
          <w:szCs w:val="24"/>
        </w:rPr>
      </w:pPr>
    </w:p>
    <w:p w14:paraId="5A29D7B7" w14:textId="77777777" w:rsidR="00A2427B" w:rsidRDefault="00A2427B" w:rsidP="00A2427B">
      <w:pPr>
        <w:spacing w:line="360" w:lineRule="auto"/>
        <w:jc w:val="both"/>
        <w:rPr>
          <w:sz w:val="24"/>
          <w:szCs w:val="24"/>
        </w:rPr>
      </w:pPr>
    </w:p>
    <w:p w14:paraId="0A70F30E" w14:textId="77777777" w:rsidR="00A2427B" w:rsidRDefault="00A2427B" w:rsidP="00A2427B">
      <w:pPr>
        <w:spacing w:line="360" w:lineRule="auto"/>
        <w:jc w:val="both"/>
        <w:rPr>
          <w:sz w:val="24"/>
          <w:szCs w:val="24"/>
        </w:rPr>
      </w:pPr>
    </w:p>
    <w:p w14:paraId="0D94E4AE" w14:textId="77777777" w:rsidR="00A2427B" w:rsidRDefault="00A2427B" w:rsidP="00A2427B">
      <w:pPr>
        <w:spacing w:line="360" w:lineRule="auto"/>
        <w:jc w:val="both"/>
        <w:rPr>
          <w:sz w:val="24"/>
          <w:szCs w:val="24"/>
        </w:rPr>
      </w:pPr>
    </w:p>
    <w:p w14:paraId="0EDFCFAE" w14:textId="77777777" w:rsidR="00A2427B" w:rsidRDefault="00A2427B" w:rsidP="00A2427B">
      <w:pPr>
        <w:spacing w:line="360" w:lineRule="auto"/>
        <w:jc w:val="both"/>
        <w:rPr>
          <w:sz w:val="24"/>
          <w:szCs w:val="24"/>
        </w:rPr>
      </w:pPr>
    </w:p>
    <w:p w14:paraId="551B3E07" w14:textId="77777777" w:rsidR="00A2427B" w:rsidRPr="00A2427B" w:rsidRDefault="00A2427B" w:rsidP="00A2427B">
      <w:pPr>
        <w:spacing w:line="360" w:lineRule="auto"/>
        <w:jc w:val="both"/>
        <w:rPr>
          <w:sz w:val="24"/>
          <w:szCs w:val="24"/>
        </w:rPr>
      </w:pPr>
    </w:p>
    <w:p w14:paraId="1D29D3CA" w14:textId="36ACE3B1" w:rsidR="00C37C88" w:rsidRDefault="00C37C88" w:rsidP="004D47C8">
      <w:pPr>
        <w:pStyle w:val="Heading1"/>
      </w:pPr>
      <w:bookmarkStart w:id="19" w:name="_Toc227660481"/>
      <w:r>
        <w:lastRenderedPageBreak/>
        <w:t>Section 2: Working Capital Management Analysis</w:t>
      </w:r>
      <w:bookmarkEnd w:id="19"/>
    </w:p>
    <w:p w14:paraId="68AEA1BB" w14:textId="77777777" w:rsidR="00C37C88" w:rsidRDefault="00C37C88" w:rsidP="00E808AE">
      <w:pPr>
        <w:pStyle w:val="Heading2"/>
        <w:spacing w:line="360" w:lineRule="auto"/>
      </w:pPr>
      <w:bookmarkStart w:id="20" w:name="_Toc227660482"/>
      <w:r>
        <w:rPr>
          <w:rFonts w:ascii="Arial" w:eastAsia="Arial" w:hAnsi="Arial" w:cs="Arial"/>
          <w:b/>
          <w:bCs/>
          <w:color w:val="2E75B6"/>
        </w:rPr>
        <w:t>2.1 The Cash Operating Cycle (2020–2024)</w:t>
      </w:r>
      <w:bookmarkEnd w:id="20"/>
    </w:p>
    <w:p w14:paraId="6C3CDC09" w14:textId="55CE0F70" w:rsidR="00A34470" w:rsidRPr="00A34470" w:rsidRDefault="00A34470" w:rsidP="00E808AE">
      <w:pPr>
        <w:spacing w:line="360" w:lineRule="auto"/>
        <w:jc w:val="both"/>
        <w:rPr>
          <w:rFonts w:ascii="Arial" w:hAnsi="Arial" w:cs="Arial"/>
          <w:sz w:val="24"/>
          <w:szCs w:val="24"/>
          <w:shd w:val="clear" w:color="auto" w:fill="FFFFFF"/>
        </w:rPr>
      </w:pPr>
      <w:r w:rsidRPr="00A34470">
        <w:rPr>
          <w:rFonts w:ascii="Arial" w:hAnsi="Arial" w:cs="Arial"/>
          <w:sz w:val="24"/>
          <w:szCs w:val="24"/>
          <w:shd w:val="clear" w:color="auto" w:fill="FFFFFF"/>
        </w:rPr>
        <w:t>The Cash Operating Cycle (COC) was formulated by Richards &amp; Laughlin (1980) in this equation: COC = Inventory Days + Receivables Days - Payables Days</w:t>
      </w:r>
      <w:r w:rsidR="008F3757">
        <w:rPr>
          <w:rFonts w:ascii="Arial" w:hAnsi="Arial" w:cs="Arial"/>
          <w:sz w:val="24"/>
          <w:szCs w:val="24"/>
          <w:shd w:val="clear" w:color="auto" w:fill="FFFFFF"/>
        </w:rPr>
        <w:t>.</w:t>
      </w:r>
      <w:r w:rsidRPr="00A34470">
        <w:rPr>
          <w:rFonts w:ascii="Arial" w:hAnsi="Arial" w:cs="Arial"/>
          <w:sz w:val="24"/>
          <w:szCs w:val="24"/>
          <w:shd w:val="clear" w:color="auto" w:fill="FFFFFF"/>
        </w:rPr>
        <w:t xml:space="preserve"> </w:t>
      </w:r>
      <w:r w:rsidR="008F3757">
        <w:rPr>
          <w:rFonts w:ascii="Arial" w:hAnsi="Arial" w:cs="Arial"/>
          <w:sz w:val="24"/>
          <w:szCs w:val="24"/>
          <w:shd w:val="clear" w:color="auto" w:fill="FFFFFF"/>
        </w:rPr>
        <w:t>T</w:t>
      </w:r>
      <w:r w:rsidRPr="00A34470">
        <w:rPr>
          <w:rFonts w:ascii="Arial" w:hAnsi="Arial" w:cs="Arial"/>
          <w:sz w:val="24"/>
          <w:szCs w:val="24"/>
          <w:shd w:val="clear" w:color="auto" w:fill="FFFFFF"/>
        </w:rPr>
        <w:t>he COC reflects the period from when there are cash disbursements to purchase raw materials until there are cash receipts from the sale of products. According to Deloof (2003), it was found empirically that a shorter Cash Operating Cycle (COC) is positively related to improved profitability of firms.</w:t>
      </w:r>
    </w:p>
    <w:p w14:paraId="086B5D89" w14:textId="508DD54D" w:rsidR="00C37C88" w:rsidRPr="000C70C1" w:rsidRDefault="00C37C88" w:rsidP="000C70C1">
      <w:pPr>
        <w:pStyle w:val="Heading3"/>
        <w:spacing w:line="360" w:lineRule="auto"/>
      </w:pPr>
      <w:bookmarkStart w:id="21" w:name="_Toc227660483"/>
      <w:r w:rsidRPr="000C70C1">
        <w:rPr>
          <w:rFonts w:ascii="Arial" w:eastAsia="Arial" w:hAnsi="Arial" w:cs="Arial"/>
          <w:b/>
          <w:bCs/>
          <w:color w:val="404040"/>
          <w:u w:color="2E75B6"/>
        </w:rPr>
        <w:t>Table 2.1 – Cash Operating Cycle (2020–2024)</w:t>
      </w:r>
      <w:bookmarkEnd w:id="21"/>
    </w:p>
    <w:tbl>
      <w:tblPr>
        <w:tblW w:w="9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8"/>
        <w:gridCol w:w="1300"/>
        <w:gridCol w:w="1300"/>
        <w:gridCol w:w="1301"/>
        <w:gridCol w:w="1301"/>
        <w:gridCol w:w="1301"/>
        <w:gridCol w:w="1348"/>
      </w:tblGrid>
      <w:tr w:rsidR="00E10B9C" w:rsidRPr="00E10B9C" w14:paraId="6D0CEB44" w14:textId="77777777" w:rsidTr="0069714B">
        <w:tc>
          <w:tcPr>
            <w:tcW w:w="1508" w:type="dxa"/>
            <w:shd w:val="clear" w:color="auto" w:fill="auto"/>
            <w:tcMar>
              <w:top w:w="80" w:type="dxa"/>
              <w:left w:w="100" w:type="dxa"/>
              <w:bottom w:w="80" w:type="dxa"/>
              <w:right w:w="100" w:type="dxa"/>
            </w:tcMar>
            <w:vAlign w:val="center"/>
          </w:tcPr>
          <w:p w14:paraId="19F00C57" w14:textId="77777777" w:rsidR="00C37C88" w:rsidRPr="00E10B9C" w:rsidRDefault="00C37C88" w:rsidP="00F35DB1">
            <w:pPr>
              <w:jc w:val="center"/>
              <w:rPr>
                <w:rFonts w:ascii="Arial" w:hAnsi="Arial" w:cs="Arial"/>
                <w:sz w:val="24"/>
                <w:szCs w:val="24"/>
              </w:rPr>
            </w:pPr>
            <w:r w:rsidRPr="00E10B9C">
              <w:rPr>
                <w:rFonts w:ascii="Arial" w:hAnsi="Arial" w:cs="Arial"/>
                <w:sz w:val="24"/>
                <w:szCs w:val="24"/>
              </w:rPr>
              <w:t>Component</w:t>
            </w:r>
          </w:p>
        </w:tc>
        <w:tc>
          <w:tcPr>
            <w:tcW w:w="1300" w:type="dxa"/>
            <w:shd w:val="clear" w:color="auto" w:fill="auto"/>
            <w:tcMar>
              <w:top w:w="80" w:type="dxa"/>
              <w:left w:w="100" w:type="dxa"/>
              <w:bottom w:w="80" w:type="dxa"/>
              <w:right w:w="100" w:type="dxa"/>
            </w:tcMar>
            <w:vAlign w:val="center"/>
          </w:tcPr>
          <w:p w14:paraId="29162898" w14:textId="77777777" w:rsidR="00C37C88" w:rsidRPr="00E10B9C" w:rsidRDefault="00C37C88" w:rsidP="00F35DB1">
            <w:pPr>
              <w:jc w:val="center"/>
              <w:rPr>
                <w:rFonts w:ascii="Arial" w:hAnsi="Arial" w:cs="Arial"/>
                <w:sz w:val="24"/>
                <w:szCs w:val="24"/>
              </w:rPr>
            </w:pPr>
            <w:r w:rsidRPr="00E10B9C">
              <w:rPr>
                <w:rFonts w:ascii="Arial" w:hAnsi="Arial" w:cs="Arial"/>
                <w:sz w:val="24"/>
                <w:szCs w:val="24"/>
              </w:rPr>
              <w:t>2020</w:t>
            </w:r>
          </w:p>
        </w:tc>
        <w:tc>
          <w:tcPr>
            <w:tcW w:w="1300" w:type="dxa"/>
            <w:shd w:val="clear" w:color="auto" w:fill="auto"/>
            <w:tcMar>
              <w:top w:w="80" w:type="dxa"/>
              <w:left w:w="100" w:type="dxa"/>
              <w:bottom w:w="80" w:type="dxa"/>
              <w:right w:w="100" w:type="dxa"/>
            </w:tcMar>
            <w:vAlign w:val="center"/>
          </w:tcPr>
          <w:p w14:paraId="52201188" w14:textId="77777777" w:rsidR="00C37C88" w:rsidRPr="00E10B9C" w:rsidRDefault="00C37C88" w:rsidP="00F35DB1">
            <w:pPr>
              <w:jc w:val="center"/>
              <w:rPr>
                <w:rFonts w:ascii="Arial" w:hAnsi="Arial" w:cs="Arial"/>
                <w:sz w:val="24"/>
                <w:szCs w:val="24"/>
              </w:rPr>
            </w:pPr>
            <w:r w:rsidRPr="00E10B9C">
              <w:rPr>
                <w:rFonts w:ascii="Arial" w:hAnsi="Arial" w:cs="Arial"/>
                <w:sz w:val="24"/>
                <w:szCs w:val="24"/>
              </w:rPr>
              <w:t>2021</w:t>
            </w:r>
          </w:p>
        </w:tc>
        <w:tc>
          <w:tcPr>
            <w:tcW w:w="1301" w:type="dxa"/>
            <w:shd w:val="clear" w:color="auto" w:fill="auto"/>
            <w:tcMar>
              <w:top w:w="80" w:type="dxa"/>
              <w:left w:w="100" w:type="dxa"/>
              <w:bottom w:w="80" w:type="dxa"/>
              <w:right w:w="100" w:type="dxa"/>
            </w:tcMar>
            <w:vAlign w:val="center"/>
          </w:tcPr>
          <w:p w14:paraId="334D5EBB" w14:textId="77777777" w:rsidR="00C37C88" w:rsidRPr="00E10B9C" w:rsidRDefault="00C37C88" w:rsidP="00F35DB1">
            <w:pPr>
              <w:jc w:val="center"/>
              <w:rPr>
                <w:rFonts w:ascii="Arial" w:hAnsi="Arial" w:cs="Arial"/>
                <w:sz w:val="24"/>
                <w:szCs w:val="24"/>
              </w:rPr>
            </w:pPr>
            <w:r w:rsidRPr="00E10B9C">
              <w:rPr>
                <w:rFonts w:ascii="Arial" w:hAnsi="Arial" w:cs="Arial"/>
                <w:sz w:val="24"/>
                <w:szCs w:val="24"/>
              </w:rPr>
              <w:t>2022</w:t>
            </w:r>
          </w:p>
        </w:tc>
        <w:tc>
          <w:tcPr>
            <w:tcW w:w="1301" w:type="dxa"/>
            <w:shd w:val="clear" w:color="auto" w:fill="auto"/>
            <w:tcMar>
              <w:top w:w="80" w:type="dxa"/>
              <w:left w:w="100" w:type="dxa"/>
              <w:bottom w:w="80" w:type="dxa"/>
              <w:right w:w="100" w:type="dxa"/>
            </w:tcMar>
            <w:vAlign w:val="center"/>
          </w:tcPr>
          <w:p w14:paraId="3A37FAFC" w14:textId="77777777" w:rsidR="00C37C88" w:rsidRPr="00E10B9C" w:rsidRDefault="00C37C88" w:rsidP="00F35DB1">
            <w:pPr>
              <w:jc w:val="center"/>
              <w:rPr>
                <w:rFonts w:ascii="Arial" w:hAnsi="Arial" w:cs="Arial"/>
                <w:sz w:val="24"/>
                <w:szCs w:val="24"/>
              </w:rPr>
            </w:pPr>
            <w:r w:rsidRPr="00E10B9C">
              <w:rPr>
                <w:rFonts w:ascii="Arial" w:hAnsi="Arial" w:cs="Arial"/>
                <w:sz w:val="24"/>
                <w:szCs w:val="24"/>
              </w:rPr>
              <w:t>2023</w:t>
            </w:r>
          </w:p>
        </w:tc>
        <w:tc>
          <w:tcPr>
            <w:tcW w:w="1301" w:type="dxa"/>
            <w:shd w:val="clear" w:color="auto" w:fill="auto"/>
            <w:tcMar>
              <w:top w:w="80" w:type="dxa"/>
              <w:left w:w="100" w:type="dxa"/>
              <w:bottom w:w="80" w:type="dxa"/>
              <w:right w:w="100" w:type="dxa"/>
            </w:tcMar>
            <w:vAlign w:val="center"/>
          </w:tcPr>
          <w:p w14:paraId="10A4613A" w14:textId="655D9871" w:rsidR="00C37C88" w:rsidRPr="00E10B9C" w:rsidRDefault="00C37C88" w:rsidP="00F35DB1">
            <w:pPr>
              <w:jc w:val="center"/>
              <w:rPr>
                <w:rFonts w:ascii="Arial" w:hAnsi="Arial" w:cs="Arial"/>
                <w:sz w:val="24"/>
                <w:szCs w:val="24"/>
              </w:rPr>
            </w:pPr>
            <w:r w:rsidRPr="00E10B9C">
              <w:rPr>
                <w:rFonts w:ascii="Arial" w:hAnsi="Arial" w:cs="Arial"/>
                <w:sz w:val="24"/>
                <w:szCs w:val="24"/>
              </w:rPr>
              <w:t>2024</w:t>
            </w:r>
          </w:p>
        </w:tc>
        <w:tc>
          <w:tcPr>
            <w:tcW w:w="1348" w:type="dxa"/>
            <w:shd w:val="clear" w:color="auto" w:fill="auto"/>
            <w:tcMar>
              <w:top w:w="80" w:type="dxa"/>
              <w:left w:w="100" w:type="dxa"/>
              <w:bottom w:w="80" w:type="dxa"/>
              <w:right w:w="100" w:type="dxa"/>
            </w:tcMar>
            <w:vAlign w:val="center"/>
          </w:tcPr>
          <w:p w14:paraId="0D32B315" w14:textId="77777777" w:rsidR="00C37C88" w:rsidRPr="00E10B9C" w:rsidRDefault="00C37C88" w:rsidP="00E32800">
            <w:pPr>
              <w:jc w:val="center"/>
              <w:rPr>
                <w:rFonts w:ascii="Arial" w:hAnsi="Arial" w:cs="Arial"/>
                <w:sz w:val="24"/>
                <w:szCs w:val="24"/>
              </w:rPr>
            </w:pPr>
            <w:r w:rsidRPr="00E10B9C">
              <w:rPr>
                <w:rFonts w:ascii="Arial" w:hAnsi="Arial" w:cs="Arial"/>
                <w:sz w:val="24"/>
                <w:szCs w:val="24"/>
              </w:rPr>
              <w:t>Trend</w:t>
            </w:r>
          </w:p>
        </w:tc>
      </w:tr>
      <w:tr w:rsidR="00E10B9C" w:rsidRPr="00E10B9C" w14:paraId="3B104DA4" w14:textId="77777777" w:rsidTr="0069714B">
        <w:tc>
          <w:tcPr>
            <w:tcW w:w="1508" w:type="dxa"/>
            <w:shd w:val="clear" w:color="auto" w:fill="auto"/>
            <w:tcMar>
              <w:top w:w="60" w:type="dxa"/>
              <w:left w:w="100" w:type="dxa"/>
              <w:bottom w:w="60" w:type="dxa"/>
              <w:right w:w="100" w:type="dxa"/>
            </w:tcMar>
            <w:vAlign w:val="center"/>
          </w:tcPr>
          <w:p w14:paraId="23AA8A37" w14:textId="77777777" w:rsidR="00C37C88" w:rsidRPr="00E10B9C" w:rsidRDefault="00C37C88" w:rsidP="00F35DB1">
            <w:pPr>
              <w:jc w:val="center"/>
              <w:rPr>
                <w:rFonts w:ascii="Arial" w:hAnsi="Arial" w:cs="Arial"/>
                <w:sz w:val="24"/>
                <w:szCs w:val="24"/>
              </w:rPr>
            </w:pPr>
            <w:r w:rsidRPr="00E10B9C">
              <w:rPr>
                <w:rFonts w:ascii="Arial" w:hAnsi="Arial" w:cs="Arial"/>
                <w:color w:val="404040"/>
                <w:sz w:val="24"/>
                <w:szCs w:val="24"/>
              </w:rPr>
              <w:t>Inventory Days (days)</w:t>
            </w:r>
          </w:p>
        </w:tc>
        <w:tc>
          <w:tcPr>
            <w:tcW w:w="1300" w:type="dxa"/>
            <w:shd w:val="clear" w:color="auto" w:fill="auto"/>
            <w:tcMar>
              <w:top w:w="60" w:type="dxa"/>
              <w:left w:w="100" w:type="dxa"/>
              <w:bottom w:w="60" w:type="dxa"/>
              <w:right w:w="100" w:type="dxa"/>
            </w:tcMar>
            <w:vAlign w:val="center"/>
          </w:tcPr>
          <w:p w14:paraId="608512DB"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48.8</w:t>
            </w:r>
          </w:p>
        </w:tc>
        <w:tc>
          <w:tcPr>
            <w:tcW w:w="1300" w:type="dxa"/>
            <w:shd w:val="clear" w:color="auto" w:fill="auto"/>
            <w:tcMar>
              <w:top w:w="60" w:type="dxa"/>
              <w:left w:w="100" w:type="dxa"/>
              <w:bottom w:w="60" w:type="dxa"/>
              <w:right w:w="100" w:type="dxa"/>
            </w:tcMar>
            <w:vAlign w:val="center"/>
          </w:tcPr>
          <w:p w14:paraId="6C314235"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46.1</w:t>
            </w:r>
          </w:p>
        </w:tc>
        <w:tc>
          <w:tcPr>
            <w:tcW w:w="1301" w:type="dxa"/>
            <w:shd w:val="clear" w:color="auto" w:fill="auto"/>
            <w:tcMar>
              <w:top w:w="60" w:type="dxa"/>
              <w:left w:w="100" w:type="dxa"/>
              <w:bottom w:w="60" w:type="dxa"/>
              <w:right w:w="100" w:type="dxa"/>
            </w:tcMar>
            <w:vAlign w:val="center"/>
          </w:tcPr>
          <w:p w14:paraId="38C5E59D"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45.6</w:t>
            </w:r>
          </w:p>
        </w:tc>
        <w:tc>
          <w:tcPr>
            <w:tcW w:w="1301" w:type="dxa"/>
            <w:shd w:val="clear" w:color="auto" w:fill="auto"/>
            <w:tcMar>
              <w:top w:w="60" w:type="dxa"/>
              <w:left w:w="100" w:type="dxa"/>
              <w:bottom w:w="60" w:type="dxa"/>
              <w:right w:w="100" w:type="dxa"/>
            </w:tcMar>
            <w:vAlign w:val="center"/>
          </w:tcPr>
          <w:p w14:paraId="1B068357"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37.9</w:t>
            </w:r>
          </w:p>
        </w:tc>
        <w:tc>
          <w:tcPr>
            <w:tcW w:w="1301" w:type="dxa"/>
            <w:shd w:val="clear" w:color="auto" w:fill="auto"/>
            <w:tcMar>
              <w:top w:w="60" w:type="dxa"/>
              <w:left w:w="100" w:type="dxa"/>
              <w:bottom w:w="60" w:type="dxa"/>
              <w:right w:w="100" w:type="dxa"/>
            </w:tcMar>
            <w:vAlign w:val="center"/>
          </w:tcPr>
          <w:p w14:paraId="63E96922"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36.1</w:t>
            </w:r>
          </w:p>
        </w:tc>
        <w:tc>
          <w:tcPr>
            <w:tcW w:w="1348" w:type="dxa"/>
            <w:shd w:val="clear" w:color="auto" w:fill="auto"/>
            <w:tcMar>
              <w:top w:w="60" w:type="dxa"/>
              <w:left w:w="100" w:type="dxa"/>
              <w:bottom w:w="60" w:type="dxa"/>
              <w:right w:w="100" w:type="dxa"/>
            </w:tcMar>
            <w:vAlign w:val="center"/>
          </w:tcPr>
          <w:p w14:paraId="0C7336F7" w14:textId="77777777" w:rsidR="00C37C88" w:rsidRPr="00E10B9C" w:rsidRDefault="00C37C88" w:rsidP="00E32800">
            <w:pPr>
              <w:jc w:val="center"/>
              <w:rPr>
                <w:rFonts w:ascii="Arial" w:hAnsi="Arial" w:cs="Arial"/>
                <w:sz w:val="24"/>
                <w:szCs w:val="24"/>
              </w:rPr>
            </w:pPr>
            <w:r w:rsidRPr="00E10B9C">
              <w:rPr>
                <w:rFonts w:ascii="Arial" w:hAnsi="Arial" w:cs="Arial"/>
                <w:color w:val="404040"/>
                <w:sz w:val="24"/>
                <w:szCs w:val="24"/>
              </w:rPr>
              <w:t>↓ Improving</w:t>
            </w:r>
          </w:p>
        </w:tc>
      </w:tr>
      <w:tr w:rsidR="00E10B9C" w:rsidRPr="00E10B9C" w14:paraId="48FB692D" w14:textId="77777777" w:rsidTr="0069714B">
        <w:tc>
          <w:tcPr>
            <w:tcW w:w="1508" w:type="dxa"/>
            <w:shd w:val="clear" w:color="auto" w:fill="auto"/>
            <w:tcMar>
              <w:top w:w="60" w:type="dxa"/>
              <w:left w:w="100" w:type="dxa"/>
              <w:bottom w:w="60" w:type="dxa"/>
              <w:right w:w="100" w:type="dxa"/>
            </w:tcMar>
            <w:vAlign w:val="center"/>
          </w:tcPr>
          <w:p w14:paraId="7B7F50FC" w14:textId="77777777" w:rsidR="00C37C88" w:rsidRPr="00E10B9C" w:rsidRDefault="00C37C88" w:rsidP="00F35DB1">
            <w:pPr>
              <w:jc w:val="center"/>
              <w:rPr>
                <w:rFonts w:ascii="Arial" w:hAnsi="Arial" w:cs="Arial"/>
                <w:sz w:val="24"/>
                <w:szCs w:val="24"/>
              </w:rPr>
            </w:pPr>
            <w:r w:rsidRPr="00E10B9C">
              <w:rPr>
                <w:rFonts w:ascii="Arial" w:hAnsi="Arial" w:cs="Arial"/>
                <w:color w:val="404040"/>
                <w:sz w:val="24"/>
                <w:szCs w:val="24"/>
              </w:rPr>
              <w:t>+ Receivables Days (days)</w:t>
            </w:r>
          </w:p>
        </w:tc>
        <w:tc>
          <w:tcPr>
            <w:tcW w:w="1300" w:type="dxa"/>
            <w:shd w:val="clear" w:color="auto" w:fill="auto"/>
            <w:tcMar>
              <w:top w:w="60" w:type="dxa"/>
              <w:left w:w="100" w:type="dxa"/>
              <w:bottom w:w="60" w:type="dxa"/>
              <w:right w:w="100" w:type="dxa"/>
            </w:tcMar>
            <w:vAlign w:val="center"/>
          </w:tcPr>
          <w:p w14:paraId="5E52CD87"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28.1</w:t>
            </w:r>
          </w:p>
        </w:tc>
        <w:tc>
          <w:tcPr>
            <w:tcW w:w="1300" w:type="dxa"/>
            <w:shd w:val="clear" w:color="auto" w:fill="auto"/>
            <w:tcMar>
              <w:top w:w="60" w:type="dxa"/>
              <w:left w:w="100" w:type="dxa"/>
              <w:bottom w:w="60" w:type="dxa"/>
              <w:right w:w="100" w:type="dxa"/>
            </w:tcMar>
            <w:vAlign w:val="center"/>
          </w:tcPr>
          <w:p w14:paraId="29A3A928"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27.9</w:t>
            </w:r>
          </w:p>
        </w:tc>
        <w:tc>
          <w:tcPr>
            <w:tcW w:w="1301" w:type="dxa"/>
            <w:shd w:val="clear" w:color="auto" w:fill="auto"/>
            <w:tcMar>
              <w:top w:w="60" w:type="dxa"/>
              <w:left w:w="100" w:type="dxa"/>
              <w:bottom w:w="60" w:type="dxa"/>
              <w:right w:w="100" w:type="dxa"/>
            </w:tcMar>
            <w:vAlign w:val="center"/>
          </w:tcPr>
          <w:p w14:paraId="069D39B4"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25.6</w:t>
            </w:r>
          </w:p>
        </w:tc>
        <w:tc>
          <w:tcPr>
            <w:tcW w:w="1301" w:type="dxa"/>
            <w:shd w:val="clear" w:color="auto" w:fill="auto"/>
            <w:tcMar>
              <w:top w:w="60" w:type="dxa"/>
              <w:left w:w="100" w:type="dxa"/>
              <w:bottom w:w="60" w:type="dxa"/>
              <w:right w:w="100" w:type="dxa"/>
            </w:tcMar>
            <w:vAlign w:val="center"/>
          </w:tcPr>
          <w:p w14:paraId="58BB5D85"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24.7</w:t>
            </w:r>
          </w:p>
        </w:tc>
        <w:tc>
          <w:tcPr>
            <w:tcW w:w="1301" w:type="dxa"/>
            <w:shd w:val="clear" w:color="auto" w:fill="auto"/>
            <w:tcMar>
              <w:top w:w="60" w:type="dxa"/>
              <w:left w:w="100" w:type="dxa"/>
              <w:bottom w:w="60" w:type="dxa"/>
              <w:right w:w="100" w:type="dxa"/>
            </w:tcMar>
            <w:vAlign w:val="center"/>
          </w:tcPr>
          <w:p w14:paraId="26FF9AD3"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24.5</w:t>
            </w:r>
          </w:p>
        </w:tc>
        <w:tc>
          <w:tcPr>
            <w:tcW w:w="1348" w:type="dxa"/>
            <w:shd w:val="clear" w:color="auto" w:fill="auto"/>
            <w:tcMar>
              <w:top w:w="60" w:type="dxa"/>
              <w:left w:w="100" w:type="dxa"/>
              <w:bottom w:w="60" w:type="dxa"/>
              <w:right w:w="100" w:type="dxa"/>
            </w:tcMar>
            <w:vAlign w:val="center"/>
          </w:tcPr>
          <w:p w14:paraId="36E34C85" w14:textId="77777777" w:rsidR="00C37C88" w:rsidRPr="00E10B9C" w:rsidRDefault="00C37C88" w:rsidP="00E32800">
            <w:pPr>
              <w:jc w:val="center"/>
              <w:rPr>
                <w:rFonts w:ascii="Arial" w:hAnsi="Arial" w:cs="Arial"/>
                <w:sz w:val="24"/>
                <w:szCs w:val="24"/>
              </w:rPr>
            </w:pPr>
            <w:r w:rsidRPr="00E10B9C">
              <w:rPr>
                <w:rFonts w:ascii="Arial" w:hAnsi="Arial" w:cs="Arial"/>
                <w:color w:val="404040"/>
                <w:sz w:val="24"/>
                <w:szCs w:val="24"/>
              </w:rPr>
              <w:t>↓ Improving</w:t>
            </w:r>
          </w:p>
        </w:tc>
      </w:tr>
      <w:tr w:rsidR="00E10B9C" w:rsidRPr="00E10B9C" w14:paraId="6FBDB054" w14:textId="77777777" w:rsidTr="0069714B">
        <w:tc>
          <w:tcPr>
            <w:tcW w:w="1508" w:type="dxa"/>
            <w:shd w:val="clear" w:color="auto" w:fill="auto"/>
            <w:tcMar>
              <w:top w:w="60" w:type="dxa"/>
              <w:left w:w="100" w:type="dxa"/>
              <w:bottom w:w="60" w:type="dxa"/>
              <w:right w:w="100" w:type="dxa"/>
            </w:tcMar>
            <w:vAlign w:val="center"/>
          </w:tcPr>
          <w:p w14:paraId="6FFEBB89" w14:textId="77777777" w:rsidR="00C37C88" w:rsidRPr="00E10B9C" w:rsidRDefault="00C37C88" w:rsidP="00F35DB1">
            <w:pPr>
              <w:jc w:val="center"/>
              <w:rPr>
                <w:rFonts w:ascii="Arial" w:hAnsi="Arial" w:cs="Arial"/>
                <w:sz w:val="24"/>
                <w:szCs w:val="24"/>
              </w:rPr>
            </w:pPr>
            <w:r w:rsidRPr="00E10B9C">
              <w:rPr>
                <w:rFonts w:ascii="Arial" w:hAnsi="Arial" w:cs="Arial"/>
                <w:color w:val="404040"/>
                <w:sz w:val="24"/>
                <w:szCs w:val="24"/>
              </w:rPr>
              <w:t>− Payables Days (days)</w:t>
            </w:r>
          </w:p>
        </w:tc>
        <w:tc>
          <w:tcPr>
            <w:tcW w:w="1300" w:type="dxa"/>
            <w:shd w:val="clear" w:color="auto" w:fill="auto"/>
            <w:tcMar>
              <w:top w:w="60" w:type="dxa"/>
              <w:left w:w="100" w:type="dxa"/>
              <w:bottom w:w="60" w:type="dxa"/>
              <w:right w:w="100" w:type="dxa"/>
            </w:tcMar>
            <w:vAlign w:val="center"/>
          </w:tcPr>
          <w:p w14:paraId="1A6D6EF5"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(44.6)</w:t>
            </w:r>
          </w:p>
        </w:tc>
        <w:tc>
          <w:tcPr>
            <w:tcW w:w="1300" w:type="dxa"/>
            <w:shd w:val="clear" w:color="auto" w:fill="auto"/>
            <w:tcMar>
              <w:top w:w="60" w:type="dxa"/>
              <w:left w:w="100" w:type="dxa"/>
              <w:bottom w:w="60" w:type="dxa"/>
              <w:right w:w="100" w:type="dxa"/>
            </w:tcMar>
            <w:vAlign w:val="center"/>
          </w:tcPr>
          <w:p w14:paraId="73466DF7"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(42.3)</w:t>
            </w:r>
          </w:p>
        </w:tc>
        <w:tc>
          <w:tcPr>
            <w:tcW w:w="1301" w:type="dxa"/>
            <w:shd w:val="clear" w:color="auto" w:fill="auto"/>
            <w:tcMar>
              <w:top w:w="60" w:type="dxa"/>
              <w:left w:w="100" w:type="dxa"/>
              <w:bottom w:w="60" w:type="dxa"/>
              <w:right w:w="100" w:type="dxa"/>
            </w:tcMar>
            <w:vAlign w:val="center"/>
          </w:tcPr>
          <w:p w14:paraId="6FF58913"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(39.3)</w:t>
            </w:r>
          </w:p>
        </w:tc>
        <w:tc>
          <w:tcPr>
            <w:tcW w:w="1301" w:type="dxa"/>
            <w:shd w:val="clear" w:color="auto" w:fill="auto"/>
            <w:tcMar>
              <w:top w:w="60" w:type="dxa"/>
              <w:left w:w="100" w:type="dxa"/>
              <w:bottom w:w="60" w:type="dxa"/>
              <w:right w:w="100" w:type="dxa"/>
            </w:tcMar>
            <w:vAlign w:val="center"/>
          </w:tcPr>
          <w:p w14:paraId="399890EB"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(36.5)</w:t>
            </w:r>
          </w:p>
        </w:tc>
        <w:tc>
          <w:tcPr>
            <w:tcW w:w="1301" w:type="dxa"/>
            <w:shd w:val="clear" w:color="auto" w:fill="auto"/>
            <w:tcMar>
              <w:top w:w="60" w:type="dxa"/>
              <w:left w:w="100" w:type="dxa"/>
              <w:bottom w:w="60" w:type="dxa"/>
              <w:right w:w="100" w:type="dxa"/>
            </w:tcMar>
            <w:vAlign w:val="center"/>
          </w:tcPr>
          <w:p w14:paraId="2CFC5A51"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(35.6)</w:t>
            </w:r>
          </w:p>
        </w:tc>
        <w:tc>
          <w:tcPr>
            <w:tcW w:w="1348" w:type="dxa"/>
            <w:shd w:val="clear" w:color="auto" w:fill="auto"/>
            <w:tcMar>
              <w:top w:w="60" w:type="dxa"/>
              <w:left w:w="100" w:type="dxa"/>
              <w:bottom w:w="60" w:type="dxa"/>
              <w:right w:w="100" w:type="dxa"/>
            </w:tcMar>
            <w:vAlign w:val="center"/>
          </w:tcPr>
          <w:p w14:paraId="6821B22F" w14:textId="77777777" w:rsidR="00C37C88" w:rsidRPr="00E10B9C" w:rsidRDefault="00C37C88" w:rsidP="00E32800">
            <w:pPr>
              <w:jc w:val="center"/>
              <w:rPr>
                <w:rFonts w:ascii="Arial" w:hAnsi="Arial" w:cs="Arial"/>
                <w:sz w:val="24"/>
                <w:szCs w:val="24"/>
              </w:rPr>
            </w:pPr>
            <w:r w:rsidRPr="00E10B9C">
              <w:rPr>
                <w:rFonts w:ascii="Arial" w:hAnsi="Arial" w:cs="Arial"/>
                <w:color w:val="404040"/>
                <w:sz w:val="24"/>
                <w:szCs w:val="24"/>
              </w:rPr>
              <w:t>↑ Worsening</w:t>
            </w:r>
          </w:p>
        </w:tc>
      </w:tr>
      <w:tr w:rsidR="00E10B9C" w:rsidRPr="00E10B9C" w14:paraId="1C096F6C" w14:textId="77777777" w:rsidTr="0069714B">
        <w:tc>
          <w:tcPr>
            <w:tcW w:w="1508" w:type="dxa"/>
            <w:shd w:val="clear" w:color="auto" w:fill="auto"/>
            <w:tcMar>
              <w:top w:w="60" w:type="dxa"/>
              <w:left w:w="100" w:type="dxa"/>
              <w:bottom w:w="60" w:type="dxa"/>
              <w:right w:w="100" w:type="dxa"/>
            </w:tcMar>
            <w:vAlign w:val="center"/>
          </w:tcPr>
          <w:p w14:paraId="5B227F00" w14:textId="77777777" w:rsidR="00C37C88" w:rsidRPr="00E10B9C" w:rsidRDefault="00C37C88" w:rsidP="00F35DB1">
            <w:pPr>
              <w:jc w:val="center"/>
              <w:rPr>
                <w:rFonts w:ascii="Arial" w:hAnsi="Arial" w:cs="Arial"/>
                <w:sz w:val="24"/>
                <w:szCs w:val="24"/>
              </w:rPr>
            </w:pPr>
            <w:r w:rsidRPr="00E10B9C">
              <w:rPr>
                <w:rFonts w:ascii="Arial" w:hAnsi="Arial" w:cs="Arial"/>
                <w:color w:val="404040"/>
                <w:sz w:val="24"/>
                <w:szCs w:val="24"/>
              </w:rPr>
              <w:t>= Cash Operating Cycle (days)</w:t>
            </w:r>
          </w:p>
        </w:tc>
        <w:tc>
          <w:tcPr>
            <w:tcW w:w="1300" w:type="dxa"/>
            <w:shd w:val="clear" w:color="auto" w:fill="auto"/>
            <w:tcMar>
              <w:top w:w="60" w:type="dxa"/>
              <w:left w:w="100" w:type="dxa"/>
              <w:bottom w:w="60" w:type="dxa"/>
              <w:right w:w="100" w:type="dxa"/>
            </w:tcMar>
            <w:vAlign w:val="center"/>
          </w:tcPr>
          <w:p w14:paraId="556EFFD6"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32.3</w:t>
            </w:r>
          </w:p>
        </w:tc>
        <w:tc>
          <w:tcPr>
            <w:tcW w:w="1300" w:type="dxa"/>
            <w:shd w:val="clear" w:color="auto" w:fill="auto"/>
            <w:tcMar>
              <w:top w:w="60" w:type="dxa"/>
              <w:left w:w="100" w:type="dxa"/>
              <w:bottom w:w="60" w:type="dxa"/>
              <w:right w:w="100" w:type="dxa"/>
            </w:tcMar>
            <w:vAlign w:val="center"/>
          </w:tcPr>
          <w:p w14:paraId="1E59909B"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31.7</w:t>
            </w:r>
          </w:p>
        </w:tc>
        <w:tc>
          <w:tcPr>
            <w:tcW w:w="1301" w:type="dxa"/>
            <w:shd w:val="clear" w:color="auto" w:fill="auto"/>
            <w:tcMar>
              <w:top w:w="60" w:type="dxa"/>
              <w:left w:w="100" w:type="dxa"/>
              <w:bottom w:w="60" w:type="dxa"/>
              <w:right w:w="100" w:type="dxa"/>
            </w:tcMar>
            <w:vAlign w:val="center"/>
          </w:tcPr>
          <w:p w14:paraId="6D0D584E"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31.9</w:t>
            </w:r>
          </w:p>
        </w:tc>
        <w:tc>
          <w:tcPr>
            <w:tcW w:w="1301" w:type="dxa"/>
            <w:shd w:val="clear" w:color="auto" w:fill="auto"/>
            <w:tcMar>
              <w:top w:w="60" w:type="dxa"/>
              <w:left w:w="100" w:type="dxa"/>
              <w:bottom w:w="60" w:type="dxa"/>
              <w:right w:w="100" w:type="dxa"/>
            </w:tcMar>
            <w:vAlign w:val="center"/>
          </w:tcPr>
          <w:p w14:paraId="3401ABE9"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26.1</w:t>
            </w:r>
          </w:p>
        </w:tc>
        <w:tc>
          <w:tcPr>
            <w:tcW w:w="1301" w:type="dxa"/>
            <w:shd w:val="clear" w:color="auto" w:fill="auto"/>
            <w:tcMar>
              <w:top w:w="60" w:type="dxa"/>
              <w:left w:w="100" w:type="dxa"/>
              <w:bottom w:w="60" w:type="dxa"/>
              <w:right w:w="100" w:type="dxa"/>
            </w:tcMar>
            <w:vAlign w:val="center"/>
          </w:tcPr>
          <w:p w14:paraId="3F2CE1FC" w14:textId="77777777" w:rsidR="00C37C88" w:rsidRPr="00E10B9C" w:rsidRDefault="00C37C88" w:rsidP="00E10B9C">
            <w:pPr>
              <w:rPr>
                <w:rFonts w:ascii="Arial" w:hAnsi="Arial" w:cs="Arial"/>
                <w:sz w:val="24"/>
                <w:szCs w:val="24"/>
              </w:rPr>
            </w:pPr>
            <w:r w:rsidRPr="00E10B9C">
              <w:rPr>
                <w:rFonts w:ascii="Arial" w:hAnsi="Arial" w:cs="Arial"/>
                <w:color w:val="404040"/>
                <w:sz w:val="24"/>
                <w:szCs w:val="24"/>
              </w:rPr>
              <w:t>25.0</w:t>
            </w:r>
          </w:p>
        </w:tc>
        <w:tc>
          <w:tcPr>
            <w:tcW w:w="1348" w:type="dxa"/>
            <w:shd w:val="clear" w:color="auto" w:fill="auto"/>
            <w:tcMar>
              <w:top w:w="60" w:type="dxa"/>
              <w:left w:w="100" w:type="dxa"/>
              <w:bottom w:w="60" w:type="dxa"/>
              <w:right w:w="100" w:type="dxa"/>
            </w:tcMar>
            <w:vAlign w:val="center"/>
          </w:tcPr>
          <w:p w14:paraId="37E6604E" w14:textId="77777777" w:rsidR="00C37C88" w:rsidRPr="00E10B9C" w:rsidRDefault="00C37C88" w:rsidP="00480482">
            <w:pPr>
              <w:keepNext/>
              <w:jc w:val="center"/>
              <w:rPr>
                <w:rFonts w:ascii="Arial" w:hAnsi="Arial" w:cs="Arial"/>
                <w:sz w:val="24"/>
                <w:szCs w:val="24"/>
              </w:rPr>
            </w:pPr>
            <w:r w:rsidRPr="00E10B9C">
              <w:rPr>
                <w:rFonts w:ascii="Arial" w:hAnsi="Arial" w:cs="Arial"/>
                <w:color w:val="404040"/>
                <w:sz w:val="24"/>
                <w:szCs w:val="24"/>
              </w:rPr>
              <w:t>↓ Improving</w:t>
            </w:r>
          </w:p>
        </w:tc>
      </w:tr>
    </w:tbl>
    <w:p w14:paraId="6381BDB7" w14:textId="1D17D0A4" w:rsidR="00480482" w:rsidRDefault="00480482">
      <w:pPr>
        <w:pStyle w:val="Caption"/>
      </w:pPr>
      <w:r>
        <w:t xml:space="preserve">Table 2.1 </w:t>
      </w:r>
      <w:r w:rsidRPr="008F6A48">
        <w:t>Source: Hyundai Motor Company Annual Reports 2020–2024; Author's calculations</w:t>
      </w:r>
    </w:p>
    <w:p w14:paraId="78239A4A" w14:textId="14CA34E6" w:rsidR="006B1B1D" w:rsidRPr="006B1B1D" w:rsidRDefault="007B2D63" w:rsidP="00177350">
      <w:pPr>
        <w:spacing w:line="360" w:lineRule="auto"/>
        <w:jc w:val="both"/>
        <w:rPr>
          <w:rFonts w:ascii="Arial" w:hAnsi="Arial" w:cs="Arial"/>
          <w:sz w:val="24"/>
          <w:szCs w:val="24"/>
          <w:shd w:val="clear" w:color="auto" w:fill="FFFFFF"/>
        </w:rPr>
      </w:pPr>
      <w:r w:rsidRPr="007B2D63">
        <w:rPr>
          <w:rFonts w:ascii="Arial" w:hAnsi="Arial" w:cs="Arial"/>
          <w:sz w:val="24"/>
          <w:szCs w:val="24"/>
        </w:rPr>
        <w:t>The COC changed during the period from 32.3 days to 25.0 days</w:t>
      </w:r>
      <w:r w:rsidR="006B1B1D" w:rsidRPr="007B2D63">
        <w:rPr>
          <w:rFonts w:ascii="Arial" w:hAnsi="Arial" w:cs="Arial"/>
          <w:sz w:val="24"/>
          <w:szCs w:val="24"/>
        </w:rPr>
        <w:t>.</w:t>
      </w:r>
      <w:r w:rsidR="006B1B1D" w:rsidRPr="007B2D63">
        <w:rPr>
          <w:rFonts w:ascii="Arial" w:hAnsi="Arial" w:cs="Arial"/>
          <w:sz w:val="28"/>
          <w:szCs w:val="28"/>
          <w:shd w:val="clear" w:color="auto" w:fill="FFFFFF"/>
        </w:rPr>
        <w:t xml:space="preserve"> </w:t>
      </w:r>
      <w:r w:rsidR="00177350" w:rsidRPr="00177350">
        <w:rPr>
          <w:rFonts w:ascii="Arial" w:hAnsi="Arial" w:cs="Arial"/>
          <w:sz w:val="24"/>
          <w:szCs w:val="24"/>
        </w:rPr>
        <w:t>All this equated to ~KRW 3,600 billion in funds that were freed up for other business opportunities due to the 7.3-day reduction of the company's COC</w:t>
      </w:r>
      <w:r w:rsidR="006B1B1D" w:rsidRPr="006B1B1D">
        <w:rPr>
          <w:rFonts w:ascii="Arial" w:hAnsi="Arial" w:cs="Arial"/>
          <w:sz w:val="24"/>
          <w:szCs w:val="24"/>
          <w:shd w:val="clear" w:color="auto" w:fill="FFFFFF"/>
        </w:rPr>
        <w:t xml:space="preserve">. The main problem is with the continued reduction in days for payments which are also reflecting their dwindling COC (44.6 → 35.6). For </w:t>
      </w:r>
      <w:r w:rsidR="001C67E3">
        <w:rPr>
          <w:rFonts w:ascii="Arial" w:hAnsi="Arial" w:cs="Arial"/>
          <w:sz w:val="24"/>
          <w:szCs w:val="24"/>
          <w:shd w:val="clear" w:color="auto" w:fill="FFFFFF"/>
        </w:rPr>
        <w:t>e</w:t>
      </w:r>
      <w:r w:rsidR="006B1B1D" w:rsidRPr="006B1B1D">
        <w:rPr>
          <w:rFonts w:ascii="Arial" w:hAnsi="Arial" w:cs="Arial"/>
          <w:sz w:val="24"/>
          <w:szCs w:val="24"/>
          <w:shd w:val="clear" w:color="auto" w:fill="FFFFFF"/>
        </w:rPr>
        <w:t xml:space="preserve">xample, in the 2021 crisis Hyundai entered into an arrangement with </w:t>
      </w:r>
      <w:r w:rsidR="000C7EC8">
        <w:rPr>
          <w:rFonts w:ascii="Arial" w:hAnsi="Arial" w:cs="Arial"/>
          <w:sz w:val="24"/>
          <w:szCs w:val="24"/>
          <w:shd w:val="clear" w:color="auto" w:fill="FFFFFF"/>
        </w:rPr>
        <w:t>its</w:t>
      </w:r>
      <w:r w:rsidR="006B1B1D" w:rsidRPr="006B1B1D">
        <w:rPr>
          <w:rFonts w:ascii="Arial" w:hAnsi="Arial" w:cs="Arial"/>
          <w:sz w:val="24"/>
          <w:szCs w:val="24"/>
          <w:shd w:val="clear" w:color="auto" w:fill="FFFFFF"/>
        </w:rPr>
        <w:t xml:space="preserve"> suppliers for allocation but forfeited working capital (PwC, 2024).</w:t>
      </w:r>
    </w:p>
    <w:p w14:paraId="1F98981E" w14:textId="5CB07273" w:rsidR="00C37C88" w:rsidRDefault="00C37C88" w:rsidP="00C92C88">
      <w:pPr>
        <w:pStyle w:val="Heading2"/>
        <w:spacing w:line="360" w:lineRule="auto"/>
      </w:pPr>
      <w:bookmarkStart w:id="22" w:name="_Toc227660484"/>
      <w:r>
        <w:rPr>
          <w:rFonts w:ascii="Arial" w:eastAsia="Arial" w:hAnsi="Arial" w:cs="Arial"/>
          <w:b/>
          <w:bCs/>
          <w:color w:val="2E75B6"/>
        </w:rPr>
        <w:lastRenderedPageBreak/>
        <w:t>2.2 Working Capital Reform Recommendations</w:t>
      </w:r>
      <w:bookmarkEnd w:id="22"/>
    </w:p>
    <w:p w14:paraId="7E5CE00B" w14:textId="2FBC6F55" w:rsidR="00265486" w:rsidRPr="00C92C88" w:rsidRDefault="00265486" w:rsidP="0014657E">
      <w:pPr>
        <w:pStyle w:val="Heading3"/>
        <w:spacing w:line="360" w:lineRule="auto"/>
        <w:rPr>
          <w:rFonts w:ascii="Arial" w:eastAsia="Arial" w:hAnsi="Arial" w:cs="Arial"/>
          <w:u w:color="2E75B6"/>
        </w:rPr>
      </w:pPr>
      <w:bookmarkStart w:id="23" w:name="_Toc227660485"/>
      <w:r w:rsidRPr="00C92C88">
        <w:rPr>
          <w:rFonts w:ascii="Arial" w:eastAsia="Arial" w:hAnsi="Arial" w:cs="Arial"/>
          <w:u w:color="2E75B6"/>
        </w:rPr>
        <w:t>Inventory Management Improvements</w:t>
      </w:r>
      <w:bookmarkEnd w:id="23"/>
    </w:p>
    <w:p w14:paraId="0356CFDD" w14:textId="649F41B8" w:rsidR="00265486" w:rsidRPr="00A5117E" w:rsidRDefault="00265486" w:rsidP="0014657E">
      <w:pPr>
        <w:pStyle w:val="ListParagraph"/>
        <w:numPr>
          <w:ilvl w:val="0"/>
          <w:numId w:val="21"/>
        </w:numPr>
        <w:spacing w:line="360" w:lineRule="auto"/>
        <w:rPr>
          <w:sz w:val="24"/>
          <w:szCs w:val="24"/>
          <w:u w:color="2E75B6"/>
        </w:rPr>
      </w:pPr>
      <w:r w:rsidRPr="00A5117E">
        <w:rPr>
          <w:sz w:val="24"/>
          <w:szCs w:val="24"/>
          <w:u w:color="2E75B6"/>
        </w:rPr>
        <w:t xml:space="preserve">Implement demand forecasting algorithms with </w:t>
      </w:r>
      <w:r w:rsidR="00813AAC" w:rsidRPr="00A5117E">
        <w:rPr>
          <w:sz w:val="24"/>
          <w:szCs w:val="24"/>
          <w:u w:color="2E75B6"/>
        </w:rPr>
        <w:t>actualized</w:t>
      </w:r>
      <w:r w:rsidRPr="00A5117E">
        <w:rPr>
          <w:sz w:val="24"/>
          <w:szCs w:val="24"/>
          <w:u w:color="2E75B6"/>
        </w:rPr>
        <w:t xml:space="preserve"> order sell-through data and dealer sell-through; — target inventory in 30–32 days range (McKinsey and Company, 2023)</w:t>
      </w:r>
    </w:p>
    <w:p w14:paraId="6E4F2454" w14:textId="48242C23" w:rsidR="00265486" w:rsidRPr="00A5117E" w:rsidRDefault="00265486" w:rsidP="0014657E">
      <w:pPr>
        <w:pStyle w:val="ListParagraph"/>
        <w:numPr>
          <w:ilvl w:val="0"/>
          <w:numId w:val="21"/>
        </w:numPr>
        <w:spacing w:line="360" w:lineRule="auto"/>
        <w:rPr>
          <w:sz w:val="24"/>
          <w:szCs w:val="24"/>
          <w:u w:color="2E75B6"/>
        </w:rPr>
      </w:pPr>
      <w:r w:rsidRPr="00A5117E">
        <w:rPr>
          <w:sz w:val="24"/>
          <w:szCs w:val="24"/>
          <w:u w:color="2E75B6"/>
        </w:rPr>
        <w:t>Introduce VMI process for non-battery Tier 1 components, in which the risk of holding is being shifted on to suppliers (Sari, (2007)).</w:t>
      </w:r>
    </w:p>
    <w:p w14:paraId="24699249" w14:textId="2F200E7B" w:rsidR="00265486" w:rsidRPr="00482BE6" w:rsidRDefault="00265486" w:rsidP="00482BE6">
      <w:pPr>
        <w:pStyle w:val="Heading3"/>
        <w:spacing w:line="360" w:lineRule="auto"/>
        <w:rPr>
          <w:rFonts w:ascii="Arial" w:eastAsia="Arial" w:hAnsi="Arial" w:cs="Arial"/>
          <w:u w:color="2E75B6"/>
        </w:rPr>
      </w:pPr>
      <w:bookmarkStart w:id="24" w:name="_Toc227660486"/>
      <w:r w:rsidRPr="00482BE6">
        <w:rPr>
          <w:rFonts w:ascii="Arial" w:eastAsia="Arial" w:hAnsi="Arial" w:cs="Arial"/>
          <w:u w:color="2E75B6"/>
        </w:rPr>
        <w:t>Receivables Management Improvements</w:t>
      </w:r>
      <w:bookmarkEnd w:id="24"/>
    </w:p>
    <w:p w14:paraId="2C7895AB" w14:textId="6EC9233B" w:rsidR="00804EFA" w:rsidRPr="00A5117E" w:rsidRDefault="00265486" w:rsidP="00A5117E">
      <w:pPr>
        <w:pStyle w:val="ListParagraph"/>
        <w:numPr>
          <w:ilvl w:val="0"/>
          <w:numId w:val="21"/>
        </w:numPr>
        <w:spacing w:line="360" w:lineRule="auto"/>
        <w:rPr>
          <w:sz w:val="24"/>
          <w:szCs w:val="24"/>
          <w:u w:color="2E75B6"/>
        </w:rPr>
      </w:pPr>
      <w:r w:rsidRPr="00A5117E">
        <w:rPr>
          <w:sz w:val="24"/>
          <w:szCs w:val="24"/>
          <w:u w:color="2E75B6"/>
        </w:rPr>
        <w:t xml:space="preserve">Expedite D2C digital sales, as reservation payment brings cash in at the time of order which could result </w:t>
      </w:r>
      <w:r w:rsidR="006A7340">
        <w:rPr>
          <w:sz w:val="24"/>
          <w:szCs w:val="24"/>
          <w:u w:color="2E75B6"/>
        </w:rPr>
        <w:t>in</w:t>
      </w:r>
      <w:r w:rsidRPr="00A5117E">
        <w:rPr>
          <w:sz w:val="24"/>
          <w:szCs w:val="24"/>
          <w:u w:color="2E75B6"/>
        </w:rPr>
        <w:t xml:space="preserve"> receivables compression by 10–14 days (PwC, 2024).</w:t>
      </w:r>
    </w:p>
    <w:p w14:paraId="75B8B4AD" w14:textId="69DA0FAF" w:rsidR="00265486" w:rsidRPr="00A5117E" w:rsidRDefault="00265486" w:rsidP="00A5117E">
      <w:pPr>
        <w:pStyle w:val="ListParagraph"/>
        <w:numPr>
          <w:ilvl w:val="0"/>
          <w:numId w:val="21"/>
        </w:numPr>
        <w:spacing w:line="360" w:lineRule="auto"/>
        <w:rPr>
          <w:sz w:val="24"/>
          <w:szCs w:val="24"/>
          <w:u w:color="2E75B6"/>
        </w:rPr>
      </w:pPr>
      <w:r w:rsidRPr="00A5117E">
        <w:rPr>
          <w:sz w:val="24"/>
          <w:szCs w:val="24"/>
          <w:u w:color="2E75B6"/>
        </w:rPr>
        <w:t>Provide premium early payment discounts (</w:t>
      </w:r>
      <w:r w:rsidR="00A5117E" w:rsidRPr="00A5117E">
        <w:rPr>
          <w:sz w:val="24"/>
          <w:szCs w:val="24"/>
          <w:u w:color="2E75B6"/>
        </w:rPr>
        <w:t>e.g.,</w:t>
      </w:r>
      <w:r w:rsidRPr="00A5117E">
        <w:rPr>
          <w:sz w:val="24"/>
          <w:szCs w:val="24"/>
          <w:u w:color="2E75B6"/>
        </w:rPr>
        <w:t xml:space="preserve"> 1.5% for payments done within the first 10 days) that could be an alchemy for fleet customers (Atrill and McLaney, 2021).</w:t>
      </w:r>
    </w:p>
    <w:p w14:paraId="5527DE9B" w14:textId="3407A0E8" w:rsidR="00265486" w:rsidRPr="00A5117E" w:rsidRDefault="00265486" w:rsidP="00A5117E">
      <w:pPr>
        <w:pStyle w:val="ListParagraph"/>
        <w:numPr>
          <w:ilvl w:val="0"/>
          <w:numId w:val="21"/>
        </w:numPr>
        <w:spacing w:line="360" w:lineRule="auto"/>
        <w:rPr>
          <w:sz w:val="24"/>
          <w:szCs w:val="24"/>
          <w:u w:color="2E75B6"/>
        </w:rPr>
      </w:pPr>
      <w:r w:rsidRPr="00A5117E">
        <w:rPr>
          <w:sz w:val="24"/>
          <w:szCs w:val="24"/>
          <w:u w:color="2E75B6"/>
        </w:rPr>
        <w:t>Implement receivables securitization in US, UK and Germany to quickly turn trade receivables into cash.</w:t>
      </w:r>
    </w:p>
    <w:p w14:paraId="40812828" w14:textId="06B19DD9" w:rsidR="00265486" w:rsidRPr="00482BE6" w:rsidRDefault="00265486" w:rsidP="00482BE6">
      <w:pPr>
        <w:pStyle w:val="Heading3"/>
        <w:spacing w:line="360" w:lineRule="auto"/>
        <w:rPr>
          <w:rFonts w:ascii="Arial" w:eastAsia="Arial" w:hAnsi="Arial" w:cs="Arial"/>
          <w:u w:color="2E75B6"/>
        </w:rPr>
      </w:pPr>
      <w:bookmarkStart w:id="25" w:name="_Toc227660487"/>
      <w:r w:rsidRPr="00482BE6">
        <w:rPr>
          <w:rFonts w:ascii="Arial" w:eastAsia="Arial" w:hAnsi="Arial" w:cs="Arial"/>
          <w:u w:color="2E75B6"/>
        </w:rPr>
        <w:t>Payables Management Improvements</w:t>
      </w:r>
      <w:bookmarkEnd w:id="25"/>
    </w:p>
    <w:p w14:paraId="1486B31A" w14:textId="68CFBA84" w:rsidR="00265486" w:rsidRPr="00482BE6" w:rsidRDefault="00265486" w:rsidP="00482BE6">
      <w:pPr>
        <w:pStyle w:val="ListParagraph"/>
        <w:numPr>
          <w:ilvl w:val="0"/>
          <w:numId w:val="22"/>
        </w:numPr>
        <w:spacing w:line="360" w:lineRule="auto"/>
        <w:rPr>
          <w:sz w:val="24"/>
          <w:szCs w:val="24"/>
          <w:u w:color="2E75B6"/>
        </w:rPr>
      </w:pPr>
      <w:r w:rsidRPr="00482BE6">
        <w:rPr>
          <w:sz w:val="24"/>
          <w:szCs w:val="24"/>
          <w:u w:color="2E75B6"/>
        </w:rPr>
        <w:t>Leverage Hyundai's purchasing scale (Pfohl and Gomm, 2009) to renegotiate terms with non-battery supplier</w:t>
      </w:r>
      <w:r w:rsidR="00E36FA2">
        <w:rPr>
          <w:sz w:val="24"/>
          <w:szCs w:val="24"/>
          <w:u w:color="2E75B6"/>
        </w:rPr>
        <w:t>s</w:t>
      </w:r>
      <w:r w:rsidRPr="00482BE6">
        <w:rPr>
          <w:sz w:val="24"/>
          <w:szCs w:val="24"/>
          <w:u w:color="2E75B6"/>
        </w:rPr>
        <w:t xml:space="preserve"> from ~36 to days up to 45–50 days</w:t>
      </w:r>
      <w:r w:rsidR="0014657E" w:rsidRPr="00482BE6">
        <w:rPr>
          <w:sz w:val="24"/>
          <w:szCs w:val="24"/>
          <w:u w:color="2E75B6"/>
        </w:rPr>
        <w:t>.</w:t>
      </w:r>
    </w:p>
    <w:p w14:paraId="04186DC1" w14:textId="25D71FB1" w:rsidR="00265486" w:rsidRPr="00482BE6" w:rsidRDefault="00265486" w:rsidP="00482BE6">
      <w:pPr>
        <w:pStyle w:val="ListParagraph"/>
        <w:numPr>
          <w:ilvl w:val="0"/>
          <w:numId w:val="22"/>
        </w:numPr>
        <w:spacing w:line="360" w:lineRule="auto"/>
        <w:rPr>
          <w:sz w:val="24"/>
          <w:szCs w:val="24"/>
          <w:u w:color="2E75B6"/>
        </w:rPr>
      </w:pPr>
      <w:r w:rsidRPr="00482BE6">
        <w:rPr>
          <w:sz w:val="24"/>
          <w:szCs w:val="24"/>
          <w:u w:color="2E75B6"/>
        </w:rPr>
        <w:t>Deploy a Supply Chain Finance (reverse factoring) program, whereby suppliers receive early bank payment at better rates, while Hyundai retains longer terms—both the supplier and Hyundai benefit from a practice commonly documented in the corporate treasury literature (Pfohl and Gomm 2009).</w:t>
      </w:r>
    </w:p>
    <w:p w14:paraId="3C54DAC1" w14:textId="2F08DD78" w:rsidR="00265486" w:rsidRPr="00482BE6" w:rsidRDefault="00265486" w:rsidP="00482BE6">
      <w:pPr>
        <w:pStyle w:val="ListParagraph"/>
        <w:numPr>
          <w:ilvl w:val="0"/>
          <w:numId w:val="22"/>
        </w:numPr>
        <w:spacing w:line="360" w:lineRule="auto"/>
        <w:rPr>
          <w:sz w:val="24"/>
          <w:szCs w:val="24"/>
          <w:u w:color="2E75B6"/>
        </w:rPr>
      </w:pPr>
      <w:r w:rsidRPr="00482BE6">
        <w:rPr>
          <w:sz w:val="24"/>
          <w:szCs w:val="24"/>
          <w:u w:color="2E75B6"/>
        </w:rPr>
        <w:t>Connect Access to SCF with level of supplier ESG milestones achieved (based on sustainable supply chain finance literature– Gualandris and Kalchschmidt, 2014)</w:t>
      </w:r>
      <w:r w:rsidR="0014657E" w:rsidRPr="00482BE6">
        <w:rPr>
          <w:sz w:val="24"/>
          <w:szCs w:val="24"/>
          <w:u w:color="2E75B6"/>
        </w:rPr>
        <w:t>.</w:t>
      </w:r>
    </w:p>
    <w:p w14:paraId="07AD6F56" w14:textId="5597D1B4" w:rsidR="00EA2543" w:rsidRDefault="00EA2543" w:rsidP="00265486">
      <w:pPr>
        <w:pStyle w:val="Heading2"/>
      </w:pPr>
      <w:bookmarkStart w:id="26" w:name="_Toc227660488"/>
      <w:r>
        <w:rPr>
          <w:rFonts w:ascii="Arial" w:eastAsia="Arial" w:hAnsi="Arial" w:cs="Arial"/>
          <w:b/>
          <w:bCs/>
          <w:color w:val="2E75B6"/>
        </w:rPr>
        <w:t>2.3 Short-Term vs Long-Term Financing Options</w:t>
      </w:r>
      <w:bookmarkEnd w:id="26"/>
    </w:p>
    <w:p w14:paraId="301E7316" w14:textId="77777777" w:rsidR="00EA2543" w:rsidRPr="000C70C1" w:rsidRDefault="00EA2543" w:rsidP="000C70C1">
      <w:pPr>
        <w:pStyle w:val="Heading3"/>
        <w:spacing w:line="360" w:lineRule="auto"/>
      </w:pPr>
      <w:bookmarkStart w:id="27" w:name="_Toc227660489"/>
      <w:r w:rsidRPr="000C70C1">
        <w:rPr>
          <w:rFonts w:ascii="Arial" w:eastAsia="Arial" w:hAnsi="Arial" w:cs="Arial"/>
          <w:b/>
          <w:bCs/>
          <w:color w:val="404040"/>
          <w:u w:color="2E75B6"/>
        </w:rPr>
        <w:t>Table 2.2 – Short-Term vs Long-Term Financing Comparison</w:t>
      </w:r>
      <w:bookmarkEnd w:id="2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81"/>
        <w:gridCol w:w="3645"/>
        <w:gridCol w:w="3634"/>
      </w:tblGrid>
      <w:tr w:rsidR="00EA2543" w:rsidRPr="00F35DB1" w14:paraId="3F94BEE5" w14:textId="77777777" w:rsidTr="00CF1C66">
        <w:tc>
          <w:tcPr>
            <w:tcW w:w="2081" w:type="dxa"/>
            <w:shd w:val="clear" w:color="auto" w:fill="auto"/>
            <w:tcMar>
              <w:top w:w="80" w:type="dxa"/>
              <w:left w:w="100" w:type="dxa"/>
              <w:bottom w:w="80" w:type="dxa"/>
              <w:right w:w="100" w:type="dxa"/>
            </w:tcMar>
            <w:vAlign w:val="center"/>
          </w:tcPr>
          <w:p w14:paraId="1B31EB09" w14:textId="77777777" w:rsidR="00EA2543" w:rsidRPr="00F35DB1" w:rsidRDefault="00EA2543" w:rsidP="00F35DB1">
            <w:pPr>
              <w:jc w:val="center"/>
              <w:rPr>
                <w:rFonts w:ascii="Arial" w:hAnsi="Arial" w:cs="Arial"/>
                <w:sz w:val="24"/>
                <w:szCs w:val="24"/>
              </w:rPr>
            </w:pPr>
            <w:r w:rsidRPr="00F35DB1">
              <w:rPr>
                <w:rFonts w:ascii="Arial" w:hAnsi="Arial" w:cs="Arial"/>
                <w:sz w:val="24"/>
                <w:szCs w:val="24"/>
              </w:rPr>
              <w:t>Dimension</w:t>
            </w:r>
          </w:p>
        </w:tc>
        <w:tc>
          <w:tcPr>
            <w:tcW w:w="3645" w:type="dxa"/>
            <w:shd w:val="clear" w:color="auto" w:fill="auto"/>
            <w:tcMar>
              <w:top w:w="80" w:type="dxa"/>
              <w:left w:w="100" w:type="dxa"/>
              <w:bottom w:w="80" w:type="dxa"/>
              <w:right w:w="100" w:type="dxa"/>
            </w:tcMar>
            <w:vAlign w:val="center"/>
          </w:tcPr>
          <w:p w14:paraId="65127C27" w14:textId="77777777" w:rsidR="00EA2543" w:rsidRPr="00F35DB1" w:rsidRDefault="00EA2543" w:rsidP="00F35DB1">
            <w:pPr>
              <w:jc w:val="center"/>
              <w:rPr>
                <w:rFonts w:ascii="Arial" w:hAnsi="Arial" w:cs="Arial"/>
                <w:sz w:val="24"/>
                <w:szCs w:val="24"/>
              </w:rPr>
            </w:pPr>
            <w:r w:rsidRPr="00F35DB1">
              <w:rPr>
                <w:rFonts w:ascii="Arial" w:hAnsi="Arial" w:cs="Arial"/>
                <w:sz w:val="24"/>
                <w:szCs w:val="24"/>
              </w:rPr>
              <w:t>Short-Term Financing</w:t>
            </w:r>
          </w:p>
        </w:tc>
        <w:tc>
          <w:tcPr>
            <w:tcW w:w="3634" w:type="dxa"/>
            <w:shd w:val="clear" w:color="auto" w:fill="auto"/>
            <w:tcMar>
              <w:top w:w="80" w:type="dxa"/>
              <w:left w:w="100" w:type="dxa"/>
              <w:bottom w:w="80" w:type="dxa"/>
              <w:right w:w="100" w:type="dxa"/>
            </w:tcMar>
            <w:vAlign w:val="center"/>
          </w:tcPr>
          <w:p w14:paraId="1131D3BD" w14:textId="77777777" w:rsidR="00EA2543" w:rsidRPr="00F35DB1" w:rsidRDefault="00EA2543" w:rsidP="00F35DB1">
            <w:pPr>
              <w:jc w:val="center"/>
              <w:rPr>
                <w:rFonts w:ascii="Arial" w:hAnsi="Arial" w:cs="Arial"/>
                <w:sz w:val="24"/>
                <w:szCs w:val="24"/>
              </w:rPr>
            </w:pPr>
            <w:r w:rsidRPr="00F35DB1">
              <w:rPr>
                <w:rFonts w:ascii="Arial" w:hAnsi="Arial" w:cs="Arial"/>
                <w:sz w:val="24"/>
                <w:szCs w:val="24"/>
              </w:rPr>
              <w:t>Long-Term Financing</w:t>
            </w:r>
          </w:p>
        </w:tc>
      </w:tr>
      <w:tr w:rsidR="00EA2543" w:rsidRPr="00F35DB1" w14:paraId="7B261FCC" w14:textId="77777777" w:rsidTr="00CF1C66">
        <w:tc>
          <w:tcPr>
            <w:tcW w:w="2081" w:type="dxa"/>
            <w:shd w:val="clear" w:color="auto" w:fill="auto"/>
            <w:tcMar>
              <w:top w:w="60" w:type="dxa"/>
              <w:left w:w="100" w:type="dxa"/>
              <w:bottom w:w="60" w:type="dxa"/>
              <w:right w:w="100" w:type="dxa"/>
            </w:tcMar>
            <w:vAlign w:val="center"/>
          </w:tcPr>
          <w:p w14:paraId="486C2ABC" w14:textId="77777777" w:rsidR="00EA2543" w:rsidRPr="00F35DB1" w:rsidRDefault="00EA2543" w:rsidP="00F35DB1">
            <w:pPr>
              <w:jc w:val="center"/>
              <w:rPr>
                <w:rFonts w:ascii="Arial" w:hAnsi="Arial" w:cs="Arial"/>
                <w:sz w:val="24"/>
                <w:szCs w:val="24"/>
              </w:rPr>
            </w:pPr>
            <w:r w:rsidRPr="00F35DB1">
              <w:rPr>
                <w:rFonts w:ascii="Arial" w:hAnsi="Arial" w:cs="Arial"/>
                <w:color w:val="404040"/>
                <w:sz w:val="24"/>
                <w:szCs w:val="24"/>
              </w:rPr>
              <w:lastRenderedPageBreak/>
              <w:t>Instruments</w:t>
            </w:r>
          </w:p>
        </w:tc>
        <w:tc>
          <w:tcPr>
            <w:tcW w:w="3645" w:type="dxa"/>
            <w:shd w:val="clear" w:color="auto" w:fill="auto"/>
            <w:tcMar>
              <w:top w:w="60" w:type="dxa"/>
              <w:left w:w="100" w:type="dxa"/>
              <w:bottom w:w="60" w:type="dxa"/>
              <w:right w:w="100" w:type="dxa"/>
            </w:tcMar>
            <w:vAlign w:val="center"/>
          </w:tcPr>
          <w:p w14:paraId="78B05C70"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Revolving credit facility (RCF), commercial paper, bank overdrafts, invoice discounting</w:t>
            </w:r>
          </w:p>
        </w:tc>
        <w:tc>
          <w:tcPr>
            <w:tcW w:w="3634" w:type="dxa"/>
            <w:shd w:val="clear" w:color="auto" w:fill="auto"/>
            <w:tcMar>
              <w:top w:w="60" w:type="dxa"/>
              <w:left w:w="100" w:type="dxa"/>
              <w:bottom w:w="60" w:type="dxa"/>
              <w:right w:w="100" w:type="dxa"/>
            </w:tcMar>
            <w:vAlign w:val="center"/>
          </w:tcPr>
          <w:p w14:paraId="20D73557"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Green bonds, sustainability-linked loans (SLL), term loans, EV-infrastructure bonds, equity issuance</w:t>
            </w:r>
          </w:p>
        </w:tc>
      </w:tr>
      <w:tr w:rsidR="00EA2543" w:rsidRPr="00F35DB1" w14:paraId="5F6DD05A" w14:textId="77777777" w:rsidTr="00CF1C66">
        <w:tc>
          <w:tcPr>
            <w:tcW w:w="2081" w:type="dxa"/>
            <w:shd w:val="clear" w:color="auto" w:fill="auto"/>
            <w:tcMar>
              <w:top w:w="60" w:type="dxa"/>
              <w:left w:w="100" w:type="dxa"/>
              <w:bottom w:w="60" w:type="dxa"/>
              <w:right w:w="100" w:type="dxa"/>
            </w:tcMar>
            <w:vAlign w:val="center"/>
          </w:tcPr>
          <w:p w14:paraId="009EC31C" w14:textId="77777777" w:rsidR="00EA2543" w:rsidRPr="00F35DB1" w:rsidRDefault="00EA2543" w:rsidP="00F35DB1">
            <w:pPr>
              <w:jc w:val="center"/>
              <w:rPr>
                <w:rFonts w:ascii="Arial" w:hAnsi="Arial" w:cs="Arial"/>
                <w:sz w:val="24"/>
                <w:szCs w:val="24"/>
              </w:rPr>
            </w:pPr>
            <w:r w:rsidRPr="00F35DB1">
              <w:rPr>
                <w:rFonts w:ascii="Arial" w:hAnsi="Arial" w:cs="Arial"/>
                <w:color w:val="404040"/>
                <w:sz w:val="24"/>
                <w:szCs w:val="24"/>
              </w:rPr>
              <w:t>Cost</w:t>
            </w:r>
          </w:p>
        </w:tc>
        <w:tc>
          <w:tcPr>
            <w:tcW w:w="3645" w:type="dxa"/>
            <w:shd w:val="clear" w:color="auto" w:fill="auto"/>
            <w:tcMar>
              <w:top w:w="60" w:type="dxa"/>
              <w:left w:w="100" w:type="dxa"/>
              <w:bottom w:w="60" w:type="dxa"/>
              <w:right w:w="100" w:type="dxa"/>
            </w:tcMar>
            <w:vAlign w:val="center"/>
          </w:tcPr>
          <w:p w14:paraId="65AFAF29"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Lower nominal rate (SOFR/EURIBOR + 0.5–1.5%); rate risk if base rates rise</w:t>
            </w:r>
          </w:p>
        </w:tc>
        <w:tc>
          <w:tcPr>
            <w:tcW w:w="3634" w:type="dxa"/>
            <w:shd w:val="clear" w:color="auto" w:fill="auto"/>
            <w:tcMar>
              <w:top w:w="60" w:type="dxa"/>
              <w:left w:w="100" w:type="dxa"/>
              <w:bottom w:w="60" w:type="dxa"/>
              <w:right w:w="100" w:type="dxa"/>
            </w:tcMar>
            <w:vAlign w:val="center"/>
          </w:tcPr>
          <w:p w14:paraId="1FDF9542"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Fixed coupon (3.5–5.0%); higher cost but provides certainty and hedges rate risk</w:t>
            </w:r>
          </w:p>
        </w:tc>
      </w:tr>
      <w:tr w:rsidR="00EA2543" w:rsidRPr="00F35DB1" w14:paraId="190AF01D" w14:textId="77777777" w:rsidTr="00CF1C66">
        <w:tc>
          <w:tcPr>
            <w:tcW w:w="2081" w:type="dxa"/>
            <w:shd w:val="clear" w:color="auto" w:fill="auto"/>
            <w:tcMar>
              <w:top w:w="60" w:type="dxa"/>
              <w:left w:w="100" w:type="dxa"/>
              <w:bottom w:w="60" w:type="dxa"/>
              <w:right w:w="100" w:type="dxa"/>
            </w:tcMar>
            <w:vAlign w:val="center"/>
          </w:tcPr>
          <w:p w14:paraId="12DF0290" w14:textId="77777777" w:rsidR="00EA2543" w:rsidRPr="00F35DB1" w:rsidRDefault="00EA2543" w:rsidP="00F35DB1">
            <w:pPr>
              <w:jc w:val="center"/>
              <w:rPr>
                <w:rFonts w:ascii="Arial" w:hAnsi="Arial" w:cs="Arial"/>
                <w:sz w:val="24"/>
                <w:szCs w:val="24"/>
              </w:rPr>
            </w:pPr>
            <w:r w:rsidRPr="00F35DB1">
              <w:rPr>
                <w:rFonts w:ascii="Arial" w:hAnsi="Arial" w:cs="Arial"/>
                <w:color w:val="404040"/>
                <w:sz w:val="24"/>
                <w:szCs w:val="24"/>
              </w:rPr>
              <w:t>Flexibility</w:t>
            </w:r>
          </w:p>
        </w:tc>
        <w:tc>
          <w:tcPr>
            <w:tcW w:w="3645" w:type="dxa"/>
            <w:shd w:val="clear" w:color="auto" w:fill="auto"/>
            <w:tcMar>
              <w:top w:w="60" w:type="dxa"/>
              <w:left w:w="100" w:type="dxa"/>
              <w:bottom w:w="60" w:type="dxa"/>
              <w:right w:w="100" w:type="dxa"/>
            </w:tcMar>
            <w:vAlign w:val="center"/>
          </w:tcPr>
          <w:p w14:paraId="1071F714"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High: drawn and repaid on demand; aligns with seasonal swings in WC needs</w:t>
            </w:r>
          </w:p>
        </w:tc>
        <w:tc>
          <w:tcPr>
            <w:tcW w:w="3634" w:type="dxa"/>
            <w:shd w:val="clear" w:color="auto" w:fill="auto"/>
            <w:tcMar>
              <w:top w:w="60" w:type="dxa"/>
              <w:left w:w="100" w:type="dxa"/>
              <w:bottom w:w="60" w:type="dxa"/>
              <w:right w:w="100" w:type="dxa"/>
            </w:tcMar>
            <w:vAlign w:val="center"/>
          </w:tcPr>
          <w:p w14:paraId="7F20668B"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Low: committed repayment schedule; less responsive to short-term demand shifts</w:t>
            </w:r>
          </w:p>
        </w:tc>
      </w:tr>
      <w:tr w:rsidR="00EA2543" w:rsidRPr="00F35DB1" w14:paraId="145C9F4B" w14:textId="77777777" w:rsidTr="00CF1C66">
        <w:tc>
          <w:tcPr>
            <w:tcW w:w="2081" w:type="dxa"/>
            <w:shd w:val="clear" w:color="auto" w:fill="auto"/>
            <w:tcMar>
              <w:top w:w="60" w:type="dxa"/>
              <w:left w:w="100" w:type="dxa"/>
              <w:bottom w:w="60" w:type="dxa"/>
              <w:right w:w="100" w:type="dxa"/>
            </w:tcMar>
            <w:vAlign w:val="center"/>
          </w:tcPr>
          <w:p w14:paraId="53AA47B3" w14:textId="77777777" w:rsidR="00EA2543" w:rsidRPr="00F35DB1" w:rsidRDefault="00EA2543" w:rsidP="00F35DB1">
            <w:pPr>
              <w:jc w:val="center"/>
              <w:rPr>
                <w:rFonts w:ascii="Arial" w:hAnsi="Arial" w:cs="Arial"/>
                <w:sz w:val="24"/>
                <w:szCs w:val="24"/>
              </w:rPr>
            </w:pPr>
            <w:r w:rsidRPr="00F35DB1">
              <w:rPr>
                <w:rFonts w:ascii="Arial" w:hAnsi="Arial" w:cs="Arial"/>
                <w:color w:val="404040"/>
                <w:sz w:val="24"/>
                <w:szCs w:val="24"/>
              </w:rPr>
              <w:t>Refinancing Risk</w:t>
            </w:r>
          </w:p>
        </w:tc>
        <w:tc>
          <w:tcPr>
            <w:tcW w:w="3645" w:type="dxa"/>
            <w:shd w:val="clear" w:color="auto" w:fill="auto"/>
            <w:tcMar>
              <w:top w:w="60" w:type="dxa"/>
              <w:left w:w="100" w:type="dxa"/>
              <w:bottom w:w="60" w:type="dxa"/>
              <w:right w:w="100" w:type="dxa"/>
            </w:tcMar>
            <w:vAlign w:val="center"/>
          </w:tcPr>
          <w:p w14:paraId="468D7C96"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High: must roll over frequently; market access risk in stressed environments</w:t>
            </w:r>
          </w:p>
        </w:tc>
        <w:tc>
          <w:tcPr>
            <w:tcW w:w="3634" w:type="dxa"/>
            <w:shd w:val="clear" w:color="auto" w:fill="auto"/>
            <w:tcMar>
              <w:top w:w="60" w:type="dxa"/>
              <w:left w:w="100" w:type="dxa"/>
              <w:bottom w:w="60" w:type="dxa"/>
              <w:right w:w="100" w:type="dxa"/>
            </w:tcMar>
            <w:vAlign w:val="center"/>
          </w:tcPr>
          <w:p w14:paraId="3CF1692C"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Low: long maturity profile reduces roll-over frequency and credit market sensitivity</w:t>
            </w:r>
          </w:p>
        </w:tc>
      </w:tr>
      <w:tr w:rsidR="00EA2543" w:rsidRPr="00F35DB1" w14:paraId="797966A7" w14:textId="77777777" w:rsidTr="00CF1C66">
        <w:tc>
          <w:tcPr>
            <w:tcW w:w="2081" w:type="dxa"/>
            <w:shd w:val="clear" w:color="auto" w:fill="auto"/>
            <w:tcMar>
              <w:top w:w="60" w:type="dxa"/>
              <w:left w:w="100" w:type="dxa"/>
              <w:bottom w:w="60" w:type="dxa"/>
              <w:right w:w="100" w:type="dxa"/>
            </w:tcMar>
            <w:vAlign w:val="center"/>
          </w:tcPr>
          <w:p w14:paraId="4057BFB6" w14:textId="77777777" w:rsidR="00EA2543" w:rsidRPr="00F35DB1" w:rsidRDefault="00EA2543" w:rsidP="00F35DB1">
            <w:pPr>
              <w:jc w:val="center"/>
              <w:rPr>
                <w:rFonts w:ascii="Arial" w:hAnsi="Arial" w:cs="Arial"/>
                <w:sz w:val="24"/>
                <w:szCs w:val="24"/>
              </w:rPr>
            </w:pPr>
            <w:r w:rsidRPr="00F35DB1">
              <w:rPr>
                <w:rFonts w:ascii="Arial" w:hAnsi="Arial" w:cs="Arial"/>
                <w:color w:val="404040"/>
                <w:sz w:val="24"/>
                <w:szCs w:val="24"/>
              </w:rPr>
              <w:t>Suitable For</w:t>
            </w:r>
          </w:p>
        </w:tc>
        <w:tc>
          <w:tcPr>
            <w:tcW w:w="3645" w:type="dxa"/>
            <w:shd w:val="clear" w:color="auto" w:fill="auto"/>
            <w:tcMar>
              <w:top w:w="60" w:type="dxa"/>
              <w:left w:w="100" w:type="dxa"/>
              <w:bottom w:w="60" w:type="dxa"/>
              <w:right w:w="100" w:type="dxa"/>
            </w:tcMar>
            <w:vAlign w:val="center"/>
          </w:tcPr>
          <w:p w14:paraId="01627D31"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WC buffers, seasonal inventory financing, FX forward collateral, overdraft cover</w:t>
            </w:r>
          </w:p>
        </w:tc>
        <w:tc>
          <w:tcPr>
            <w:tcW w:w="3634" w:type="dxa"/>
            <w:shd w:val="clear" w:color="auto" w:fill="auto"/>
            <w:tcMar>
              <w:top w:w="60" w:type="dxa"/>
              <w:left w:w="100" w:type="dxa"/>
              <w:bottom w:w="60" w:type="dxa"/>
              <w:right w:w="100" w:type="dxa"/>
            </w:tcMar>
            <w:vAlign w:val="center"/>
          </w:tcPr>
          <w:p w14:paraId="3A696CA2"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EV plant CapEx, battery R&amp;D pipelines, solid-state battery investment, infrastructure</w:t>
            </w:r>
          </w:p>
        </w:tc>
      </w:tr>
      <w:tr w:rsidR="00EA2543" w:rsidRPr="00F35DB1" w14:paraId="1180054E" w14:textId="77777777" w:rsidTr="00CF1C66">
        <w:tc>
          <w:tcPr>
            <w:tcW w:w="2081" w:type="dxa"/>
            <w:shd w:val="clear" w:color="auto" w:fill="auto"/>
            <w:tcMar>
              <w:top w:w="60" w:type="dxa"/>
              <w:left w:w="100" w:type="dxa"/>
              <w:bottom w:w="60" w:type="dxa"/>
              <w:right w:w="100" w:type="dxa"/>
            </w:tcMar>
            <w:vAlign w:val="center"/>
          </w:tcPr>
          <w:p w14:paraId="41641E3D" w14:textId="77777777" w:rsidR="00EA2543" w:rsidRPr="00F35DB1" w:rsidRDefault="00EA2543" w:rsidP="00F35DB1">
            <w:pPr>
              <w:jc w:val="center"/>
              <w:rPr>
                <w:rFonts w:ascii="Arial" w:hAnsi="Arial" w:cs="Arial"/>
                <w:sz w:val="24"/>
                <w:szCs w:val="24"/>
              </w:rPr>
            </w:pPr>
            <w:r w:rsidRPr="00F35DB1">
              <w:rPr>
                <w:rFonts w:ascii="Arial" w:hAnsi="Arial" w:cs="Arial"/>
                <w:color w:val="404040"/>
                <w:sz w:val="24"/>
                <w:szCs w:val="24"/>
              </w:rPr>
              <w:t>Hyundai Recommendation</w:t>
            </w:r>
          </w:p>
        </w:tc>
        <w:tc>
          <w:tcPr>
            <w:tcW w:w="3645" w:type="dxa"/>
            <w:shd w:val="clear" w:color="auto" w:fill="auto"/>
            <w:tcMar>
              <w:top w:w="60" w:type="dxa"/>
              <w:left w:w="100" w:type="dxa"/>
              <w:bottom w:w="60" w:type="dxa"/>
              <w:right w:w="100" w:type="dxa"/>
            </w:tcMar>
            <w:vAlign w:val="center"/>
          </w:tcPr>
          <w:p w14:paraId="38E8D085" w14:textId="77777777" w:rsidR="00EA2543" w:rsidRPr="00F35DB1" w:rsidRDefault="00EA2543" w:rsidP="00F35DB1">
            <w:pPr>
              <w:rPr>
                <w:rFonts w:ascii="Arial" w:hAnsi="Arial" w:cs="Arial"/>
                <w:sz w:val="24"/>
                <w:szCs w:val="24"/>
              </w:rPr>
            </w:pPr>
            <w:r w:rsidRPr="00F35DB1">
              <w:rPr>
                <w:rFonts w:ascii="Arial" w:hAnsi="Arial" w:cs="Arial"/>
                <w:color w:val="404040"/>
                <w:sz w:val="24"/>
                <w:szCs w:val="24"/>
              </w:rPr>
              <w:t>Maintain KRW 6–8 trillion committed RCF; renew annually with core banking group</w:t>
            </w:r>
          </w:p>
        </w:tc>
        <w:tc>
          <w:tcPr>
            <w:tcW w:w="3634" w:type="dxa"/>
            <w:shd w:val="clear" w:color="auto" w:fill="auto"/>
            <w:tcMar>
              <w:top w:w="60" w:type="dxa"/>
              <w:left w:w="100" w:type="dxa"/>
              <w:bottom w:w="60" w:type="dxa"/>
              <w:right w:w="100" w:type="dxa"/>
            </w:tcMar>
            <w:vAlign w:val="center"/>
          </w:tcPr>
          <w:p w14:paraId="5694474C" w14:textId="77777777" w:rsidR="00EA2543" w:rsidRPr="00F35DB1" w:rsidRDefault="00EA2543" w:rsidP="003376AB">
            <w:pPr>
              <w:keepNext/>
              <w:rPr>
                <w:rFonts w:ascii="Arial" w:hAnsi="Arial" w:cs="Arial"/>
                <w:sz w:val="24"/>
                <w:szCs w:val="24"/>
              </w:rPr>
            </w:pPr>
            <w:r w:rsidRPr="00F35DB1">
              <w:rPr>
                <w:rFonts w:ascii="Arial" w:hAnsi="Arial" w:cs="Arial"/>
                <w:color w:val="404040"/>
                <w:sz w:val="24"/>
                <w:szCs w:val="24"/>
              </w:rPr>
              <w:t>Issue USD 2–3bn 10-year green bond; refinance short-term bank debt at longer maturities</w:t>
            </w:r>
          </w:p>
        </w:tc>
      </w:tr>
    </w:tbl>
    <w:p w14:paraId="77583AE1" w14:textId="3F6756B5" w:rsidR="00EA2543" w:rsidRPr="00A651E7" w:rsidRDefault="003376AB" w:rsidP="003376AB">
      <w:pPr>
        <w:pStyle w:val="Caption"/>
        <w:rPr>
          <w:rFonts w:ascii="Arial" w:hAnsi="Arial" w:cs="Arial"/>
          <w:sz w:val="24"/>
          <w:szCs w:val="24"/>
        </w:rPr>
      </w:pPr>
      <w:r>
        <w:t xml:space="preserve">Table </w:t>
      </w:r>
      <w:r w:rsidR="00C51DB7">
        <w:t>2.2</w:t>
      </w:r>
      <w:r>
        <w:t xml:space="preserve"> </w:t>
      </w:r>
      <w:r w:rsidRPr="00BD68DF">
        <w:t>Source: Brealey, Myers and Allen (2023); Atrill and McLaney (2021); Author's analysis</w:t>
      </w:r>
    </w:p>
    <w:p w14:paraId="32EBC1B8" w14:textId="77777777" w:rsidR="00A050D6" w:rsidRDefault="00A050D6" w:rsidP="00A050D6">
      <w:pPr>
        <w:spacing w:line="360" w:lineRule="auto"/>
        <w:jc w:val="both"/>
        <w:rPr>
          <w:rFonts w:ascii="Arial" w:hAnsi="Arial" w:cs="Arial"/>
          <w:sz w:val="24"/>
          <w:szCs w:val="24"/>
        </w:rPr>
      </w:pPr>
      <w:r w:rsidRPr="00A050D6">
        <w:rPr>
          <w:rFonts w:ascii="Arial" w:hAnsi="Arial" w:cs="Arial"/>
          <w:sz w:val="24"/>
          <w:szCs w:val="24"/>
        </w:rPr>
        <w:t>Based on Myers’ (1984) Pecking Order Theory, Hyundai will use all the available internal funds and short-term sources before accessing the external long-term market. The proposed combination of RCF for flexibility purposes and green bonds for structuring EVs is consistent with the principle of matching of assets and liabilities maturity (Ross, Westerfield, &amp; Jordan, 2022), and it will allow you to tap into the expanding universe of ESG investors at 10–25 basis points less than traditional bonds (Friede, Busch, &amp; Bassen, 2015).</w:t>
      </w:r>
    </w:p>
    <w:p w14:paraId="56C80039" w14:textId="77777777" w:rsidR="00A2427B" w:rsidRDefault="00A2427B" w:rsidP="00A050D6">
      <w:pPr>
        <w:spacing w:line="360" w:lineRule="auto"/>
        <w:jc w:val="both"/>
        <w:rPr>
          <w:rFonts w:ascii="Arial" w:hAnsi="Arial" w:cs="Arial"/>
          <w:sz w:val="24"/>
          <w:szCs w:val="24"/>
        </w:rPr>
      </w:pPr>
    </w:p>
    <w:p w14:paraId="2679F6E9" w14:textId="77777777" w:rsidR="00A2427B" w:rsidRDefault="00A2427B" w:rsidP="00A050D6">
      <w:pPr>
        <w:spacing w:line="360" w:lineRule="auto"/>
        <w:jc w:val="both"/>
        <w:rPr>
          <w:rFonts w:ascii="Arial" w:hAnsi="Arial" w:cs="Arial"/>
          <w:sz w:val="24"/>
          <w:szCs w:val="24"/>
        </w:rPr>
      </w:pPr>
    </w:p>
    <w:p w14:paraId="00270E6C" w14:textId="77777777" w:rsidR="00A2427B" w:rsidRPr="00A050D6" w:rsidRDefault="00A2427B" w:rsidP="00A050D6">
      <w:pPr>
        <w:spacing w:line="360" w:lineRule="auto"/>
        <w:jc w:val="both"/>
        <w:rPr>
          <w:rFonts w:ascii="Arial" w:hAnsi="Arial" w:cs="Arial"/>
          <w:b/>
          <w:bCs/>
          <w:sz w:val="24"/>
          <w:szCs w:val="24"/>
        </w:rPr>
      </w:pPr>
    </w:p>
    <w:p w14:paraId="4D8F520A" w14:textId="64A1EC1B" w:rsidR="00C46491" w:rsidRDefault="00C46491" w:rsidP="00C46491">
      <w:pPr>
        <w:pStyle w:val="Heading1"/>
      </w:pPr>
      <w:bookmarkStart w:id="28" w:name="_Toc227660490"/>
      <w:r>
        <w:lastRenderedPageBreak/>
        <w:t>Section 3: Strategic Financial Restructuring Plan</w:t>
      </w:r>
      <w:bookmarkEnd w:id="28"/>
    </w:p>
    <w:p w14:paraId="0E4B396E" w14:textId="77777777" w:rsidR="00C46491" w:rsidRDefault="00C46491" w:rsidP="00E73E28">
      <w:pPr>
        <w:pStyle w:val="Heading2"/>
        <w:spacing w:line="360" w:lineRule="auto"/>
      </w:pPr>
      <w:bookmarkStart w:id="29" w:name="_Toc227660491"/>
      <w:r>
        <w:rPr>
          <w:rFonts w:ascii="Arial" w:eastAsia="Arial" w:hAnsi="Arial" w:cs="Arial"/>
          <w:b/>
          <w:bCs/>
          <w:color w:val="2E75B6"/>
        </w:rPr>
        <w:t>3.1 Diagnosis: Structural Financial Challenges</w:t>
      </w:r>
      <w:bookmarkEnd w:id="29"/>
    </w:p>
    <w:p w14:paraId="1864786D" w14:textId="19505CBC" w:rsidR="00E041B0" w:rsidRPr="00E041B0" w:rsidRDefault="00E73E28" w:rsidP="00E73E28">
      <w:pPr>
        <w:spacing w:line="360" w:lineRule="auto"/>
        <w:jc w:val="both"/>
        <w:rPr>
          <w:rFonts w:ascii="Arial" w:hAnsi="Arial" w:cs="Arial"/>
          <w:sz w:val="24"/>
          <w:szCs w:val="24"/>
        </w:rPr>
      </w:pPr>
      <w:r w:rsidRPr="00E73E28">
        <w:rPr>
          <w:rFonts w:ascii="Arial" w:hAnsi="Arial" w:cs="Arial"/>
          <w:sz w:val="24"/>
          <w:szCs w:val="24"/>
        </w:rPr>
        <w:t xml:space="preserve">Three structural inefficiencies continually limit the ability of Hyundai to </w:t>
      </w:r>
      <w:r w:rsidR="00B1768B" w:rsidRPr="00E73E28">
        <w:rPr>
          <w:rFonts w:ascii="Arial" w:hAnsi="Arial" w:cs="Arial"/>
          <w:sz w:val="24"/>
          <w:szCs w:val="24"/>
        </w:rPr>
        <w:t>maximize</w:t>
      </w:r>
      <w:r w:rsidRPr="00E73E28">
        <w:rPr>
          <w:rFonts w:ascii="Arial" w:hAnsi="Arial" w:cs="Arial"/>
          <w:sz w:val="24"/>
          <w:szCs w:val="24"/>
        </w:rPr>
        <w:t xml:space="preserve"> shareholder value. The first reason is the conglomerate discount: Hyundai's wide-ranging structure in passenger EVs, commercial vehicles, financial services and logistics limits its additional value multiple versus a pure-play EV peer with Jensen's (1986) agency theory of conglomerate inefficiency as an explanation of why. Secondly, the Korea Discount: as a function of the cross-shareholding governance structure of Hyundai Motor Group, international institutional investors are deterred from investing in South Korean firms (Choi, 2018; MSCI, 2023), meaning that P/E is compressed to 4.5x versus the peer average levels of 15–20x EV </w:t>
      </w:r>
      <w:r w:rsidR="00666C9C" w:rsidRPr="00666C9C">
        <w:rPr>
          <w:rFonts w:ascii="Arial" w:hAnsi="Arial" w:cs="Arial"/>
          <w:sz w:val="24"/>
          <w:szCs w:val="24"/>
        </w:rPr>
        <w:t>(BloombergNEF, 2024).</w:t>
      </w:r>
      <w:r w:rsidR="00666C9C">
        <w:rPr>
          <w:rFonts w:ascii="Arial" w:hAnsi="Arial" w:cs="Arial"/>
          <w:sz w:val="24"/>
          <w:szCs w:val="24"/>
        </w:rPr>
        <w:t xml:space="preserve"> </w:t>
      </w:r>
      <w:r w:rsidRPr="00E73E28">
        <w:rPr>
          <w:rFonts w:ascii="Arial" w:hAnsi="Arial" w:cs="Arial"/>
          <w:sz w:val="24"/>
          <w:szCs w:val="24"/>
        </w:rPr>
        <w:t>Third, D/E = 1.60x provides upper bound for incremental debt-financed capacity at peak EV investment cycle (Myers, 1984)</w:t>
      </w:r>
      <w:r w:rsidR="00E041B0" w:rsidRPr="00E041B0">
        <w:rPr>
          <w:rFonts w:ascii="Arial" w:hAnsi="Arial" w:cs="Arial"/>
          <w:sz w:val="24"/>
          <w:szCs w:val="24"/>
        </w:rPr>
        <w:t>.</w:t>
      </w:r>
    </w:p>
    <w:p w14:paraId="55CE0F65" w14:textId="77777777" w:rsidR="00C46491" w:rsidRDefault="00C46491" w:rsidP="00585886">
      <w:pPr>
        <w:pStyle w:val="Heading2"/>
        <w:spacing w:line="360" w:lineRule="auto"/>
      </w:pPr>
      <w:bookmarkStart w:id="30" w:name="_Toc227660492"/>
      <w:r>
        <w:rPr>
          <w:rFonts w:ascii="Arial" w:eastAsia="Arial" w:hAnsi="Arial" w:cs="Arial"/>
          <w:b/>
          <w:bCs/>
          <w:color w:val="2E75B6"/>
        </w:rPr>
        <w:t>3.2 Recommended Restructuring Options</w:t>
      </w:r>
      <w:bookmarkEnd w:id="30"/>
    </w:p>
    <w:p w14:paraId="5D316839" w14:textId="77777777" w:rsidR="00C46491" w:rsidRPr="00B67377" w:rsidRDefault="00C46491" w:rsidP="00585886">
      <w:pPr>
        <w:pStyle w:val="Heading3"/>
        <w:spacing w:line="360" w:lineRule="auto"/>
      </w:pPr>
      <w:bookmarkStart w:id="31" w:name="_Toc227660493"/>
      <w:r w:rsidRPr="00B67377">
        <w:rPr>
          <w:rFonts w:ascii="Arial" w:eastAsia="Arial" w:hAnsi="Arial" w:cs="Arial"/>
          <w:b/>
          <w:bCs/>
          <w:color w:val="404040"/>
          <w:u w:color="2E75B6"/>
        </w:rPr>
        <w:t>Option A: Commercial Vehicle Division Partial Divestiture or Spin-Off</w:t>
      </w:r>
      <w:bookmarkEnd w:id="31"/>
    </w:p>
    <w:p w14:paraId="5FA1C261" w14:textId="219F4226" w:rsidR="00C46491" w:rsidRPr="00124BB4" w:rsidRDefault="00C51358" w:rsidP="00585886">
      <w:pPr>
        <w:spacing w:before="50" w:after="50" w:line="360" w:lineRule="auto"/>
        <w:jc w:val="both"/>
        <w:rPr>
          <w:rFonts w:ascii="Arial" w:hAnsi="Arial" w:cs="Arial"/>
          <w:sz w:val="28"/>
          <w:szCs w:val="28"/>
        </w:rPr>
      </w:pPr>
      <w:r w:rsidRPr="00C51358">
        <w:rPr>
          <w:rFonts w:ascii="Arial" w:eastAsia="Arial" w:hAnsi="Arial" w:cs="Arial"/>
          <w:color w:val="404040"/>
          <w:sz w:val="24"/>
          <w:szCs w:val="24"/>
        </w:rPr>
        <w:t>Hyundai's commercial vehicle segment earns ~3–4% operating margins versus ~8% for passenger EVs. Jensen (1986) and Damodaran (2012) both demonstrate that spin-offs of non-core divisions eliminate cross-subsidization and allow capital markets to value each business on its own merits. A partial trade sale or IPO spin-off targeting KRW 4–6 trillion in proceeds would retire short-term bank debt, fund solid-state battery R&amp;D, and sharpen the equity narrative around the IONIQ EV brand—potentially re-rating the parent P/E toward 10–15x.</w:t>
      </w:r>
    </w:p>
    <w:p w14:paraId="5BAAE88A" w14:textId="77777777" w:rsidR="00C46491" w:rsidRPr="00B67377" w:rsidRDefault="00C46491" w:rsidP="00585886">
      <w:pPr>
        <w:pStyle w:val="Heading3"/>
        <w:spacing w:line="360" w:lineRule="auto"/>
      </w:pPr>
      <w:bookmarkStart w:id="32" w:name="_Toc227660494"/>
      <w:r w:rsidRPr="00B67377">
        <w:rPr>
          <w:rFonts w:ascii="Arial" w:eastAsia="Arial" w:hAnsi="Arial" w:cs="Arial"/>
          <w:b/>
          <w:bCs/>
          <w:color w:val="404040"/>
          <w:u w:color="2E75B6"/>
        </w:rPr>
        <w:t>Option B: International Capital Market Access — NYSE/LSE Secondary Listing</w:t>
      </w:r>
      <w:bookmarkEnd w:id="32"/>
    </w:p>
    <w:p w14:paraId="32352ED9" w14:textId="43FA5B38" w:rsidR="00C46491" w:rsidRPr="00124BB4" w:rsidRDefault="00124BB4" w:rsidP="00585886">
      <w:pPr>
        <w:spacing w:before="50" w:after="50" w:line="360" w:lineRule="auto"/>
        <w:jc w:val="both"/>
        <w:rPr>
          <w:sz w:val="28"/>
          <w:szCs w:val="28"/>
        </w:rPr>
      </w:pPr>
      <w:r w:rsidRPr="00124BB4">
        <w:rPr>
          <w:rFonts w:ascii="Arial" w:eastAsia="Arial" w:hAnsi="Arial" w:cs="Arial"/>
          <w:color w:val="404040"/>
          <w:sz w:val="24"/>
          <w:szCs w:val="24"/>
        </w:rPr>
        <w:t>Research by Doidge, Karolyi and Stulz (2004) shows that non-US firms cross-listed on US exchanges command higher valuation multiples through greater analyst coverage, stronger disclosure standards, and broader investor access. A 5% NYSE ADR float could raise USD 3–4 billion, ringfenced for IRA-compliant battery supply chain investment, software-defined vehicle (SDV) technology acquisitions, and IONIQ 7/9 production ramp-up. ESG-focused institutional investors—currently underweight Korean equities—represent USD 15–20 trillion in AUM (MSCI, 2023).</w:t>
      </w:r>
    </w:p>
    <w:p w14:paraId="3D531C04" w14:textId="77777777" w:rsidR="00C46491" w:rsidRPr="00B67377" w:rsidRDefault="00C46491" w:rsidP="00585886">
      <w:pPr>
        <w:pStyle w:val="Heading3"/>
        <w:spacing w:line="360" w:lineRule="auto"/>
      </w:pPr>
      <w:bookmarkStart w:id="33" w:name="_Toc227660495"/>
      <w:r w:rsidRPr="00B67377">
        <w:rPr>
          <w:rFonts w:ascii="Arial" w:eastAsia="Arial" w:hAnsi="Arial" w:cs="Arial"/>
          <w:b/>
          <w:bCs/>
          <w:color w:val="404040"/>
          <w:u w:color="2E75B6"/>
        </w:rPr>
        <w:lastRenderedPageBreak/>
        <w:t>Option C: Green Bond Issuance and Debt Maturity Profile Extension</w:t>
      </w:r>
      <w:bookmarkEnd w:id="33"/>
    </w:p>
    <w:p w14:paraId="14296CDC" w14:textId="77777777" w:rsidR="004B55C7" w:rsidRPr="004B55C7" w:rsidRDefault="004B55C7" w:rsidP="00585886">
      <w:pPr>
        <w:spacing w:before="50" w:after="50" w:line="360" w:lineRule="auto"/>
        <w:jc w:val="both"/>
        <w:rPr>
          <w:sz w:val="28"/>
          <w:szCs w:val="28"/>
        </w:rPr>
      </w:pPr>
      <w:r w:rsidRPr="004B55C7">
        <w:rPr>
          <w:rFonts w:ascii="Arial" w:eastAsia="Arial" w:hAnsi="Arial" w:cs="Arial"/>
          <w:color w:val="404040"/>
          <w:sz w:val="24"/>
          <w:szCs w:val="24"/>
        </w:rPr>
        <w:t>Issuing USD 2–3bn in 10-year investment-grade green bonds (target coupon 4.0–4.5%) would extend Hyundai's average debt maturity from ~3.5 years to &gt;7 years, materially reducing refinancing risk. Friede, Busch and Bassen (2015), in their meta-analysis of over 2,000 studies, confirm that strong ESG credentials consistently lower cost of capital. Sustainability-linked rate step-downs (12.5–25bp coupon reduction on meeting pre-agreed EV sales mix or Scope 3 emissions KPIs) further reduce the all-in cost of debt (ICMA, 2021).</w:t>
      </w:r>
    </w:p>
    <w:p w14:paraId="11EF33BF" w14:textId="64759DBC" w:rsidR="0088366D" w:rsidRDefault="0088366D" w:rsidP="005E7235">
      <w:pPr>
        <w:pStyle w:val="Heading2"/>
      </w:pPr>
      <w:bookmarkStart w:id="34" w:name="_Toc227660496"/>
      <w:r>
        <w:rPr>
          <w:rFonts w:ascii="Arial" w:eastAsia="Arial" w:hAnsi="Arial" w:cs="Arial"/>
          <w:b/>
          <w:bCs/>
          <w:color w:val="2E75B6"/>
        </w:rPr>
        <w:t>3.3 Impact Assessment: Shareholder Value, Debt Structure, and Flexibility</w:t>
      </w:r>
      <w:bookmarkEnd w:id="34"/>
    </w:p>
    <w:p w14:paraId="20A0DB83" w14:textId="77777777" w:rsidR="0088366D" w:rsidRPr="00F35DB1" w:rsidRDefault="0088366D" w:rsidP="00F35DB1">
      <w:pPr>
        <w:pStyle w:val="Heading3"/>
        <w:spacing w:line="360" w:lineRule="auto"/>
      </w:pPr>
      <w:bookmarkStart w:id="35" w:name="_Toc227660497"/>
      <w:r w:rsidRPr="00F35DB1">
        <w:rPr>
          <w:rFonts w:ascii="Arial" w:eastAsia="Arial" w:hAnsi="Arial" w:cs="Arial"/>
          <w:b/>
          <w:bCs/>
          <w:color w:val="404040"/>
          <w:u w:color="2E75B6"/>
        </w:rPr>
        <w:t>Table 3.1 – Post-Restructuring Impact (Projected 2026–2027)</w:t>
      </w:r>
      <w:bookmarkEnd w:id="3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2180"/>
        <w:gridCol w:w="2180"/>
        <w:gridCol w:w="2200"/>
      </w:tblGrid>
      <w:tr w:rsidR="0088366D" w:rsidRPr="00F35DB1" w14:paraId="1C43B28C" w14:textId="77777777" w:rsidTr="00F35DB1">
        <w:tc>
          <w:tcPr>
            <w:tcW w:w="2800" w:type="dxa"/>
            <w:shd w:val="clear" w:color="auto" w:fill="auto"/>
            <w:tcMar>
              <w:top w:w="80" w:type="dxa"/>
              <w:left w:w="100" w:type="dxa"/>
              <w:bottom w:w="80" w:type="dxa"/>
              <w:right w:w="100" w:type="dxa"/>
            </w:tcMar>
            <w:vAlign w:val="center"/>
          </w:tcPr>
          <w:p w14:paraId="5612021C" w14:textId="77777777" w:rsidR="0088366D" w:rsidRPr="00F35DB1" w:rsidRDefault="0088366D" w:rsidP="00F35DB1">
            <w:pPr>
              <w:jc w:val="center"/>
              <w:rPr>
                <w:rFonts w:ascii="Arial" w:hAnsi="Arial" w:cs="Arial"/>
                <w:sz w:val="24"/>
                <w:szCs w:val="24"/>
              </w:rPr>
            </w:pPr>
            <w:r w:rsidRPr="00F35DB1">
              <w:rPr>
                <w:rFonts w:ascii="Arial" w:hAnsi="Arial" w:cs="Arial"/>
                <w:sz w:val="24"/>
                <w:szCs w:val="24"/>
              </w:rPr>
              <w:t>Metric</w:t>
            </w:r>
          </w:p>
        </w:tc>
        <w:tc>
          <w:tcPr>
            <w:tcW w:w="2180" w:type="dxa"/>
            <w:shd w:val="clear" w:color="auto" w:fill="auto"/>
            <w:tcMar>
              <w:top w:w="80" w:type="dxa"/>
              <w:left w:w="100" w:type="dxa"/>
              <w:bottom w:w="80" w:type="dxa"/>
              <w:right w:w="100" w:type="dxa"/>
            </w:tcMar>
            <w:vAlign w:val="center"/>
          </w:tcPr>
          <w:p w14:paraId="0BE7DDFE" w14:textId="5AA2F0BF" w:rsidR="0088366D" w:rsidRPr="00F35DB1" w:rsidRDefault="0088366D" w:rsidP="00F35DB1">
            <w:pPr>
              <w:jc w:val="center"/>
              <w:rPr>
                <w:rFonts w:ascii="Arial" w:hAnsi="Arial" w:cs="Arial"/>
                <w:sz w:val="24"/>
                <w:szCs w:val="24"/>
              </w:rPr>
            </w:pPr>
            <w:r w:rsidRPr="00F35DB1">
              <w:rPr>
                <w:rFonts w:ascii="Arial" w:hAnsi="Arial" w:cs="Arial"/>
                <w:sz w:val="24"/>
                <w:szCs w:val="24"/>
              </w:rPr>
              <w:t>Current 2024</w:t>
            </w:r>
          </w:p>
        </w:tc>
        <w:tc>
          <w:tcPr>
            <w:tcW w:w="2180" w:type="dxa"/>
            <w:shd w:val="clear" w:color="auto" w:fill="auto"/>
            <w:tcMar>
              <w:top w:w="80" w:type="dxa"/>
              <w:left w:w="100" w:type="dxa"/>
              <w:bottom w:w="80" w:type="dxa"/>
              <w:right w:w="100" w:type="dxa"/>
            </w:tcMar>
            <w:vAlign w:val="center"/>
          </w:tcPr>
          <w:p w14:paraId="593C0960" w14:textId="77777777" w:rsidR="0088366D" w:rsidRPr="00F35DB1" w:rsidRDefault="0088366D" w:rsidP="00F35DB1">
            <w:pPr>
              <w:jc w:val="center"/>
              <w:rPr>
                <w:rFonts w:ascii="Arial" w:hAnsi="Arial" w:cs="Arial"/>
                <w:sz w:val="24"/>
                <w:szCs w:val="24"/>
              </w:rPr>
            </w:pPr>
            <w:r w:rsidRPr="00F35DB1">
              <w:rPr>
                <w:rFonts w:ascii="Arial" w:hAnsi="Arial" w:cs="Arial"/>
                <w:sz w:val="24"/>
                <w:szCs w:val="24"/>
              </w:rPr>
              <w:t>Post-Restructuring Target</w:t>
            </w:r>
          </w:p>
        </w:tc>
        <w:tc>
          <w:tcPr>
            <w:tcW w:w="2200" w:type="dxa"/>
            <w:shd w:val="clear" w:color="auto" w:fill="auto"/>
            <w:tcMar>
              <w:top w:w="80" w:type="dxa"/>
              <w:left w:w="100" w:type="dxa"/>
              <w:bottom w:w="80" w:type="dxa"/>
              <w:right w:w="100" w:type="dxa"/>
            </w:tcMar>
            <w:vAlign w:val="center"/>
          </w:tcPr>
          <w:p w14:paraId="6F40993D" w14:textId="77777777" w:rsidR="0088366D" w:rsidRPr="00F35DB1" w:rsidRDefault="0088366D" w:rsidP="00F35DB1">
            <w:pPr>
              <w:jc w:val="center"/>
              <w:rPr>
                <w:rFonts w:ascii="Arial" w:hAnsi="Arial" w:cs="Arial"/>
                <w:sz w:val="24"/>
                <w:szCs w:val="24"/>
              </w:rPr>
            </w:pPr>
            <w:r w:rsidRPr="00F35DB1">
              <w:rPr>
                <w:rFonts w:ascii="Arial" w:hAnsi="Arial" w:cs="Arial"/>
                <w:sz w:val="24"/>
                <w:szCs w:val="24"/>
              </w:rPr>
              <w:t>Expected Change</w:t>
            </w:r>
          </w:p>
        </w:tc>
      </w:tr>
      <w:tr w:rsidR="0088366D" w:rsidRPr="00F35DB1" w14:paraId="7E9AC744" w14:textId="77777777" w:rsidTr="00F35DB1">
        <w:tc>
          <w:tcPr>
            <w:tcW w:w="2800" w:type="dxa"/>
            <w:shd w:val="clear" w:color="auto" w:fill="auto"/>
            <w:tcMar>
              <w:top w:w="60" w:type="dxa"/>
              <w:left w:w="100" w:type="dxa"/>
              <w:bottom w:w="60" w:type="dxa"/>
              <w:right w:w="100" w:type="dxa"/>
            </w:tcMar>
            <w:vAlign w:val="center"/>
          </w:tcPr>
          <w:p w14:paraId="6C256239"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Debt-to-Equity (x)</w:t>
            </w:r>
          </w:p>
        </w:tc>
        <w:tc>
          <w:tcPr>
            <w:tcW w:w="2180" w:type="dxa"/>
            <w:shd w:val="clear" w:color="auto" w:fill="auto"/>
            <w:tcMar>
              <w:top w:w="60" w:type="dxa"/>
              <w:left w:w="100" w:type="dxa"/>
              <w:bottom w:w="60" w:type="dxa"/>
              <w:right w:w="100" w:type="dxa"/>
            </w:tcMar>
            <w:vAlign w:val="center"/>
          </w:tcPr>
          <w:p w14:paraId="71361BD7"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1.60x</w:t>
            </w:r>
          </w:p>
        </w:tc>
        <w:tc>
          <w:tcPr>
            <w:tcW w:w="2180" w:type="dxa"/>
            <w:shd w:val="clear" w:color="auto" w:fill="auto"/>
            <w:tcMar>
              <w:top w:w="60" w:type="dxa"/>
              <w:left w:w="100" w:type="dxa"/>
              <w:bottom w:w="60" w:type="dxa"/>
              <w:right w:w="100" w:type="dxa"/>
            </w:tcMar>
            <w:vAlign w:val="center"/>
          </w:tcPr>
          <w:p w14:paraId="43D7001D"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1.20–1.30x</w:t>
            </w:r>
          </w:p>
        </w:tc>
        <w:tc>
          <w:tcPr>
            <w:tcW w:w="2200" w:type="dxa"/>
            <w:shd w:val="clear" w:color="auto" w:fill="auto"/>
            <w:tcMar>
              <w:top w:w="60" w:type="dxa"/>
              <w:left w:w="100" w:type="dxa"/>
              <w:bottom w:w="60" w:type="dxa"/>
              <w:right w:w="100" w:type="dxa"/>
            </w:tcMar>
            <w:vAlign w:val="center"/>
          </w:tcPr>
          <w:p w14:paraId="2A2C3FDD"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 Improved (−0.30–0.40x)</w:t>
            </w:r>
          </w:p>
        </w:tc>
      </w:tr>
      <w:tr w:rsidR="0088366D" w:rsidRPr="00F35DB1" w14:paraId="6CD55FB3" w14:textId="77777777" w:rsidTr="00F35DB1">
        <w:tc>
          <w:tcPr>
            <w:tcW w:w="2800" w:type="dxa"/>
            <w:shd w:val="clear" w:color="auto" w:fill="auto"/>
            <w:tcMar>
              <w:top w:w="60" w:type="dxa"/>
              <w:left w:w="100" w:type="dxa"/>
              <w:bottom w:w="60" w:type="dxa"/>
              <w:right w:w="100" w:type="dxa"/>
            </w:tcMar>
            <w:vAlign w:val="center"/>
          </w:tcPr>
          <w:p w14:paraId="12DB6E92"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Average Debt Maturity (years)</w:t>
            </w:r>
          </w:p>
        </w:tc>
        <w:tc>
          <w:tcPr>
            <w:tcW w:w="2180" w:type="dxa"/>
            <w:shd w:val="clear" w:color="auto" w:fill="auto"/>
            <w:tcMar>
              <w:top w:w="60" w:type="dxa"/>
              <w:left w:w="100" w:type="dxa"/>
              <w:bottom w:w="60" w:type="dxa"/>
              <w:right w:w="100" w:type="dxa"/>
            </w:tcMar>
            <w:vAlign w:val="center"/>
          </w:tcPr>
          <w:p w14:paraId="072D9C0D" w14:textId="424E8D82" w:rsidR="0088366D" w:rsidRPr="00F35DB1" w:rsidRDefault="0088366D" w:rsidP="00F35DB1">
            <w:pPr>
              <w:rPr>
                <w:rFonts w:ascii="Arial" w:hAnsi="Arial" w:cs="Arial"/>
                <w:sz w:val="24"/>
                <w:szCs w:val="24"/>
              </w:rPr>
            </w:pPr>
            <w:r w:rsidRPr="00F35DB1">
              <w:rPr>
                <w:rFonts w:ascii="Arial" w:hAnsi="Arial" w:cs="Arial"/>
                <w:color w:val="404040"/>
                <w:sz w:val="24"/>
                <w:szCs w:val="24"/>
              </w:rPr>
              <w:t>~3.5 y</w:t>
            </w:r>
            <w:r w:rsidR="004A4BBB">
              <w:rPr>
                <w:rFonts w:ascii="Arial" w:hAnsi="Arial" w:cs="Arial"/>
                <w:color w:val="404040"/>
                <w:sz w:val="24"/>
                <w:szCs w:val="24"/>
              </w:rPr>
              <w:t>ea</w:t>
            </w:r>
            <w:r w:rsidRPr="00F35DB1">
              <w:rPr>
                <w:rFonts w:ascii="Arial" w:hAnsi="Arial" w:cs="Arial"/>
                <w:color w:val="404040"/>
                <w:sz w:val="24"/>
                <w:szCs w:val="24"/>
              </w:rPr>
              <w:t>rs</w:t>
            </w:r>
          </w:p>
        </w:tc>
        <w:tc>
          <w:tcPr>
            <w:tcW w:w="2180" w:type="dxa"/>
            <w:shd w:val="clear" w:color="auto" w:fill="auto"/>
            <w:tcMar>
              <w:top w:w="60" w:type="dxa"/>
              <w:left w:w="100" w:type="dxa"/>
              <w:bottom w:w="60" w:type="dxa"/>
              <w:right w:w="100" w:type="dxa"/>
            </w:tcMar>
            <w:vAlign w:val="center"/>
          </w:tcPr>
          <w:p w14:paraId="7BC85D5C" w14:textId="71A76775" w:rsidR="0088366D" w:rsidRPr="00F35DB1" w:rsidRDefault="0088366D" w:rsidP="00F35DB1">
            <w:pPr>
              <w:rPr>
                <w:rFonts w:ascii="Arial" w:hAnsi="Arial" w:cs="Arial"/>
                <w:sz w:val="24"/>
                <w:szCs w:val="24"/>
              </w:rPr>
            </w:pPr>
            <w:r w:rsidRPr="00F35DB1">
              <w:rPr>
                <w:rFonts w:ascii="Arial" w:hAnsi="Arial" w:cs="Arial"/>
                <w:color w:val="404040"/>
                <w:sz w:val="24"/>
                <w:szCs w:val="24"/>
              </w:rPr>
              <w:t>&gt;7.0 y</w:t>
            </w:r>
            <w:r w:rsidR="006A35A0">
              <w:rPr>
                <w:rFonts w:ascii="Arial" w:hAnsi="Arial" w:cs="Arial"/>
                <w:color w:val="404040"/>
                <w:sz w:val="24"/>
                <w:szCs w:val="24"/>
              </w:rPr>
              <w:t>ea</w:t>
            </w:r>
            <w:r w:rsidRPr="00F35DB1">
              <w:rPr>
                <w:rFonts w:ascii="Arial" w:hAnsi="Arial" w:cs="Arial"/>
                <w:color w:val="404040"/>
                <w:sz w:val="24"/>
                <w:szCs w:val="24"/>
              </w:rPr>
              <w:t>rs</w:t>
            </w:r>
          </w:p>
        </w:tc>
        <w:tc>
          <w:tcPr>
            <w:tcW w:w="2200" w:type="dxa"/>
            <w:shd w:val="clear" w:color="auto" w:fill="auto"/>
            <w:tcMar>
              <w:top w:w="60" w:type="dxa"/>
              <w:left w:w="100" w:type="dxa"/>
              <w:bottom w:w="60" w:type="dxa"/>
              <w:right w:w="100" w:type="dxa"/>
            </w:tcMar>
            <w:vAlign w:val="center"/>
          </w:tcPr>
          <w:p w14:paraId="50B28CEE" w14:textId="265821A1" w:rsidR="0088366D" w:rsidRPr="00F35DB1" w:rsidRDefault="0088366D" w:rsidP="00F35DB1">
            <w:pPr>
              <w:rPr>
                <w:rFonts w:ascii="Arial" w:hAnsi="Arial" w:cs="Arial"/>
                <w:sz w:val="24"/>
                <w:szCs w:val="24"/>
              </w:rPr>
            </w:pPr>
            <w:r w:rsidRPr="00F35DB1">
              <w:rPr>
                <w:rFonts w:ascii="Arial" w:hAnsi="Arial" w:cs="Arial"/>
                <w:color w:val="404040"/>
                <w:sz w:val="24"/>
                <w:szCs w:val="24"/>
              </w:rPr>
              <w:t>↑ Extended (+3.5 y</w:t>
            </w:r>
            <w:r w:rsidR="006A35A0">
              <w:rPr>
                <w:rFonts w:ascii="Arial" w:hAnsi="Arial" w:cs="Arial"/>
                <w:color w:val="404040"/>
                <w:sz w:val="24"/>
                <w:szCs w:val="24"/>
              </w:rPr>
              <w:t>ea</w:t>
            </w:r>
            <w:r w:rsidRPr="00F35DB1">
              <w:rPr>
                <w:rFonts w:ascii="Arial" w:hAnsi="Arial" w:cs="Arial"/>
                <w:color w:val="404040"/>
                <w:sz w:val="24"/>
                <w:szCs w:val="24"/>
              </w:rPr>
              <w:t>rs)</w:t>
            </w:r>
          </w:p>
        </w:tc>
      </w:tr>
      <w:tr w:rsidR="0088366D" w:rsidRPr="00F35DB1" w14:paraId="165B3172" w14:textId="77777777" w:rsidTr="00F35DB1">
        <w:tc>
          <w:tcPr>
            <w:tcW w:w="2800" w:type="dxa"/>
            <w:shd w:val="clear" w:color="auto" w:fill="auto"/>
            <w:tcMar>
              <w:top w:w="60" w:type="dxa"/>
              <w:left w:w="100" w:type="dxa"/>
              <w:bottom w:w="60" w:type="dxa"/>
              <w:right w:w="100" w:type="dxa"/>
            </w:tcMar>
            <w:vAlign w:val="center"/>
          </w:tcPr>
          <w:p w14:paraId="50C53CAE"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Interest Coverage (x)</w:t>
            </w:r>
          </w:p>
        </w:tc>
        <w:tc>
          <w:tcPr>
            <w:tcW w:w="2180" w:type="dxa"/>
            <w:shd w:val="clear" w:color="auto" w:fill="auto"/>
            <w:tcMar>
              <w:top w:w="60" w:type="dxa"/>
              <w:left w:w="100" w:type="dxa"/>
              <w:bottom w:w="60" w:type="dxa"/>
              <w:right w:w="100" w:type="dxa"/>
            </w:tcMar>
            <w:vAlign w:val="center"/>
          </w:tcPr>
          <w:p w14:paraId="39B5B35B"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6.5x</w:t>
            </w:r>
          </w:p>
        </w:tc>
        <w:tc>
          <w:tcPr>
            <w:tcW w:w="2180" w:type="dxa"/>
            <w:shd w:val="clear" w:color="auto" w:fill="auto"/>
            <w:tcMar>
              <w:top w:w="60" w:type="dxa"/>
              <w:left w:w="100" w:type="dxa"/>
              <w:bottom w:w="60" w:type="dxa"/>
              <w:right w:w="100" w:type="dxa"/>
            </w:tcMar>
            <w:vAlign w:val="center"/>
          </w:tcPr>
          <w:p w14:paraId="0AAE833A"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9.0–12.0x</w:t>
            </w:r>
          </w:p>
        </w:tc>
        <w:tc>
          <w:tcPr>
            <w:tcW w:w="2200" w:type="dxa"/>
            <w:shd w:val="clear" w:color="auto" w:fill="auto"/>
            <w:tcMar>
              <w:top w:w="60" w:type="dxa"/>
              <w:left w:w="100" w:type="dxa"/>
              <w:bottom w:w="60" w:type="dxa"/>
              <w:right w:w="100" w:type="dxa"/>
            </w:tcMar>
            <w:vAlign w:val="center"/>
          </w:tcPr>
          <w:p w14:paraId="63ED0163"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 Strengthened</w:t>
            </w:r>
          </w:p>
        </w:tc>
      </w:tr>
      <w:tr w:rsidR="0088366D" w:rsidRPr="00F35DB1" w14:paraId="3A67E4F7" w14:textId="77777777" w:rsidTr="00F35DB1">
        <w:tc>
          <w:tcPr>
            <w:tcW w:w="2800" w:type="dxa"/>
            <w:shd w:val="clear" w:color="auto" w:fill="auto"/>
            <w:tcMar>
              <w:top w:w="60" w:type="dxa"/>
              <w:left w:w="100" w:type="dxa"/>
              <w:bottom w:w="60" w:type="dxa"/>
              <w:right w:w="100" w:type="dxa"/>
            </w:tcMar>
            <w:vAlign w:val="center"/>
          </w:tcPr>
          <w:p w14:paraId="4384AD44"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Cost of Debt (approx.)</w:t>
            </w:r>
          </w:p>
        </w:tc>
        <w:tc>
          <w:tcPr>
            <w:tcW w:w="2180" w:type="dxa"/>
            <w:shd w:val="clear" w:color="auto" w:fill="auto"/>
            <w:tcMar>
              <w:top w:w="60" w:type="dxa"/>
              <w:left w:w="100" w:type="dxa"/>
              <w:bottom w:w="60" w:type="dxa"/>
              <w:right w:w="100" w:type="dxa"/>
            </w:tcMar>
            <w:vAlign w:val="center"/>
          </w:tcPr>
          <w:p w14:paraId="53F7F526"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~4.5%</w:t>
            </w:r>
          </w:p>
        </w:tc>
        <w:tc>
          <w:tcPr>
            <w:tcW w:w="2180" w:type="dxa"/>
            <w:shd w:val="clear" w:color="auto" w:fill="auto"/>
            <w:tcMar>
              <w:top w:w="60" w:type="dxa"/>
              <w:left w:w="100" w:type="dxa"/>
              <w:bottom w:w="60" w:type="dxa"/>
              <w:right w:w="100" w:type="dxa"/>
            </w:tcMar>
            <w:vAlign w:val="center"/>
          </w:tcPr>
          <w:p w14:paraId="6A849EC6"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~3.8–4.0%</w:t>
            </w:r>
          </w:p>
        </w:tc>
        <w:tc>
          <w:tcPr>
            <w:tcW w:w="2200" w:type="dxa"/>
            <w:shd w:val="clear" w:color="auto" w:fill="auto"/>
            <w:tcMar>
              <w:top w:w="60" w:type="dxa"/>
              <w:left w:w="100" w:type="dxa"/>
              <w:bottom w:w="60" w:type="dxa"/>
              <w:right w:w="100" w:type="dxa"/>
            </w:tcMar>
            <w:vAlign w:val="center"/>
          </w:tcPr>
          <w:p w14:paraId="7CCC0850"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 Reduced by 50–70bp</w:t>
            </w:r>
          </w:p>
        </w:tc>
      </w:tr>
      <w:tr w:rsidR="0088366D" w:rsidRPr="00F35DB1" w14:paraId="3928F0B4" w14:textId="77777777" w:rsidTr="00F35DB1">
        <w:tc>
          <w:tcPr>
            <w:tcW w:w="2800" w:type="dxa"/>
            <w:shd w:val="clear" w:color="auto" w:fill="auto"/>
            <w:tcMar>
              <w:top w:w="60" w:type="dxa"/>
              <w:left w:w="100" w:type="dxa"/>
              <w:bottom w:w="60" w:type="dxa"/>
              <w:right w:w="100" w:type="dxa"/>
            </w:tcMar>
            <w:vAlign w:val="center"/>
          </w:tcPr>
          <w:p w14:paraId="3EC7B3F8"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Free Cash Flow (KRW bn)</w:t>
            </w:r>
          </w:p>
        </w:tc>
        <w:tc>
          <w:tcPr>
            <w:tcW w:w="2180" w:type="dxa"/>
            <w:shd w:val="clear" w:color="auto" w:fill="auto"/>
            <w:tcMar>
              <w:top w:w="60" w:type="dxa"/>
              <w:left w:w="100" w:type="dxa"/>
              <w:bottom w:w="60" w:type="dxa"/>
              <w:right w:w="100" w:type="dxa"/>
            </w:tcMar>
            <w:vAlign w:val="center"/>
          </w:tcPr>
          <w:p w14:paraId="0E4FFB93"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5,700</w:t>
            </w:r>
          </w:p>
        </w:tc>
        <w:tc>
          <w:tcPr>
            <w:tcW w:w="2180" w:type="dxa"/>
            <w:shd w:val="clear" w:color="auto" w:fill="auto"/>
            <w:tcMar>
              <w:top w:w="60" w:type="dxa"/>
              <w:left w:w="100" w:type="dxa"/>
              <w:bottom w:w="60" w:type="dxa"/>
              <w:right w:w="100" w:type="dxa"/>
            </w:tcMar>
            <w:vAlign w:val="center"/>
          </w:tcPr>
          <w:p w14:paraId="2D72FF02"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9,000–12,000</w:t>
            </w:r>
          </w:p>
        </w:tc>
        <w:tc>
          <w:tcPr>
            <w:tcW w:w="2200" w:type="dxa"/>
            <w:shd w:val="clear" w:color="auto" w:fill="auto"/>
            <w:tcMar>
              <w:top w:w="60" w:type="dxa"/>
              <w:left w:w="100" w:type="dxa"/>
              <w:bottom w:w="60" w:type="dxa"/>
              <w:right w:w="100" w:type="dxa"/>
            </w:tcMar>
            <w:vAlign w:val="center"/>
          </w:tcPr>
          <w:p w14:paraId="2FADC9F1"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 Enhanced</w:t>
            </w:r>
          </w:p>
        </w:tc>
      </w:tr>
      <w:tr w:rsidR="0088366D" w:rsidRPr="00F35DB1" w14:paraId="2194B212" w14:textId="77777777" w:rsidTr="00F35DB1">
        <w:tc>
          <w:tcPr>
            <w:tcW w:w="2800" w:type="dxa"/>
            <w:shd w:val="clear" w:color="auto" w:fill="auto"/>
            <w:tcMar>
              <w:top w:w="60" w:type="dxa"/>
              <w:left w:w="100" w:type="dxa"/>
              <w:bottom w:w="60" w:type="dxa"/>
              <w:right w:w="100" w:type="dxa"/>
            </w:tcMar>
            <w:vAlign w:val="center"/>
          </w:tcPr>
          <w:p w14:paraId="72A6EE2C"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P/E Multiple (approx.)</w:t>
            </w:r>
          </w:p>
        </w:tc>
        <w:tc>
          <w:tcPr>
            <w:tcW w:w="2180" w:type="dxa"/>
            <w:shd w:val="clear" w:color="auto" w:fill="auto"/>
            <w:tcMar>
              <w:top w:w="60" w:type="dxa"/>
              <w:left w:w="100" w:type="dxa"/>
              <w:bottom w:w="60" w:type="dxa"/>
              <w:right w:w="100" w:type="dxa"/>
            </w:tcMar>
            <w:vAlign w:val="center"/>
          </w:tcPr>
          <w:p w14:paraId="090C0473"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4.5x</w:t>
            </w:r>
          </w:p>
        </w:tc>
        <w:tc>
          <w:tcPr>
            <w:tcW w:w="2180" w:type="dxa"/>
            <w:shd w:val="clear" w:color="auto" w:fill="auto"/>
            <w:tcMar>
              <w:top w:w="60" w:type="dxa"/>
              <w:left w:w="100" w:type="dxa"/>
              <w:bottom w:w="60" w:type="dxa"/>
              <w:right w:w="100" w:type="dxa"/>
            </w:tcMar>
            <w:vAlign w:val="center"/>
          </w:tcPr>
          <w:p w14:paraId="2D136A00"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8–14x</w:t>
            </w:r>
          </w:p>
        </w:tc>
        <w:tc>
          <w:tcPr>
            <w:tcW w:w="2200" w:type="dxa"/>
            <w:shd w:val="clear" w:color="auto" w:fill="auto"/>
            <w:tcMar>
              <w:top w:w="60" w:type="dxa"/>
              <w:left w:w="100" w:type="dxa"/>
              <w:bottom w:w="60" w:type="dxa"/>
              <w:right w:w="100" w:type="dxa"/>
            </w:tcMar>
            <w:vAlign w:val="center"/>
          </w:tcPr>
          <w:p w14:paraId="5CD63AA5"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 Re-rating potential</w:t>
            </w:r>
          </w:p>
        </w:tc>
      </w:tr>
      <w:tr w:rsidR="0088366D" w:rsidRPr="00F35DB1" w14:paraId="752B2BD0" w14:textId="77777777" w:rsidTr="00F35DB1">
        <w:tc>
          <w:tcPr>
            <w:tcW w:w="2800" w:type="dxa"/>
            <w:shd w:val="clear" w:color="auto" w:fill="auto"/>
            <w:tcMar>
              <w:top w:w="60" w:type="dxa"/>
              <w:left w:w="100" w:type="dxa"/>
              <w:bottom w:w="60" w:type="dxa"/>
              <w:right w:w="100" w:type="dxa"/>
            </w:tcMar>
            <w:vAlign w:val="center"/>
          </w:tcPr>
          <w:p w14:paraId="6080261E"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P/B Ratio</w:t>
            </w:r>
          </w:p>
        </w:tc>
        <w:tc>
          <w:tcPr>
            <w:tcW w:w="2180" w:type="dxa"/>
            <w:shd w:val="clear" w:color="auto" w:fill="auto"/>
            <w:tcMar>
              <w:top w:w="60" w:type="dxa"/>
              <w:left w:w="100" w:type="dxa"/>
              <w:bottom w:w="60" w:type="dxa"/>
              <w:right w:w="100" w:type="dxa"/>
            </w:tcMar>
            <w:vAlign w:val="center"/>
          </w:tcPr>
          <w:p w14:paraId="2F4334FA"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0.47x</w:t>
            </w:r>
          </w:p>
        </w:tc>
        <w:tc>
          <w:tcPr>
            <w:tcW w:w="2180" w:type="dxa"/>
            <w:shd w:val="clear" w:color="auto" w:fill="auto"/>
            <w:tcMar>
              <w:top w:w="60" w:type="dxa"/>
              <w:left w:w="100" w:type="dxa"/>
              <w:bottom w:w="60" w:type="dxa"/>
              <w:right w:w="100" w:type="dxa"/>
            </w:tcMar>
            <w:vAlign w:val="center"/>
          </w:tcPr>
          <w:p w14:paraId="405419C3"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0.8–1.0x</w:t>
            </w:r>
          </w:p>
        </w:tc>
        <w:tc>
          <w:tcPr>
            <w:tcW w:w="2200" w:type="dxa"/>
            <w:shd w:val="clear" w:color="auto" w:fill="auto"/>
            <w:tcMar>
              <w:top w:w="60" w:type="dxa"/>
              <w:left w:w="100" w:type="dxa"/>
              <w:bottom w:w="60" w:type="dxa"/>
              <w:right w:w="100" w:type="dxa"/>
            </w:tcMar>
            <w:vAlign w:val="center"/>
          </w:tcPr>
          <w:p w14:paraId="756D177E"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 Significant re-rating</w:t>
            </w:r>
          </w:p>
        </w:tc>
      </w:tr>
      <w:tr w:rsidR="0088366D" w:rsidRPr="00F35DB1" w14:paraId="5030E58E" w14:textId="77777777" w:rsidTr="00F35DB1">
        <w:tc>
          <w:tcPr>
            <w:tcW w:w="2800" w:type="dxa"/>
            <w:shd w:val="clear" w:color="auto" w:fill="auto"/>
            <w:tcMar>
              <w:top w:w="60" w:type="dxa"/>
              <w:left w:w="100" w:type="dxa"/>
              <w:bottom w:w="60" w:type="dxa"/>
              <w:right w:w="100" w:type="dxa"/>
            </w:tcMar>
            <w:vAlign w:val="center"/>
          </w:tcPr>
          <w:p w14:paraId="143CD243" w14:textId="77777777" w:rsidR="0088366D" w:rsidRPr="00F35DB1" w:rsidRDefault="0088366D" w:rsidP="00F35DB1">
            <w:pPr>
              <w:jc w:val="center"/>
              <w:rPr>
                <w:rFonts w:ascii="Arial" w:hAnsi="Arial" w:cs="Arial"/>
                <w:sz w:val="24"/>
                <w:szCs w:val="24"/>
              </w:rPr>
            </w:pPr>
            <w:r w:rsidRPr="00F35DB1">
              <w:rPr>
                <w:rFonts w:ascii="Arial" w:hAnsi="Arial" w:cs="Arial"/>
                <w:color w:val="404040"/>
                <w:sz w:val="24"/>
                <w:szCs w:val="24"/>
              </w:rPr>
              <w:t>International Investor Base</w:t>
            </w:r>
          </w:p>
        </w:tc>
        <w:tc>
          <w:tcPr>
            <w:tcW w:w="2180" w:type="dxa"/>
            <w:shd w:val="clear" w:color="auto" w:fill="auto"/>
            <w:tcMar>
              <w:top w:w="60" w:type="dxa"/>
              <w:left w:w="100" w:type="dxa"/>
              <w:bottom w:w="60" w:type="dxa"/>
              <w:right w:w="100" w:type="dxa"/>
            </w:tcMar>
            <w:vAlign w:val="center"/>
          </w:tcPr>
          <w:p w14:paraId="7C5B0604"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Predominantly domestic</w:t>
            </w:r>
          </w:p>
        </w:tc>
        <w:tc>
          <w:tcPr>
            <w:tcW w:w="2180" w:type="dxa"/>
            <w:shd w:val="clear" w:color="auto" w:fill="auto"/>
            <w:tcMar>
              <w:top w:w="60" w:type="dxa"/>
              <w:left w:w="100" w:type="dxa"/>
              <w:bottom w:w="60" w:type="dxa"/>
              <w:right w:w="100" w:type="dxa"/>
            </w:tcMar>
            <w:vAlign w:val="center"/>
          </w:tcPr>
          <w:p w14:paraId="4B02B1B3" w14:textId="77777777" w:rsidR="0088366D" w:rsidRPr="00F35DB1" w:rsidRDefault="0088366D" w:rsidP="00F35DB1">
            <w:pPr>
              <w:rPr>
                <w:rFonts w:ascii="Arial" w:hAnsi="Arial" w:cs="Arial"/>
                <w:sz w:val="24"/>
                <w:szCs w:val="24"/>
              </w:rPr>
            </w:pPr>
            <w:r w:rsidRPr="00F35DB1">
              <w:rPr>
                <w:rFonts w:ascii="Arial" w:hAnsi="Arial" w:cs="Arial"/>
                <w:color w:val="404040"/>
                <w:sz w:val="24"/>
                <w:szCs w:val="24"/>
              </w:rPr>
              <w:t>Global institutional mix</w:t>
            </w:r>
          </w:p>
        </w:tc>
        <w:tc>
          <w:tcPr>
            <w:tcW w:w="2200" w:type="dxa"/>
            <w:shd w:val="clear" w:color="auto" w:fill="auto"/>
            <w:tcMar>
              <w:top w:w="60" w:type="dxa"/>
              <w:left w:w="100" w:type="dxa"/>
              <w:bottom w:w="60" w:type="dxa"/>
              <w:right w:w="100" w:type="dxa"/>
            </w:tcMar>
            <w:vAlign w:val="center"/>
          </w:tcPr>
          <w:p w14:paraId="41680FBF" w14:textId="77777777" w:rsidR="0088366D" w:rsidRPr="00F35DB1" w:rsidRDefault="0088366D" w:rsidP="0085146A">
            <w:pPr>
              <w:keepNext/>
              <w:rPr>
                <w:rFonts w:ascii="Arial" w:hAnsi="Arial" w:cs="Arial"/>
                <w:sz w:val="24"/>
                <w:szCs w:val="24"/>
              </w:rPr>
            </w:pPr>
            <w:r w:rsidRPr="00F35DB1">
              <w:rPr>
                <w:rFonts w:ascii="Arial" w:hAnsi="Arial" w:cs="Arial"/>
                <w:color w:val="404040"/>
                <w:sz w:val="24"/>
                <w:szCs w:val="24"/>
              </w:rPr>
              <w:t>↑ Diversified</w:t>
            </w:r>
          </w:p>
        </w:tc>
      </w:tr>
    </w:tbl>
    <w:p w14:paraId="2FB70717" w14:textId="684C5505" w:rsidR="0085146A" w:rsidRDefault="0085146A">
      <w:pPr>
        <w:pStyle w:val="Caption"/>
      </w:pPr>
      <w:r>
        <w:t xml:space="preserve">Table 3.1 </w:t>
      </w:r>
      <w:r w:rsidRPr="00900277">
        <w:t>Source: Author's estimates based on Hyundai Motor Company Annual Reports 2024E; Damodaran (2012); McKinsey and Company (2023)</w:t>
      </w:r>
    </w:p>
    <w:p w14:paraId="75700824" w14:textId="6A249C68" w:rsidR="0088366D" w:rsidRPr="0085146A" w:rsidRDefault="0085146A" w:rsidP="0085146A">
      <w:pPr>
        <w:spacing w:before="60" w:after="60" w:line="360" w:lineRule="auto"/>
        <w:jc w:val="both"/>
        <w:rPr>
          <w:sz w:val="24"/>
          <w:szCs w:val="24"/>
        </w:rPr>
      </w:pPr>
      <w:r w:rsidRPr="0085146A">
        <w:rPr>
          <w:rFonts w:ascii="Arial" w:eastAsia="Arial" w:hAnsi="Arial" w:cs="Arial"/>
          <w:color w:val="404040"/>
          <w:sz w:val="24"/>
          <w:szCs w:val="24"/>
        </w:rPr>
        <w:lastRenderedPageBreak/>
        <w:t>Combined, the three options could re-rate Hyundai's P/E from 4.5x toward 8–14x without any improvement in underlying earnings—a 'structural value creation' mechanism described by Damodaran (2012). A P/E of 10x applied to 2024E EPS of KRW 50,700 implies a share price of KRW 507,000 versus ~KRW 230,000 currently, representing a near-doubling of shareholder wealth</w:t>
      </w:r>
      <w:r w:rsidR="0088366D" w:rsidRPr="0085146A">
        <w:rPr>
          <w:rFonts w:ascii="Arial" w:eastAsia="Arial" w:hAnsi="Arial" w:cs="Arial"/>
          <w:color w:val="404040"/>
          <w:sz w:val="24"/>
          <w:szCs w:val="24"/>
        </w:rPr>
        <w:t>.</w:t>
      </w:r>
    </w:p>
    <w:p w14:paraId="65F546AF" w14:textId="77777777" w:rsidR="0088366D" w:rsidRDefault="0088366D" w:rsidP="0088366D">
      <w:pPr>
        <w:pStyle w:val="Heading2"/>
      </w:pPr>
      <w:bookmarkStart w:id="36" w:name="_Toc227660498"/>
      <w:r>
        <w:rPr>
          <w:rFonts w:ascii="Arial" w:eastAsia="Arial" w:hAnsi="Arial" w:cs="Arial"/>
          <w:b/>
          <w:bCs/>
          <w:color w:val="2E75B6"/>
        </w:rPr>
        <w:t>3.4 International and Ethical Considerations</w:t>
      </w:r>
      <w:bookmarkEnd w:id="36"/>
    </w:p>
    <w:p w14:paraId="0DA5A049" w14:textId="77777777" w:rsidR="0088366D" w:rsidRPr="00B67377" w:rsidRDefault="0088366D" w:rsidP="0088366D">
      <w:pPr>
        <w:pStyle w:val="Heading3"/>
      </w:pPr>
      <w:bookmarkStart w:id="37" w:name="_Toc227660499"/>
      <w:r w:rsidRPr="00B67377">
        <w:rPr>
          <w:rFonts w:ascii="Arial" w:eastAsia="Arial" w:hAnsi="Arial" w:cs="Arial"/>
          <w:b/>
          <w:bCs/>
          <w:color w:val="404040"/>
        </w:rPr>
        <w:t>Currency Risk Management</w:t>
      </w:r>
      <w:bookmarkEnd w:id="37"/>
    </w:p>
    <w:p w14:paraId="56BAD60D" w14:textId="6BBC6DD4" w:rsidR="0088366D" w:rsidRPr="00280B1F" w:rsidRDefault="0088366D" w:rsidP="00280B1F">
      <w:pPr>
        <w:spacing w:before="60" w:after="60" w:line="360" w:lineRule="auto"/>
        <w:jc w:val="both"/>
        <w:rPr>
          <w:sz w:val="24"/>
          <w:szCs w:val="24"/>
        </w:rPr>
      </w:pPr>
      <w:r w:rsidRPr="00280B1F">
        <w:rPr>
          <w:rFonts w:ascii="Arial" w:eastAsia="Arial" w:hAnsi="Arial" w:cs="Arial"/>
          <w:color w:val="404040"/>
          <w:sz w:val="24"/>
          <w:szCs w:val="24"/>
        </w:rPr>
        <w:t>Hyundai's ~65% non-Korean revenue base creates substantial transaction and translation FX exposure. The KRW/USD, KRW/EUR, and KRW/AUD pairs are the most material. A 10% KRW appreciation would reduce operating profit by an estimated KRW 1.5–2.0 trillion. Recommended actions: implement a rolling 12-month forward contract program covering 70% of net USD and EUR exposures; establish natural hedging by matching USD costs (US manufacturing, USD-priced lithium contracts) against USD revenues; and use cross-currency swaps to convert KRW green bond issuance proceeds into USD for US capital expenditure deployment.</w:t>
      </w:r>
    </w:p>
    <w:p w14:paraId="58B2A636" w14:textId="77777777" w:rsidR="0088366D" w:rsidRPr="00B67377" w:rsidRDefault="0088366D" w:rsidP="0088366D">
      <w:pPr>
        <w:pStyle w:val="Heading3"/>
      </w:pPr>
      <w:bookmarkStart w:id="38" w:name="_Toc227660500"/>
      <w:r w:rsidRPr="00B67377">
        <w:rPr>
          <w:rFonts w:ascii="Arial" w:eastAsia="Arial" w:hAnsi="Arial" w:cs="Arial"/>
          <w:b/>
          <w:bCs/>
          <w:color w:val="404040"/>
          <w:u w:color="2E75B6"/>
        </w:rPr>
        <w:t>Taxation and Transfer Pricing</w:t>
      </w:r>
      <w:bookmarkEnd w:id="38"/>
    </w:p>
    <w:p w14:paraId="29629E23" w14:textId="0B93AFD2" w:rsidR="00FE583A" w:rsidRPr="00280B1F" w:rsidRDefault="0088366D" w:rsidP="00280B1F">
      <w:pPr>
        <w:spacing w:before="60" w:after="60" w:line="360" w:lineRule="auto"/>
        <w:jc w:val="both"/>
        <w:rPr>
          <w:sz w:val="24"/>
          <w:szCs w:val="24"/>
        </w:rPr>
      </w:pPr>
      <w:r w:rsidRPr="00280B1F">
        <w:rPr>
          <w:rFonts w:ascii="Arial" w:eastAsia="Arial" w:hAnsi="Arial" w:cs="Arial"/>
          <w:color w:val="404040"/>
          <w:sz w:val="24"/>
          <w:szCs w:val="24"/>
        </w:rPr>
        <w:t>Hyundai's cross-border manufacturing footprint (Korea, US, Czech Republic, India, Slovakia) creates transfer pricing obligations in multiple jurisdictions. With OECD BEPS Pillar Two's global minimum tax rate of 15% now operational in most key markets, the CFO must ensure all intercompany transactions (IP royalties for IONIQ brand licensing, E-GMP platform fees, shared service recharges) are</w:t>
      </w:r>
      <w:r w:rsidR="00FE583A" w:rsidRPr="00280B1F">
        <w:rPr>
          <w:rFonts w:ascii="Arial" w:eastAsia="Arial" w:hAnsi="Arial" w:cs="Arial"/>
          <w:color w:val="404040"/>
          <w:sz w:val="24"/>
          <w:szCs w:val="24"/>
        </w:rPr>
        <w:t xml:space="preserve"> documented at arm's length and reviewed annually by independent tax advisers. Failure to do so risks material tax adjustments, penalties, and reputational damage that could undermine the planned NYSE listing.</w:t>
      </w:r>
    </w:p>
    <w:p w14:paraId="4759702B" w14:textId="77777777" w:rsidR="00FE583A" w:rsidRDefault="00FE583A" w:rsidP="00FE583A"/>
    <w:p w14:paraId="4D30F816" w14:textId="77777777" w:rsidR="00FE583A" w:rsidRPr="00B67377" w:rsidRDefault="00FE583A" w:rsidP="00FE583A">
      <w:pPr>
        <w:pStyle w:val="Heading3"/>
      </w:pPr>
      <w:bookmarkStart w:id="39" w:name="_Toc227660501"/>
      <w:r w:rsidRPr="00B67377">
        <w:rPr>
          <w:rFonts w:ascii="Arial" w:eastAsia="Arial" w:hAnsi="Arial" w:cs="Arial"/>
          <w:b/>
          <w:bCs/>
          <w:color w:val="404040"/>
          <w:u w:color="2E75B6"/>
        </w:rPr>
        <w:t>Inflation and Input Cost Hedging</w:t>
      </w:r>
      <w:bookmarkEnd w:id="39"/>
    </w:p>
    <w:p w14:paraId="23997D72" w14:textId="18F751C7" w:rsidR="00FE583A" w:rsidRPr="00E40A82" w:rsidRDefault="00FE583A" w:rsidP="00E40A82">
      <w:pPr>
        <w:spacing w:before="60" w:after="60" w:line="360" w:lineRule="auto"/>
        <w:jc w:val="both"/>
        <w:rPr>
          <w:sz w:val="24"/>
          <w:szCs w:val="24"/>
        </w:rPr>
      </w:pPr>
      <w:r w:rsidRPr="00280B1F">
        <w:rPr>
          <w:rFonts w:ascii="Arial" w:eastAsia="Arial" w:hAnsi="Arial" w:cs="Arial"/>
          <w:color w:val="404040"/>
          <w:sz w:val="24"/>
          <w:szCs w:val="24"/>
        </w:rPr>
        <w:t xml:space="preserve">Battery raw material costs—lithium carbonate, cobalt, nickel—experienced price cycles of +400% (2020–2022) and subsequent sharp corrections in 2023–2024. The CFO recommends securing 3–5 year fixed-price offtake agreements with diversified lithium producers in Chile, Australia, and Canada (allied nations under IRA), supplemented by co-investment options in upstream mining assets. Steel and </w:t>
      </w:r>
      <w:r w:rsidR="00B67377" w:rsidRPr="00280B1F">
        <w:rPr>
          <w:rFonts w:ascii="Arial" w:eastAsia="Arial" w:hAnsi="Arial" w:cs="Arial"/>
          <w:color w:val="404040"/>
          <w:sz w:val="24"/>
          <w:szCs w:val="24"/>
        </w:rPr>
        <w:t>aluminum</w:t>
      </w:r>
      <w:r w:rsidRPr="00280B1F">
        <w:rPr>
          <w:rFonts w:ascii="Arial" w:eastAsia="Arial" w:hAnsi="Arial" w:cs="Arial"/>
          <w:color w:val="404040"/>
          <w:sz w:val="24"/>
          <w:szCs w:val="24"/>
        </w:rPr>
        <w:t xml:space="preserve"> price risk should </w:t>
      </w:r>
      <w:r w:rsidRPr="00280B1F">
        <w:rPr>
          <w:rFonts w:ascii="Arial" w:eastAsia="Arial" w:hAnsi="Arial" w:cs="Arial"/>
          <w:color w:val="404040"/>
          <w:sz w:val="24"/>
          <w:szCs w:val="24"/>
        </w:rPr>
        <w:lastRenderedPageBreak/>
        <w:t>be hedged through commodity swap facilities with core banking partners on a rolling 6-month forward basis.</w:t>
      </w:r>
    </w:p>
    <w:p w14:paraId="526E3BC8" w14:textId="77777777" w:rsidR="00FE583A" w:rsidRPr="00B67377" w:rsidRDefault="00FE583A" w:rsidP="00FE583A">
      <w:pPr>
        <w:pStyle w:val="Heading3"/>
      </w:pPr>
      <w:bookmarkStart w:id="40" w:name="_Toc227660502"/>
      <w:r w:rsidRPr="00B67377">
        <w:rPr>
          <w:rFonts w:ascii="Arial" w:eastAsia="Arial" w:hAnsi="Arial" w:cs="Arial"/>
          <w:b/>
          <w:bCs/>
          <w:color w:val="404040"/>
        </w:rPr>
        <w:t>Corporate Social Responsibility (CSR) and Ethical Governance</w:t>
      </w:r>
      <w:bookmarkEnd w:id="40"/>
    </w:p>
    <w:p w14:paraId="69F8386D" w14:textId="36C72269" w:rsidR="00FE583A" w:rsidRDefault="00FE583A" w:rsidP="00280B1F">
      <w:pPr>
        <w:spacing w:before="60" w:after="60" w:line="360" w:lineRule="auto"/>
        <w:jc w:val="both"/>
        <w:rPr>
          <w:rFonts w:ascii="Arial" w:eastAsia="Arial" w:hAnsi="Arial" w:cs="Arial"/>
          <w:color w:val="404040"/>
          <w:sz w:val="24"/>
          <w:szCs w:val="24"/>
        </w:rPr>
      </w:pPr>
      <w:r w:rsidRPr="00280B1F">
        <w:rPr>
          <w:rFonts w:ascii="Arial" w:eastAsia="Arial" w:hAnsi="Arial" w:cs="Arial"/>
          <w:color w:val="404040"/>
          <w:sz w:val="24"/>
          <w:szCs w:val="24"/>
        </w:rPr>
        <w:t xml:space="preserve">Hyundai's restructuring plan must embed ESG at every decision point. Specific ethical commitments include: mandatory supply chain due diligence on cobalt sourcing to eliminate exposure to artisanal mining in the DRC (Democratic Republic of Congo), where child and forced </w:t>
      </w:r>
      <w:r w:rsidR="00E40A82" w:rsidRPr="00280B1F">
        <w:rPr>
          <w:rFonts w:ascii="Arial" w:eastAsia="Arial" w:hAnsi="Arial" w:cs="Arial"/>
          <w:color w:val="404040"/>
          <w:sz w:val="24"/>
          <w:szCs w:val="24"/>
        </w:rPr>
        <w:t>labor</w:t>
      </w:r>
      <w:r w:rsidRPr="00280B1F">
        <w:rPr>
          <w:rFonts w:ascii="Arial" w:eastAsia="Arial" w:hAnsi="Arial" w:cs="Arial"/>
          <w:color w:val="404040"/>
          <w:sz w:val="24"/>
          <w:szCs w:val="24"/>
        </w:rPr>
        <w:t xml:space="preserve"> risks are documented; TCFD-aligned climate risk disclosure in all bond prospectuses and annual reports; a just transition workforce plan for employees transitioning from ICE production lines to EV manufacturing, including retraining </w:t>
      </w:r>
      <w:r w:rsidR="00F153B1" w:rsidRPr="00280B1F">
        <w:rPr>
          <w:rFonts w:ascii="Arial" w:eastAsia="Arial" w:hAnsi="Arial" w:cs="Arial"/>
          <w:color w:val="404040"/>
          <w:sz w:val="24"/>
          <w:szCs w:val="24"/>
        </w:rPr>
        <w:t>programs</w:t>
      </w:r>
      <w:r w:rsidRPr="00280B1F">
        <w:rPr>
          <w:rFonts w:ascii="Arial" w:eastAsia="Arial" w:hAnsi="Arial" w:cs="Arial"/>
          <w:color w:val="404040"/>
          <w:sz w:val="24"/>
          <w:szCs w:val="24"/>
        </w:rPr>
        <w:t xml:space="preserve"> and social protection commitments; and alignment with the UN Sustainable Development Goals (SDGs) in all capital allocation decisions—particularly SDG 7 (affordable clean energy), SDG 8 (decent work), and SDG 13 (climate action). These commitments are not merely reputational—they are prerequisites for accessing sustainability-linked capital markets and for maintaining the social </w:t>
      </w:r>
      <w:r w:rsidR="00E40A82" w:rsidRPr="00280B1F">
        <w:rPr>
          <w:rFonts w:ascii="Arial" w:eastAsia="Arial" w:hAnsi="Arial" w:cs="Arial"/>
          <w:color w:val="404040"/>
          <w:sz w:val="24"/>
          <w:szCs w:val="24"/>
        </w:rPr>
        <w:t>license</w:t>
      </w:r>
      <w:r w:rsidRPr="00280B1F">
        <w:rPr>
          <w:rFonts w:ascii="Arial" w:eastAsia="Arial" w:hAnsi="Arial" w:cs="Arial"/>
          <w:color w:val="404040"/>
          <w:sz w:val="24"/>
          <w:szCs w:val="24"/>
        </w:rPr>
        <w:t xml:space="preserve"> to operate in key regulatory jurisdictions.</w:t>
      </w:r>
    </w:p>
    <w:p w14:paraId="6110B463" w14:textId="77777777" w:rsidR="00B1768B" w:rsidRDefault="00B1768B" w:rsidP="00280B1F">
      <w:pPr>
        <w:spacing w:before="60" w:after="60" w:line="360" w:lineRule="auto"/>
        <w:jc w:val="both"/>
        <w:rPr>
          <w:rFonts w:ascii="Arial" w:eastAsia="Arial" w:hAnsi="Arial" w:cs="Arial"/>
          <w:color w:val="404040"/>
          <w:sz w:val="24"/>
          <w:szCs w:val="24"/>
        </w:rPr>
      </w:pPr>
    </w:p>
    <w:p w14:paraId="6A85915B" w14:textId="77777777" w:rsidR="00B1768B" w:rsidRDefault="00B1768B" w:rsidP="00280B1F">
      <w:pPr>
        <w:spacing w:before="60" w:after="60" w:line="360" w:lineRule="auto"/>
        <w:jc w:val="both"/>
        <w:rPr>
          <w:sz w:val="24"/>
          <w:szCs w:val="24"/>
        </w:rPr>
      </w:pPr>
    </w:p>
    <w:p w14:paraId="1FB1D989" w14:textId="77777777" w:rsidR="00A2427B" w:rsidRDefault="00A2427B" w:rsidP="00280B1F">
      <w:pPr>
        <w:spacing w:before="60" w:after="60" w:line="360" w:lineRule="auto"/>
        <w:jc w:val="both"/>
        <w:rPr>
          <w:sz w:val="24"/>
          <w:szCs w:val="24"/>
        </w:rPr>
      </w:pPr>
    </w:p>
    <w:p w14:paraId="3F54A61F" w14:textId="77777777" w:rsidR="00A2427B" w:rsidRDefault="00A2427B" w:rsidP="00280B1F">
      <w:pPr>
        <w:spacing w:before="60" w:after="60" w:line="360" w:lineRule="auto"/>
        <w:jc w:val="both"/>
        <w:rPr>
          <w:sz w:val="24"/>
          <w:szCs w:val="24"/>
        </w:rPr>
      </w:pPr>
    </w:p>
    <w:p w14:paraId="4362D87B" w14:textId="77777777" w:rsidR="00A2427B" w:rsidRDefault="00A2427B" w:rsidP="00280B1F">
      <w:pPr>
        <w:spacing w:before="60" w:after="60" w:line="360" w:lineRule="auto"/>
        <w:jc w:val="both"/>
        <w:rPr>
          <w:sz w:val="24"/>
          <w:szCs w:val="24"/>
        </w:rPr>
      </w:pPr>
    </w:p>
    <w:p w14:paraId="3B293729" w14:textId="77777777" w:rsidR="00A2427B" w:rsidRDefault="00A2427B" w:rsidP="00280B1F">
      <w:pPr>
        <w:spacing w:before="60" w:after="60" w:line="360" w:lineRule="auto"/>
        <w:jc w:val="both"/>
        <w:rPr>
          <w:sz w:val="24"/>
          <w:szCs w:val="24"/>
        </w:rPr>
      </w:pPr>
    </w:p>
    <w:p w14:paraId="4BE9B136" w14:textId="77777777" w:rsidR="00A2427B" w:rsidRDefault="00A2427B" w:rsidP="00280B1F">
      <w:pPr>
        <w:spacing w:before="60" w:after="60" w:line="360" w:lineRule="auto"/>
        <w:jc w:val="both"/>
        <w:rPr>
          <w:sz w:val="24"/>
          <w:szCs w:val="24"/>
        </w:rPr>
      </w:pPr>
    </w:p>
    <w:p w14:paraId="4332E260" w14:textId="77777777" w:rsidR="00A2427B" w:rsidRDefault="00A2427B" w:rsidP="00280B1F">
      <w:pPr>
        <w:spacing w:before="60" w:after="60" w:line="360" w:lineRule="auto"/>
        <w:jc w:val="both"/>
        <w:rPr>
          <w:sz w:val="24"/>
          <w:szCs w:val="24"/>
        </w:rPr>
      </w:pPr>
    </w:p>
    <w:p w14:paraId="56F1059E" w14:textId="77777777" w:rsidR="00A2427B" w:rsidRDefault="00A2427B" w:rsidP="00280B1F">
      <w:pPr>
        <w:spacing w:before="60" w:after="60" w:line="360" w:lineRule="auto"/>
        <w:jc w:val="both"/>
        <w:rPr>
          <w:sz w:val="24"/>
          <w:szCs w:val="24"/>
        </w:rPr>
      </w:pPr>
    </w:p>
    <w:p w14:paraId="322F1AA7" w14:textId="77777777" w:rsidR="00A2427B" w:rsidRDefault="00A2427B" w:rsidP="00280B1F">
      <w:pPr>
        <w:spacing w:before="60" w:after="60" w:line="360" w:lineRule="auto"/>
        <w:jc w:val="both"/>
        <w:rPr>
          <w:sz w:val="24"/>
          <w:szCs w:val="24"/>
        </w:rPr>
      </w:pPr>
    </w:p>
    <w:p w14:paraId="07971C04" w14:textId="77777777" w:rsidR="00A2427B" w:rsidRDefault="00A2427B" w:rsidP="00280B1F">
      <w:pPr>
        <w:spacing w:before="60" w:after="60" w:line="360" w:lineRule="auto"/>
        <w:jc w:val="both"/>
        <w:rPr>
          <w:sz w:val="24"/>
          <w:szCs w:val="24"/>
        </w:rPr>
      </w:pPr>
    </w:p>
    <w:p w14:paraId="6AE34288" w14:textId="77777777" w:rsidR="00A2427B" w:rsidRDefault="00A2427B" w:rsidP="00280B1F">
      <w:pPr>
        <w:spacing w:before="60" w:after="60" w:line="360" w:lineRule="auto"/>
        <w:jc w:val="both"/>
        <w:rPr>
          <w:sz w:val="24"/>
          <w:szCs w:val="24"/>
        </w:rPr>
      </w:pPr>
    </w:p>
    <w:p w14:paraId="6CA20F65" w14:textId="77777777" w:rsidR="005E7235" w:rsidRPr="00280B1F" w:rsidRDefault="005E7235" w:rsidP="00280B1F">
      <w:pPr>
        <w:spacing w:before="60" w:after="60" w:line="360" w:lineRule="auto"/>
        <w:jc w:val="both"/>
        <w:rPr>
          <w:sz w:val="24"/>
          <w:szCs w:val="24"/>
        </w:rPr>
      </w:pPr>
    </w:p>
    <w:p w14:paraId="59C436A7" w14:textId="77777777" w:rsidR="002A4AF6" w:rsidRDefault="002A4AF6" w:rsidP="002A4AF6">
      <w:pPr>
        <w:pStyle w:val="Heading1"/>
      </w:pPr>
      <w:bookmarkStart w:id="41" w:name="_Toc227660503"/>
      <w:r>
        <w:lastRenderedPageBreak/>
        <w:t>Section 4: Investment Appraisal and Capital Budgeting</w:t>
      </w:r>
      <w:bookmarkEnd w:id="41"/>
    </w:p>
    <w:p w14:paraId="57717C42" w14:textId="77777777" w:rsidR="002A4AF6" w:rsidRDefault="002A4AF6" w:rsidP="002A4AF6">
      <w:pPr>
        <w:pStyle w:val="Heading2"/>
      </w:pPr>
      <w:bookmarkStart w:id="42" w:name="_Toc227660504"/>
      <w:r>
        <w:rPr>
          <w:rFonts w:ascii="Arial" w:eastAsia="Arial" w:hAnsi="Arial" w:cs="Arial"/>
          <w:b/>
          <w:bCs/>
          <w:color w:val="2E75B6"/>
        </w:rPr>
        <w:t>4.1 Project Overview and Assumptions</w:t>
      </w:r>
      <w:bookmarkEnd w:id="42"/>
    </w:p>
    <w:p w14:paraId="49147239" w14:textId="4BD80EFD" w:rsidR="002A4AF6" w:rsidRPr="009A32C5" w:rsidRDefault="00530009" w:rsidP="009A32C5">
      <w:pPr>
        <w:spacing w:before="50" w:after="50" w:line="360" w:lineRule="auto"/>
        <w:jc w:val="both"/>
        <w:rPr>
          <w:sz w:val="28"/>
          <w:szCs w:val="28"/>
        </w:rPr>
      </w:pPr>
      <w:r w:rsidRPr="009A32C5">
        <w:rPr>
          <w:rFonts w:ascii="Arial" w:eastAsia="Arial" w:hAnsi="Arial" w:cs="Arial"/>
          <w:color w:val="404040"/>
          <w:sz w:val="24"/>
          <w:szCs w:val="24"/>
        </w:rPr>
        <w:t>Three mutually exclusive projects—each with a £50m initial outlay, 5-year life, 10% hurdle rate, and straight-line depreciation to zero (£10m/year)—are evaluated using the five methods recommended by Graham and Harvey (2001) and Pike (1996). Full workings are in Appendix B.</w:t>
      </w:r>
    </w:p>
    <w:p w14:paraId="306EDE0F" w14:textId="77777777" w:rsidR="002A4AF6" w:rsidRPr="00901762" w:rsidRDefault="002A4AF6" w:rsidP="00901762">
      <w:pPr>
        <w:pStyle w:val="Heading3"/>
        <w:spacing w:line="360" w:lineRule="auto"/>
      </w:pPr>
      <w:bookmarkStart w:id="43" w:name="_Toc227660505"/>
      <w:r w:rsidRPr="00901762">
        <w:rPr>
          <w:rFonts w:ascii="Arial" w:eastAsia="Arial" w:hAnsi="Arial" w:cs="Arial"/>
          <w:b/>
          <w:bCs/>
          <w:color w:val="404040"/>
        </w:rPr>
        <w:t>Table 4.1 – Project Cash Flow Profiles (£ Millions)</w:t>
      </w:r>
      <w:bookmarkEnd w:id="43"/>
    </w:p>
    <w:tbl>
      <w:tblPr>
        <w:tblW w:w="8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00"/>
        <w:gridCol w:w="1000"/>
        <w:gridCol w:w="1000"/>
        <w:gridCol w:w="1000"/>
        <w:gridCol w:w="1000"/>
        <w:gridCol w:w="1000"/>
        <w:gridCol w:w="1000"/>
        <w:gridCol w:w="1060"/>
      </w:tblGrid>
      <w:tr w:rsidR="00901762" w:rsidRPr="00901762" w14:paraId="129AA573" w14:textId="77777777" w:rsidTr="00901762">
        <w:tc>
          <w:tcPr>
            <w:tcW w:w="1300" w:type="dxa"/>
            <w:shd w:val="clear" w:color="auto" w:fill="auto"/>
            <w:tcMar>
              <w:top w:w="80" w:type="dxa"/>
              <w:left w:w="100" w:type="dxa"/>
              <w:bottom w:w="80" w:type="dxa"/>
              <w:right w:w="100" w:type="dxa"/>
            </w:tcMar>
            <w:vAlign w:val="center"/>
          </w:tcPr>
          <w:p w14:paraId="2849A7C3" w14:textId="2670AF99" w:rsidR="002A4AF6" w:rsidRPr="00197A90" w:rsidRDefault="00197A90" w:rsidP="00901762">
            <w:pPr>
              <w:jc w:val="center"/>
              <w:rPr>
                <w:rFonts w:ascii="Arial" w:hAnsi="Arial" w:cs="Arial"/>
                <w:b/>
                <w:bCs/>
                <w:sz w:val="24"/>
                <w:szCs w:val="24"/>
              </w:rPr>
            </w:pPr>
            <w:r w:rsidRPr="00197A90">
              <w:rPr>
                <w:rFonts w:ascii="Arial" w:hAnsi="Arial" w:cs="Arial"/>
                <w:b/>
                <w:bCs/>
                <w:sz w:val="24"/>
                <w:szCs w:val="24"/>
              </w:rPr>
              <w:t>Project</w:t>
            </w:r>
          </w:p>
        </w:tc>
        <w:tc>
          <w:tcPr>
            <w:tcW w:w="1000" w:type="dxa"/>
            <w:shd w:val="clear" w:color="auto" w:fill="auto"/>
            <w:tcMar>
              <w:top w:w="80" w:type="dxa"/>
              <w:left w:w="100" w:type="dxa"/>
              <w:bottom w:w="80" w:type="dxa"/>
              <w:right w:w="100" w:type="dxa"/>
            </w:tcMar>
            <w:vAlign w:val="center"/>
          </w:tcPr>
          <w:p w14:paraId="2CB5B42A"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Year 0</w:t>
            </w:r>
          </w:p>
        </w:tc>
        <w:tc>
          <w:tcPr>
            <w:tcW w:w="1000" w:type="dxa"/>
            <w:shd w:val="clear" w:color="auto" w:fill="auto"/>
            <w:tcMar>
              <w:top w:w="80" w:type="dxa"/>
              <w:left w:w="100" w:type="dxa"/>
              <w:bottom w:w="80" w:type="dxa"/>
              <w:right w:w="100" w:type="dxa"/>
            </w:tcMar>
            <w:vAlign w:val="center"/>
          </w:tcPr>
          <w:p w14:paraId="51CD7E4E"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Year 1</w:t>
            </w:r>
          </w:p>
        </w:tc>
        <w:tc>
          <w:tcPr>
            <w:tcW w:w="1000" w:type="dxa"/>
            <w:shd w:val="clear" w:color="auto" w:fill="auto"/>
            <w:tcMar>
              <w:top w:w="80" w:type="dxa"/>
              <w:left w:w="100" w:type="dxa"/>
              <w:bottom w:w="80" w:type="dxa"/>
              <w:right w:w="100" w:type="dxa"/>
            </w:tcMar>
            <w:vAlign w:val="center"/>
          </w:tcPr>
          <w:p w14:paraId="53736860"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Year 2</w:t>
            </w:r>
          </w:p>
        </w:tc>
        <w:tc>
          <w:tcPr>
            <w:tcW w:w="1000" w:type="dxa"/>
            <w:shd w:val="clear" w:color="auto" w:fill="auto"/>
            <w:tcMar>
              <w:top w:w="80" w:type="dxa"/>
              <w:left w:w="100" w:type="dxa"/>
              <w:bottom w:w="80" w:type="dxa"/>
              <w:right w:w="100" w:type="dxa"/>
            </w:tcMar>
            <w:vAlign w:val="center"/>
          </w:tcPr>
          <w:p w14:paraId="0D781640"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Year 3</w:t>
            </w:r>
          </w:p>
        </w:tc>
        <w:tc>
          <w:tcPr>
            <w:tcW w:w="1000" w:type="dxa"/>
            <w:shd w:val="clear" w:color="auto" w:fill="auto"/>
            <w:tcMar>
              <w:top w:w="80" w:type="dxa"/>
              <w:left w:w="100" w:type="dxa"/>
              <w:bottom w:w="80" w:type="dxa"/>
              <w:right w:w="100" w:type="dxa"/>
            </w:tcMar>
            <w:vAlign w:val="center"/>
          </w:tcPr>
          <w:p w14:paraId="52FA53E4"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Year 4</w:t>
            </w:r>
          </w:p>
        </w:tc>
        <w:tc>
          <w:tcPr>
            <w:tcW w:w="1000" w:type="dxa"/>
            <w:shd w:val="clear" w:color="auto" w:fill="auto"/>
            <w:tcMar>
              <w:top w:w="80" w:type="dxa"/>
              <w:left w:w="100" w:type="dxa"/>
              <w:bottom w:w="80" w:type="dxa"/>
              <w:right w:w="100" w:type="dxa"/>
            </w:tcMar>
            <w:vAlign w:val="center"/>
          </w:tcPr>
          <w:p w14:paraId="687125F8"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Year 5</w:t>
            </w:r>
          </w:p>
        </w:tc>
        <w:tc>
          <w:tcPr>
            <w:tcW w:w="1060" w:type="dxa"/>
            <w:shd w:val="clear" w:color="auto" w:fill="auto"/>
            <w:tcMar>
              <w:top w:w="80" w:type="dxa"/>
              <w:left w:w="100" w:type="dxa"/>
              <w:bottom w:w="80" w:type="dxa"/>
              <w:right w:w="100" w:type="dxa"/>
            </w:tcMar>
            <w:vAlign w:val="center"/>
          </w:tcPr>
          <w:p w14:paraId="57CA9A9F" w14:textId="77777777" w:rsidR="002A4AF6" w:rsidRPr="00901762" w:rsidRDefault="002A4AF6" w:rsidP="00901762">
            <w:pPr>
              <w:jc w:val="center"/>
              <w:rPr>
                <w:rFonts w:ascii="Arial" w:hAnsi="Arial" w:cs="Arial"/>
                <w:color w:val="000000" w:themeColor="text1"/>
                <w:sz w:val="24"/>
                <w:szCs w:val="24"/>
              </w:rPr>
            </w:pPr>
            <w:r w:rsidRPr="00901762">
              <w:rPr>
                <w:rFonts w:ascii="Arial" w:eastAsia="Arial" w:hAnsi="Arial" w:cs="Arial"/>
                <w:b/>
                <w:bCs/>
                <w:color w:val="000000" w:themeColor="text1"/>
                <w:sz w:val="24"/>
                <w:szCs w:val="24"/>
              </w:rPr>
              <w:t>Total Inflows</w:t>
            </w:r>
          </w:p>
        </w:tc>
      </w:tr>
      <w:tr w:rsidR="00901762" w:rsidRPr="00901762" w14:paraId="58780007" w14:textId="77777777" w:rsidTr="00901762">
        <w:tc>
          <w:tcPr>
            <w:tcW w:w="1300" w:type="dxa"/>
            <w:shd w:val="clear" w:color="auto" w:fill="auto"/>
            <w:tcMar>
              <w:top w:w="60" w:type="dxa"/>
              <w:left w:w="100" w:type="dxa"/>
              <w:bottom w:w="60" w:type="dxa"/>
              <w:right w:w="100" w:type="dxa"/>
            </w:tcMar>
            <w:vAlign w:val="center"/>
          </w:tcPr>
          <w:p w14:paraId="51C9DE87" w14:textId="77777777" w:rsidR="002A4AF6" w:rsidRPr="00901762" w:rsidRDefault="002A4AF6" w:rsidP="00901762">
            <w:pPr>
              <w:jc w:val="center"/>
              <w:rPr>
                <w:rFonts w:ascii="Arial" w:hAnsi="Arial" w:cs="Arial"/>
                <w:sz w:val="24"/>
                <w:szCs w:val="24"/>
              </w:rPr>
            </w:pPr>
            <w:r w:rsidRPr="00901762">
              <w:rPr>
                <w:rFonts w:ascii="Arial" w:eastAsia="Arial" w:hAnsi="Arial" w:cs="Arial"/>
                <w:b/>
                <w:bCs/>
                <w:color w:val="404040"/>
                <w:sz w:val="24"/>
                <w:szCs w:val="24"/>
              </w:rPr>
              <w:t>Project A</w:t>
            </w:r>
          </w:p>
        </w:tc>
        <w:tc>
          <w:tcPr>
            <w:tcW w:w="1000" w:type="dxa"/>
            <w:shd w:val="clear" w:color="auto" w:fill="auto"/>
            <w:tcMar>
              <w:top w:w="60" w:type="dxa"/>
              <w:left w:w="100" w:type="dxa"/>
              <w:bottom w:w="60" w:type="dxa"/>
              <w:right w:w="100" w:type="dxa"/>
            </w:tcMar>
            <w:vAlign w:val="center"/>
          </w:tcPr>
          <w:p w14:paraId="486AD242"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(£50m)</w:t>
            </w:r>
          </w:p>
        </w:tc>
        <w:tc>
          <w:tcPr>
            <w:tcW w:w="1000" w:type="dxa"/>
            <w:shd w:val="clear" w:color="auto" w:fill="auto"/>
            <w:tcMar>
              <w:top w:w="60" w:type="dxa"/>
              <w:left w:w="100" w:type="dxa"/>
              <w:bottom w:w="60" w:type="dxa"/>
              <w:right w:w="100" w:type="dxa"/>
            </w:tcMar>
            <w:vAlign w:val="center"/>
          </w:tcPr>
          <w:p w14:paraId="4511196C"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£10m</w:t>
            </w:r>
          </w:p>
        </w:tc>
        <w:tc>
          <w:tcPr>
            <w:tcW w:w="1000" w:type="dxa"/>
            <w:shd w:val="clear" w:color="auto" w:fill="auto"/>
            <w:tcMar>
              <w:top w:w="60" w:type="dxa"/>
              <w:left w:w="100" w:type="dxa"/>
              <w:bottom w:w="60" w:type="dxa"/>
              <w:right w:w="100" w:type="dxa"/>
            </w:tcMar>
            <w:vAlign w:val="center"/>
          </w:tcPr>
          <w:p w14:paraId="3C093035"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£12m</w:t>
            </w:r>
          </w:p>
        </w:tc>
        <w:tc>
          <w:tcPr>
            <w:tcW w:w="1000" w:type="dxa"/>
            <w:shd w:val="clear" w:color="auto" w:fill="auto"/>
            <w:tcMar>
              <w:top w:w="60" w:type="dxa"/>
              <w:left w:w="100" w:type="dxa"/>
              <w:bottom w:w="60" w:type="dxa"/>
              <w:right w:w="100" w:type="dxa"/>
            </w:tcMar>
            <w:vAlign w:val="center"/>
          </w:tcPr>
          <w:p w14:paraId="478B3147"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£14m</w:t>
            </w:r>
          </w:p>
        </w:tc>
        <w:tc>
          <w:tcPr>
            <w:tcW w:w="1000" w:type="dxa"/>
            <w:shd w:val="clear" w:color="auto" w:fill="auto"/>
            <w:tcMar>
              <w:top w:w="60" w:type="dxa"/>
              <w:left w:w="100" w:type="dxa"/>
              <w:bottom w:w="60" w:type="dxa"/>
              <w:right w:w="100" w:type="dxa"/>
            </w:tcMar>
            <w:vAlign w:val="center"/>
          </w:tcPr>
          <w:p w14:paraId="41EE4A55"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£10m</w:t>
            </w:r>
          </w:p>
        </w:tc>
        <w:tc>
          <w:tcPr>
            <w:tcW w:w="1000" w:type="dxa"/>
            <w:shd w:val="clear" w:color="auto" w:fill="auto"/>
            <w:tcMar>
              <w:top w:w="60" w:type="dxa"/>
              <w:left w:w="100" w:type="dxa"/>
              <w:bottom w:w="60" w:type="dxa"/>
              <w:right w:w="100" w:type="dxa"/>
            </w:tcMar>
            <w:vAlign w:val="center"/>
          </w:tcPr>
          <w:p w14:paraId="6DA67B0A"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£8m</w:t>
            </w:r>
          </w:p>
        </w:tc>
        <w:tc>
          <w:tcPr>
            <w:tcW w:w="1060" w:type="dxa"/>
            <w:shd w:val="clear" w:color="auto" w:fill="auto"/>
            <w:tcMar>
              <w:top w:w="60" w:type="dxa"/>
              <w:left w:w="100" w:type="dxa"/>
              <w:bottom w:w="60" w:type="dxa"/>
              <w:right w:w="100" w:type="dxa"/>
            </w:tcMar>
            <w:vAlign w:val="center"/>
          </w:tcPr>
          <w:p w14:paraId="26CB1882"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£54m</w:t>
            </w:r>
          </w:p>
        </w:tc>
      </w:tr>
      <w:tr w:rsidR="00901762" w:rsidRPr="00901762" w14:paraId="5CDB3D25" w14:textId="77777777" w:rsidTr="00901762">
        <w:tc>
          <w:tcPr>
            <w:tcW w:w="1300" w:type="dxa"/>
            <w:shd w:val="clear" w:color="auto" w:fill="auto"/>
            <w:tcMar>
              <w:top w:w="60" w:type="dxa"/>
              <w:left w:w="100" w:type="dxa"/>
              <w:bottom w:w="60" w:type="dxa"/>
              <w:right w:w="100" w:type="dxa"/>
            </w:tcMar>
            <w:vAlign w:val="center"/>
          </w:tcPr>
          <w:p w14:paraId="0EA5ED5B" w14:textId="77777777" w:rsidR="002A4AF6" w:rsidRPr="00901762" w:rsidRDefault="002A4AF6" w:rsidP="00901762">
            <w:pPr>
              <w:jc w:val="center"/>
              <w:rPr>
                <w:rFonts w:ascii="Arial" w:hAnsi="Arial" w:cs="Arial"/>
                <w:sz w:val="24"/>
                <w:szCs w:val="24"/>
              </w:rPr>
            </w:pPr>
            <w:r w:rsidRPr="00901762">
              <w:rPr>
                <w:rFonts w:ascii="Arial" w:eastAsia="Arial" w:hAnsi="Arial" w:cs="Arial"/>
                <w:b/>
                <w:bCs/>
                <w:color w:val="404040"/>
                <w:sz w:val="24"/>
                <w:szCs w:val="24"/>
              </w:rPr>
              <w:t>Project B</w:t>
            </w:r>
          </w:p>
        </w:tc>
        <w:tc>
          <w:tcPr>
            <w:tcW w:w="1000" w:type="dxa"/>
            <w:shd w:val="clear" w:color="auto" w:fill="auto"/>
            <w:tcMar>
              <w:top w:w="60" w:type="dxa"/>
              <w:left w:w="100" w:type="dxa"/>
              <w:bottom w:w="60" w:type="dxa"/>
              <w:right w:w="100" w:type="dxa"/>
            </w:tcMar>
            <w:vAlign w:val="center"/>
          </w:tcPr>
          <w:p w14:paraId="0E8F6340"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(£50m)</w:t>
            </w:r>
          </w:p>
        </w:tc>
        <w:tc>
          <w:tcPr>
            <w:tcW w:w="1000" w:type="dxa"/>
            <w:shd w:val="clear" w:color="auto" w:fill="auto"/>
            <w:tcMar>
              <w:top w:w="60" w:type="dxa"/>
              <w:left w:w="100" w:type="dxa"/>
              <w:bottom w:w="60" w:type="dxa"/>
              <w:right w:w="100" w:type="dxa"/>
            </w:tcMar>
            <w:vAlign w:val="center"/>
          </w:tcPr>
          <w:p w14:paraId="2DDF41A7"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£11m</w:t>
            </w:r>
          </w:p>
        </w:tc>
        <w:tc>
          <w:tcPr>
            <w:tcW w:w="1000" w:type="dxa"/>
            <w:shd w:val="clear" w:color="auto" w:fill="auto"/>
            <w:tcMar>
              <w:top w:w="60" w:type="dxa"/>
              <w:left w:w="100" w:type="dxa"/>
              <w:bottom w:w="60" w:type="dxa"/>
              <w:right w:w="100" w:type="dxa"/>
            </w:tcMar>
            <w:vAlign w:val="center"/>
          </w:tcPr>
          <w:p w14:paraId="68E66E5F"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£11m</w:t>
            </w:r>
          </w:p>
        </w:tc>
        <w:tc>
          <w:tcPr>
            <w:tcW w:w="1000" w:type="dxa"/>
            <w:shd w:val="clear" w:color="auto" w:fill="auto"/>
            <w:tcMar>
              <w:top w:w="60" w:type="dxa"/>
              <w:left w:w="100" w:type="dxa"/>
              <w:bottom w:w="60" w:type="dxa"/>
              <w:right w:w="100" w:type="dxa"/>
            </w:tcMar>
            <w:vAlign w:val="center"/>
          </w:tcPr>
          <w:p w14:paraId="6B251005"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£11m</w:t>
            </w:r>
          </w:p>
        </w:tc>
        <w:tc>
          <w:tcPr>
            <w:tcW w:w="1000" w:type="dxa"/>
            <w:shd w:val="clear" w:color="auto" w:fill="auto"/>
            <w:tcMar>
              <w:top w:w="60" w:type="dxa"/>
              <w:left w:w="100" w:type="dxa"/>
              <w:bottom w:w="60" w:type="dxa"/>
              <w:right w:w="100" w:type="dxa"/>
            </w:tcMar>
            <w:vAlign w:val="center"/>
          </w:tcPr>
          <w:p w14:paraId="07E48409"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£11m</w:t>
            </w:r>
          </w:p>
        </w:tc>
        <w:tc>
          <w:tcPr>
            <w:tcW w:w="1000" w:type="dxa"/>
            <w:shd w:val="clear" w:color="auto" w:fill="auto"/>
            <w:tcMar>
              <w:top w:w="60" w:type="dxa"/>
              <w:left w:w="100" w:type="dxa"/>
              <w:bottom w:w="60" w:type="dxa"/>
              <w:right w:w="100" w:type="dxa"/>
            </w:tcMar>
            <w:vAlign w:val="center"/>
          </w:tcPr>
          <w:p w14:paraId="64A9F641"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£11m</w:t>
            </w:r>
          </w:p>
        </w:tc>
        <w:tc>
          <w:tcPr>
            <w:tcW w:w="1060" w:type="dxa"/>
            <w:shd w:val="clear" w:color="auto" w:fill="auto"/>
            <w:tcMar>
              <w:top w:w="60" w:type="dxa"/>
              <w:left w:w="100" w:type="dxa"/>
              <w:bottom w:w="60" w:type="dxa"/>
              <w:right w:w="100" w:type="dxa"/>
            </w:tcMar>
            <w:vAlign w:val="center"/>
          </w:tcPr>
          <w:p w14:paraId="67590329"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£55m</w:t>
            </w:r>
          </w:p>
        </w:tc>
      </w:tr>
      <w:tr w:rsidR="00901762" w:rsidRPr="00901762" w14:paraId="5EC4A33E" w14:textId="77777777" w:rsidTr="00901762">
        <w:tc>
          <w:tcPr>
            <w:tcW w:w="1300" w:type="dxa"/>
            <w:shd w:val="clear" w:color="auto" w:fill="auto"/>
            <w:tcMar>
              <w:top w:w="60" w:type="dxa"/>
              <w:left w:w="100" w:type="dxa"/>
              <w:bottom w:w="60" w:type="dxa"/>
              <w:right w:w="100" w:type="dxa"/>
            </w:tcMar>
            <w:vAlign w:val="center"/>
          </w:tcPr>
          <w:p w14:paraId="61C59AF1" w14:textId="77777777" w:rsidR="002A4AF6" w:rsidRPr="00901762" w:rsidRDefault="002A4AF6" w:rsidP="00901762">
            <w:pPr>
              <w:jc w:val="center"/>
              <w:rPr>
                <w:rFonts w:ascii="Arial" w:hAnsi="Arial" w:cs="Arial"/>
                <w:sz w:val="24"/>
                <w:szCs w:val="24"/>
              </w:rPr>
            </w:pPr>
            <w:r w:rsidRPr="00901762">
              <w:rPr>
                <w:rFonts w:ascii="Arial" w:eastAsia="Arial" w:hAnsi="Arial" w:cs="Arial"/>
                <w:b/>
                <w:bCs/>
                <w:color w:val="404040"/>
                <w:sz w:val="24"/>
                <w:szCs w:val="24"/>
              </w:rPr>
              <w:t>Project C</w:t>
            </w:r>
          </w:p>
        </w:tc>
        <w:tc>
          <w:tcPr>
            <w:tcW w:w="1000" w:type="dxa"/>
            <w:shd w:val="clear" w:color="auto" w:fill="auto"/>
            <w:tcMar>
              <w:top w:w="60" w:type="dxa"/>
              <w:left w:w="100" w:type="dxa"/>
              <w:bottom w:w="60" w:type="dxa"/>
              <w:right w:w="100" w:type="dxa"/>
            </w:tcMar>
            <w:vAlign w:val="center"/>
          </w:tcPr>
          <w:p w14:paraId="74D5FBF8"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(£50m)</w:t>
            </w:r>
          </w:p>
        </w:tc>
        <w:tc>
          <w:tcPr>
            <w:tcW w:w="1000" w:type="dxa"/>
            <w:shd w:val="clear" w:color="auto" w:fill="auto"/>
            <w:tcMar>
              <w:top w:w="60" w:type="dxa"/>
              <w:left w:w="100" w:type="dxa"/>
              <w:bottom w:w="60" w:type="dxa"/>
              <w:right w:w="100" w:type="dxa"/>
            </w:tcMar>
            <w:vAlign w:val="center"/>
          </w:tcPr>
          <w:p w14:paraId="503052ED"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£5m</w:t>
            </w:r>
          </w:p>
        </w:tc>
        <w:tc>
          <w:tcPr>
            <w:tcW w:w="1000" w:type="dxa"/>
            <w:shd w:val="clear" w:color="auto" w:fill="auto"/>
            <w:tcMar>
              <w:top w:w="60" w:type="dxa"/>
              <w:left w:w="100" w:type="dxa"/>
              <w:bottom w:w="60" w:type="dxa"/>
              <w:right w:w="100" w:type="dxa"/>
            </w:tcMar>
            <w:vAlign w:val="center"/>
          </w:tcPr>
          <w:p w14:paraId="68EA356C"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£10m</w:t>
            </w:r>
          </w:p>
        </w:tc>
        <w:tc>
          <w:tcPr>
            <w:tcW w:w="1000" w:type="dxa"/>
            <w:shd w:val="clear" w:color="auto" w:fill="auto"/>
            <w:tcMar>
              <w:top w:w="60" w:type="dxa"/>
              <w:left w:w="100" w:type="dxa"/>
              <w:bottom w:w="60" w:type="dxa"/>
              <w:right w:w="100" w:type="dxa"/>
            </w:tcMar>
            <w:vAlign w:val="center"/>
          </w:tcPr>
          <w:p w14:paraId="7C105C94"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£20m</w:t>
            </w:r>
          </w:p>
        </w:tc>
        <w:tc>
          <w:tcPr>
            <w:tcW w:w="1000" w:type="dxa"/>
            <w:shd w:val="clear" w:color="auto" w:fill="auto"/>
            <w:tcMar>
              <w:top w:w="60" w:type="dxa"/>
              <w:left w:w="100" w:type="dxa"/>
              <w:bottom w:w="60" w:type="dxa"/>
              <w:right w:w="100" w:type="dxa"/>
            </w:tcMar>
            <w:vAlign w:val="center"/>
          </w:tcPr>
          <w:p w14:paraId="1ABC8CA2"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£25m</w:t>
            </w:r>
          </w:p>
        </w:tc>
        <w:tc>
          <w:tcPr>
            <w:tcW w:w="1000" w:type="dxa"/>
            <w:shd w:val="clear" w:color="auto" w:fill="auto"/>
            <w:tcMar>
              <w:top w:w="60" w:type="dxa"/>
              <w:left w:w="100" w:type="dxa"/>
              <w:bottom w:w="60" w:type="dxa"/>
              <w:right w:w="100" w:type="dxa"/>
            </w:tcMar>
            <w:vAlign w:val="center"/>
          </w:tcPr>
          <w:p w14:paraId="4E6BE7DC" w14:textId="77777777" w:rsidR="002A4AF6" w:rsidRPr="00901762" w:rsidRDefault="002A4AF6" w:rsidP="00901762">
            <w:pPr>
              <w:rPr>
                <w:rFonts w:ascii="Arial" w:hAnsi="Arial" w:cs="Arial"/>
                <w:sz w:val="24"/>
                <w:szCs w:val="24"/>
              </w:rPr>
            </w:pPr>
            <w:r w:rsidRPr="00901762">
              <w:rPr>
                <w:rFonts w:ascii="Arial" w:eastAsia="Arial" w:hAnsi="Arial" w:cs="Arial"/>
                <w:color w:val="404040"/>
                <w:sz w:val="24"/>
                <w:szCs w:val="24"/>
              </w:rPr>
              <w:t>£5m</w:t>
            </w:r>
          </w:p>
        </w:tc>
        <w:tc>
          <w:tcPr>
            <w:tcW w:w="1060" w:type="dxa"/>
            <w:shd w:val="clear" w:color="auto" w:fill="auto"/>
            <w:tcMar>
              <w:top w:w="60" w:type="dxa"/>
              <w:left w:w="100" w:type="dxa"/>
              <w:bottom w:w="60" w:type="dxa"/>
              <w:right w:w="100" w:type="dxa"/>
            </w:tcMar>
            <w:vAlign w:val="center"/>
          </w:tcPr>
          <w:p w14:paraId="1CAAC7ED" w14:textId="77777777" w:rsidR="002A4AF6" w:rsidRPr="00901762" w:rsidRDefault="002A4AF6" w:rsidP="00C40834">
            <w:pPr>
              <w:keepNext/>
              <w:rPr>
                <w:rFonts w:ascii="Arial" w:hAnsi="Arial" w:cs="Arial"/>
                <w:sz w:val="24"/>
                <w:szCs w:val="24"/>
              </w:rPr>
            </w:pPr>
            <w:r w:rsidRPr="00901762">
              <w:rPr>
                <w:rFonts w:ascii="Arial" w:eastAsia="Arial" w:hAnsi="Arial" w:cs="Arial"/>
                <w:color w:val="404040"/>
                <w:sz w:val="24"/>
                <w:szCs w:val="24"/>
              </w:rPr>
              <w:t>£65m</w:t>
            </w:r>
          </w:p>
        </w:tc>
      </w:tr>
    </w:tbl>
    <w:p w14:paraId="5B017005" w14:textId="31548F9E" w:rsidR="00C40834" w:rsidRDefault="00C40834">
      <w:pPr>
        <w:pStyle w:val="Caption"/>
      </w:pPr>
      <w:r>
        <w:t xml:space="preserve">Table 4.1 </w:t>
      </w:r>
      <w:r w:rsidRPr="00B406AC">
        <w:t>Source: Board capital project data; Author's calculations</w:t>
      </w:r>
    </w:p>
    <w:p w14:paraId="1BFACAFC" w14:textId="77777777" w:rsidR="00DD547D" w:rsidRDefault="002A4AF6" w:rsidP="00DD547D">
      <w:pPr>
        <w:spacing w:before="60" w:after="60" w:line="360" w:lineRule="auto"/>
        <w:jc w:val="both"/>
        <w:rPr>
          <w:rFonts w:ascii="Arial" w:eastAsia="Arial" w:hAnsi="Arial" w:cs="Arial"/>
          <w:color w:val="404040"/>
          <w:sz w:val="24"/>
          <w:szCs w:val="24"/>
        </w:rPr>
      </w:pPr>
      <w:r w:rsidRPr="00DD547D">
        <w:rPr>
          <w:rFonts w:ascii="Arial" w:eastAsia="Arial" w:hAnsi="Arial" w:cs="Arial"/>
          <w:color w:val="404040"/>
          <w:sz w:val="24"/>
          <w:szCs w:val="24"/>
        </w:rPr>
        <w:t xml:space="preserve">Note: Annual depreciation = £50m / 5 years = £10m per year (straight-line to zero). </w:t>
      </w:r>
    </w:p>
    <w:p w14:paraId="6D1EF19E" w14:textId="48FC8EB0" w:rsidR="002A4AF6" w:rsidRPr="00DD547D" w:rsidRDefault="002A4AF6" w:rsidP="00DD547D">
      <w:pPr>
        <w:spacing w:before="60" w:after="60" w:line="360" w:lineRule="auto"/>
        <w:jc w:val="both"/>
        <w:rPr>
          <w:sz w:val="24"/>
          <w:szCs w:val="24"/>
        </w:rPr>
      </w:pPr>
      <w:r w:rsidRPr="00DD547D">
        <w:rPr>
          <w:rFonts w:ascii="Arial" w:eastAsia="Arial" w:hAnsi="Arial" w:cs="Arial"/>
          <w:color w:val="404040"/>
          <w:sz w:val="24"/>
          <w:szCs w:val="24"/>
        </w:rPr>
        <w:t>Annual accounting profit = Annual Cash Inflow − Depreciation.</w:t>
      </w:r>
    </w:p>
    <w:p w14:paraId="572838E0" w14:textId="77777777" w:rsidR="002A4AF6" w:rsidRDefault="002A4AF6" w:rsidP="002A4AF6">
      <w:pPr>
        <w:pStyle w:val="Heading2"/>
      </w:pPr>
      <w:bookmarkStart w:id="44" w:name="_Toc227660506"/>
      <w:r>
        <w:rPr>
          <w:rFonts w:ascii="Arial" w:eastAsia="Arial" w:hAnsi="Arial" w:cs="Arial"/>
          <w:b/>
          <w:bCs/>
          <w:color w:val="2E75B6"/>
        </w:rPr>
        <w:t>4.2 Payback Period (PBP)</w:t>
      </w:r>
      <w:bookmarkEnd w:id="44"/>
    </w:p>
    <w:p w14:paraId="4A40BE4D" w14:textId="5F66CCCD" w:rsidR="002A4AF6" w:rsidRPr="00C23C88" w:rsidRDefault="00C23C88" w:rsidP="00C23C88">
      <w:pPr>
        <w:spacing w:before="50" w:after="50" w:line="360" w:lineRule="auto"/>
        <w:jc w:val="both"/>
        <w:rPr>
          <w:sz w:val="28"/>
          <w:szCs w:val="28"/>
        </w:rPr>
      </w:pPr>
      <w:r w:rsidRPr="00C23C88">
        <w:rPr>
          <w:rFonts w:ascii="Arial" w:eastAsia="Arial" w:hAnsi="Arial" w:cs="Arial"/>
          <w:color w:val="404040"/>
          <w:sz w:val="24"/>
          <w:szCs w:val="24"/>
        </w:rPr>
        <w:t>While Brealey, Myers and Allen (2023) criticize PBP for ignoring time value, they acknowledge its value as a liquidity risk screen—particularly relevant given Hyundai's current ratio of 1.12x and declining FCF in 2024.</w:t>
      </w:r>
    </w:p>
    <w:p w14:paraId="30D17BF2" w14:textId="77777777" w:rsidR="002A4AF6" w:rsidRPr="00C25A8C" w:rsidRDefault="002A4AF6" w:rsidP="00C25A8C">
      <w:pPr>
        <w:pStyle w:val="Heading3"/>
        <w:spacing w:line="360" w:lineRule="auto"/>
      </w:pPr>
      <w:bookmarkStart w:id="45" w:name="_Toc227660507"/>
      <w:r w:rsidRPr="00C25A8C">
        <w:rPr>
          <w:rFonts w:ascii="Arial" w:eastAsia="Arial" w:hAnsi="Arial" w:cs="Arial"/>
          <w:b/>
          <w:bCs/>
          <w:color w:val="404040"/>
          <w:u w:color="2E75B6"/>
        </w:rPr>
        <w:t>Table 4.2 – Payback Period: Cumulative Cash Flows (£m)</w:t>
      </w:r>
      <w:bookmarkEnd w:id="45"/>
    </w:p>
    <w:tbl>
      <w:tblPr>
        <w:tblW w:w="8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00"/>
        <w:gridCol w:w="900"/>
        <w:gridCol w:w="1000"/>
        <w:gridCol w:w="1000"/>
        <w:gridCol w:w="1000"/>
        <w:gridCol w:w="1000"/>
        <w:gridCol w:w="1000"/>
        <w:gridCol w:w="1160"/>
      </w:tblGrid>
      <w:tr w:rsidR="00923740" w:rsidRPr="00923740" w14:paraId="5DCD0CF6" w14:textId="77777777" w:rsidTr="00F153B1">
        <w:tc>
          <w:tcPr>
            <w:tcW w:w="1300" w:type="dxa"/>
            <w:shd w:val="clear" w:color="auto" w:fill="auto"/>
            <w:tcMar>
              <w:top w:w="80" w:type="dxa"/>
              <w:left w:w="100" w:type="dxa"/>
              <w:bottom w:w="80" w:type="dxa"/>
              <w:right w:w="100" w:type="dxa"/>
            </w:tcMar>
            <w:vAlign w:val="center"/>
          </w:tcPr>
          <w:p w14:paraId="6F8CC2EF" w14:textId="77777777"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Project</w:t>
            </w:r>
          </w:p>
        </w:tc>
        <w:tc>
          <w:tcPr>
            <w:tcW w:w="900" w:type="dxa"/>
            <w:shd w:val="clear" w:color="auto" w:fill="auto"/>
            <w:tcMar>
              <w:top w:w="80" w:type="dxa"/>
              <w:left w:w="100" w:type="dxa"/>
              <w:bottom w:w="80" w:type="dxa"/>
              <w:right w:w="100" w:type="dxa"/>
            </w:tcMar>
            <w:vAlign w:val="center"/>
          </w:tcPr>
          <w:p w14:paraId="061F4ABB" w14:textId="0E2EC91C"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Y</w:t>
            </w:r>
            <w:r w:rsidR="00FD676D">
              <w:rPr>
                <w:rFonts w:ascii="Arial" w:hAnsi="Arial" w:cs="Arial"/>
                <w:sz w:val="24"/>
                <w:szCs w:val="24"/>
              </w:rPr>
              <w:t>ear</w:t>
            </w:r>
            <w:r w:rsidRPr="00923740">
              <w:rPr>
                <w:rFonts w:ascii="Arial" w:hAnsi="Arial" w:cs="Arial"/>
                <w:sz w:val="24"/>
                <w:szCs w:val="24"/>
              </w:rPr>
              <w:t xml:space="preserve"> 0</w:t>
            </w:r>
          </w:p>
        </w:tc>
        <w:tc>
          <w:tcPr>
            <w:tcW w:w="1000" w:type="dxa"/>
            <w:shd w:val="clear" w:color="auto" w:fill="auto"/>
            <w:tcMar>
              <w:top w:w="80" w:type="dxa"/>
              <w:left w:w="100" w:type="dxa"/>
              <w:bottom w:w="80" w:type="dxa"/>
              <w:right w:w="100" w:type="dxa"/>
            </w:tcMar>
            <w:vAlign w:val="center"/>
          </w:tcPr>
          <w:p w14:paraId="79829DCE" w14:textId="19D1CF76"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Y</w:t>
            </w:r>
            <w:r w:rsidR="00FD676D">
              <w:rPr>
                <w:rFonts w:ascii="Arial" w:hAnsi="Arial" w:cs="Arial"/>
                <w:sz w:val="24"/>
                <w:szCs w:val="24"/>
              </w:rPr>
              <w:t>ear</w:t>
            </w:r>
            <w:r w:rsidRPr="00923740">
              <w:rPr>
                <w:rFonts w:ascii="Arial" w:hAnsi="Arial" w:cs="Arial"/>
                <w:sz w:val="24"/>
                <w:szCs w:val="24"/>
              </w:rPr>
              <w:t xml:space="preserve"> 1 Cum.</w:t>
            </w:r>
          </w:p>
        </w:tc>
        <w:tc>
          <w:tcPr>
            <w:tcW w:w="1000" w:type="dxa"/>
            <w:shd w:val="clear" w:color="auto" w:fill="auto"/>
            <w:tcMar>
              <w:top w:w="80" w:type="dxa"/>
              <w:left w:w="100" w:type="dxa"/>
              <w:bottom w:w="80" w:type="dxa"/>
              <w:right w:w="100" w:type="dxa"/>
            </w:tcMar>
            <w:vAlign w:val="center"/>
          </w:tcPr>
          <w:p w14:paraId="22ECD8AE" w14:textId="3AA43476"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Y</w:t>
            </w:r>
            <w:r w:rsidR="00C25A8C">
              <w:rPr>
                <w:rFonts w:ascii="Arial" w:hAnsi="Arial" w:cs="Arial"/>
                <w:sz w:val="24"/>
                <w:szCs w:val="24"/>
              </w:rPr>
              <w:t>ear</w:t>
            </w:r>
            <w:r w:rsidRPr="00923740">
              <w:rPr>
                <w:rFonts w:ascii="Arial" w:hAnsi="Arial" w:cs="Arial"/>
                <w:sz w:val="24"/>
                <w:szCs w:val="24"/>
              </w:rPr>
              <w:t xml:space="preserve"> 2 Cum.</w:t>
            </w:r>
          </w:p>
        </w:tc>
        <w:tc>
          <w:tcPr>
            <w:tcW w:w="1000" w:type="dxa"/>
            <w:shd w:val="clear" w:color="auto" w:fill="auto"/>
            <w:tcMar>
              <w:top w:w="80" w:type="dxa"/>
              <w:left w:w="100" w:type="dxa"/>
              <w:bottom w:w="80" w:type="dxa"/>
              <w:right w:w="100" w:type="dxa"/>
            </w:tcMar>
            <w:vAlign w:val="center"/>
          </w:tcPr>
          <w:p w14:paraId="734153F7" w14:textId="0254CE75"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Y</w:t>
            </w:r>
            <w:r w:rsidR="00C25A8C">
              <w:rPr>
                <w:rFonts w:ascii="Arial" w:hAnsi="Arial" w:cs="Arial"/>
                <w:sz w:val="24"/>
                <w:szCs w:val="24"/>
              </w:rPr>
              <w:t>ear</w:t>
            </w:r>
            <w:r w:rsidRPr="00923740">
              <w:rPr>
                <w:rFonts w:ascii="Arial" w:hAnsi="Arial" w:cs="Arial"/>
                <w:sz w:val="24"/>
                <w:szCs w:val="24"/>
              </w:rPr>
              <w:t xml:space="preserve"> 3 Cum.</w:t>
            </w:r>
          </w:p>
        </w:tc>
        <w:tc>
          <w:tcPr>
            <w:tcW w:w="1000" w:type="dxa"/>
            <w:shd w:val="clear" w:color="auto" w:fill="auto"/>
            <w:tcMar>
              <w:top w:w="80" w:type="dxa"/>
              <w:left w:w="100" w:type="dxa"/>
              <w:bottom w:w="80" w:type="dxa"/>
              <w:right w:w="100" w:type="dxa"/>
            </w:tcMar>
            <w:vAlign w:val="center"/>
          </w:tcPr>
          <w:p w14:paraId="2C3F12E2" w14:textId="7379296B"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Y</w:t>
            </w:r>
            <w:r w:rsidR="00C25A8C">
              <w:rPr>
                <w:rFonts w:ascii="Arial" w:hAnsi="Arial" w:cs="Arial"/>
                <w:sz w:val="24"/>
                <w:szCs w:val="24"/>
              </w:rPr>
              <w:t>ear</w:t>
            </w:r>
            <w:r w:rsidRPr="00923740">
              <w:rPr>
                <w:rFonts w:ascii="Arial" w:hAnsi="Arial" w:cs="Arial"/>
                <w:sz w:val="24"/>
                <w:szCs w:val="24"/>
              </w:rPr>
              <w:t xml:space="preserve"> 4 Cum.</w:t>
            </w:r>
          </w:p>
        </w:tc>
        <w:tc>
          <w:tcPr>
            <w:tcW w:w="1000" w:type="dxa"/>
            <w:shd w:val="clear" w:color="auto" w:fill="auto"/>
            <w:tcMar>
              <w:top w:w="80" w:type="dxa"/>
              <w:left w:w="100" w:type="dxa"/>
              <w:bottom w:w="80" w:type="dxa"/>
              <w:right w:w="100" w:type="dxa"/>
            </w:tcMar>
            <w:vAlign w:val="center"/>
          </w:tcPr>
          <w:p w14:paraId="0AC42E2A" w14:textId="4AC3FCD0"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Y</w:t>
            </w:r>
            <w:r w:rsidR="00C25A8C">
              <w:rPr>
                <w:rFonts w:ascii="Arial" w:hAnsi="Arial" w:cs="Arial"/>
                <w:sz w:val="24"/>
                <w:szCs w:val="24"/>
              </w:rPr>
              <w:t>ear</w:t>
            </w:r>
            <w:r w:rsidRPr="00923740">
              <w:rPr>
                <w:rFonts w:ascii="Arial" w:hAnsi="Arial" w:cs="Arial"/>
                <w:sz w:val="24"/>
                <w:szCs w:val="24"/>
              </w:rPr>
              <w:t xml:space="preserve"> 5 Cum.</w:t>
            </w:r>
          </w:p>
        </w:tc>
        <w:tc>
          <w:tcPr>
            <w:tcW w:w="1160" w:type="dxa"/>
            <w:shd w:val="clear" w:color="auto" w:fill="auto"/>
            <w:tcMar>
              <w:top w:w="80" w:type="dxa"/>
              <w:left w:w="100" w:type="dxa"/>
              <w:bottom w:w="80" w:type="dxa"/>
              <w:right w:w="100" w:type="dxa"/>
            </w:tcMar>
            <w:vAlign w:val="center"/>
          </w:tcPr>
          <w:p w14:paraId="232BAE5E" w14:textId="77777777" w:rsidR="002A4AF6" w:rsidRPr="00923740" w:rsidRDefault="002A4AF6" w:rsidP="00923740">
            <w:pPr>
              <w:spacing w:line="360" w:lineRule="auto"/>
              <w:jc w:val="center"/>
              <w:rPr>
                <w:rFonts w:ascii="Arial" w:hAnsi="Arial" w:cs="Arial"/>
                <w:sz w:val="24"/>
                <w:szCs w:val="24"/>
              </w:rPr>
            </w:pPr>
            <w:r w:rsidRPr="00923740">
              <w:rPr>
                <w:rFonts w:ascii="Arial" w:hAnsi="Arial" w:cs="Arial"/>
                <w:sz w:val="24"/>
                <w:szCs w:val="24"/>
              </w:rPr>
              <w:t>PBP</w:t>
            </w:r>
          </w:p>
        </w:tc>
      </w:tr>
      <w:tr w:rsidR="00923740" w:rsidRPr="00923740" w14:paraId="63F8BC76" w14:textId="77777777" w:rsidTr="00F153B1">
        <w:tc>
          <w:tcPr>
            <w:tcW w:w="1300" w:type="dxa"/>
            <w:shd w:val="clear" w:color="auto" w:fill="auto"/>
            <w:tcMar>
              <w:top w:w="60" w:type="dxa"/>
              <w:left w:w="100" w:type="dxa"/>
              <w:bottom w:w="60" w:type="dxa"/>
              <w:right w:w="100" w:type="dxa"/>
            </w:tcMar>
            <w:vAlign w:val="center"/>
          </w:tcPr>
          <w:p w14:paraId="1E7717C7" w14:textId="77777777" w:rsidR="002A4AF6" w:rsidRPr="00923740" w:rsidRDefault="002A4AF6" w:rsidP="00923740">
            <w:pPr>
              <w:spacing w:line="360" w:lineRule="auto"/>
              <w:jc w:val="center"/>
              <w:rPr>
                <w:rFonts w:ascii="Arial" w:hAnsi="Arial" w:cs="Arial"/>
                <w:sz w:val="24"/>
                <w:szCs w:val="24"/>
              </w:rPr>
            </w:pPr>
            <w:r w:rsidRPr="00923740">
              <w:rPr>
                <w:rFonts w:ascii="Arial" w:hAnsi="Arial" w:cs="Arial"/>
                <w:color w:val="404040"/>
                <w:sz w:val="24"/>
                <w:szCs w:val="24"/>
              </w:rPr>
              <w:t>Project A</w:t>
            </w:r>
          </w:p>
        </w:tc>
        <w:tc>
          <w:tcPr>
            <w:tcW w:w="900" w:type="dxa"/>
            <w:shd w:val="clear" w:color="auto" w:fill="auto"/>
            <w:tcMar>
              <w:top w:w="60" w:type="dxa"/>
              <w:left w:w="100" w:type="dxa"/>
              <w:bottom w:w="60" w:type="dxa"/>
              <w:right w:w="100" w:type="dxa"/>
            </w:tcMar>
            <w:vAlign w:val="center"/>
          </w:tcPr>
          <w:p w14:paraId="59D80209"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(50.0)</w:t>
            </w:r>
          </w:p>
        </w:tc>
        <w:tc>
          <w:tcPr>
            <w:tcW w:w="1000" w:type="dxa"/>
            <w:shd w:val="clear" w:color="auto" w:fill="auto"/>
            <w:tcMar>
              <w:top w:w="60" w:type="dxa"/>
              <w:left w:w="100" w:type="dxa"/>
              <w:bottom w:w="60" w:type="dxa"/>
              <w:right w:w="100" w:type="dxa"/>
            </w:tcMar>
            <w:vAlign w:val="center"/>
          </w:tcPr>
          <w:p w14:paraId="4ED2FDD1"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10.0</w:t>
            </w:r>
          </w:p>
        </w:tc>
        <w:tc>
          <w:tcPr>
            <w:tcW w:w="1000" w:type="dxa"/>
            <w:shd w:val="clear" w:color="auto" w:fill="auto"/>
            <w:tcMar>
              <w:top w:w="60" w:type="dxa"/>
              <w:left w:w="100" w:type="dxa"/>
              <w:bottom w:w="60" w:type="dxa"/>
              <w:right w:w="100" w:type="dxa"/>
            </w:tcMar>
            <w:vAlign w:val="center"/>
          </w:tcPr>
          <w:p w14:paraId="0F602002"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22.0</w:t>
            </w:r>
          </w:p>
        </w:tc>
        <w:tc>
          <w:tcPr>
            <w:tcW w:w="1000" w:type="dxa"/>
            <w:shd w:val="clear" w:color="auto" w:fill="auto"/>
            <w:tcMar>
              <w:top w:w="60" w:type="dxa"/>
              <w:left w:w="100" w:type="dxa"/>
              <w:bottom w:w="60" w:type="dxa"/>
              <w:right w:w="100" w:type="dxa"/>
            </w:tcMar>
            <w:vAlign w:val="center"/>
          </w:tcPr>
          <w:p w14:paraId="75B8A179"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36.0</w:t>
            </w:r>
          </w:p>
        </w:tc>
        <w:tc>
          <w:tcPr>
            <w:tcW w:w="1000" w:type="dxa"/>
            <w:shd w:val="clear" w:color="auto" w:fill="auto"/>
            <w:tcMar>
              <w:top w:w="60" w:type="dxa"/>
              <w:left w:w="100" w:type="dxa"/>
              <w:bottom w:w="60" w:type="dxa"/>
              <w:right w:w="100" w:type="dxa"/>
            </w:tcMar>
            <w:vAlign w:val="center"/>
          </w:tcPr>
          <w:p w14:paraId="47179A5D"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46.0</w:t>
            </w:r>
          </w:p>
        </w:tc>
        <w:tc>
          <w:tcPr>
            <w:tcW w:w="1000" w:type="dxa"/>
            <w:shd w:val="clear" w:color="auto" w:fill="auto"/>
            <w:tcMar>
              <w:top w:w="60" w:type="dxa"/>
              <w:left w:w="100" w:type="dxa"/>
              <w:bottom w:w="60" w:type="dxa"/>
              <w:right w:w="100" w:type="dxa"/>
            </w:tcMar>
            <w:vAlign w:val="center"/>
          </w:tcPr>
          <w:p w14:paraId="6F89C1EA"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54.0</w:t>
            </w:r>
          </w:p>
        </w:tc>
        <w:tc>
          <w:tcPr>
            <w:tcW w:w="1160" w:type="dxa"/>
            <w:shd w:val="clear" w:color="auto" w:fill="auto"/>
            <w:tcMar>
              <w:top w:w="60" w:type="dxa"/>
              <w:left w:w="100" w:type="dxa"/>
              <w:bottom w:w="60" w:type="dxa"/>
              <w:right w:w="100" w:type="dxa"/>
            </w:tcMar>
            <w:vAlign w:val="center"/>
          </w:tcPr>
          <w:p w14:paraId="12E12FF0" w14:textId="45CC9399"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4 y</w:t>
            </w:r>
            <w:r w:rsidR="00C25A8C">
              <w:rPr>
                <w:rFonts w:ascii="Arial" w:hAnsi="Arial" w:cs="Arial"/>
                <w:color w:val="404040"/>
                <w:sz w:val="24"/>
                <w:szCs w:val="24"/>
              </w:rPr>
              <w:t>ear</w:t>
            </w:r>
            <w:r w:rsidRPr="00923740">
              <w:rPr>
                <w:rFonts w:ascii="Arial" w:hAnsi="Arial" w:cs="Arial"/>
                <w:color w:val="404040"/>
                <w:sz w:val="24"/>
                <w:szCs w:val="24"/>
              </w:rPr>
              <w:t>s 6 m</w:t>
            </w:r>
            <w:r w:rsidR="00C25A8C">
              <w:rPr>
                <w:rFonts w:ascii="Arial" w:hAnsi="Arial" w:cs="Arial"/>
                <w:color w:val="404040"/>
                <w:sz w:val="24"/>
                <w:szCs w:val="24"/>
              </w:rPr>
              <w:t>o</w:t>
            </w:r>
            <w:r w:rsidRPr="00923740">
              <w:rPr>
                <w:rFonts w:ascii="Arial" w:hAnsi="Arial" w:cs="Arial"/>
                <w:color w:val="404040"/>
                <w:sz w:val="24"/>
                <w:szCs w:val="24"/>
              </w:rPr>
              <w:t>ths</w:t>
            </w:r>
          </w:p>
        </w:tc>
      </w:tr>
      <w:tr w:rsidR="00923740" w:rsidRPr="00923740" w14:paraId="31411914" w14:textId="77777777" w:rsidTr="00F153B1">
        <w:tc>
          <w:tcPr>
            <w:tcW w:w="1300" w:type="dxa"/>
            <w:shd w:val="clear" w:color="auto" w:fill="auto"/>
            <w:tcMar>
              <w:top w:w="60" w:type="dxa"/>
              <w:left w:w="100" w:type="dxa"/>
              <w:bottom w:w="60" w:type="dxa"/>
              <w:right w:w="100" w:type="dxa"/>
            </w:tcMar>
            <w:vAlign w:val="center"/>
          </w:tcPr>
          <w:p w14:paraId="5862F67F" w14:textId="77777777" w:rsidR="002A4AF6" w:rsidRPr="00923740" w:rsidRDefault="002A4AF6" w:rsidP="00923740">
            <w:pPr>
              <w:spacing w:line="360" w:lineRule="auto"/>
              <w:jc w:val="center"/>
              <w:rPr>
                <w:rFonts w:ascii="Arial" w:hAnsi="Arial" w:cs="Arial"/>
                <w:sz w:val="24"/>
                <w:szCs w:val="24"/>
              </w:rPr>
            </w:pPr>
            <w:r w:rsidRPr="00923740">
              <w:rPr>
                <w:rFonts w:ascii="Arial" w:hAnsi="Arial" w:cs="Arial"/>
                <w:color w:val="404040"/>
                <w:sz w:val="24"/>
                <w:szCs w:val="24"/>
              </w:rPr>
              <w:lastRenderedPageBreak/>
              <w:t>Project B</w:t>
            </w:r>
          </w:p>
        </w:tc>
        <w:tc>
          <w:tcPr>
            <w:tcW w:w="900" w:type="dxa"/>
            <w:shd w:val="clear" w:color="auto" w:fill="auto"/>
            <w:tcMar>
              <w:top w:w="60" w:type="dxa"/>
              <w:left w:w="100" w:type="dxa"/>
              <w:bottom w:w="60" w:type="dxa"/>
              <w:right w:w="100" w:type="dxa"/>
            </w:tcMar>
            <w:vAlign w:val="center"/>
          </w:tcPr>
          <w:p w14:paraId="67975B19"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(50.0)</w:t>
            </w:r>
          </w:p>
        </w:tc>
        <w:tc>
          <w:tcPr>
            <w:tcW w:w="1000" w:type="dxa"/>
            <w:shd w:val="clear" w:color="auto" w:fill="auto"/>
            <w:tcMar>
              <w:top w:w="60" w:type="dxa"/>
              <w:left w:w="100" w:type="dxa"/>
              <w:bottom w:w="60" w:type="dxa"/>
              <w:right w:w="100" w:type="dxa"/>
            </w:tcMar>
            <w:vAlign w:val="center"/>
          </w:tcPr>
          <w:p w14:paraId="348EBCAD"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11.0</w:t>
            </w:r>
          </w:p>
        </w:tc>
        <w:tc>
          <w:tcPr>
            <w:tcW w:w="1000" w:type="dxa"/>
            <w:shd w:val="clear" w:color="auto" w:fill="auto"/>
            <w:tcMar>
              <w:top w:w="60" w:type="dxa"/>
              <w:left w:w="100" w:type="dxa"/>
              <w:bottom w:w="60" w:type="dxa"/>
              <w:right w:w="100" w:type="dxa"/>
            </w:tcMar>
            <w:vAlign w:val="center"/>
          </w:tcPr>
          <w:p w14:paraId="62E91695"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22.0</w:t>
            </w:r>
          </w:p>
        </w:tc>
        <w:tc>
          <w:tcPr>
            <w:tcW w:w="1000" w:type="dxa"/>
            <w:shd w:val="clear" w:color="auto" w:fill="auto"/>
            <w:tcMar>
              <w:top w:w="60" w:type="dxa"/>
              <w:left w:w="100" w:type="dxa"/>
              <w:bottom w:w="60" w:type="dxa"/>
              <w:right w:w="100" w:type="dxa"/>
            </w:tcMar>
            <w:vAlign w:val="center"/>
          </w:tcPr>
          <w:p w14:paraId="231434E3"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33.0</w:t>
            </w:r>
          </w:p>
        </w:tc>
        <w:tc>
          <w:tcPr>
            <w:tcW w:w="1000" w:type="dxa"/>
            <w:shd w:val="clear" w:color="auto" w:fill="auto"/>
            <w:tcMar>
              <w:top w:w="60" w:type="dxa"/>
              <w:left w:w="100" w:type="dxa"/>
              <w:bottom w:w="60" w:type="dxa"/>
              <w:right w:w="100" w:type="dxa"/>
            </w:tcMar>
            <w:vAlign w:val="center"/>
          </w:tcPr>
          <w:p w14:paraId="593DAB60"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44.0</w:t>
            </w:r>
          </w:p>
        </w:tc>
        <w:tc>
          <w:tcPr>
            <w:tcW w:w="1000" w:type="dxa"/>
            <w:shd w:val="clear" w:color="auto" w:fill="auto"/>
            <w:tcMar>
              <w:top w:w="60" w:type="dxa"/>
              <w:left w:w="100" w:type="dxa"/>
              <w:bottom w:w="60" w:type="dxa"/>
              <w:right w:w="100" w:type="dxa"/>
            </w:tcMar>
            <w:vAlign w:val="center"/>
          </w:tcPr>
          <w:p w14:paraId="2DE46395"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55.0</w:t>
            </w:r>
          </w:p>
        </w:tc>
        <w:tc>
          <w:tcPr>
            <w:tcW w:w="1160" w:type="dxa"/>
            <w:shd w:val="clear" w:color="auto" w:fill="auto"/>
            <w:tcMar>
              <w:top w:w="60" w:type="dxa"/>
              <w:left w:w="100" w:type="dxa"/>
              <w:bottom w:w="60" w:type="dxa"/>
              <w:right w:w="100" w:type="dxa"/>
            </w:tcMar>
            <w:vAlign w:val="center"/>
          </w:tcPr>
          <w:p w14:paraId="2DCD1F93" w14:textId="13FB9FAF"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4 y</w:t>
            </w:r>
            <w:r w:rsidR="00C25A8C">
              <w:rPr>
                <w:rFonts w:ascii="Arial" w:hAnsi="Arial" w:cs="Arial"/>
                <w:color w:val="404040"/>
                <w:sz w:val="24"/>
                <w:szCs w:val="24"/>
              </w:rPr>
              <w:t>ea</w:t>
            </w:r>
            <w:r w:rsidRPr="00923740">
              <w:rPr>
                <w:rFonts w:ascii="Arial" w:hAnsi="Arial" w:cs="Arial"/>
                <w:color w:val="404040"/>
                <w:sz w:val="24"/>
                <w:szCs w:val="24"/>
              </w:rPr>
              <w:t>rs 7 m</w:t>
            </w:r>
            <w:r w:rsidR="00C25A8C">
              <w:rPr>
                <w:rFonts w:ascii="Arial" w:hAnsi="Arial" w:cs="Arial"/>
                <w:color w:val="404040"/>
                <w:sz w:val="24"/>
                <w:szCs w:val="24"/>
              </w:rPr>
              <w:t>o</w:t>
            </w:r>
            <w:r w:rsidRPr="00923740">
              <w:rPr>
                <w:rFonts w:ascii="Arial" w:hAnsi="Arial" w:cs="Arial"/>
                <w:color w:val="404040"/>
                <w:sz w:val="24"/>
                <w:szCs w:val="24"/>
              </w:rPr>
              <w:t>ths</w:t>
            </w:r>
          </w:p>
        </w:tc>
      </w:tr>
      <w:tr w:rsidR="00923740" w:rsidRPr="00923740" w14:paraId="14ADEB1E" w14:textId="77777777" w:rsidTr="00F153B1">
        <w:tc>
          <w:tcPr>
            <w:tcW w:w="1300" w:type="dxa"/>
            <w:shd w:val="clear" w:color="auto" w:fill="auto"/>
            <w:tcMar>
              <w:top w:w="60" w:type="dxa"/>
              <w:left w:w="100" w:type="dxa"/>
              <w:bottom w:w="60" w:type="dxa"/>
              <w:right w:w="100" w:type="dxa"/>
            </w:tcMar>
            <w:vAlign w:val="center"/>
          </w:tcPr>
          <w:p w14:paraId="296BE377" w14:textId="77777777" w:rsidR="002A4AF6" w:rsidRPr="00923740" w:rsidRDefault="002A4AF6" w:rsidP="00923740">
            <w:pPr>
              <w:spacing w:line="360" w:lineRule="auto"/>
              <w:jc w:val="center"/>
              <w:rPr>
                <w:rFonts w:ascii="Arial" w:hAnsi="Arial" w:cs="Arial"/>
                <w:sz w:val="24"/>
                <w:szCs w:val="24"/>
              </w:rPr>
            </w:pPr>
            <w:r w:rsidRPr="00923740">
              <w:rPr>
                <w:rFonts w:ascii="Arial" w:hAnsi="Arial" w:cs="Arial"/>
                <w:color w:val="404040"/>
                <w:sz w:val="24"/>
                <w:szCs w:val="24"/>
              </w:rPr>
              <w:t>Project C</w:t>
            </w:r>
          </w:p>
        </w:tc>
        <w:tc>
          <w:tcPr>
            <w:tcW w:w="900" w:type="dxa"/>
            <w:shd w:val="clear" w:color="auto" w:fill="auto"/>
            <w:tcMar>
              <w:top w:w="60" w:type="dxa"/>
              <w:left w:w="100" w:type="dxa"/>
              <w:bottom w:w="60" w:type="dxa"/>
              <w:right w:w="100" w:type="dxa"/>
            </w:tcMar>
            <w:vAlign w:val="center"/>
          </w:tcPr>
          <w:p w14:paraId="2B0225D9"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(50.0)</w:t>
            </w:r>
          </w:p>
        </w:tc>
        <w:tc>
          <w:tcPr>
            <w:tcW w:w="1000" w:type="dxa"/>
            <w:shd w:val="clear" w:color="auto" w:fill="auto"/>
            <w:tcMar>
              <w:top w:w="60" w:type="dxa"/>
              <w:left w:w="100" w:type="dxa"/>
              <w:bottom w:w="60" w:type="dxa"/>
              <w:right w:w="100" w:type="dxa"/>
            </w:tcMar>
            <w:vAlign w:val="center"/>
          </w:tcPr>
          <w:p w14:paraId="0C72B29A"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5.0</w:t>
            </w:r>
          </w:p>
        </w:tc>
        <w:tc>
          <w:tcPr>
            <w:tcW w:w="1000" w:type="dxa"/>
            <w:shd w:val="clear" w:color="auto" w:fill="auto"/>
            <w:tcMar>
              <w:top w:w="60" w:type="dxa"/>
              <w:left w:w="100" w:type="dxa"/>
              <w:bottom w:w="60" w:type="dxa"/>
              <w:right w:w="100" w:type="dxa"/>
            </w:tcMar>
            <w:vAlign w:val="center"/>
          </w:tcPr>
          <w:p w14:paraId="273A7D56"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15.0</w:t>
            </w:r>
          </w:p>
        </w:tc>
        <w:tc>
          <w:tcPr>
            <w:tcW w:w="1000" w:type="dxa"/>
            <w:shd w:val="clear" w:color="auto" w:fill="auto"/>
            <w:tcMar>
              <w:top w:w="60" w:type="dxa"/>
              <w:left w:w="100" w:type="dxa"/>
              <w:bottom w:w="60" w:type="dxa"/>
              <w:right w:w="100" w:type="dxa"/>
            </w:tcMar>
            <w:vAlign w:val="center"/>
          </w:tcPr>
          <w:p w14:paraId="09E71959"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35.0</w:t>
            </w:r>
          </w:p>
        </w:tc>
        <w:tc>
          <w:tcPr>
            <w:tcW w:w="1000" w:type="dxa"/>
            <w:shd w:val="clear" w:color="auto" w:fill="auto"/>
            <w:tcMar>
              <w:top w:w="60" w:type="dxa"/>
              <w:left w:w="100" w:type="dxa"/>
              <w:bottom w:w="60" w:type="dxa"/>
              <w:right w:w="100" w:type="dxa"/>
            </w:tcMar>
            <w:vAlign w:val="center"/>
          </w:tcPr>
          <w:p w14:paraId="01C41B4A"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60.0</w:t>
            </w:r>
          </w:p>
        </w:tc>
        <w:tc>
          <w:tcPr>
            <w:tcW w:w="1000" w:type="dxa"/>
            <w:shd w:val="clear" w:color="auto" w:fill="auto"/>
            <w:tcMar>
              <w:top w:w="60" w:type="dxa"/>
              <w:left w:w="100" w:type="dxa"/>
              <w:bottom w:w="60" w:type="dxa"/>
              <w:right w:w="100" w:type="dxa"/>
            </w:tcMar>
            <w:vAlign w:val="center"/>
          </w:tcPr>
          <w:p w14:paraId="5B57A2F3" w14:textId="77777777" w:rsidR="002A4AF6" w:rsidRPr="00923740" w:rsidRDefault="002A4AF6" w:rsidP="00923740">
            <w:pPr>
              <w:spacing w:line="360" w:lineRule="auto"/>
              <w:rPr>
                <w:rFonts w:ascii="Arial" w:hAnsi="Arial" w:cs="Arial"/>
                <w:sz w:val="24"/>
                <w:szCs w:val="24"/>
              </w:rPr>
            </w:pPr>
            <w:r w:rsidRPr="00923740">
              <w:rPr>
                <w:rFonts w:ascii="Arial" w:hAnsi="Arial" w:cs="Arial"/>
                <w:color w:val="404040"/>
                <w:sz w:val="24"/>
                <w:szCs w:val="24"/>
              </w:rPr>
              <w:t>65.0</w:t>
            </w:r>
          </w:p>
        </w:tc>
        <w:tc>
          <w:tcPr>
            <w:tcW w:w="1160" w:type="dxa"/>
            <w:shd w:val="clear" w:color="auto" w:fill="auto"/>
            <w:tcMar>
              <w:top w:w="60" w:type="dxa"/>
              <w:left w:w="100" w:type="dxa"/>
              <w:bottom w:w="60" w:type="dxa"/>
              <w:right w:w="100" w:type="dxa"/>
            </w:tcMar>
            <w:vAlign w:val="center"/>
          </w:tcPr>
          <w:p w14:paraId="4C131F8B" w14:textId="0904270B" w:rsidR="002A4AF6" w:rsidRPr="00923740" w:rsidRDefault="002A4AF6" w:rsidP="00C40834">
            <w:pPr>
              <w:keepNext/>
              <w:spacing w:line="360" w:lineRule="auto"/>
              <w:rPr>
                <w:rFonts w:ascii="Arial" w:hAnsi="Arial" w:cs="Arial"/>
                <w:sz w:val="24"/>
                <w:szCs w:val="24"/>
              </w:rPr>
            </w:pPr>
            <w:r w:rsidRPr="00923740">
              <w:rPr>
                <w:rFonts w:ascii="Arial" w:hAnsi="Arial" w:cs="Arial"/>
                <w:color w:val="404040"/>
                <w:sz w:val="24"/>
                <w:szCs w:val="24"/>
              </w:rPr>
              <w:t>3 y</w:t>
            </w:r>
            <w:r w:rsidR="00C25A8C">
              <w:rPr>
                <w:rFonts w:ascii="Arial" w:hAnsi="Arial" w:cs="Arial"/>
                <w:color w:val="404040"/>
                <w:sz w:val="24"/>
                <w:szCs w:val="24"/>
              </w:rPr>
              <w:t>ea</w:t>
            </w:r>
            <w:r w:rsidRPr="00923740">
              <w:rPr>
                <w:rFonts w:ascii="Arial" w:hAnsi="Arial" w:cs="Arial"/>
                <w:color w:val="404040"/>
                <w:sz w:val="24"/>
                <w:szCs w:val="24"/>
              </w:rPr>
              <w:t>rs 7 m</w:t>
            </w:r>
            <w:r w:rsidR="00C25A8C">
              <w:rPr>
                <w:rFonts w:ascii="Arial" w:hAnsi="Arial" w:cs="Arial"/>
                <w:color w:val="404040"/>
                <w:sz w:val="24"/>
                <w:szCs w:val="24"/>
              </w:rPr>
              <w:t>o</w:t>
            </w:r>
            <w:r w:rsidRPr="00923740">
              <w:rPr>
                <w:rFonts w:ascii="Arial" w:hAnsi="Arial" w:cs="Arial"/>
                <w:color w:val="404040"/>
                <w:sz w:val="24"/>
                <w:szCs w:val="24"/>
              </w:rPr>
              <w:t>ths</w:t>
            </w:r>
          </w:p>
        </w:tc>
      </w:tr>
    </w:tbl>
    <w:p w14:paraId="4F1AFE33" w14:textId="01206996" w:rsidR="00C40834" w:rsidRDefault="00C40834">
      <w:pPr>
        <w:pStyle w:val="Caption"/>
      </w:pPr>
      <w:r>
        <w:t xml:space="preserve">Table 4.2 </w:t>
      </w:r>
      <w:r w:rsidRPr="00E225F9">
        <w:t>Source: Author's calculations based on Board project data</w:t>
      </w:r>
    </w:p>
    <w:p w14:paraId="79E93278" w14:textId="7BA9DE80" w:rsidR="002A4AF6" w:rsidRPr="005A0E16" w:rsidRDefault="002A4AF6" w:rsidP="00F153B1">
      <w:pPr>
        <w:spacing w:before="60" w:after="60" w:line="360" w:lineRule="auto"/>
        <w:jc w:val="both"/>
        <w:rPr>
          <w:b/>
          <w:bCs/>
          <w:sz w:val="24"/>
          <w:szCs w:val="24"/>
        </w:rPr>
      </w:pPr>
      <w:r w:rsidRPr="005A0E16">
        <w:rPr>
          <w:rFonts w:ascii="Arial" w:eastAsia="Arial" w:hAnsi="Arial" w:cs="Arial"/>
          <w:b/>
          <w:bCs/>
          <w:color w:val="404040"/>
          <w:sz w:val="24"/>
          <w:szCs w:val="24"/>
        </w:rPr>
        <w:t>Payback Period Calculations:</w:t>
      </w:r>
    </w:p>
    <w:p w14:paraId="26CDEA72" w14:textId="77777777" w:rsidR="005A0E16" w:rsidRDefault="005A0E16" w:rsidP="005A0E16">
      <w:pPr>
        <w:spacing w:before="50" w:after="50" w:line="360" w:lineRule="auto"/>
        <w:jc w:val="both"/>
        <w:rPr>
          <w:rFonts w:ascii="Arial" w:eastAsia="Arial" w:hAnsi="Arial" w:cs="Arial"/>
          <w:color w:val="404040"/>
          <w:sz w:val="24"/>
          <w:szCs w:val="24"/>
        </w:rPr>
      </w:pPr>
      <w:r w:rsidRPr="005A0E16">
        <w:rPr>
          <w:rFonts w:ascii="Arial" w:eastAsia="Arial" w:hAnsi="Arial" w:cs="Arial"/>
          <w:color w:val="404040"/>
          <w:sz w:val="24"/>
          <w:szCs w:val="24"/>
        </w:rPr>
        <w:t xml:space="preserve">Project A: 4 + (4÷8) = 4.50 yrs. </w:t>
      </w:r>
    </w:p>
    <w:p w14:paraId="77BCF4DB" w14:textId="77777777" w:rsidR="005A0E16" w:rsidRDefault="005A0E16" w:rsidP="005A0E16">
      <w:pPr>
        <w:spacing w:before="50" w:after="50" w:line="360" w:lineRule="auto"/>
        <w:jc w:val="both"/>
        <w:rPr>
          <w:rFonts w:ascii="Arial" w:eastAsia="Arial" w:hAnsi="Arial" w:cs="Arial"/>
          <w:color w:val="404040"/>
          <w:sz w:val="24"/>
          <w:szCs w:val="24"/>
        </w:rPr>
      </w:pPr>
      <w:r w:rsidRPr="005A0E16">
        <w:rPr>
          <w:rFonts w:ascii="Arial" w:eastAsia="Arial" w:hAnsi="Arial" w:cs="Arial"/>
          <w:color w:val="404040"/>
          <w:sz w:val="24"/>
          <w:szCs w:val="24"/>
        </w:rPr>
        <w:t xml:space="preserve">Project B: 4 + (6÷11) = 4.55 yrs. </w:t>
      </w:r>
    </w:p>
    <w:p w14:paraId="53DF336B" w14:textId="77777777" w:rsidR="005A0E16" w:rsidRDefault="005A0E16" w:rsidP="005A0E16">
      <w:pPr>
        <w:spacing w:before="50" w:after="50" w:line="360" w:lineRule="auto"/>
        <w:jc w:val="both"/>
        <w:rPr>
          <w:rFonts w:ascii="Arial" w:eastAsia="Arial" w:hAnsi="Arial" w:cs="Arial"/>
          <w:color w:val="404040"/>
          <w:sz w:val="24"/>
          <w:szCs w:val="24"/>
        </w:rPr>
      </w:pPr>
      <w:r w:rsidRPr="005A0E16">
        <w:rPr>
          <w:rFonts w:ascii="Arial" w:eastAsia="Arial" w:hAnsi="Arial" w:cs="Arial"/>
          <w:color w:val="404040"/>
          <w:sz w:val="24"/>
          <w:szCs w:val="24"/>
        </w:rPr>
        <w:t>Project C: 3 + (15÷25) = 3.60 yrs.</w:t>
      </w:r>
    </w:p>
    <w:p w14:paraId="7CA9C271" w14:textId="780B76A7" w:rsidR="005A0E16" w:rsidRPr="005A0E16" w:rsidRDefault="005A0E16" w:rsidP="005A0E16">
      <w:pPr>
        <w:spacing w:before="50" w:after="50" w:line="360" w:lineRule="auto"/>
        <w:jc w:val="both"/>
        <w:rPr>
          <w:sz w:val="28"/>
          <w:szCs w:val="28"/>
        </w:rPr>
      </w:pPr>
      <w:r w:rsidRPr="005A0E16">
        <w:rPr>
          <w:rFonts w:ascii="Arial" w:eastAsia="Arial" w:hAnsi="Arial" w:cs="Arial"/>
          <w:color w:val="404040"/>
          <w:sz w:val="24"/>
          <w:szCs w:val="24"/>
        </w:rPr>
        <w:t>Project C recovers capital ~11 months faster, a strategic advantage given Hyundai's liquidity position.</w:t>
      </w:r>
    </w:p>
    <w:p w14:paraId="63DDA05D" w14:textId="77777777" w:rsidR="00F34613" w:rsidRDefault="00F34613" w:rsidP="00217E7E">
      <w:pPr>
        <w:pStyle w:val="Heading2"/>
      </w:pPr>
      <w:bookmarkStart w:id="46" w:name="_Toc227660508"/>
      <w:r>
        <w:rPr>
          <w:rFonts w:ascii="Arial" w:eastAsia="Arial" w:hAnsi="Arial" w:cs="Arial"/>
          <w:b/>
          <w:bCs/>
          <w:color w:val="2E75B6"/>
        </w:rPr>
        <w:t>4.3 Accounting Rate of Return (ARR)</w:t>
      </w:r>
      <w:bookmarkEnd w:id="46"/>
    </w:p>
    <w:p w14:paraId="656BF569" w14:textId="16666AA8" w:rsidR="00F34613" w:rsidRPr="00A55733" w:rsidRDefault="00A55733" w:rsidP="00A55733">
      <w:pPr>
        <w:spacing w:before="50" w:after="50" w:line="360" w:lineRule="auto"/>
        <w:jc w:val="both"/>
        <w:rPr>
          <w:sz w:val="28"/>
          <w:szCs w:val="28"/>
        </w:rPr>
      </w:pPr>
      <w:r w:rsidRPr="00A55733">
        <w:rPr>
          <w:rFonts w:ascii="Arial" w:eastAsia="Arial" w:hAnsi="Arial" w:cs="Arial"/>
          <w:color w:val="404040"/>
          <w:sz w:val="24"/>
          <w:szCs w:val="24"/>
        </w:rPr>
        <w:t>ARR = Average Annual Accounting Profit ÷ Investment. Average depreciation = £10m/yr. Atrill and McLaney (2021) note ARR links project performance directly to the firm's reported accounting metrics, facilitating comparison with ROE.</w:t>
      </w:r>
    </w:p>
    <w:p w14:paraId="79B2987B" w14:textId="77777777" w:rsidR="00F34613" w:rsidRPr="00B67377" w:rsidRDefault="00F34613" w:rsidP="00B67377">
      <w:pPr>
        <w:pStyle w:val="Heading3"/>
        <w:spacing w:line="360" w:lineRule="auto"/>
      </w:pPr>
      <w:bookmarkStart w:id="47" w:name="_Toc227660509"/>
      <w:r w:rsidRPr="00B67377">
        <w:rPr>
          <w:rFonts w:ascii="Arial" w:eastAsia="Arial" w:hAnsi="Arial" w:cs="Arial"/>
          <w:b/>
          <w:bCs/>
          <w:color w:val="404040"/>
          <w:u w:color="2E75B6"/>
        </w:rPr>
        <w:t>Table 4.3 – ARR Calculation</w:t>
      </w:r>
      <w:bookmarkEnd w:id="4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2053"/>
        <w:gridCol w:w="2053"/>
        <w:gridCol w:w="2054"/>
      </w:tblGrid>
      <w:tr w:rsidR="00F34613" w:rsidRPr="00217E7E" w14:paraId="78766693" w14:textId="77777777" w:rsidTr="00217E7E">
        <w:tc>
          <w:tcPr>
            <w:tcW w:w="3200" w:type="dxa"/>
            <w:shd w:val="clear" w:color="auto" w:fill="auto"/>
            <w:tcMar>
              <w:top w:w="80" w:type="dxa"/>
              <w:left w:w="100" w:type="dxa"/>
              <w:bottom w:w="80" w:type="dxa"/>
              <w:right w:w="100" w:type="dxa"/>
            </w:tcMar>
            <w:vAlign w:val="center"/>
          </w:tcPr>
          <w:p w14:paraId="539090A2" w14:textId="77777777" w:rsidR="00F34613" w:rsidRPr="00217E7E" w:rsidRDefault="00F34613" w:rsidP="00217E7E">
            <w:pPr>
              <w:jc w:val="center"/>
              <w:rPr>
                <w:rFonts w:ascii="Arial" w:hAnsi="Arial" w:cs="Arial"/>
                <w:sz w:val="24"/>
                <w:szCs w:val="24"/>
              </w:rPr>
            </w:pPr>
            <w:r w:rsidRPr="00217E7E">
              <w:rPr>
                <w:rFonts w:ascii="Arial" w:hAnsi="Arial" w:cs="Arial"/>
                <w:sz w:val="24"/>
                <w:szCs w:val="24"/>
              </w:rPr>
              <w:t>Item</w:t>
            </w:r>
          </w:p>
        </w:tc>
        <w:tc>
          <w:tcPr>
            <w:tcW w:w="2053" w:type="dxa"/>
            <w:shd w:val="clear" w:color="auto" w:fill="auto"/>
            <w:tcMar>
              <w:top w:w="80" w:type="dxa"/>
              <w:left w:w="100" w:type="dxa"/>
              <w:bottom w:w="80" w:type="dxa"/>
              <w:right w:w="100" w:type="dxa"/>
            </w:tcMar>
            <w:vAlign w:val="center"/>
          </w:tcPr>
          <w:p w14:paraId="6C096AB2" w14:textId="77777777" w:rsidR="00F34613" w:rsidRPr="00217E7E" w:rsidRDefault="00F34613" w:rsidP="00217E7E">
            <w:pPr>
              <w:jc w:val="center"/>
              <w:rPr>
                <w:rFonts w:ascii="Arial" w:hAnsi="Arial" w:cs="Arial"/>
                <w:sz w:val="24"/>
                <w:szCs w:val="24"/>
              </w:rPr>
            </w:pPr>
            <w:r w:rsidRPr="00217E7E">
              <w:rPr>
                <w:rFonts w:ascii="Arial" w:hAnsi="Arial" w:cs="Arial"/>
                <w:sz w:val="24"/>
                <w:szCs w:val="24"/>
              </w:rPr>
              <w:t>Project A</w:t>
            </w:r>
          </w:p>
        </w:tc>
        <w:tc>
          <w:tcPr>
            <w:tcW w:w="2053" w:type="dxa"/>
            <w:shd w:val="clear" w:color="auto" w:fill="auto"/>
            <w:tcMar>
              <w:top w:w="80" w:type="dxa"/>
              <w:left w:w="100" w:type="dxa"/>
              <w:bottom w:w="80" w:type="dxa"/>
              <w:right w:w="100" w:type="dxa"/>
            </w:tcMar>
            <w:vAlign w:val="center"/>
          </w:tcPr>
          <w:p w14:paraId="404F1252" w14:textId="77777777" w:rsidR="00F34613" w:rsidRPr="00217E7E" w:rsidRDefault="00F34613" w:rsidP="00217E7E">
            <w:pPr>
              <w:jc w:val="center"/>
              <w:rPr>
                <w:rFonts w:ascii="Arial" w:hAnsi="Arial" w:cs="Arial"/>
                <w:sz w:val="24"/>
                <w:szCs w:val="24"/>
              </w:rPr>
            </w:pPr>
            <w:r w:rsidRPr="00217E7E">
              <w:rPr>
                <w:rFonts w:ascii="Arial" w:hAnsi="Arial" w:cs="Arial"/>
                <w:sz w:val="24"/>
                <w:szCs w:val="24"/>
              </w:rPr>
              <w:t>Project B</w:t>
            </w:r>
          </w:p>
        </w:tc>
        <w:tc>
          <w:tcPr>
            <w:tcW w:w="2054" w:type="dxa"/>
            <w:shd w:val="clear" w:color="auto" w:fill="auto"/>
            <w:tcMar>
              <w:top w:w="80" w:type="dxa"/>
              <w:left w:w="100" w:type="dxa"/>
              <w:bottom w:w="80" w:type="dxa"/>
              <w:right w:w="100" w:type="dxa"/>
            </w:tcMar>
            <w:vAlign w:val="center"/>
          </w:tcPr>
          <w:p w14:paraId="347E9DBF" w14:textId="77777777" w:rsidR="00F34613" w:rsidRPr="00217E7E" w:rsidRDefault="00F34613" w:rsidP="00217E7E">
            <w:pPr>
              <w:jc w:val="center"/>
              <w:rPr>
                <w:rFonts w:ascii="Arial" w:hAnsi="Arial" w:cs="Arial"/>
                <w:sz w:val="24"/>
                <w:szCs w:val="24"/>
              </w:rPr>
            </w:pPr>
            <w:r w:rsidRPr="00217E7E">
              <w:rPr>
                <w:rFonts w:ascii="Arial" w:hAnsi="Arial" w:cs="Arial"/>
                <w:sz w:val="24"/>
                <w:szCs w:val="24"/>
              </w:rPr>
              <w:t>Project C</w:t>
            </w:r>
          </w:p>
        </w:tc>
      </w:tr>
      <w:tr w:rsidR="00F34613" w:rsidRPr="00217E7E" w14:paraId="3E4D6651" w14:textId="77777777" w:rsidTr="00217E7E">
        <w:tc>
          <w:tcPr>
            <w:tcW w:w="3200" w:type="dxa"/>
            <w:shd w:val="clear" w:color="auto" w:fill="auto"/>
            <w:tcMar>
              <w:top w:w="60" w:type="dxa"/>
              <w:left w:w="100" w:type="dxa"/>
              <w:bottom w:w="60" w:type="dxa"/>
              <w:right w:w="100" w:type="dxa"/>
            </w:tcMar>
            <w:vAlign w:val="center"/>
          </w:tcPr>
          <w:p w14:paraId="714A0C76" w14:textId="77777777" w:rsidR="00F34613" w:rsidRPr="00217E7E" w:rsidRDefault="00F34613" w:rsidP="00217E7E">
            <w:pPr>
              <w:jc w:val="center"/>
              <w:rPr>
                <w:rFonts w:ascii="Arial" w:hAnsi="Arial" w:cs="Arial"/>
                <w:sz w:val="24"/>
                <w:szCs w:val="24"/>
              </w:rPr>
            </w:pPr>
            <w:r w:rsidRPr="00217E7E">
              <w:rPr>
                <w:rFonts w:ascii="Arial" w:hAnsi="Arial" w:cs="Arial"/>
                <w:color w:val="404040"/>
                <w:sz w:val="24"/>
                <w:szCs w:val="24"/>
              </w:rPr>
              <w:t>Total Net Cash Inflows (£m)</w:t>
            </w:r>
          </w:p>
        </w:tc>
        <w:tc>
          <w:tcPr>
            <w:tcW w:w="2053" w:type="dxa"/>
            <w:shd w:val="clear" w:color="auto" w:fill="auto"/>
            <w:tcMar>
              <w:top w:w="60" w:type="dxa"/>
              <w:left w:w="100" w:type="dxa"/>
              <w:bottom w:w="60" w:type="dxa"/>
              <w:right w:w="100" w:type="dxa"/>
            </w:tcMar>
            <w:vAlign w:val="center"/>
          </w:tcPr>
          <w:p w14:paraId="40CCFCD5"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£54.0m</w:t>
            </w:r>
          </w:p>
        </w:tc>
        <w:tc>
          <w:tcPr>
            <w:tcW w:w="2053" w:type="dxa"/>
            <w:shd w:val="clear" w:color="auto" w:fill="auto"/>
            <w:tcMar>
              <w:top w:w="60" w:type="dxa"/>
              <w:left w:w="100" w:type="dxa"/>
              <w:bottom w:w="60" w:type="dxa"/>
              <w:right w:w="100" w:type="dxa"/>
            </w:tcMar>
            <w:vAlign w:val="center"/>
          </w:tcPr>
          <w:p w14:paraId="130C5BDC"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£55.0m</w:t>
            </w:r>
          </w:p>
        </w:tc>
        <w:tc>
          <w:tcPr>
            <w:tcW w:w="2054" w:type="dxa"/>
            <w:shd w:val="clear" w:color="auto" w:fill="auto"/>
            <w:tcMar>
              <w:top w:w="60" w:type="dxa"/>
              <w:left w:w="100" w:type="dxa"/>
              <w:bottom w:w="60" w:type="dxa"/>
              <w:right w:w="100" w:type="dxa"/>
            </w:tcMar>
            <w:vAlign w:val="center"/>
          </w:tcPr>
          <w:p w14:paraId="5C2CD0A6"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£65.0m</w:t>
            </w:r>
          </w:p>
        </w:tc>
      </w:tr>
      <w:tr w:rsidR="00F34613" w:rsidRPr="00217E7E" w14:paraId="6DB50A14" w14:textId="77777777" w:rsidTr="00217E7E">
        <w:tc>
          <w:tcPr>
            <w:tcW w:w="3200" w:type="dxa"/>
            <w:shd w:val="clear" w:color="auto" w:fill="auto"/>
            <w:tcMar>
              <w:top w:w="60" w:type="dxa"/>
              <w:left w:w="100" w:type="dxa"/>
              <w:bottom w:w="60" w:type="dxa"/>
              <w:right w:w="100" w:type="dxa"/>
            </w:tcMar>
            <w:vAlign w:val="center"/>
          </w:tcPr>
          <w:p w14:paraId="3A5B0E7D" w14:textId="77777777" w:rsidR="00F34613" w:rsidRPr="00217E7E" w:rsidRDefault="00F34613" w:rsidP="00217E7E">
            <w:pPr>
              <w:jc w:val="center"/>
              <w:rPr>
                <w:rFonts w:ascii="Arial" w:hAnsi="Arial" w:cs="Arial"/>
                <w:sz w:val="24"/>
                <w:szCs w:val="24"/>
              </w:rPr>
            </w:pPr>
            <w:r w:rsidRPr="00217E7E">
              <w:rPr>
                <w:rFonts w:ascii="Arial" w:hAnsi="Arial" w:cs="Arial"/>
                <w:color w:val="404040"/>
                <w:sz w:val="24"/>
                <w:szCs w:val="24"/>
              </w:rPr>
              <w:t>Less: Total Depreciation (£m)</w:t>
            </w:r>
          </w:p>
        </w:tc>
        <w:tc>
          <w:tcPr>
            <w:tcW w:w="2053" w:type="dxa"/>
            <w:shd w:val="clear" w:color="auto" w:fill="auto"/>
            <w:tcMar>
              <w:top w:w="60" w:type="dxa"/>
              <w:left w:w="100" w:type="dxa"/>
              <w:bottom w:w="60" w:type="dxa"/>
              <w:right w:w="100" w:type="dxa"/>
            </w:tcMar>
            <w:vAlign w:val="center"/>
          </w:tcPr>
          <w:p w14:paraId="52479BD0"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(£50.0m)</w:t>
            </w:r>
          </w:p>
        </w:tc>
        <w:tc>
          <w:tcPr>
            <w:tcW w:w="2053" w:type="dxa"/>
            <w:shd w:val="clear" w:color="auto" w:fill="auto"/>
            <w:tcMar>
              <w:top w:w="60" w:type="dxa"/>
              <w:left w:w="100" w:type="dxa"/>
              <w:bottom w:w="60" w:type="dxa"/>
              <w:right w:w="100" w:type="dxa"/>
            </w:tcMar>
            <w:vAlign w:val="center"/>
          </w:tcPr>
          <w:p w14:paraId="20316291"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(£50.0m)</w:t>
            </w:r>
          </w:p>
        </w:tc>
        <w:tc>
          <w:tcPr>
            <w:tcW w:w="2054" w:type="dxa"/>
            <w:shd w:val="clear" w:color="auto" w:fill="auto"/>
            <w:tcMar>
              <w:top w:w="60" w:type="dxa"/>
              <w:left w:w="100" w:type="dxa"/>
              <w:bottom w:w="60" w:type="dxa"/>
              <w:right w:w="100" w:type="dxa"/>
            </w:tcMar>
            <w:vAlign w:val="center"/>
          </w:tcPr>
          <w:p w14:paraId="219F0CA6"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(£50.0m)</w:t>
            </w:r>
          </w:p>
        </w:tc>
      </w:tr>
      <w:tr w:rsidR="00F34613" w:rsidRPr="00217E7E" w14:paraId="5766DD86" w14:textId="77777777" w:rsidTr="00217E7E">
        <w:tc>
          <w:tcPr>
            <w:tcW w:w="3200" w:type="dxa"/>
            <w:shd w:val="clear" w:color="auto" w:fill="auto"/>
            <w:tcMar>
              <w:top w:w="60" w:type="dxa"/>
              <w:left w:w="100" w:type="dxa"/>
              <w:bottom w:w="60" w:type="dxa"/>
              <w:right w:w="100" w:type="dxa"/>
            </w:tcMar>
            <w:vAlign w:val="center"/>
          </w:tcPr>
          <w:p w14:paraId="55508FEF" w14:textId="77777777" w:rsidR="00F34613" w:rsidRPr="00217E7E" w:rsidRDefault="00F34613" w:rsidP="00217E7E">
            <w:pPr>
              <w:jc w:val="center"/>
              <w:rPr>
                <w:rFonts w:ascii="Arial" w:hAnsi="Arial" w:cs="Arial"/>
                <w:sz w:val="24"/>
                <w:szCs w:val="24"/>
              </w:rPr>
            </w:pPr>
            <w:r w:rsidRPr="00217E7E">
              <w:rPr>
                <w:rFonts w:ascii="Arial" w:hAnsi="Arial" w:cs="Arial"/>
                <w:color w:val="404040"/>
                <w:sz w:val="24"/>
                <w:szCs w:val="24"/>
              </w:rPr>
              <w:t>Total Accounting Profit (£m)</w:t>
            </w:r>
          </w:p>
        </w:tc>
        <w:tc>
          <w:tcPr>
            <w:tcW w:w="2053" w:type="dxa"/>
            <w:shd w:val="clear" w:color="auto" w:fill="auto"/>
            <w:tcMar>
              <w:top w:w="60" w:type="dxa"/>
              <w:left w:w="100" w:type="dxa"/>
              <w:bottom w:w="60" w:type="dxa"/>
              <w:right w:w="100" w:type="dxa"/>
            </w:tcMar>
            <w:vAlign w:val="center"/>
          </w:tcPr>
          <w:p w14:paraId="0EAEA89B"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£4.0m</w:t>
            </w:r>
          </w:p>
        </w:tc>
        <w:tc>
          <w:tcPr>
            <w:tcW w:w="2053" w:type="dxa"/>
            <w:shd w:val="clear" w:color="auto" w:fill="auto"/>
            <w:tcMar>
              <w:top w:w="60" w:type="dxa"/>
              <w:left w:w="100" w:type="dxa"/>
              <w:bottom w:w="60" w:type="dxa"/>
              <w:right w:w="100" w:type="dxa"/>
            </w:tcMar>
            <w:vAlign w:val="center"/>
          </w:tcPr>
          <w:p w14:paraId="5D87018C"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£5.0m</w:t>
            </w:r>
          </w:p>
        </w:tc>
        <w:tc>
          <w:tcPr>
            <w:tcW w:w="2054" w:type="dxa"/>
            <w:shd w:val="clear" w:color="auto" w:fill="auto"/>
            <w:tcMar>
              <w:top w:w="60" w:type="dxa"/>
              <w:left w:w="100" w:type="dxa"/>
              <w:bottom w:w="60" w:type="dxa"/>
              <w:right w:w="100" w:type="dxa"/>
            </w:tcMar>
            <w:vAlign w:val="center"/>
          </w:tcPr>
          <w:p w14:paraId="1F533D64"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£15.0m</w:t>
            </w:r>
          </w:p>
        </w:tc>
      </w:tr>
      <w:tr w:rsidR="00F34613" w:rsidRPr="00217E7E" w14:paraId="49F86AD2" w14:textId="77777777" w:rsidTr="00217E7E">
        <w:tc>
          <w:tcPr>
            <w:tcW w:w="3200" w:type="dxa"/>
            <w:shd w:val="clear" w:color="auto" w:fill="auto"/>
            <w:tcMar>
              <w:top w:w="60" w:type="dxa"/>
              <w:left w:w="100" w:type="dxa"/>
              <w:bottom w:w="60" w:type="dxa"/>
              <w:right w:w="100" w:type="dxa"/>
            </w:tcMar>
            <w:vAlign w:val="center"/>
          </w:tcPr>
          <w:p w14:paraId="204D405D" w14:textId="77777777" w:rsidR="00F34613" w:rsidRPr="00217E7E" w:rsidRDefault="00F34613" w:rsidP="00217E7E">
            <w:pPr>
              <w:jc w:val="center"/>
              <w:rPr>
                <w:rFonts w:ascii="Arial" w:hAnsi="Arial" w:cs="Arial"/>
                <w:sz w:val="24"/>
                <w:szCs w:val="24"/>
              </w:rPr>
            </w:pPr>
            <w:r w:rsidRPr="00217E7E">
              <w:rPr>
                <w:rFonts w:ascii="Arial" w:hAnsi="Arial" w:cs="Arial"/>
                <w:color w:val="404040"/>
                <w:sz w:val="24"/>
                <w:szCs w:val="24"/>
              </w:rPr>
              <w:t>Average Annual Accounting Profit (£m)</w:t>
            </w:r>
          </w:p>
        </w:tc>
        <w:tc>
          <w:tcPr>
            <w:tcW w:w="2053" w:type="dxa"/>
            <w:shd w:val="clear" w:color="auto" w:fill="auto"/>
            <w:tcMar>
              <w:top w:w="60" w:type="dxa"/>
              <w:left w:w="100" w:type="dxa"/>
              <w:bottom w:w="60" w:type="dxa"/>
              <w:right w:w="100" w:type="dxa"/>
            </w:tcMar>
            <w:vAlign w:val="center"/>
          </w:tcPr>
          <w:p w14:paraId="4EAAEBBA"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£0.8m</w:t>
            </w:r>
          </w:p>
        </w:tc>
        <w:tc>
          <w:tcPr>
            <w:tcW w:w="2053" w:type="dxa"/>
            <w:shd w:val="clear" w:color="auto" w:fill="auto"/>
            <w:tcMar>
              <w:top w:w="60" w:type="dxa"/>
              <w:left w:w="100" w:type="dxa"/>
              <w:bottom w:w="60" w:type="dxa"/>
              <w:right w:w="100" w:type="dxa"/>
            </w:tcMar>
            <w:vAlign w:val="center"/>
          </w:tcPr>
          <w:p w14:paraId="0E222467"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£1.0m</w:t>
            </w:r>
          </w:p>
        </w:tc>
        <w:tc>
          <w:tcPr>
            <w:tcW w:w="2054" w:type="dxa"/>
            <w:shd w:val="clear" w:color="auto" w:fill="auto"/>
            <w:tcMar>
              <w:top w:w="60" w:type="dxa"/>
              <w:left w:w="100" w:type="dxa"/>
              <w:bottom w:w="60" w:type="dxa"/>
              <w:right w:w="100" w:type="dxa"/>
            </w:tcMar>
            <w:vAlign w:val="center"/>
          </w:tcPr>
          <w:p w14:paraId="4EDB3120"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£3.0m</w:t>
            </w:r>
          </w:p>
        </w:tc>
      </w:tr>
      <w:tr w:rsidR="00F34613" w:rsidRPr="00217E7E" w14:paraId="7790A8CA" w14:textId="77777777" w:rsidTr="00217E7E">
        <w:tc>
          <w:tcPr>
            <w:tcW w:w="3200" w:type="dxa"/>
            <w:shd w:val="clear" w:color="auto" w:fill="auto"/>
            <w:tcMar>
              <w:top w:w="60" w:type="dxa"/>
              <w:left w:w="100" w:type="dxa"/>
              <w:bottom w:w="60" w:type="dxa"/>
              <w:right w:w="100" w:type="dxa"/>
            </w:tcMar>
            <w:vAlign w:val="center"/>
          </w:tcPr>
          <w:p w14:paraId="5A26DE18" w14:textId="77777777" w:rsidR="00F34613" w:rsidRPr="00217E7E" w:rsidRDefault="00F34613" w:rsidP="00217E7E">
            <w:pPr>
              <w:jc w:val="center"/>
              <w:rPr>
                <w:rFonts w:ascii="Arial" w:hAnsi="Arial" w:cs="Arial"/>
                <w:sz w:val="24"/>
                <w:szCs w:val="24"/>
              </w:rPr>
            </w:pPr>
            <w:r w:rsidRPr="00217E7E">
              <w:rPr>
                <w:rFonts w:ascii="Arial" w:hAnsi="Arial" w:cs="Arial"/>
                <w:color w:val="404040"/>
                <w:sz w:val="24"/>
                <w:szCs w:val="24"/>
              </w:rPr>
              <w:t>ARR on Initial Investment (£50m)</w:t>
            </w:r>
          </w:p>
        </w:tc>
        <w:tc>
          <w:tcPr>
            <w:tcW w:w="2053" w:type="dxa"/>
            <w:shd w:val="clear" w:color="auto" w:fill="auto"/>
            <w:tcMar>
              <w:top w:w="60" w:type="dxa"/>
              <w:left w:w="100" w:type="dxa"/>
              <w:bottom w:w="60" w:type="dxa"/>
              <w:right w:w="100" w:type="dxa"/>
            </w:tcMar>
            <w:vAlign w:val="center"/>
          </w:tcPr>
          <w:p w14:paraId="20231676"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1.6%</w:t>
            </w:r>
          </w:p>
        </w:tc>
        <w:tc>
          <w:tcPr>
            <w:tcW w:w="2053" w:type="dxa"/>
            <w:shd w:val="clear" w:color="auto" w:fill="auto"/>
            <w:tcMar>
              <w:top w:w="60" w:type="dxa"/>
              <w:left w:w="100" w:type="dxa"/>
              <w:bottom w:w="60" w:type="dxa"/>
              <w:right w:w="100" w:type="dxa"/>
            </w:tcMar>
            <w:vAlign w:val="center"/>
          </w:tcPr>
          <w:p w14:paraId="7D217B3D"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2.0%</w:t>
            </w:r>
          </w:p>
        </w:tc>
        <w:tc>
          <w:tcPr>
            <w:tcW w:w="2054" w:type="dxa"/>
            <w:shd w:val="clear" w:color="auto" w:fill="auto"/>
            <w:tcMar>
              <w:top w:w="60" w:type="dxa"/>
              <w:left w:w="100" w:type="dxa"/>
              <w:bottom w:w="60" w:type="dxa"/>
              <w:right w:w="100" w:type="dxa"/>
            </w:tcMar>
            <w:vAlign w:val="center"/>
          </w:tcPr>
          <w:p w14:paraId="0881D337"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6.0%</w:t>
            </w:r>
          </w:p>
        </w:tc>
      </w:tr>
      <w:tr w:rsidR="00F34613" w:rsidRPr="00217E7E" w14:paraId="39C9FEED" w14:textId="77777777" w:rsidTr="00217E7E">
        <w:tc>
          <w:tcPr>
            <w:tcW w:w="3200" w:type="dxa"/>
            <w:shd w:val="clear" w:color="auto" w:fill="auto"/>
            <w:tcMar>
              <w:top w:w="60" w:type="dxa"/>
              <w:left w:w="100" w:type="dxa"/>
              <w:bottom w:w="60" w:type="dxa"/>
              <w:right w:w="100" w:type="dxa"/>
            </w:tcMar>
            <w:vAlign w:val="center"/>
          </w:tcPr>
          <w:p w14:paraId="03A835FD" w14:textId="77777777" w:rsidR="00F34613" w:rsidRPr="00217E7E" w:rsidRDefault="00F34613" w:rsidP="00217E7E">
            <w:pPr>
              <w:jc w:val="center"/>
              <w:rPr>
                <w:rFonts w:ascii="Arial" w:hAnsi="Arial" w:cs="Arial"/>
                <w:sz w:val="24"/>
                <w:szCs w:val="24"/>
              </w:rPr>
            </w:pPr>
            <w:r w:rsidRPr="00217E7E">
              <w:rPr>
                <w:rFonts w:ascii="Arial" w:hAnsi="Arial" w:cs="Arial"/>
                <w:color w:val="404040"/>
                <w:sz w:val="24"/>
                <w:szCs w:val="24"/>
              </w:rPr>
              <w:t>ARR on Average Investment (£25m)</w:t>
            </w:r>
          </w:p>
        </w:tc>
        <w:tc>
          <w:tcPr>
            <w:tcW w:w="2053" w:type="dxa"/>
            <w:shd w:val="clear" w:color="auto" w:fill="auto"/>
            <w:tcMar>
              <w:top w:w="60" w:type="dxa"/>
              <w:left w:w="100" w:type="dxa"/>
              <w:bottom w:w="60" w:type="dxa"/>
              <w:right w:w="100" w:type="dxa"/>
            </w:tcMar>
            <w:vAlign w:val="center"/>
          </w:tcPr>
          <w:p w14:paraId="672BCDE6"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3.2%</w:t>
            </w:r>
          </w:p>
        </w:tc>
        <w:tc>
          <w:tcPr>
            <w:tcW w:w="2053" w:type="dxa"/>
            <w:shd w:val="clear" w:color="auto" w:fill="auto"/>
            <w:tcMar>
              <w:top w:w="60" w:type="dxa"/>
              <w:left w:w="100" w:type="dxa"/>
              <w:bottom w:w="60" w:type="dxa"/>
              <w:right w:w="100" w:type="dxa"/>
            </w:tcMar>
            <w:vAlign w:val="center"/>
          </w:tcPr>
          <w:p w14:paraId="1686EA17"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4.0%</w:t>
            </w:r>
          </w:p>
        </w:tc>
        <w:tc>
          <w:tcPr>
            <w:tcW w:w="2054" w:type="dxa"/>
            <w:shd w:val="clear" w:color="auto" w:fill="auto"/>
            <w:tcMar>
              <w:top w:w="60" w:type="dxa"/>
              <w:left w:w="100" w:type="dxa"/>
              <w:bottom w:w="60" w:type="dxa"/>
              <w:right w:w="100" w:type="dxa"/>
            </w:tcMar>
            <w:vAlign w:val="center"/>
          </w:tcPr>
          <w:p w14:paraId="50CF3FA8" w14:textId="77777777" w:rsidR="00F34613" w:rsidRPr="00217E7E" w:rsidRDefault="00F34613" w:rsidP="00A55733">
            <w:pPr>
              <w:keepNext/>
              <w:rPr>
                <w:rFonts w:ascii="Arial" w:hAnsi="Arial" w:cs="Arial"/>
                <w:sz w:val="24"/>
                <w:szCs w:val="24"/>
              </w:rPr>
            </w:pPr>
            <w:r w:rsidRPr="00217E7E">
              <w:rPr>
                <w:rFonts w:ascii="Arial" w:hAnsi="Arial" w:cs="Arial"/>
                <w:color w:val="404040"/>
                <w:sz w:val="24"/>
                <w:szCs w:val="24"/>
              </w:rPr>
              <w:t>12.0%</w:t>
            </w:r>
          </w:p>
        </w:tc>
      </w:tr>
    </w:tbl>
    <w:p w14:paraId="56C694D8" w14:textId="590DB48F" w:rsidR="00A55733" w:rsidRDefault="00A55733">
      <w:pPr>
        <w:pStyle w:val="Caption"/>
      </w:pPr>
      <w:r>
        <w:lastRenderedPageBreak/>
        <w:t xml:space="preserve">Table 4.3 </w:t>
      </w:r>
      <w:r w:rsidRPr="008B7E87">
        <w:t>Source: Author's own calculations based on project cash flow data provided by the Board; Brealey, Myers and Allen (2023)</w:t>
      </w:r>
    </w:p>
    <w:p w14:paraId="5A1A2EE9" w14:textId="77777777" w:rsidR="000D76D3" w:rsidRPr="000D76D3" w:rsidRDefault="000D76D3" w:rsidP="000D76D3">
      <w:pPr>
        <w:spacing w:before="50" w:after="50" w:line="360" w:lineRule="auto"/>
        <w:jc w:val="both"/>
        <w:rPr>
          <w:sz w:val="28"/>
          <w:szCs w:val="28"/>
        </w:rPr>
      </w:pPr>
      <w:r w:rsidRPr="000D76D3">
        <w:rPr>
          <w:rFonts w:ascii="Arial" w:eastAsia="Arial" w:hAnsi="Arial" w:cs="Arial"/>
          <w:color w:val="404040"/>
          <w:sz w:val="24"/>
          <w:szCs w:val="24"/>
        </w:rPr>
        <w:t>Only Project C's ARR of 12.0% (average investment) exceeds Hyundai's 2024E ROE of 9.4%, making it the only project accretive to shareholder value on an accounting basis (Damodaran, 2012). Projects A (3.2%) and B (4.0%) both fall below ROE and ROA benchmarks, confirming they would dilute overall returns.</w:t>
      </w:r>
    </w:p>
    <w:p w14:paraId="0B660DF0" w14:textId="77777777" w:rsidR="00F34613" w:rsidRDefault="00F34613" w:rsidP="00217E7E">
      <w:pPr>
        <w:pStyle w:val="Heading2"/>
      </w:pPr>
      <w:bookmarkStart w:id="48" w:name="_Toc227660510"/>
      <w:r>
        <w:rPr>
          <w:rFonts w:ascii="Arial" w:eastAsia="Arial" w:hAnsi="Arial" w:cs="Arial"/>
          <w:b/>
          <w:bCs/>
          <w:color w:val="2E75B6"/>
        </w:rPr>
        <w:t>4.4 Net Present Value (NPV)</w:t>
      </w:r>
      <w:bookmarkEnd w:id="48"/>
    </w:p>
    <w:p w14:paraId="1814ECEC" w14:textId="41DA3A86" w:rsidR="00571075" w:rsidRDefault="00F34613" w:rsidP="00D13F67">
      <w:pPr>
        <w:spacing w:before="60" w:after="60" w:line="360" w:lineRule="auto"/>
        <w:jc w:val="both"/>
        <w:rPr>
          <w:rFonts w:ascii="Arial" w:hAnsi="Arial" w:cs="Arial"/>
          <w:sz w:val="24"/>
          <w:szCs w:val="24"/>
        </w:rPr>
      </w:pPr>
      <w:r w:rsidRPr="00D13F67">
        <w:rPr>
          <w:rFonts w:ascii="Arial" w:hAnsi="Arial" w:cs="Arial"/>
          <w:sz w:val="24"/>
          <w:szCs w:val="24"/>
        </w:rPr>
        <w:t>NPV is the theoretically superior investment appraisal method, discounting all future cash flows at the required rate of return (10%) and netting against the initial investment. A positive NPV indicates the project creates shareholder value; a negative NPV destroys it. The 10% discount rate reflects the Board's required hurdle rate for sterling-denominated EV infrastructure investments.</w:t>
      </w:r>
    </w:p>
    <w:p w14:paraId="6F58A537" w14:textId="77777777" w:rsidR="003F4647" w:rsidRDefault="003F4647" w:rsidP="00B5384F">
      <w:pPr>
        <w:spacing w:before="60" w:after="60" w:line="276" w:lineRule="auto"/>
        <w:jc w:val="both"/>
      </w:pPr>
    </w:p>
    <w:p w14:paraId="2D31FA6D" w14:textId="77777777" w:rsidR="00F34613" w:rsidRPr="00C715DD" w:rsidRDefault="00F34613" w:rsidP="00C715DD">
      <w:pPr>
        <w:pStyle w:val="Heading3"/>
        <w:spacing w:line="360" w:lineRule="auto"/>
      </w:pPr>
      <w:bookmarkStart w:id="49" w:name="_Toc227660511"/>
      <w:r w:rsidRPr="00C715DD">
        <w:rPr>
          <w:rFonts w:ascii="Arial" w:eastAsia="Arial" w:hAnsi="Arial" w:cs="Arial"/>
          <w:b/>
          <w:bCs/>
          <w:color w:val="404040"/>
          <w:u w:color="2E75B6"/>
        </w:rPr>
        <w:t>Table 4.4a – Discount Factors at 10% per Annum</w:t>
      </w:r>
      <w:bookmarkEnd w:id="4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1476"/>
        <w:gridCol w:w="1476"/>
        <w:gridCol w:w="1476"/>
        <w:gridCol w:w="1476"/>
        <w:gridCol w:w="1456"/>
      </w:tblGrid>
      <w:tr w:rsidR="00F34613" w:rsidRPr="00217E7E" w14:paraId="2BF3A33A" w14:textId="77777777" w:rsidTr="00217E7E">
        <w:tc>
          <w:tcPr>
            <w:tcW w:w="2000" w:type="dxa"/>
            <w:shd w:val="clear" w:color="auto" w:fill="auto"/>
            <w:tcMar>
              <w:top w:w="80" w:type="dxa"/>
              <w:left w:w="100" w:type="dxa"/>
              <w:bottom w:w="80" w:type="dxa"/>
              <w:right w:w="100" w:type="dxa"/>
            </w:tcMar>
            <w:vAlign w:val="center"/>
          </w:tcPr>
          <w:p w14:paraId="7160FD17" w14:textId="77777777" w:rsidR="00F34613" w:rsidRPr="00217E7E" w:rsidRDefault="00F34613" w:rsidP="00217E7E">
            <w:pPr>
              <w:rPr>
                <w:rFonts w:ascii="Arial" w:hAnsi="Arial" w:cs="Arial"/>
                <w:sz w:val="24"/>
                <w:szCs w:val="24"/>
              </w:rPr>
            </w:pPr>
            <w:r w:rsidRPr="00217E7E">
              <w:rPr>
                <w:rFonts w:ascii="Arial" w:hAnsi="Arial" w:cs="Arial"/>
                <w:sz w:val="24"/>
                <w:szCs w:val="24"/>
              </w:rPr>
              <w:t>Year</w:t>
            </w:r>
          </w:p>
        </w:tc>
        <w:tc>
          <w:tcPr>
            <w:tcW w:w="1476" w:type="dxa"/>
            <w:shd w:val="clear" w:color="auto" w:fill="auto"/>
            <w:tcMar>
              <w:top w:w="80" w:type="dxa"/>
              <w:left w:w="100" w:type="dxa"/>
              <w:bottom w:w="80" w:type="dxa"/>
              <w:right w:w="100" w:type="dxa"/>
            </w:tcMar>
            <w:vAlign w:val="center"/>
          </w:tcPr>
          <w:p w14:paraId="30DA3EDD" w14:textId="77777777" w:rsidR="00F34613" w:rsidRPr="00217E7E" w:rsidRDefault="00F34613" w:rsidP="00217E7E">
            <w:pPr>
              <w:rPr>
                <w:rFonts w:ascii="Arial" w:hAnsi="Arial" w:cs="Arial"/>
                <w:sz w:val="24"/>
                <w:szCs w:val="24"/>
              </w:rPr>
            </w:pPr>
            <w:r w:rsidRPr="00217E7E">
              <w:rPr>
                <w:rFonts w:ascii="Arial" w:hAnsi="Arial" w:cs="Arial"/>
                <w:sz w:val="24"/>
                <w:szCs w:val="24"/>
              </w:rPr>
              <w:t>1</w:t>
            </w:r>
          </w:p>
        </w:tc>
        <w:tc>
          <w:tcPr>
            <w:tcW w:w="1476" w:type="dxa"/>
            <w:shd w:val="clear" w:color="auto" w:fill="auto"/>
            <w:tcMar>
              <w:top w:w="80" w:type="dxa"/>
              <w:left w:w="100" w:type="dxa"/>
              <w:bottom w:w="80" w:type="dxa"/>
              <w:right w:w="100" w:type="dxa"/>
            </w:tcMar>
            <w:vAlign w:val="center"/>
          </w:tcPr>
          <w:p w14:paraId="3FAA6027" w14:textId="77777777" w:rsidR="00F34613" w:rsidRPr="00217E7E" w:rsidRDefault="00F34613" w:rsidP="00217E7E">
            <w:pPr>
              <w:rPr>
                <w:rFonts w:ascii="Arial" w:hAnsi="Arial" w:cs="Arial"/>
                <w:sz w:val="24"/>
                <w:szCs w:val="24"/>
              </w:rPr>
            </w:pPr>
            <w:r w:rsidRPr="00217E7E">
              <w:rPr>
                <w:rFonts w:ascii="Arial" w:hAnsi="Arial" w:cs="Arial"/>
                <w:sz w:val="24"/>
                <w:szCs w:val="24"/>
              </w:rPr>
              <w:t>2</w:t>
            </w:r>
          </w:p>
        </w:tc>
        <w:tc>
          <w:tcPr>
            <w:tcW w:w="1476" w:type="dxa"/>
            <w:shd w:val="clear" w:color="auto" w:fill="auto"/>
            <w:tcMar>
              <w:top w:w="80" w:type="dxa"/>
              <w:left w:w="100" w:type="dxa"/>
              <w:bottom w:w="80" w:type="dxa"/>
              <w:right w:w="100" w:type="dxa"/>
            </w:tcMar>
            <w:vAlign w:val="center"/>
          </w:tcPr>
          <w:p w14:paraId="06379708" w14:textId="77777777" w:rsidR="00F34613" w:rsidRPr="00217E7E" w:rsidRDefault="00F34613" w:rsidP="00217E7E">
            <w:pPr>
              <w:rPr>
                <w:rFonts w:ascii="Arial" w:hAnsi="Arial" w:cs="Arial"/>
                <w:sz w:val="24"/>
                <w:szCs w:val="24"/>
              </w:rPr>
            </w:pPr>
            <w:r w:rsidRPr="00217E7E">
              <w:rPr>
                <w:rFonts w:ascii="Arial" w:hAnsi="Arial" w:cs="Arial"/>
                <w:sz w:val="24"/>
                <w:szCs w:val="24"/>
              </w:rPr>
              <w:t>3</w:t>
            </w:r>
          </w:p>
        </w:tc>
        <w:tc>
          <w:tcPr>
            <w:tcW w:w="1476" w:type="dxa"/>
            <w:shd w:val="clear" w:color="auto" w:fill="auto"/>
            <w:tcMar>
              <w:top w:w="80" w:type="dxa"/>
              <w:left w:w="100" w:type="dxa"/>
              <w:bottom w:w="80" w:type="dxa"/>
              <w:right w:w="100" w:type="dxa"/>
            </w:tcMar>
            <w:vAlign w:val="center"/>
          </w:tcPr>
          <w:p w14:paraId="1DA9BFBC" w14:textId="77777777" w:rsidR="00F34613" w:rsidRPr="00217E7E" w:rsidRDefault="00F34613" w:rsidP="00217E7E">
            <w:pPr>
              <w:rPr>
                <w:rFonts w:ascii="Arial" w:hAnsi="Arial" w:cs="Arial"/>
                <w:sz w:val="24"/>
                <w:szCs w:val="24"/>
              </w:rPr>
            </w:pPr>
            <w:r w:rsidRPr="00217E7E">
              <w:rPr>
                <w:rFonts w:ascii="Arial" w:hAnsi="Arial" w:cs="Arial"/>
                <w:sz w:val="24"/>
                <w:szCs w:val="24"/>
              </w:rPr>
              <w:t>4</w:t>
            </w:r>
          </w:p>
        </w:tc>
        <w:tc>
          <w:tcPr>
            <w:tcW w:w="1456" w:type="dxa"/>
            <w:shd w:val="clear" w:color="auto" w:fill="auto"/>
            <w:tcMar>
              <w:top w:w="80" w:type="dxa"/>
              <w:left w:w="100" w:type="dxa"/>
              <w:bottom w:w="80" w:type="dxa"/>
              <w:right w:w="100" w:type="dxa"/>
            </w:tcMar>
            <w:vAlign w:val="center"/>
          </w:tcPr>
          <w:p w14:paraId="142D611F" w14:textId="77777777" w:rsidR="00F34613" w:rsidRPr="00217E7E" w:rsidRDefault="00F34613" w:rsidP="00217E7E">
            <w:pPr>
              <w:rPr>
                <w:rFonts w:ascii="Arial" w:hAnsi="Arial" w:cs="Arial"/>
                <w:sz w:val="24"/>
                <w:szCs w:val="24"/>
              </w:rPr>
            </w:pPr>
            <w:r w:rsidRPr="00217E7E">
              <w:rPr>
                <w:rFonts w:ascii="Arial" w:hAnsi="Arial" w:cs="Arial"/>
                <w:sz w:val="24"/>
                <w:szCs w:val="24"/>
              </w:rPr>
              <w:t>5</w:t>
            </w:r>
          </w:p>
        </w:tc>
      </w:tr>
      <w:tr w:rsidR="00F34613" w:rsidRPr="00217E7E" w14:paraId="0AAC1ED0" w14:textId="77777777" w:rsidTr="00217E7E">
        <w:tc>
          <w:tcPr>
            <w:tcW w:w="2000" w:type="dxa"/>
            <w:shd w:val="clear" w:color="auto" w:fill="auto"/>
            <w:tcMar>
              <w:top w:w="60" w:type="dxa"/>
              <w:left w:w="100" w:type="dxa"/>
              <w:bottom w:w="60" w:type="dxa"/>
              <w:right w:w="100" w:type="dxa"/>
            </w:tcMar>
            <w:vAlign w:val="center"/>
          </w:tcPr>
          <w:p w14:paraId="3CC9AE0E" w14:textId="3E9471A6" w:rsidR="00F34613" w:rsidRPr="00217E7E" w:rsidRDefault="00F34613" w:rsidP="00217E7E">
            <w:pPr>
              <w:rPr>
                <w:rFonts w:ascii="Arial" w:hAnsi="Arial" w:cs="Arial"/>
                <w:sz w:val="24"/>
                <w:szCs w:val="24"/>
              </w:rPr>
            </w:pPr>
            <w:r w:rsidRPr="00217E7E">
              <w:rPr>
                <w:rFonts w:ascii="Arial" w:hAnsi="Arial" w:cs="Arial"/>
                <w:color w:val="404040"/>
                <w:sz w:val="24"/>
                <w:szCs w:val="24"/>
              </w:rPr>
              <w:t>Discount Factor (1/(1.10)^n)</w:t>
            </w:r>
          </w:p>
        </w:tc>
        <w:tc>
          <w:tcPr>
            <w:tcW w:w="1476" w:type="dxa"/>
            <w:shd w:val="clear" w:color="auto" w:fill="auto"/>
            <w:tcMar>
              <w:top w:w="60" w:type="dxa"/>
              <w:left w:w="100" w:type="dxa"/>
              <w:bottom w:w="60" w:type="dxa"/>
              <w:right w:w="100" w:type="dxa"/>
            </w:tcMar>
            <w:vAlign w:val="center"/>
          </w:tcPr>
          <w:p w14:paraId="20271B97"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0.9091</w:t>
            </w:r>
          </w:p>
        </w:tc>
        <w:tc>
          <w:tcPr>
            <w:tcW w:w="1476" w:type="dxa"/>
            <w:shd w:val="clear" w:color="auto" w:fill="auto"/>
            <w:tcMar>
              <w:top w:w="60" w:type="dxa"/>
              <w:left w:w="100" w:type="dxa"/>
              <w:bottom w:w="60" w:type="dxa"/>
              <w:right w:w="100" w:type="dxa"/>
            </w:tcMar>
            <w:vAlign w:val="center"/>
          </w:tcPr>
          <w:p w14:paraId="175A34CB"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0.8264</w:t>
            </w:r>
          </w:p>
        </w:tc>
        <w:tc>
          <w:tcPr>
            <w:tcW w:w="1476" w:type="dxa"/>
            <w:shd w:val="clear" w:color="auto" w:fill="auto"/>
            <w:tcMar>
              <w:top w:w="60" w:type="dxa"/>
              <w:left w:w="100" w:type="dxa"/>
              <w:bottom w:w="60" w:type="dxa"/>
              <w:right w:w="100" w:type="dxa"/>
            </w:tcMar>
            <w:vAlign w:val="center"/>
          </w:tcPr>
          <w:p w14:paraId="7AA8076A"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0.7513</w:t>
            </w:r>
          </w:p>
        </w:tc>
        <w:tc>
          <w:tcPr>
            <w:tcW w:w="1476" w:type="dxa"/>
            <w:shd w:val="clear" w:color="auto" w:fill="auto"/>
            <w:tcMar>
              <w:top w:w="60" w:type="dxa"/>
              <w:left w:w="100" w:type="dxa"/>
              <w:bottom w:w="60" w:type="dxa"/>
              <w:right w:w="100" w:type="dxa"/>
            </w:tcMar>
            <w:vAlign w:val="center"/>
          </w:tcPr>
          <w:p w14:paraId="1B316C24"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0.6830</w:t>
            </w:r>
          </w:p>
        </w:tc>
        <w:tc>
          <w:tcPr>
            <w:tcW w:w="1456" w:type="dxa"/>
            <w:shd w:val="clear" w:color="auto" w:fill="auto"/>
            <w:tcMar>
              <w:top w:w="60" w:type="dxa"/>
              <w:left w:w="100" w:type="dxa"/>
              <w:bottom w:w="60" w:type="dxa"/>
              <w:right w:w="100" w:type="dxa"/>
            </w:tcMar>
            <w:vAlign w:val="center"/>
          </w:tcPr>
          <w:p w14:paraId="520E53A7" w14:textId="77777777" w:rsidR="00F34613" w:rsidRPr="00217E7E" w:rsidRDefault="00F34613" w:rsidP="00217E7E">
            <w:pPr>
              <w:rPr>
                <w:rFonts w:ascii="Arial" w:hAnsi="Arial" w:cs="Arial"/>
                <w:sz w:val="24"/>
                <w:szCs w:val="24"/>
              </w:rPr>
            </w:pPr>
            <w:r w:rsidRPr="00217E7E">
              <w:rPr>
                <w:rFonts w:ascii="Arial" w:hAnsi="Arial" w:cs="Arial"/>
                <w:color w:val="404040"/>
                <w:sz w:val="24"/>
                <w:szCs w:val="24"/>
              </w:rPr>
              <w:t>0.6209</w:t>
            </w:r>
          </w:p>
        </w:tc>
      </w:tr>
    </w:tbl>
    <w:p w14:paraId="53FA0FF1" w14:textId="77777777" w:rsidR="00F34613" w:rsidRDefault="00F34613" w:rsidP="003F4647"/>
    <w:p w14:paraId="3B426033" w14:textId="77777777" w:rsidR="00F34613" w:rsidRPr="00C715DD" w:rsidRDefault="00F34613" w:rsidP="00313046">
      <w:pPr>
        <w:pStyle w:val="Heading3"/>
        <w:spacing w:line="360" w:lineRule="auto"/>
      </w:pPr>
      <w:bookmarkStart w:id="50" w:name="_Toc227660512"/>
      <w:r w:rsidRPr="00C715DD">
        <w:rPr>
          <w:rFonts w:ascii="Arial" w:eastAsia="Arial" w:hAnsi="Arial" w:cs="Arial"/>
          <w:b/>
          <w:bCs/>
          <w:color w:val="404040"/>
          <w:u w:color="2E75B6"/>
        </w:rPr>
        <w:t>Table 4.4b – NPV Calculation (£ Millions)</w:t>
      </w:r>
      <w:bookmarkEnd w:id="50"/>
    </w:p>
    <w:tbl>
      <w:tblPr>
        <w:tblW w:w="9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8"/>
        <w:gridCol w:w="935"/>
        <w:gridCol w:w="1094"/>
        <w:gridCol w:w="1141"/>
        <w:gridCol w:w="1094"/>
        <w:gridCol w:w="1141"/>
        <w:gridCol w:w="1094"/>
        <w:gridCol w:w="1141"/>
      </w:tblGrid>
      <w:tr w:rsidR="00C715DD" w:rsidRPr="00313046" w14:paraId="5695F521" w14:textId="77777777" w:rsidTr="00D168E0">
        <w:tc>
          <w:tcPr>
            <w:tcW w:w="1468" w:type="dxa"/>
            <w:shd w:val="clear" w:color="auto" w:fill="auto"/>
            <w:tcMar>
              <w:top w:w="80" w:type="dxa"/>
              <w:left w:w="100" w:type="dxa"/>
              <w:bottom w:w="80" w:type="dxa"/>
              <w:right w:w="100" w:type="dxa"/>
            </w:tcMar>
            <w:vAlign w:val="center"/>
          </w:tcPr>
          <w:p w14:paraId="7C716196" w14:textId="77777777"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Year</w:t>
            </w:r>
          </w:p>
        </w:tc>
        <w:tc>
          <w:tcPr>
            <w:tcW w:w="935" w:type="dxa"/>
            <w:shd w:val="clear" w:color="auto" w:fill="auto"/>
            <w:tcMar>
              <w:top w:w="80" w:type="dxa"/>
              <w:left w:w="100" w:type="dxa"/>
              <w:bottom w:w="80" w:type="dxa"/>
              <w:right w:w="100" w:type="dxa"/>
            </w:tcMar>
            <w:vAlign w:val="center"/>
          </w:tcPr>
          <w:p w14:paraId="24B9A843" w14:textId="77777777"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DF</w:t>
            </w:r>
          </w:p>
        </w:tc>
        <w:tc>
          <w:tcPr>
            <w:tcW w:w="1094" w:type="dxa"/>
            <w:shd w:val="clear" w:color="auto" w:fill="auto"/>
            <w:tcMar>
              <w:top w:w="80" w:type="dxa"/>
              <w:left w:w="100" w:type="dxa"/>
              <w:bottom w:w="80" w:type="dxa"/>
              <w:right w:w="100" w:type="dxa"/>
            </w:tcMar>
            <w:vAlign w:val="center"/>
          </w:tcPr>
          <w:p w14:paraId="0178D40E" w14:textId="3D00EB46"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Proj</w:t>
            </w:r>
            <w:r w:rsidR="00C715DD" w:rsidRPr="00313046">
              <w:rPr>
                <w:rFonts w:ascii="Arial" w:hAnsi="Arial" w:cs="Arial"/>
                <w:b/>
                <w:bCs/>
                <w:sz w:val="24"/>
                <w:szCs w:val="24"/>
              </w:rPr>
              <w:t>ect</w:t>
            </w:r>
            <w:r w:rsidRPr="00313046">
              <w:rPr>
                <w:rFonts w:ascii="Arial" w:hAnsi="Arial" w:cs="Arial"/>
                <w:b/>
                <w:bCs/>
                <w:sz w:val="24"/>
                <w:szCs w:val="24"/>
              </w:rPr>
              <w:t>. A CF</w:t>
            </w:r>
          </w:p>
        </w:tc>
        <w:tc>
          <w:tcPr>
            <w:tcW w:w="1141" w:type="dxa"/>
            <w:shd w:val="clear" w:color="auto" w:fill="auto"/>
            <w:tcMar>
              <w:top w:w="80" w:type="dxa"/>
              <w:left w:w="100" w:type="dxa"/>
              <w:bottom w:w="80" w:type="dxa"/>
              <w:right w:w="100" w:type="dxa"/>
            </w:tcMar>
            <w:vAlign w:val="center"/>
          </w:tcPr>
          <w:p w14:paraId="136BDC07" w14:textId="77777777"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PV (A)</w:t>
            </w:r>
          </w:p>
        </w:tc>
        <w:tc>
          <w:tcPr>
            <w:tcW w:w="1094" w:type="dxa"/>
            <w:shd w:val="clear" w:color="auto" w:fill="auto"/>
            <w:tcMar>
              <w:top w:w="80" w:type="dxa"/>
              <w:left w:w="100" w:type="dxa"/>
              <w:bottom w:w="80" w:type="dxa"/>
              <w:right w:w="100" w:type="dxa"/>
            </w:tcMar>
            <w:vAlign w:val="center"/>
          </w:tcPr>
          <w:p w14:paraId="2BE4C233" w14:textId="0C7B9934"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Proj</w:t>
            </w:r>
            <w:r w:rsidR="00C715DD" w:rsidRPr="00313046">
              <w:rPr>
                <w:rFonts w:ascii="Arial" w:hAnsi="Arial" w:cs="Arial"/>
                <w:b/>
                <w:bCs/>
                <w:sz w:val="24"/>
                <w:szCs w:val="24"/>
              </w:rPr>
              <w:t>ect</w:t>
            </w:r>
            <w:r w:rsidRPr="00313046">
              <w:rPr>
                <w:rFonts w:ascii="Arial" w:hAnsi="Arial" w:cs="Arial"/>
                <w:b/>
                <w:bCs/>
                <w:sz w:val="24"/>
                <w:szCs w:val="24"/>
              </w:rPr>
              <w:t>. B CF</w:t>
            </w:r>
          </w:p>
        </w:tc>
        <w:tc>
          <w:tcPr>
            <w:tcW w:w="1141" w:type="dxa"/>
            <w:shd w:val="clear" w:color="auto" w:fill="auto"/>
            <w:tcMar>
              <w:top w:w="80" w:type="dxa"/>
              <w:left w:w="100" w:type="dxa"/>
              <w:bottom w:w="80" w:type="dxa"/>
              <w:right w:w="100" w:type="dxa"/>
            </w:tcMar>
            <w:vAlign w:val="center"/>
          </w:tcPr>
          <w:p w14:paraId="01FAF2B7" w14:textId="77777777"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PV (B)</w:t>
            </w:r>
          </w:p>
        </w:tc>
        <w:tc>
          <w:tcPr>
            <w:tcW w:w="1094" w:type="dxa"/>
            <w:shd w:val="clear" w:color="auto" w:fill="auto"/>
            <w:tcMar>
              <w:top w:w="80" w:type="dxa"/>
              <w:left w:w="100" w:type="dxa"/>
              <w:bottom w:w="80" w:type="dxa"/>
              <w:right w:w="100" w:type="dxa"/>
            </w:tcMar>
            <w:vAlign w:val="center"/>
          </w:tcPr>
          <w:p w14:paraId="133DF996" w14:textId="1119ADD9"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Proj</w:t>
            </w:r>
            <w:r w:rsidR="00C715DD" w:rsidRPr="00313046">
              <w:rPr>
                <w:rFonts w:ascii="Arial" w:hAnsi="Arial" w:cs="Arial"/>
                <w:b/>
                <w:bCs/>
                <w:sz w:val="24"/>
                <w:szCs w:val="24"/>
              </w:rPr>
              <w:t>ect</w:t>
            </w:r>
            <w:r w:rsidRPr="00313046">
              <w:rPr>
                <w:rFonts w:ascii="Arial" w:hAnsi="Arial" w:cs="Arial"/>
                <w:b/>
                <w:bCs/>
                <w:sz w:val="24"/>
                <w:szCs w:val="24"/>
              </w:rPr>
              <w:t>. C CF</w:t>
            </w:r>
          </w:p>
        </w:tc>
        <w:tc>
          <w:tcPr>
            <w:tcW w:w="1141" w:type="dxa"/>
            <w:shd w:val="clear" w:color="auto" w:fill="auto"/>
            <w:tcMar>
              <w:top w:w="80" w:type="dxa"/>
              <w:left w:w="100" w:type="dxa"/>
              <w:bottom w:w="80" w:type="dxa"/>
              <w:right w:w="100" w:type="dxa"/>
            </w:tcMar>
            <w:vAlign w:val="center"/>
          </w:tcPr>
          <w:p w14:paraId="4B9CB9EF" w14:textId="77777777" w:rsidR="00F34613" w:rsidRPr="00313046" w:rsidRDefault="00F34613" w:rsidP="00C715DD">
            <w:pPr>
              <w:jc w:val="center"/>
              <w:rPr>
                <w:rFonts w:ascii="Arial" w:hAnsi="Arial" w:cs="Arial"/>
                <w:b/>
                <w:bCs/>
                <w:sz w:val="24"/>
                <w:szCs w:val="24"/>
              </w:rPr>
            </w:pPr>
            <w:r w:rsidRPr="00313046">
              <w:rPr>
                <w:rFonts w:ascii="Arial" w:hAnsi="Arial" w:cs="Arial"/>
                <w:b/>
                <w:bCs/>
                <w:sz w:val="24"/>
                <w:szCs w:val="24"/>
              </w:rPr>
              <w:t>PV (C)</w:t>
            </w:r>
          </w:p>
        </w:tc>
      </w:tr>
      <w:tr w:rsidR="00C715DD" w:rsidRPr="00313046" w14:paraId="654AA742" w14:textId="77777777" w:rsidTr="00D168E0">
        <w:tc>
          <w:tcPr>
            <w:tcW w:w="1468" w:type="dxa"/>
            <w:shd w:val="clear" w:color="auto" w:fill="auto"/>
            <w:tcMar>
              <w:top w:w="60" w:type="dxa"/>
              <w:left w:w="100" w:type="dxa"/>
              <w:bottom w:w="60" w:type="dxa"/>
              <w:right w:w="100" w:type="dxa"/>
            </w:tcMar>
            <w:vAlign w:val="center"/>
          </w:tcPr>
          <w:p w14:paraId="51E9D957"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0</w:t>
            </w:r>
          </w:p>
        </w:tc>
        <w:tc>
          <w:tcPr>
            <w:tcW w:w="935" w:type="dxa"/>
            <w:shd w:val="clear" w:color="auto" w:fill="auto"/>
            <w:tcMar>
              <w:top w:w="60" w:type="dxa"/>
              <w:left w:w="100" w:type="dxa"/>
              <w:bottom w:w="60" w:type="dxa"/>
              <w:right w:w="100" w:type="dxa"/>
            </w:tcMar>
            <w:vAlign w:val="center"/>
          </w:tcPr>
          <w:p w14:paraId="1343BD18"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1.0000</w:t>
            </w:r>
          </w:p>
        </w:tc>
        <w:tc>
          <w:tcPr>
            <w:tcW w:w="1094" w:type="dxa"/>
            <w:shd w:val="clear" w:color="auto" w:fill="auto"/>
            <w:tcMar>
              <w:top w:w="60" w:type="dxa"/>
              <w:left w:w="100" w:type="dxa"/>
              <w:bottom w:w="60" w:type="dxa"/>
              <w:right w:w="100" w:type="dxa"/>
            </w:tcMar>
            <w:vAlign w:val="center"/>
          </w:tcPr>
          <w:p w14:paraId="28B9F712"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141" w:type="dxa"/>
            <w:shd w:val="clear" w:color="auto" w:fill="auto"/>
            <w:tcMar>
              <w:top w:w="60" w:type="dxa"/>
              <w:left w:w="100" w:type="dxa"/>
              <w:bottom w:w="60" w:type="dxa"/>
              <w:right w:w="100" w:type="dxa"/>
            </w:tcMar>
            <w:vAlign w:val="center"/>
          </w:tcPr>
          <w:p w14:paraId="01482D9B"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094" w:type="dxa"/>
            <w:shd w:val="clear" w:color="auto" w:fill="auto"/>
            <w:tcMar>
              <w:top w:w="60" w:type="dxa"/>
              <w:left w:w="100" w:type="dxa"/>
              <w:bottom w:w="60" w:type="dxa"/>
              <w:right w:w="100" w:type="dxa"/>
            </w:tcMar>
            <w:vAlign w:val="center"/>
          </w:tcPr>
          <w:p w14:paraId="490A5266"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141" w:type="dxa"/>
            <w:shd w:val="clear" w:color="auto" w:fill="auto"/>
            <w:tcMar>
              <w:top w:w="60" w:type="dxa"/>
              <w:left w:w="100" w:type="dxa"/>
              <w:bottom w:w="60" w:type="dxa"/>
              <w:right w:w="100" w:type="dxa"/>
            </w:tcMar>
            <w:vAlign w:val="center"/>
          </w:tcPr>
          <w:p w14:paraId="2C07EAA6"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094" w:type="dxa"/>
            <w:shd w:val="clear" w:color="auto" w:fill="auto"/>
            <w:tcMar>
              <w:top w:w="60" w:type="dxa"/>
              <w:left w:w="100" w:type="dxa"/>
              <w:bottom w:w="60" w:type="dxa"/>
              <w:right w:w="100" w:type="dxa"/>
            </w:tcMar>
            <w:vAlign w:val="center"/>
          </w:tcPr>
          <w:p w14:paraId="46C1AE35"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141" w:type="dxa"/>
            <w:shd w:val="clear" w:color="auto" w:fill="auto"/>
            <w:tcMar>
              <w:top w:w="60" w:type="dxa"/>
              <w:left w:w="100" w:type="dxa"/>
              <w:bottom w:w="60" w:type="dxa"/>
              <w:right w:w="100" w:type="dxa"/>
            </w:tcMar>
            <w:vAlign w:val="center"/>
          </w:tcPr>
          <w:p w14:paraId="0F45012C"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r>
      <w:tr w:rsidR="00C715DD" w:rsidRPr="00313046" w14:paraId="10829ED8" w14:textId="77777777" w:rsidTr="00D168E0">
        <w:tc>
          <w:tcPr>
            <w:tcW w:w="1468" w:type="dxa"/>
            <w:shd w:val="clear" w:color="auto" w:fill="auto"/>
            <w:tcMar>
              <w:top w:w="60" w:type="dxa"/>
              <w:left w:w="100" w:type="dxa"/>
              <w:bottom w:w="60" w:type="dxa"/>
              <w:right w:w="100" w:type="dxa"/>
            </w:tcMar>
            <w:vAlign w:val="center"/>
          </w:tcPr>
          <w:p w14:paraId="7BFF8A9B"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1</w:t>
            </w:r>
          </w:p>
        </w:tc>
        <w:tc>
          <w:tcPr>
            <w:tcW w:w="935" w:type="dxa"/>
            <w:shd w:val="clear" w:color="auto" w:fill="auto"/>
            <w:tcMar>
              <w:top w:w="60" w:type="dxa"/>
              <w:left w:w="100" w:type="dxa"/>
              <w:bottom w:w="60" w:type="dxa"/>
              <w:right w:w="100" w:type="dxa"/>
            </w:tcMar>
            <w:vAlign w:val="center"/>
          </w:tcPr>
          <w:p w14:paraId="15755146"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0.9091</w:t>
            </w:r>
          </w:p>
        </w:tc>
        <w:tc>
          <w:tcPr>
            <w:tcW w:w="1094" w:type="dxa"/>
            <w:shd w:val="clear" w:color="auto" w:fill="auto"/>
            <w:tcMar>
              <w:top w:w="60" w:type="dxa"/>
              <w:left w:w="100" w:type="dxa"/>
              <w:bottom w:w="60" w:type="dxa"/>
              <w:right w:w="100" w:type="dxa"/>
            </w:tcMar>
            <w:vAlign w:val="center"/>
          </w:tcPr>
          <w:p w14:paraId="50BBB2BC"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£10.00</w:t>
            </w:r>
          </w:p>
        </w:tc>
        <w:tc>
          <w:tcPr>
            <w:tcW w:w="1141" w:type="dxa"/>
            <w:shd w:val="clear" w:color="auto" w:fill="auto"/>
            <w:tcMar>
              <w:top w:w="60" w:type="dxa"/>
              <w:left w:w="100" w:type="dxa"/>
              <w:bottom w:w="60" w:type="dxa"/>
              <w:right w:w="100" w:type="dxa"/>
            </w:tcMar>
            <w:vAlign w:val="center"/>
          </w:tcPr>
          <w:p w14:paraId="4BC4BB00"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£9.09</w:t>
            </w:r>
          </w:p>
        </w:tc>
        <w:tc>
          <w:tcPr>
            <w:tcW w:w="1094" w:type="dxa"/>
            <w:shd w:val="clear" w:color="auto" w:fill="auto"/>
            <w:tcMar>
              <w:top w:w="60" w:type="dxa"/>
              <w:left w:w="100" w:type="dxa"/>
              <w:bottom w:w="60" w:type="dxa"/>
              <w:right w:w="100" w:type="dxa"/>
            </w:tcMar>
            <w:vAlign w:val="center"/>
          </w:tcPr>
          <w:p w14:paraId="5546CDA2"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£11.00</w:t>
            </w:r>
          </w:p>
        </w:tc>
        <w:tc>
          <w:tcPr>
            <w:tcW w:w="1141" w:type="dxa"/>
            <w:shd w:val="clear" w:color="auto" w:fill="auto"/>
            <w:tcMar>
              <w:top w:w="60" w:type="dxa"/>
              <w:left w:w="100" w:type="dxa"/>
              <w:bottom w:w="60" w:type="dxa"/>
              <w:right w:w="100" w:type="dxa"/>
            </w:tcMar>
            <w:vAlign w:val="center"/>
          </w:tcPr>
          <w:p w14:paraId="184BA981"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£10.00</w:t>
            </w:r>
          </w:p>
        </w:tc>
        <w:tc>
          <w:tcPr>
            <w:tcW w:w="1094" w:type="dxa"/>
            <w:shd w:val="clear" w:color="auto" w:fill="auto"/>
            <w:tcMar>
              <w:top w:w="60" w:type="dxa"/>
              <w:left w:w="100" w:type="dxa"/>
              <w:bottom w:w="60" w:type="dxa"/>
              <w:right w:w="100" w:type="dxa"/>
            </w:tcMar>
            <w:vAlign w:val="center"/>
          </w:tcPr>
          <w:p w14:paraId="29B271B0"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w:t>
            </w:r>
          </w:p>
        </w:tc>
        <w:tc>
          <w:tcPr>
            <w:tcW w:w="1141" w:type="dxa"/>
            <w:shd w:val="clear" w:color="auto" w:fill="auto"/>
            <w:tcMar>
              <w:top w:w="60" w:type="dxa"/>
              <w:left w:w="100" w:type="dxa"/>
              <w:bottom w:w="60" w:type="dxa"/>
              <w:right w:w="100" w:type="dxa"/>
            </w:tcMar>
            <w:vAlign w:val="center"/>
          </w:tcPr>
          <w:p w14:paraId="3DC02CC7"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£4.55</w:t>
            </w:r>
          </w:p>
        </w:tc>
      </w:tr>
      <w:tr w:rsidR="00C715DD" w:rsidRPr="00313046" w14:paraId="1BB89564" w14:textId="77777777" w:rsidTr="00D168E0">
        <w:tc>
          <w:tcPr>
            <w:tcW w:w="1468" w:type="dxa"/>
            <w:shd w:val="clear" w:color="auto" w:fill="auto"/>
            <w:tcMar>
              <w:top w:w="60" w:type="dxa"/>
              <w:left w:w="100" w:type="dxa"/>
              <w:bottom w:w="60" w:type="dxa"/>
              <w:right w:w="100" w:type="dxa"/>
            </w:tcMar>
            <w:vAlign w:val="center"/>
          </w:tcPr>
          <w:p w14:paraId="7E14820E"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2</w:t>
            </w:r>
          </w:p>
        </w:tc>
        <w:tc>
          <w:tcPr>
            <w:tcW w:w="935" w:type="dxa"/>
            <w:shd w:val="clear" w:color="auto" w:fill="auto"/>
            <w:tcMar>
              <w:top w:w="60" w:type="dxa"/>
              <w:left w:w="100" w:type="dxa"/>
              <w:bottom w:w="60" w:type="dxa"/>
              <w:right w:w="100" w:type="dxa"/>
            </w:tcMar>
            <w:vAlign w:val="center"/>
          </w:tcPr>
          <w:p w14:paraId="73CE5F20"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0.8264</w:t>
            </w:r>
          </w:p>
        </w:tc>
        <w:tc>
          <w:tcPr>
            <w:tcW w:w="1094" w:type="dxa"/>
            <w:shd w:val="clear" w:color="auto" w:fill="auto"/>
            <w:tcMar>
              <w:top w:w="60" w:type="dxa"/>
              <w:left w:w="100" w:type="dxa"/>
              <w:bottom w:w="60" w:type="dxa"/>
              <w:right w:w="100" w:type="dxa"/>
            </w:tcMar>
            <w:vAlign w:val="center"/>
          </w:tcPr>
          <w:p w14:paraId="4F243B32"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£12.00</w:t>
            </w:r>
          </w:p>
        </w:tc>
        <w:tc>
          <w:tcPr>
            <w:tcW w:w="1141" w:type="dxa"/>
            <w:shd w:val="clear" w:color="auto" w:fill="auto"/>
            <w:tcMar>
              <w:top w:w="60" w:type="dxa"/>
              <w:left w:w="100" w:type="dxa"/>
              <w:bottom w:w="60" w:type="dxa"/>
              <w:right w:w="100" w:type="dxa"/>
            </w:tcMar>
            <w:vAlign w:val="center"/>
          </w:tcPr>
          <w:p w14:paraId="3BFFCEA5"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£9.92</w:t>
            </w:r>
          </w:p>
        </w:tc>
        <w:tc>
          <w:tcPr>
            <w:tcW w:w="1094" w:type="dxa"/>
            <w:shd w:val="clear" w:color="auto" w:fill="auto"/>
            <w:tcMar>
              <w:top w:w="60" w:type="dxa"/>
              <w:left w:w="100" w:type="dxa"/>
              <w:bottom w:w="60" w:type="dxa"/>
              <w:right w:w="100" w:type="dxa"/>
            </w:tcMar>
            <w:vAlign w:val="center"/>
          </w:tcPr>
          <w:p w14:paraId="5FA775D8"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£11.00</w:t>
            </w:r>
          </w:p>
        </w:tc>
        <w:tc>
          <w:tcPr>
            <w:tcW w:w="1141" w:type="dxa"/>
            <w:shd w:val="clear" w:color="auto" w:fill="auto"/>
            <w:tcMar>
              <w:top w:w="60" w:type="dxa"/>
              <w:left w:w="100" w:type="dxa"/>
              <w:bottom w:w="60" w:type="dxa"/>
              <w:right w:w="100" w:type="dxa"/>
            </w:tcMar>
            <w:vAlign w:val="center"/>
          </w:tcPr>
          <w:p w14:paraId="3660BA82"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£9.09</w:t>
            </w:r>
          </w:p>
        </w:tc>
        <w:tc>
          <w:tcPr>
            <w:tcW w:w="1094" w:type="dxa"/>
            <w:shd w:val="clear" w:color="auto" w:fill="auto"/>
            <w:tcMar>
              <w:top w:w="60" w:type="dxa"/>
              <w:left w:w="100" w:type="dxa"/>
              <w:bottom w:w="60" w:type="dxa"/>
              <w:right w:w="100" w:type="dxa"/>
            </w:tcMar>
            <w:vAlign w:val="center"/>
          </w:tcPr>
          <w:p w14:paraId="37DFDB4D"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£10.00</w:t>
            </w:r>
          </w:p>
        </w:tc>
        <w:tc>
          <w:tcPr>
            <w:tcW w:w="1141" w:type="dxa"/>
            <w:shd w:val="clear" w:color="auto" w:fill="auto"/>
            <w:tcMar>
              <w:top w:w="60" w:type="dxa"/>
              <w:left w:w="100" w:type="dxa"/>
              <w:bottom w:w="60" w:type="dxa"/>
              <w:right w:w="100" w:type="dxa"/>
            </w:tcMar>
            <w:vAlign w:val="center"/>
          </w:tcPr>
          <w:p w14:paraId="21ECFD27"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£8.26</w:t>
            </w:r>
          </w:p>
        </w:tc>
      </w:tr>
      <w:tr w:rsidR="00C715DD" w:rsidRPr="00313046" w14:paraId="2E7F2CF2" w14:textId="77777777" w:rsidTr="00D168E0">
        <w:tc>
          <w:tcPr>
            <w:tcW w:w="1468" w:type="dxa"/>
            <w:shd w:val="clear" w:color="auto" w:fill="auto"/>
            <w:tcMar>
              <w:top w:w="60" w:type="dxa"/>
              <w:left w:w="100" w:type="dxa"/>
              <w:bottom w:w="60" w:type="dxa"/>
              <w:right w:w="100" w:type="dxa"/>
            </w:tcMar>
            <w:vAlign w:val="center"/>
          </w:tcPr>
          <w:p w14:paraId="1347D71A"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3</w:t>
            </w:r>
          </w:p>
        </w:tc>
        <w:tc>
          <w:tcPr>
            <w:tcW w:w="935" w:type="dxa"/>
            <w:shd w:val="clear" w:color="auto" w:fill="auto"/>
            <w:tcMar>
              <w:top w:w="60" w:type="dxa"/>
              <w:left w:w="100" w:type="dxa"/>
              <w:bottom w:w="60" w:type="dxa"/>
              <w:right w:w="100" w:type="dxa"/>
            </w:tcMar>
            <w:vAlign w:val="center"/>
          </w:tcPr>
          <w:p w14:paraId="4613B5A5"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0.7513</w:t>
            </w:r>
          </w:p>
        </w:tc>
        <w:tc>
          <w:tcPr>
            <w:tcW w:w="1094" w:type="dxa"/>
            <w:shd w:val="clear" w:color="auto" w:fill="auto"/>
            <w:tcMar>
              <w:top w:w="60" w:type="dxa"/>
              <w:left w:w="100" w:type="dxa"/>
              <w:bottom w:w="60" w:type="dxa"/>
              <w:right w:w="100" w:type="dxa"/>
            </w:tcMar>
            <w:vAlign w:val="center"/>
          </w:tcPr>
          <w:p w14:paraId="7D2C536E"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£14.00</w:t>
            </w:r>
          </w:p>
        </w:tc>
        <w:tc>
          <w:tcPr>
            <w:tcW w:w="1141" w:type="dxa"/>
            <w:shd w:val="clear" w:color="auto" w:fill="auto"/>
            <w:tcMar>
              <w:top w:w="60" w:type="dxa"/>
              <w:left w:w="100" w:type="dxa"/>
              <w:bottom w:w="60" w:type="dxa"/>
              <w:right w:w="100" w:type="dxa"/>
            </w:tcMar>
            <w:vAlign w:val="center"/>
          </w:tcPr>
          <w:p w14:paraId="288990A8"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£10.52</w:t>
            </w:r>
          </w:p>
        </w:tc>
        <w:tc>
          <w:tcPr>
            <w:tcW w:w="1094" w:type="dxa"/>
            <w:shd w:val="clear" w:color="auto" w:fill="auto"/>
            <w:tcMar>
              <w:top w:w="60" w:type="dxa"/>
              <w:left w:w="100" w:type="dxa"/>
              <w:bottom w:w="60" w:type="dxa"/>
              <w:right w:w="100" w:type="dxa"/>
            </w:tcMar>
            <w:vAlign w:val="center"/>
          </w:tcPr>
          <w:p w14:paraId="407F53E0"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£11.00</w:t>
            </w:r>
          </w:p>
        </w:tc>
        <w:tc>
          <w:tcPr>
            <w:tcW w:w="1141" w:type="dxa"/>
            <w:shd w:val="clear" w:color="auto" w:fill="auto"/>
            <w:tcMar>
              <w:top w:w="60" w:type="dxa"/>
              <w:left w:w="100" w:type="dxa"/>
              <w:bottom w:w="60" w:type="dxa"/>
              <w:right w:w="100" w:type="dxa"/>
            </w:tcMar>
            <w:vAlign w:val="center"/>
          </w:tcPr>
          <w:p w14:paraId="6FC17FDB"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£8.26</w:t>
            </w:r>
          </w:p>
        </w:tc>
        <w:tc>
          <w:tcPr>
            <w:tcW w:w="1094" w:type="dxa"/>
            <w:shd w:val="clear" w:color="auto" w:fill="auto"/>
            <w:tcMar>
              <w:top w:w="60" w:type="dxa"/>
              <w:left w:w="100" w:type="dxa"/>
              <w:bottom w:w="60" w:type="dxa"/>
              <w:right w:w="100" w:type="dxa"/>
            </w:tcMar>
            <w:vAlign w:val="center"/>
          </w:tcPr>
          <w:p w14:paraId="6D52D956"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£20.00</w:t>
            </w:r>
          </w:p>
        </w:tc>
        <w:tc>
          <w:tcPr>
            <w:tcW w:w="1141" w:type="dxa"/>
            <w:shd w:val="clear" w:color="auto" w:fill="auto"/>
            <w:tcMar>
              <w:top w:w="60" w:type="dxa"/>
              <w:left w:w="100" w:type="dxa"/>
              <w:bottom w:w="60" w:type="dxa"/>
              <w:right w:w="100" w:type="dxa"/>
            </w:tcMar>
            <w:vAlign w:val="center"/>
          </w:tcPr>
          <w:p w14:paraId="1E689DEC"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£15.03</w:t>
            </w:r>
          </w:p>
        </w:tc>
      </w:tr>
      <w:tr w:rsidR="00C715DD" w:rsidRPr="00313046" w14:paraId="2C48CF9A" w14:textId="77777777" w:rsidTr="00D168E0">
        <w:tc>
          <w:tcPr>
            <w:tcW w:w="1468" w:type="dxa"/>
            <w:shd w:val="clear" w:color="auto" w:fill="auto"/>
            <w:tcMar>
              <w:top w:w="60" w:type="dxa"/>
              <w:left w:w="100" w:type="dxa"/>
              <w:bottom w:w="60" w:type="dxa"/>
              <w:right w:w="100" w:type="dxa"/>
            </w:tcMar>
            <w:vAlign w:val="center"/>
          </w:tcPr>
          <w:p w14:paraId="5FEBFAF5"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4</w:t>
            </w:r>
          </w:p>
        </w:tc>
        <w:tc>
          <w:tcPr>
            <w:tcW w:w="935" w:type="dxa"/>
            <w:shd w:val="clear" w:color="auto" w:fill="auto"/>
            <w:tcMar>
              <w:top w:w="60" w:type="dxa"/>
              <w:left w:w="100" w:type="dxa"/>
              <w:bottom w:w="60" w:type="dxa"/>
              <w:right w:w="100" w:type="dxa"/>
            </w:tcMar>
            <w:vAlign w:val="center"/>
          </w:tcPr>
          <w:p w14:paraId="7B0767EF"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0.6830</w:t>
            </w:r>
          </w:p>
        </w:tc>
        <w:tc>
          <w:tcPr>
            <w:tcW w:w="1094" w:type="dxa"/>
            <w:shd w:val="clear" w:color="auto" w:fill="auto"/>
            <w:tcMar>
              <w:top w:w="60" w:type="dxa"/>
              <w:left w:w="100" w:type="dxa"/>
              <w:bottom w:w="60" w:type="dxa"/>
              <w:right w:w="100" w:type="dxa"/>
            </w:tcMar>
            <w:vAlign w:val="center"/>
          </w:tcPr>
          <w:p w14:paraId="662B4158"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£10.00</w:t>
            </w:r>
          </w:p>
        </w:tc>
        <w:tc>
          <w:tcPr>
            <w:tcW w:w="1141" w:type="dxa"/>
            <w:shd w:val="clear" w:color="auto" w:fill="auto"/>
            <w:tcMar>
              <w:top w:w="60" w:type="dxa"/>
              <w:left w:w="100" w:type="dxa"/>
              <w:bottom w:w="60" w:type="dxa"/>
              <w:right w:w="100" w:type="dxa"/>
            </w:tcMar>
            <w:vAlign w:val="center"/>
          </w:tcPr>
          <w:p w14:paraId="2476C12F"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£6.83</w:t>
            </w:r>
          </w:p>
        </w:tc>
        <w:tc>
          <w:tcPr>
            <w:tcW w:w="1094" w:type="dxa"/>
            <w:shd w:val="clear" w:color="auto" w:fill="auto"/>
            <w:tcMar>
              <w:top w:w="60" w:type="dxa"/>
              <w:left w:w="100" w:type="dxa"/>
              <w:bottom w:w="60" w:type="dxa"/>
              <w:right w:w="100" w:type="dxa"/>
            </w:tcMar>
            <w:vAlign w:val="center"/>
          </w:tcPr>
          <w:p w14:paraId="7ADDF758"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£11.00</w:t>
            </w:r>
          </w:p>
        </w:tc>
        <w:tc>
          <w:tcPr>
            <w:tcW w:w="1141" w:type="dxa"/>
            <w:shd w:val="clear" w:color="auto" w:fill="auto"/>
            <w:tcMar>
              <w:top w:w="60" w:type="dxa"/>
              <w:left w:w="100" w:type="dxa"/>
              <w:bottom w:w="60" w:type="dxa"/>
              <w:right w:w="100" w:type="dxa"/>
            </w:tcMar>
            <w:vAlign w:val="center"/>
          </w:tcPr>
          <w:p w14:paraId="3066F1EA"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£7.51</w:t>
            </w:r>
          </w:p>
        </w:tc>
        <w:tc>
          <w:tcPr>
            <w:tcW w:w="1094" w:type="dxa"/>
            <w:shd w:val="clear" w:color="auto" w:fill="auto"/>
            <w:tcMar>
              <w:top w:w="60" w:type="dxa"/>
              <w:left w:w="100" w:type="dxa"/>
              <w:bottom w:w="60" w:type="dxa"/>
              <w:right w:w="100" w:type="dxa"/>
            </w:tcMar>
            <w:vAlign w:val="center"/>
          </w:tcPr>
          <w:p w14:paraId="785B7D17"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£25.00</w:t>
            </w:r>
          </w:p>
        </w:tc>
        <w:tc>
          <w:tcPr>
            <w:tcW w:w="1141" w:type="dxa"/>
            <w:shd w:val="clear" w:color="auto" w:fill="auto"/>
            <w:tcMar>
              <w:top w:w="60" w:type="dxa"/>
              <w:left w:w="100" w:type="dxa"/>
              <w:bottom w:w="60" w:type="dxa"/>
              <w:right w:w="100" w:type="dxa"/>
            </w:tcMar>
            <w:vAlign w:val="center"/>
          </w:tcPr>
          <w:p w14:paraId="68DAC873"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£17.08</w:t>
            </w:r>
          </w:p>
        </w:tc>
      </w:tr>
      <w:tr w:rsidR="00C715DD" w:rsidRPr="00313046" w14:paraId="73449AF5" w14:textId="77777777" w:rsidTr="00D168E0">
        <w:tc>
          <w:tcPr>
            <w:tcW w:w="1468" w:type="dxa"/>
            <w:shd w:val="clear" w:color="auto" w:fill="auto"/>
            <w:tcMar>
              <w:top w:w="60" w:type="dxa"/>
              <w:left w:w="100" w:type="dxa"/>
              <w:bottom w:w="60" w:type="dxa"/>
              <w:right w:w="100" w:type="dxa"/>
            </w:tcMar>
            <w:vAlign w:val="center"/>
          </w:tcPr>
          <w:p w14:paraId="00510909"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5</w:t>
            </w:r>
          </w:p>
        </w:tc>
        <w:tc>
          <w:tcPr>
            <w:tcW w:w="935" w:type="dxa"/>
            <w:shd w:val="clear" w:color="auto" w:fill="auto"/>
            <w:tcMar>
              <w:top w:w="60" w:type="dxa"/>
              <w:left w:w="100" w:type="dxa"/>
              <w:bottom w:w="60" w:type="dxa"/>
              <w:right w:w="100" w:type="dxa"/>
            </w:tcMar>
            <w:vAlign w:val="center"/>
          </w:tcPr>
          <w:p w14:paraId="3FD459B0"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0.6209</w:t>
            </w:r>
          </w:p>
        </w:tc>
        <w:tc>
          <w:tcPr>
            <w:tcW w:w="1094" w:type="dxa"/>
            <w:shd w:val="clear" w:color="auto" w:fill="auto"/>
            <w:tcMar>
              <w:top w:w="60" w:type="dxa"/>
              <w:left w:w="100" w:type="dxa"/>
              <w:bottom w:w="60" w:type="dxa"/>
              <w:right w:w="100" w:type="dxa"/>
            </w:tcMar>
            <w:vAlign w:val="center"/>
          </w:tcPr>
          <w:p w14:paraId="5081905A"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£8.00</w:t>
            </w:r>
          </w:p>
        </w:tc>
        <w:tc>
          <w:tcPr>
            <w:tcW w:w="1141" w:type="dxa"/>
            <w:shd w:val="clear" w:color="auto" w:fill="auto"/>
            <w:tcMar>
              <w:top w:w="60" w:type="dxa"/>
              <w:left w:w="100" w:type="dxa"/>
              <w:bottom w:w="60" w:type="dxa"/>
              <w:right w:w="100" w:type="dxa"/>
            </w:tcMar>
            <w:vAlign w:val="center"/>
          </w:tcPr>
          <w:p w14:paraId="158BA5A3"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£4.97</w:t>
            </w:r>
          </w:p>
        </w:tc>
        <w:tc>
          <w:tcPr>
            <w:tcW w:w="1094" w:type="dxa"/>
            <w:shd w:val="clear" w:color="auto" w:fill="auto"/>
            <w:tcMar>
              <w:top w:w="60" w:type="dxa"/>
              <w:left w:w="100" w:type="dxa"/>
              <w:bottom w:w="60" w:type="dxa"/>
              <w:right w:w="100" w:type="dxa"/>
            </w:tcMar>
            <w:vAlign w:val="center"/>
          </w:tcPr>
          <w:p w14:paraId="295E28FF"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£11.00</w:t>
            </w:r>
          </w:p>
        </w:tc>
        <w:tc>
          <w:tcPr>
            <w:tcW w:w="1141" w:type="dxa"/>
            <w:shd w:val="clear" w:color="auto" w:fill="auto"/>
            <w:tcMar>
              <w:top w:w="60" w:type="dxa"/>
              <w:left w:w="100" w:type="dxa"/>
              <w:bottom w:w="60" w:type="dxa"/>
              <w:right w:w="100" w:type="dxa"/>
            </w:tcMar>
            <w:vAlign w:val="center"/>
          </w:tcPr>
          <w:p w14:paraId="1C577CC1"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£6.83</w:t>
            </w:r>
          </w:p>
        </w:tc>
        <w:tc>
          <w:tcPr>
            <w:tcW w:w="1094" w:type="dxa"/>
            <w:shd w:val="clear" w:color="auto" w:fill="auto"/>
            <w:tcMar>
              <w:top w:w="60" w:type="dxa"/>
              <w:left w:w="100" w:type="dxa"/>
              <w:bottom w:w="60" w:type="dxa"/>
              <w:right w:w="100" w:type="dxa"/>
            </w:tcMar>
            <w:vAlign w:val="center"/>
          </w:tcPr>
          <w:p w14:paraId="6359C1D7"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w:t>
            </w:r>
          </w:p>
        </w:tc>
        <w:tc>
          <w:tcPr>
            <w:tcW w:w="1141" w:type="dxa"/>
            <w:shd w:val="clear" w:color="auto" w:fill="auto"/>
            <w:tcMar>
              <w:top w:w="60" w:type="dxa"/>
              <w:left w:w="100" w:type="dxa"/>
              <w:bottom w:w="60" w:type="dxa"/>
              <w:right w:w="100" w:type="dxa"/>
            </w:tcMar>
            <w:vAlign w:val="center"/>
          </w:tcPr>
          <w:p w14:paraId="056E4B1F"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£3.10</w:t>
            </w:r>
          </w:p>
        </w:tc>
      </w:tr>
      <w:tr w:rsidR="00C715DD" w:rsidRPr="00313046" w14:paraId="702749BB" w14:textId="77777777" w:rsidTr="00D168E0">
        <w:tc>
          <w:tcPr>
            <w:tcW w:w="1468" w:type="dxa"/>
            <w:shd w:val="clear" w:color="auto" w:fill="auto"/>
            <w:tcMar>
              <w:top w:w="60" w:type="dxa"/>
              <w:left w:w="100" w:type="dxa"/>
              <w:bottom w:w="60" w:type="dxa"/>
              <w:right w:w="100" w:type="dxa"/>
            </w:tcMar>
            <w:vAlign w:val="center"/>
          </w:tcPr>
          <w:p w14:paraId="29F999C6"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lastRenderedPageBreak/>
              <w:t>Total PV of Inflows</w:t>
            </w:r>
          </w:p>
        </w:tc>
        <w:tc>
          <w:tcPr>
            <w:tcW w:w="935" w:type="dxa"/>
            <w:shd w:val="clear" w:color="auto" w:fill="auto"/>
            <w:tcMar>
              <w:top w:w="60" w:type="dxa"/>
              <w:left w:w="100" w:type="dxa"/>
              <w:bottom w:w="60" w:type="dxa"/>
              <w:right w:w="100" w:type="dxa"/>
            </w:tcMar>
            <w:vAlign w:val="center"/>
          </w:tcPr>
          <w:p w14:paraId="678D02A4" w14:textId="77777777" w:rsidR="00F34613" w:rsidRPr="00313046" w:rsidRDefault="00F34613" w:rsidP="00C715DD">
            <w:pPr>
              <w:rPr>
                <w:rFonts w:ascii="Arial" w:hAnsi="Arial" w:cs="Arial"/>
                <w:sz w:val="24"/>
                <w:szCs w:val="24"/>
              </w:rPr>
            </w:pPr>
          </w:p>
        </w:tc>
        <w:tc>
          <w:tcPr>
            <w:tcW w:w="1094" w:type="dxa"/>
            <w:shd w:val="clear" w:color="auto" w:fill="auto"/>
            <w:tcMar>
              <w:top w:w="60" w:type="dxa"/>
              <w:left w:w="100" w:type="dxa"/>
              <w:bottom w:w="60" w:type="dxa"/>
              <w:right w:w="100" w:type="dxa"/>
            </w:tcMar>
            <w:vAlign w:val="center"/>
          </w:tcPr>
          <w:p w14:paraId="27AB32E2"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6DCBD1C1"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£41.33</w:t>
            </w:r>
          </w:p>
        </w:tc>
        <w:tc>
          <w:tcPr>
            <w:tcW w:w="1094" w:type="dxa"/>
            <w:shd w:val="clear" w:color="auto" w:fill="auto"/>
            <w:tcMar>
              <w:top w:w="60" w:type="dxa"/>
              <w:left w:w="100" w:type="dxa"/>
              <w:bottom w:w="60" w:type="dxa"/>
              <w:right w:w="100" w:type="dxa"/>
            </w:tcMar>
            <w:vAlign w:val="center"/>
          </w:tcPr>
          <w:p w14:paraId="3F3AC828"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4D1D87DD"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£41.69</w:t>
            </w:r>
          </w:p>
        </w:tc>
        <w:tc>
          <w:tcPr>
            <w:tcW w:w="1094" w:type="dxa"/>
            <w:shd w:val="clear" w:color="auto" w:fill="auto"/>
            <w:tcMar>
              <w:top w:w="60" w:type="dxa"/>
              <w:left w:w="100" w:type="dxa"/>
              <w:bottom w:w="60" w:type="dxa"/>
              <w:right w:w="100" w:type="dxa"/>
            </w:tcMar>
            <w:vAlign w:val="center"/>
          </w:tcPr>
          <w:p w14:paraId="00F20141"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5F26D787"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£48.02</w:t>
            </w:r>
          </w:p>
        </w:tc>
      </w:tr>
      <w:tr w:rsidR="00C715DD" w:rsidRPr="00313046" w14:paraId="50E73727" w14:textId="77777777" w:rsidTr="00D168E0">
        <w:tc>
          <w:tcPr>
            <w:tcW w:w="1468" w:type="dxa"/>
            <w:shd w:val="clear" w:color="auto" w:fill="auto"/>
            <w:tcMar>
              <w:top w:w="60" w:type="dxa"/>
              <w:left w:w="100" w:type="dxa"/>
              <w:bottom w:w="60" w:type="dxa"/>
              <w:right w:w="100" w:type="dxa"/>
            </w:tcMar>
            <w:vAlign w:val="center"/>
          </w:tcPr>
          <w:p w14:paraId="2E44819F"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Initial Investment</w:t>
            </w:r>
          </w:p>
        </w:tc>
        <w:tc>
          <w:tcPr>
            <w:tcW w:w="935" w:type="dxa"/>
            <w:shd w:val="clear" w:color="auto" w:fill="auto"/>
            <w:tcMar>
              <w:top w:w="60" w:type="dxa"/>
              <w:left w:w="100" w:type="dxa"/>
              <w:bottom w:w="60" w:type="dxa"/>
              <w:right w:w="100" w:type="dxa"/>
            </w:tcMar>
            <w:vAlign w:val="center"/>
          </w:tcPr>
          <w:p w14:paraId="152D7FD0" w14:textId="77777777" w:rsidR="00F34613" w:rsidRPr="00313046" w:rsidRDefault="00F34613" w:rsidP="00C715DD">
            <w:pPr>
              <w:rPr>
                <w:rFonts w:ascii="Arial" w:hAnsi="Arial" w:cs="Arial"/>
                <w:sz w:val="24"/>
                <w:szCs w:val="24"/>
              </w:rPr>
            </w:pPr>
          </w:p>
        </w:tc>
        <w:tc>
          <w:tcPr>
            <w:tcW w:w="1094" w:type="dxa"/>
            <w:shd w:val="clear" w:color="auto" w:fill="auto"/>
            <w:tcMar>
              <w:top w:w="60" w:type="dxa"/>
              <w:left w:w="100" w:type="dxa"/>
              <w:bottom w:w="60" w:type="dxa"/>
              <w:right w:w="100" w:type="dxa"/>
            </w:tcMar>
            <w:vAlign w:val="center"/>
          </w:tcPr>
          <w:p w14:paraId="0D8D1A3E"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79348187"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094" w:type="dxa"/>
            <w:shd w:val="clear" w:color="auto" w:fill="auto"/>
            <w:tcMar>
              <w:top w:w="60" w:type="dxa"/>
              <w:left w:w="100" w:type="dxa"/>
              <w:bottom w:w="60" w:type="dxa"/>
              <w:right w:w="100" w:type="dxa"/>
            </w:tcMar>
            <w:vAlign w:val="center"/>
          </w:tcPr>
          <w:p w14:paraId="6E5A2368"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130D474B"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c>
          <w:tcPr>
            <w:tcW w:w="1094" w:type="dxa"/>
            <w:shd w:val="clear" w:color="auto" w:fill="auto"/>
            <w:tcMar>
              <w:top w:w="60" w:type="dxa"/>
              <w:left w:w="100" w:type="dxa"/>
              <w:bottom w:w="60" w:type="dxa"/>
              <w:right w:w="100" w:type="dxa"/>
            </w:tcMar>
            <w:vAlign w:val="center"/>
          </w:tcPr>
          <w:p w14:paraId="7F74BB1E"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3C3B7AEA"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(£50.00)</w:t>
            </w:r>
          </w:p>
        </w:tc>
      </w:tr>
      <w:tr w:rsidR="00C715DD" w:rsidRPr="00313046" w14:paraId="66FA2E80" w14:textId="77777777" w:rsidTr="00D168E0">
        <w:tc>
          <w:tcPr>
            <w:tcW w:w="1468" w:type="dxa"/>
            <w:shd w:val="clear" w:color="auto" w:fill="auto"/>
            <w:tcMar>
              <w:top w:w="60" w:type="dxa"/>
              <w:left w:w="100" w:type="dxa"/>
              <w:bottom w:w="60" w:type="dxa"/>
              <w:right w:w="100" w:type="dxa"/>
            </w:tcMar>
            <w:vAlign w:val="center"/>
          </w:tcPr>
          <w:p w14:paraId="513BAC55" w14:textId="77777777" w:rsidR="00F34613" w:rsidRPr="00313046" w:rsidRDefault="00F34613" w:rsidP="00C715DD">
            <w:pPr>
              <w:jc w:val="center"/>
              <w:rPr>
                <w:rFonts w:ascii="Arial" w:hAnsi="Arial" w:cs="Arial"/>
                <w:b/>
                <w:bCs/>
                <w:sz w:val="24"/>
                <w:szCs w:val="24"/>
              </w:rPr>
            </w:pPr>
            <w:r w:rsidRPr="00313046">
              <w:rPr>
                <w:rFonts w:ascii="Arial" w:hAnsi="Arial" w:cs="Arial"/>
                <w:b/>
                <w:bCs/>
                <w:color w:val="404040"/>
                <w:sz w:val="24"/>
                <w:szCs w:val="24"/>
              </w:rPr>
              <w:t>NPV</w:t>
            </w:r>
          </w:p>
        </w:tc>
        <w:tc>
          <w:tcPr>
            <w:tcW w:w="935" w:type="dxa"/>
            <w:shd w:val="clear" w:color="auto" w:fill="auto"/>
            <w:tcMar>
              <w:top w:w="60" w:type="dxa"/>
              <w:left w:w="100" w:type="dxa"/>
              <w:bottom w:w="60" w:type="dxa"/>
              <w:right w:w="100" w:type="dxa"/>
            </w:tcMar>
            <w:vAlign w:val="center"/>
          </w:tcPr>
          <w:p w14:paraId="794F188F" w14:textId="77777777" w:rsidR="00F34613" w:rsidRPr="00313046" w:rsidRDefault="00F34613" w:rsidP="00C715DD">
            <w:pPr>
              <w:rPr>
                <w:rFonts w:ascii="Arial" w:hAnsi="Arial" w:cs="Arial"/>
                <w:sz w:val="24"/>
                <w:szCs w:val="24"/>
              </w:rPr>
            </w:pPr>
          </w:p>
        </w:tc>
        <w:tc>
          <w:tcPr>
            <w:tcW w:w="1094" w:type="dxa"/>
            <w:shd w:val="clear" w:color="auto" w:fill="auto"/>
            <w:tcMar>
              <w:top w:w="60" w:type="dxa"/>
              <w:left w:w="100" w:type="dxa"/>
              <w:bottom w:w="60" w:type="dxa"/>
              <w:right w:w="100" w:type="dxa"/>
            </w:tcMar>
            <w:vAlign w:val="center"/>
          </w:tcPr>
          <w:p w14:paraId="6A6E246D"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1E785AD1"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−£8.68m</w:t>
            </w:r>
          </w:p>
        </w:tc>
        <w:tc>
          <w:tcPr>
            <w:tcW w:w="1094" w:type="dxa"/>
            <w:shd w:val="clear" w:color="auto" w:fill="auto"/>
            <w:tcMar>
              <w:top w:w="60" w:type="dxa"/>
              <w:left w:w="100" w:type="dxa"/>
              <w:bottom w:w="60" w:type="dxa"/>
              <w:right w:w="100" w:type="dxa"/>
            </w:tcMar>
            <w:vAlign w:val="center"/>
          </w:tcPr>
          <w:p w14:paraId="0A40C903"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726C3DB2" w14:textId="77777777" w:rsidR="00F34613" w:rsidRPr="00313046" w:rsidRDefault="00F34613" w:rsidP="00C715DD">
            <w:pPr>
              <w:rPr>
                <w:rFonts w:ascii="Arial" w:hAnsi="Arial" w:cs="Arial"/>
                <w:sz w:val="24"/>
                <w:szCs w:val="24"/>
              </w:rPr>
            </w:pPr>
            <w:r w:rsidRPr="00313046">
              <w:rPr>
                <w:rFonts w:ascii="Arial" w:hAnsi="Arial" w:cs="Arial"/>
                <w:color w:val="404040"/>
                <w:sz w:val="24"/>
                <w:szCs w:val="24"/>
              </w:rPr>
              <w:t>−£8.31m</w:t>
            </w:r>
          </w:p>
        </w:tc>
        <w:tc>
          <w:tcPr>
            <w:tcW w:w="1094" w:type="dxa"/>
            <w:shd w:val="clear" w:color="auto" w:fill="auto"/>
            <w:tcMar>
              <w:top w:w="60" w:type="dxa"/>
              <w:left w:w="100" w:type="dxa"/>
              <w:bottom w:w="60" w:type="dxa"/>
              <w:right w:w="100" w:type="dxa"/>
            </w:tcMar>
            <w:vAlign w:val="center"/>
          </w:tcPr>
          <w:p w14:paraId="3D87CC0D" w14:textId="77777777" w:rsidR="00F34613" w:rsidRPr="00313046" w:rsidRDefault="00F34613" w:rsidP="00C715DD">
            <w:pPr>
              <w:rPr>
                <w:rFonts w:ascii="Arial" w:hAnsi="Arial" w:cs="Arial"/>
                <w:sz w:val="24"/>
                <w:szCs w:val="24"/>
              </w:rPr>
            </w:pPr>
          </w:p>
        </w:tc>
        <w:tc>
          <w:tcPr>
            <w:tcW w:w="1141" w:type="dxa"/>
            <w:shd w:val="clear" w:color="auto" w:fill="auto"/>
            <w:tcMar>
              <w:top w:w="60" w:type="dxa"/>
              <w:left w:w="100" w:type="dxa"/>
              <w:bottom w:w="60" w:type="dxa"/>
              <w:right w:w="100" w:type="dxa"/>
            </w:tcMar>
            <w:vAlign w:val="center"/>
          </w:tcPr>
          <w:p w14:paraId="1DABE844" w14:textId="77777777" w:rsidR="00F34613" w:rsidRPr="00313046" w:rsidRDefault="00F34613" w:rsidP="004E1AFF">
            <w:pPr>
              <w:keepNext/>
              <w:rPr>
                <w:rFonts w:ascii="Arial" w:hAnsi="Arial" w:cs="Arial"/>
                <w:sz w:val="24"/>
                <w:szCs w:val="24"/>
              </w:rPr>
            </w:pPr>
            <w:r w:rsidRPr="00313046">
              <w:rPr>
                <w:rFonts w:ascii="Arial" w:hAnsi="Arial" w:cs="Arial"/>
                <w:color w:val="404040"/>
                <w:sz w:val="24"/>
                <w:szCs w:val="24"/>
              </w:rPr>
              <w:t>−£1.98m</w:t>
            </w:r>
          </w:p>
        </w:tc>
      </w:tr>
    </w:tbl>
    <w:p w14:paraId="41C1F94E" w14:textId="76B59322" w:rsidR="004E1AFF" w:rsidRDefault="004E1AFF">
      <w:pPr>
        <w:pStyle w:val="Caption"/>
      </w:pPr>
      <w:r>
        <w:t xml:space="preserve">Table </w:t>
      </w:r>
      <w:r w:rsidR="006D3C37">
        <w:t>4.4b</w:t>
      </w:r>
      <w:r>
        <w:t xml:space="preserve"> </w:t>
      </w:r>
      <w:r w:rsidRPr="0076531C">
        <w:t>Source: Author's own calculations based on project cash flow data provided by the Board; Brealey, Myers and Allen (2023)</w:t>
      </w:r>
    </w:p>
    <w:p w14:paraId="686CEEA3" w14:textId="00D448F9" w:rsidR="008511D3" w:rsidRPr="00A25774" w:rsidRDefault="008511D3" w:rsidP="00A25774">
      <w:pPr>
        <w:spacing w:before="60" w:after="60" w:line="360" w:lineRule="auto"/>
        <w:jc w:val="both"/>
        <w:rPr>
          <w:sz w:val="24"/>
          <w:szCs w:val="24"/>
        </w:rPr>
      </w:pPr>
      <w:r w:rsidRPr="00A25774">
        <w:rPr>
          <w:rFonts w:ascii="Arial" w:eastAsia="Arial" w:hAnsi="Arial" w:cs="Arial"/>
          <w:color w:val="404040"/>
          <w:sz w:val="24"/>
          <w:szCs w:val="24"/>
        </w:rPr>
        <w:t>NPV Analysis: All three projects yield a negative NPV at the 10% hurdle rate, meaning none creates value in absolute terms at this cost of capital. However, the magnitude of value destruction differs substantially: Project C destroys only £1.98m of present value—versus £8.31m for Project B and £8.68m for Project A. Project C's NPV is 4.4 times closer to the break-even threshold than its nearest rival. Critically, if Hyundai's actual WACC for this category of investment is below 10%</w:t>
      </w:r>
      <w:r w:rsidR="009373F9">
        <w:t>—</w:t>
      </w:r>
      <w:r w:rsidRPr="00A25774">
        <w:rPr>
          <w:rFonts w:ascii="Arial" w:eastAsia="Arial" w:hAnsi="Arial" w:cs="Arial"/>
          <w:color w:val="404040"/>
          <w:sz w:val="24"/>
          <w:szCs w:val="24"/>
        </w:rPr>
        <w:t>a plausible scenario given Hyundai's investment-grade credit rating and access to green bond financing at sub-10% rates</w:t>
      </w:r>
      <w:r w:rsidR="000B5AA6">
        <w:t>—</w:t>
      </w:r>
      <w:r w:rsidR="00E66CBA">
        <w:rPr>
          <w:rFonts w:ascii="Arial" w:eastAsia="Arial" w:hAnsi="Arial" w:cs="Arial"/>
          <w:color w:val="404040"/>
          <w:sz w:val="24"/>
          <w:szCs w:val="24"/>
        </w:rPr>
        <w:t xml:space="preserve"> </w:t>
      </w:r>
      <w:r w:rsidRPr="00A25774">
        <w:rPr>
          <w:rFonts w:ascii="Arial" w:eastAsia="Arial" w:hAnsi="Arial" w:cs="Arial"/>
          <w:color w:val="404040"/>
          <w:sz w:val="24"/>
          <w:szCs w:val="24"/>
        </w:rPr>
        <w:t>Project C would likely yield a positive NPV.</w:t>
      </w:r>
    </w:p>
    <w:p w14:paraId="360BCEF6" w14:textId="77777777" w:rsidR="008511D3" w:rsidRDefault="008511D3" w:rsidP="008511D3">
      <w:pPr>
        <w:pStyle w:val="Heading2"/>
      </w:pPr>
      <w:bookmarkStart w:id="51" w:name="_Toc227660513"/>
      <w:r>
        <w:rPr>
          <w:rFonts w:ascii="Arial" w:eastAsia="Arial" w:hAnsi="Arial" w:cs="Arial"/>
          <w:b/>
          <w:bCs/>
          <w:color w:val="2E75B6"/>
        </w:rPr>
        <w:t>4.5 Profitability Index (PI)</w:t>
      </w:r>
      <w:bookmarkEnd w:id="51"/>
    </w:p>
    <w:p w14:paraId="36CE2EBC" w14:textId="39FF2D33" w:rsidR="008511D3" w:rsidRPr="00D13F67" w:rsidRDefault="008511D3" w:rsidP="00D13F67">
      <w:pPr>
        <w:spacing w:before="60" w:after="60" w:line="360" w:lineRule="auto"/>
        <w:jc w:val="both"/>
        <w:rPr>
          <w:sz w:val="24"/>
          <w:szCs w:val="24"/>
        </w:rPr>
      </w:pPr>
      <w:r w:rsidRPr="00D13F67">
        <w:rPr>
          <w:rFonts w:ascii="Arial" w:eastAsia="Arial" w:hAnsi="Arial" w:cs="Arial"/>
          <w:color w:val="404040"/>
          <w:sz w:val="24"/>
          <w:szCs w:val="24"/>
        </w:rPr>
        <w:t>The Profitability Index (PI) expresses the ratio of present value of future inflows to the initial investment. PI &gt; 1.0 = value creation; PI &lt; 1.0 = value destruction. PI is especially useful in capital rationing scenarios (Section 4.7) as it ranks projects by value per pound of capital deployed.</w:t>
      </w:r>
    </w:p>
    <w:p w14:paraId="21E35A52" w14:textId="6AFEC669" w:rsidR="008511D3" w:rsidRPr="006D3C37" w:rsidRDefault="008511D3" w:rsidP="006D3C37">
      <w:pPr>
        <w:spacing w:before="60" w:after="60" w:line="360" w:lineRule="auto"/>
        <w:jc w:val="both"/>
        <w:rPr>
          <w:sz w:val="24"/>
          <w:szCs w:val="24"/>
        </w:rPr>
      </w:pPr>
      <w:r w:rsidRPr="00D13F67">
        <w:rPr>
          <w:rFonts w:ascii="Arial" w:eastAsia="Arial" w:hAnsi="Arial" w:cs="Arial"/>
          <w:color w:val="404040"/>
          <w:sz w:val="24"/>
          <w:szCs w:val="24"/>
        </w:rPr>
        <w:t>PI = Total PV of Future Inflows ÷ Initial Investment</w:t>
      </w:r>
    </w:p>
    <w:p w14:paraId="2A0CB99B" w14:textId="77777777" w:rsidR="008511D3" w:rsidRPr="00394C05" w:rsidRDefault="008511D3" w:rsidP="00394C05">
      <w:pPr>
        <w:pStyle w:val="Heading3"/>
        <w:spacing w:line="360" w:lineRule="auto"/>
      </w:pPr>
      <w:bookmarkStart w:id="52" w:name="_Toc227660514"/>
      <w:r w:rsidRPr="00394C05">
        <w:rPr>
          <w:rFonts w:ascii="Arial" w:eastAsia="Arial" w:hAnsi="Arial" w:cs="Arial"/>
          <w:b/>
          <w:bCs/>
          <w:color w:val="404040"/>
          <w:u w:color="2E75B6"/>
        </w:rPr>
        <w:t>Table 4.5 – Profitability Index</w:t>
      </w:r>
      <w:bookmarkEnd w:id="5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000"/>
        <w:gridCol w:w="2000"/>
        <w:gridCol w:w="2000"/>
        <w:gridCol w:w="1960"/>
      </w:tblGrid>
      <w:tr w:rsidR="008511D3" w:rsidRPr="00394C05" w14:paraId="2CFDDB13" w14:textId="77777777" w:rsidTr="00313046">
        <w:tc>
          <w:tcPr>
            <w:tcW w:w="1400" w:type="dxa"/>
            <w:shd w:val="clear" w:color="auto" w:fill="auto"/>
            <w:tcMar>
              <w:top w:w="80" w:type="dxa"/>
              <w:left w:w="100" w:type="dxa"/>
              <w:bottom w:w="80" w:type="dxa"/>
              <w:right w:w="100" w:type="dxa"/>
            </w:tcMar>
            <w:vAlign w:val="center"/>
          </w:tcPr>
          <w:p w14:paraId="45394387" w14:textId="77777777" w:rsidR="008511D3" w:rsidRPr="00394C05" w:rsidRDefault="008511D3" w:rsidP="00394C05">
            <w:pPr>
              <w:jc w:val="center"/>
              <w:rPr>
                <w:rFonts w:ascii="Arial" w:hAnsi="Arial" w:cs="Arial"/>
                <w:b/>
                <w:bCs/>
                <w:sz w:val="24"/>
                <w:szCs w:val="24"/>
              </w:rPr>
            </w:pPr>
            <w:r w:rsidRPr="00394C05">
              <w:rPr>
                <w:rFonts w:ascii="Arial" w:hAnsi="Arial" w:cs="Arial"/>
                <w:b/>
                <w:bCs/>
                <w:sz w:val="24"/>
                <w:szCs w:val="24"/>
              </w:rPr>
              <w:t>Project</w:t>
            </w:r>
          </w:p>
        </w:tc>
        <w:tc>
          <w:tcPr>
            <w:tcW w:w="2000" w:type="dxa"/>
            <w:shd w:val="clear" w:color="auto" w:fill="auto"/>
            <w:tcMar>
              <w:top w:w="80" w:type="dxa"/>
              <w:left w:w="100" w:type="dxa"/>
              <w:bottom w:w="80" w:type="dxa"/>
              <w:right w:w="100" w:type="dxa"/>
            </w:tcMar>
            <w:vAlign w:val="center"/>
          </w:tcPr>
          <w:p w14:paraId="40E0722D" w14:textId="77777777" w:rsidR="008511D3" w:rsidRPr="00394C05" w:rsidRDefault="008511D3" w:rsidP="00394C05">
            <w:pPr>
              <w:jc w:val="center"/>
              <w:rPr>
                <w:rFonts w:ascii="Arial" w:hAnsi="Arial" w:cs="Arial"/>
                <w:b/>
                <w:bCs/>
                <w:sz w:val="24"/>
                <w:szCs w:val="24"/>
              </w:rPr>
            </w:pPr>
            <w:r w:rsidRPr="00394C05">
              <w:rPr>
                <w:rFonts w:ascii="Arial" w:hAnsi="Arial" w:cs="Arial"/>
                <w:b/>
                <w:bCs/>
                <w:sz w:val="24"/>
                <w:szCs w:val="24"/>
              </w:rPr>
              <w:t>Total PV of Inflows</w:t>
            </w:r>
          </w:p>
        </w:tc>
        <w:tc>
          <w:tcPr>
            <w:tcW w:w="2000" w:type="dxa"/>
            <w:shd w:val="clear" w:color="auto" w:fill="auto"/>
            <w:tcMar>
              <w:top w:w="80" w:type="dxa"/>
              <w:left w:w="100" w:type="dxa"/>
              <w:bottom w:w="80" w:type="dxa"/>
              <w:right w:w="100" w:type="dxa"/>
            </w:tcMar>
            <w:vAlign w:val="center"/>
          </w:tcPr>
          <w:p w14:paraId="7D8903E8" w14:textId="77777777" w:rsidR="008511D3" w:rsidRPr="00394C05" w:rsidRDefault="008511D3" w:rsidP="00394C05">
            <w:pPr>
              <w:jc w:val="center"/>
              <w:rPr>
                <w:rFonts w:ascii="Arial" w:hAnsi="Arial" w:cs="Arial"/>
                <w:b/>
                <w:bCs/>
                <w:sz w:val="24"/>
                <w:szCs w:val="24"/>
              </w:rPr>
            </w:pPr>
            <w:r w:rsidRPr="00394C05">
              <w:rPr>
                <w:rFonts w:ascii="Arial" w:hAnsi="Arial" w:cs="Arial"/>
                <w:b/>
                <w:bCs/>
                <w:sz w:val="24"/>
                <w:szCs w:val="24"/>
              </w:rPr>
              <w:t>Initial Investment</w:t>
            </w:r>
          </w:p>
        </w:tc>
        <w:tc>
          <w:tcPr>
            <w:tcW w:w="2000" w:type="dxa"/>
            <w:shd w:val="clear" w:color="auto" w:fill="auto"/>
            <w:tcMar>
              <w:top w:w="80" w:type="dxa"/>
              <w:left w:w="100" w:type="dxa"/>
              <w:bottom w:w="80" w:type="dxa"/>
              <w:right w:w="100" w:type="dxa"/>
            </w:tcMar>
            <w:vAlign w:val="center"/>
          </w:tcPr>
          <w:p w14:paraId="0C67DA23" w14:textId="77777777" w:rsidR="008511D3" w:rsidRPr="00394C05" w:rsidRDefault="008511D3" w:rsidP="00394C05">
            <w:pPr>
              <w:jc w:val="center"/>
              <w:rPr>
                <w:rFonts w:ascii="Arial" w:hAnsi="Arial" w:cs="Arial"/>
                <w:b/>
                <w:bCs/>
                <w:sz w:val="24"/>
                <w:szCs w:val="24"/>
              </w:rPr>
            </w:pPr>
            <w:r w:rsidRPr="00394C05">
              <w:rPr>
                <w:rFonts w:ascii="Arial" w:hAnsi="Arial" w:cs="Arial"/>
                <w:b/>
                <w:bCs/>
                <w:sz w:val="24"/>
                <w:szCs w:val="24"/>
              </w:rPr>
              <w:t>PI</w:t>
            </w:r>
          </w:p>
        </w:tc>
        <w:tc>
          <w:tcPr>
            <w:tcW w:w="1960" w:type="dxa"/>
            <w:shd w:val="clear" w:color="auto" w:fill="auto"/>
            <w:tcMar>
              <w:top w:w="80" w:type="dxa"/>
              <w:left w:w="100" w:type="dxa"/>
              <w:bottom w:w="80" w:type="dxa"/>
              <w:right w:w="100" w:type="dxa"/>
            </w:tcMar>
            <w:vAlign w:val="center"/>
          </w:tcPr>
          <w:p w14:paraId="07283820" w14:textId="77777777" w:rsidR="008511D3" w:rsidRPr="00394C05" w:rsidRDefault="008511D3" w:rsidP="00394C05">
            <w:pPr>
              <w:jc w:val="center"/>
              <w:rPr>
                <w:rFonts w:ascii="Arial" w:hAnsi="Arial" w:cs="Arial"/>
                <w:b/>
                <w:bCs/>
                <w:sz w:val="24"/>
                <w:szCs w:val="24"/>
              </w:rPr>
            </w:pPr>
            <w:r w:rsidRPr="00394C05">
              <w:rPr>
                <w:rFonts w:ascii="Arial" w:hAnsi="Arial" w:cs="Arial"/>
                <w:b/>
                <w:bCs/>
                <w:sz w:val="24"/>
                <w:szCs w:val="24"/>
              </w:rPr>
              <w:t>Rank</w:t>
            </w:r>
          </w:p>
        </w:tc>
      </w:tr>
      <w:tr w:rsidR="008511D3" w:rsidRPr="00313046" w14:paraId="432FF1F9" w14:textId="77777777" w:rsidTr="00313046">
        <w:tc>
          <w:tcPr>
            <w:tcW w:w="1400" w:type="dxa"/>
            <w:shd w:val="clear" w:color="auto" w:fill="auto"/>
            <w:tcMar>
              <w:top w:w="60" w:type="dxa"/>
              <w:left w:w="100" w:type="dxa"/>
              <w:bottom w:w="60" w:type="dxa"/>
              <w:right w:w="100" w:type="dxa"/>
            </w:tcMar>
            <w:vAlign w:val="center"/>
          </w:tcPr>
          <w:p w14:paraId="21CA2B44" w14:textId="77777777" w:rsidR="008511D3" w:rsidRPr="00394C05" w:rsidRDefault="008511D3" w:rsidP="00394C05">
            <w:pPr>
              <w:jc w:val="center"/>
              <w:rPr>
                <w:rFonts w:ascii="Arial" w:hAnsi="Arial" w:cs="Arial"/>
                <w:b/>
                <w:bCs/>
                <w:sz w:val="24"/>
                <w:szCs w:val="24"/>
              </w:rPr>
            </w:pPr>
            <w:r w:rsidRPr="00394C05">
              <w:rPr>
                <w:rFonts w:ascii="Arial" w:hAnsi="Arial" w:cs="Arial"/>
                <w:b/>
                <w:bCs/>
                <w:color w:val="404040"/>
                <w:sz w:val="24"/>
                <w:szCs w:val="24"/>
              </w:rPr>
              <w:t>Project A</w:t>
            </w:r>
          </w:p>
        </w:tc>
        <w:tc>
          <w:tcPr>
            <w:tcW w:w="2000" w:type="dxa"/>
            <w:shd w:val="clear" w:color="auto" w:fill="auto"/>
            <w:tcMar>
              <w:top w:w="60" w:type="dxa"/>
              <w:left w:w="100" w:type="dxa"/>
              <w:bottom w:w="60" w:type="dxa"/>
              <w:right w:w="100" w:type="dxa"/>
            </w:tcMar>
            <w:vAlign w:val="center"/>
          </w:tcPr>
          <w:p w14:paraId="63EA8E7E"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£41.33m</w:t>
            </w:r>
          </w:p>
        </w:tc>
        <w:tc>
          <w:tcPr>
            <w:tcW w:w="2000" w:type="dxa"/>
            <w:shd w:val="clear" w:color="auto" w:fill="auto"/>
            <w:tcMar>
              <w:top w:w="60" w:type="dxa"/>
              <w:left w:w="100" w:type="dxa"/>
              <w:bottom w:w="60" w:type="dxa"/>
              <w:right w:w="100" w:type="dxa"/>
            </w:tcMar>
            <w:vAlign w:val="center"/>
          </w:tcPr>
          <w:p w14:paraId="386959DB"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£50.00m</w:t>
            </w:r>
          </w:p>
        </w:tc>
        <w:tc>
          <w:tcPr>
            <w:tcW w:w="2000" w:type="dxa"/>
            <w:shd w:val="clear" w:color="auto" w:fill="auto"/>
            <w:tcMar>
              <w:top w:w="60" w:type="dxa"/>
              <w:left w:w="100" w:type="dxa"/>
              <w:bottom w:w="60" w:type="dxa"/>
              <w:right w:w="100" w:type="dxa"/>
            </w:tcMar>
            <w:vAlign w:val="center"/>
          </w:tcPr>
          <w:p w14:paraId="3CA8F77B"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0.827</w:t>
            </w:r>
          </w:p>
        </w:tc>
        <w:tc>
          <w:tcPr>
            <w:tcW w:w="1960" w:type="dxa"/>
            <w:shd w:val="clear" w:color="auto" w:fill="auto"/>
            <w:tcMar>
              <w:top w:w="60" w:type="dxa"/>
              <w:left w:w="100" w:type="dxa"/>
              <w:bottom w:w="60" w:type="dxa"/>
              <w:right w:w="100" w:type="dxa"/>
            </w:tcMar>
            <w:vAlign w:val="center"/>
          </w:tcPr>
          <w:p w14:paraId="392B0A1E"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3rd</w:t>
            </w:r>
          </w:p>
        </w:tc>
      </w:tr>
      <w:tr w:rsidR="008511D3" w:rsidRPr="00313046" w14:paraId="56F142A1" w14:textId="77777777" w:rsidTr="00313046">
        <w:tc>
          <w:tcPr>
            <w:tcW w:w="1400" w:type="dxa"/>
            <w:shd w:val="clear" w:color="auto" w:fill="auto"/>
            <w:tcMar>
              <w:top w:w="60" w:type="dxa"/>
              <w:left w:w="100" w:type="dxa"/>
              <w:bottom w:w="60" w:type="dxa"/>
              <w:right w:w="100" w:type="dxa"/>
            </w:tcMar>
            <w:vAlign w:val="center"/>
          </w:tcPr>
          <w:p w14:paraId="2162A577" w14:textId="77777777" w:rsidR="008511D3" w:rsidRPr="00394C05" w:rsidRDefault="008511D3" w:rsidP="00394C05">
            <w:pPr>
              <w:jc w:val="center"/>
              <w:rPr>
                <w:rFonts w:ascii="Arial" w:hAnsi="Arial" w:cs="Arial"/>
                <w:b/>
                <w:bCs/>
                <w:sz w:val="24"/>
                <w:szCs w:val="24"/>
              </w:rPr>
            </w:pPr>
            <w:r w:rsidRPr="00394C05">
              <w:rPr>
                <w:rFonts w:ascii="Arial" w:hAnsi="Arial" w:cs="Arial"/>
                <w:b/>
                <w:bCs/>
                <w:color w:val="404040"/>
                <w:sz w:val="24"/>
                <w:szCs w:val="24"/>
              </w:rPr>
              <w:t>Project B</w:t>
            </w:r>
          </w:p>
        </w:tc>
        <w:tc>
          <w:tcPr>
            <w:tcW w:w="2000" w:type="dxa"/>
            <w:shd w:val="clear" w:color="auto" w:fill="auto"/>
            <w:tcMar>
              <w:top w:w="60" w:type="dxa"/>
              <w:left w:w="100" w:type="dxa"/>
              <w:bottom w:w="60" w:type="dxa"/>
              <w:right w:w="100" w:type="dxa"/>
            </w:tcMar>
            <w:vAlign w:val="center"/>
          </w:tcPr>
          <w:p w14:paraId="60728F0F"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£41.69m</w:t>
            </w:r>
          </w:p>
        </w:tc>
        <w:tc>
          <w:tcPr>
            <w:tcW w:w="2000" w:type="dxa"/>
            <w:shd w:val="clear" w:color="auto" w:fill="auto"/>
            <w:tcMar>
              <w:top w:w="60" w:type="dxa"/>
              <w:left w:w="100" w:type="dxa"/>
              <w:bottom w:w="60" w:type="dxa"/>
              <w:right w:w="100" w:type="dxa"/>
            </w:tcMar>
            <w:vAlign w:val="center"/>
          </w:tcPr>
          <w:p w14:paraId="25E72192"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£50.00m</w:t>
            </w:r>
          </w:p>
        </w:tc>
        <w:tc>
          <w:tcPr>
            <w:tcW w:w="2000" w:type="dxa"/>
            <w:shd w:val="clear" w:color="auto" w:fill="auto"/>
            <w:tcMar>
              <w:top w:w="60" w:type="dxa"/>
              <w:left w:w="100" w:type="dxa"/>
              <w:bottom w:w="60" w:type="dxa"/>
              <w:right w:w="100" w:type="dxa"/>
            </w:tcMar>
            <w:vAlign w:val="center"/>
          </w:tcPr>
          <w:p w14:paraId="2EFF9FD4"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0.834</w:t>
            </w:r>
          </w:p>
        </w:tc>
        <w:tc>
          <w:tcPr>
            <w:tcW w:w="1960" w:type="dxa"/>
            <w:shd w:val="clear" w:color="auto" w:fill="auto"/>
            <w:tcMar>
              <w:top w:w="60" w:type="dxa"/>
              <w:left w:w="100" w:type="dxa"/>
              <w:bottom w:w="60" w:type="dxa"/>
              <w:right w:w="100" w:type="dxa"/>
            </w:tcMar>
            <w:vAlign w:val="center"/>
          </w:tcPr>
          <w:p w14:paraId="1FA34DED"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2nd</w:t>
            </w:r>
          </w:p>
        </w:tc>
      </w:tr>
      <w:tr w:rsidR="008511D3" w:rsidRPr="00313046" w14:paraId="7EFA09F9" w14:textId="77777777" w:rsidTr="00313046">
        <w:tc>
          <w:tcPr>
            <w:tcW w:w="1400" w:type="dxa"/>
            <w:shd w:val="clear" w:color="auto" w:fill="auto"/>
            <w:tcMar>
              <w:top w:w="60" w:type="dxa"/>
              <w:left w:w="100" w:type="dxa"/>
              <w:bottom w:w="60" w:type="dxa"/>
              <w:right w:w="100" w:type="dxa"/>
            </w:tcMar>
            <w:vAlign w:val="center"/>
          </w:tcPr>
          <w:p w14:paraId="009609E9" w14:textId="77777777" w:rsidR="008511D3" w:rsidRPr="00394C05" w:rsidRDefault="008511D3" w:rsidP="00394C05">
            <w:pPr>
              <w:jc w:val="center"/>
              <w:rPr>
                <w:rFonts w:ascii="Arial" w:hAnsi="Arial" w:cs="Arial"/>
                <w:b/>
                <w:bCs/>
                <w:sz w:val="24"/>
                <w:szCs w:val="24"/>
              </w:rPr>
            </w:pPr>
            <w:r w:rsidRPr="00394C05">
              <w:rPr>
                <w:rFonts w:ascii="Arial" w:hAnsi="Arial" w:cs="Arial"/>
                <w:b/>
                <w:bCs/>
                <w:color w:val="404040"/>
                <w:sz w:val="24"/>
                <w:szCs w:val="24"/>
              </w:rPr>
              <w:t>Project C</w:t>
            </w:r>
          </w:p>
        </w:tc>
        <w:tc>
          <w:tcPr>
            <w:tcW w:w="2000" w:type="dxa"/>
            <w:shd w:val="clear" w:color="auto" w:fill="auto"/>
            <w:tcMar>
              <w:top w:w="60" w:type="dxa"/>
              <w:left w:w="100" w:type="dxa"/>
              <w:bottom w:w="60" w:type="dxa"/>
              <w:right w:w="100" w:type="dxa"/>
            </w:tcMar>
            <w:vAlign w:val="center"/>
          </w:tcPr>
          <w:p w14:paraId="1706E6F2"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£48.02m</w:t>
            </w:r>
          </w:p>
        </w:tc>
        <w:tc>
          <w:tcPr>
            <w:tcW w:w="2000" w:type="dxa"/>
            <w:shd w:val="clear" w:color="auto" w:fill="auto"/>
            <w:tcMar>
              <w:top w:w="60" w:type="dxa"/>
              <w:left w:w="100" w:type="dxa"/>
              <w:bottom w:w="60" w:type="dxa"/>
              <w:right w:w="100" w:type="dxa"/>
            </w:tcMar>
            <w:vAlign w:val="center"/>
          </w:tcPr>
          <w:p w14:paraId="7ED68756"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£50.00m</w:t>
            </w:r>
          </w:p>
        </w:tc>
        <w:tc>
          <w:tcPr>
            <w:tcW w:w="2000" w:type="dxa"/>
            <w:shd w:val="clear" w:color="auto" w:fill="auto"/>
            <w:tcMar>
              <w:top w:w="60" w:type="dxa"/>
              <w:left w:w="100" w:type="dxa"/>
              <w:bottom w:w="60" w:type="dxa"/>
              <w:right w:w="100" w:type="dxa"/>
            </w:tcMar>
            <w:vAlign w:val="center"/>
          </w:tcPr>
          <w:p w14:paraId="0712E725" w14:textId="77777777" w:rsidR="008511D3" w:rsidRPr="00313046" w:rsidRDefault="008511D3" w:rsidP="00313046">
            <w:pPr>
              <w:rPr>
                <w:rFonts w:ascii="Arial" w:hAnsi="Arial" w:cs="Arial"/>
                <w:sz w:val="24"/>
                <w:szCs w:val="24"/>
              </w:rPr>
            </w:pPr>
            <w:r w:rsidRPr="00313046">
              <w:rPr>
                <w:rFonts w:ascii="Arial" w:hAnsi="Arial" w:cs="Arial"/>
                <w:color w:val="404040"/>
                <w:sz w:val="24"/>
                <w:szCs w:val="24"/>
              </w:rPr>
              <w:t>0.960</w:t>
            </w:r>
          </w:p>
        </w:tc>
        <w:tc>
          <w:tcPr>
            <w:tcW w:w="1960" w:type="dxa"/>
            <w:shd w:val="clear" w:color="auto" w:fill="auto"/>
            <w:tcMar>
              <w:top w:w="60" w:type="dxa"/>
              <w:left w:w="100" w:type="dxa"/>
              <w:bottom w:w="60" w:type="dxa"/>
              <w:right w:w="100" w:type="dxa"/>
            </w:tcMar>
            <w:vAlign w:val="center"/>
          </w:tcPr>
          <w:p w14:paraId="7B3A19BB" w14:textId="77777777" w:rsidR="008511D3" w:rsidRPr="00313046" w:rsidRDefault="008511D3" w:rsidP="006D3C37">
            <w:pPr>
              <w:keepNext/>
              <w:rPr>
                <w:rFonts w:ascii="Arial" w:hAnsi="Arial" w:cs="Arial"/>
                <w:sz w:val="24"/>
                <w:szCs w:val="24"/>
              </w:rPr>
            </w:pPr>
            <w:r w:rsidRPr="00313046">
              <w:rPr>
                <w:rFonts w:ascii="Arial" w:hAnsi="Arial" w:cs="Arial"/>
                <w:color w:val="404040"/>
                <w:sz w:val="24"/>
                <w:szCs w:val="24"/>
              </w:rPr>
              <w:t>1st</w:t>
            </w:r>
          </w:p>
        </w:tc>
      </w:tr>
    </w:tbl>
    <w:p w14:paraId="55873949" w14:textId="049ADA84" w:rsidR="006D3C37" w:rsidRDefault="006D3C37">
      <w:pPr>
        <w:pStyle w:val="Caption"/>
      </w:pPr>
      <w:r>
        <w:t xml:space="preserve">Table 4.5 </w:t>
      </w:r>
      <w:r w:rsidRPr="00AF71C7">
        <w:t>Source: Author's own calculations based on project cash flow data provided by the Board; Brealey, Myers and Allen (2023)</w:t>
      </w:r>
    </w:p>
    <w:p w14:paraId="7762B935" w14:textId="77777777" w:rsidR="008511D3" w:rsidRPr="00D13F67" w:rsidRDefault="008511D3" w:rsidP="00D13F67">
      <w:pPr>
        <w:spacing w:before="60" w:after="60" w:line="360" w:lineRule="auto"/>
        <w:jc w:val="both"/>
        <w:rPr>
          <w:sz w:val="24"/>
          <w:szCs w:val="24"/>
        </w:rPr>
      </w:pPr>
      <w:r w:rsidRPr="00D13F67">
        <w:rPr>
          <w:rFonts w:ascii="Arial" w:eastAsia="Arial" w:hAnsi="Arial" w:cs="Arial"/>
          <w:color w:val="404040"/>
          <w:sz w:val="24"/>
          <w:szCs w:val="24"/>
        </w:rPr>
        <w:lastRenderedPageBreak/>
        <w:t>Project C's PI of 0.960 confirms it generates the most value per £1 of capital deployed, and its proximity to 1.0 means it approaches break-even under the stated assumptions. Projects A and B generate only 82.7p and 83.4p of present value per £1 invested, respectively—delivering significantly lower value efficiency.</w:t>
      </w:r>
    </w:p>
    <w:p w14:paraId="66FD3152" w14:textId="77777777" w:rsidR="00566809" w:rsidRDefault="00566809" w:rsidP="00566809">
      <w:pPr>
        <w:pStyle w:val="Heading2"/>
      </w:pPr>
      <w:bookmarkStart w:id="53" w:name="_Toc227660515"/>
      <w:r>
        <w:rPr>
          <w:rFonts w:ascii="Arial" w:eastAsia="Arial" w:hAnsi="Arial" w:cs="Arial"/>
          <w:b/>
          <w:bCs/>
          <w:color w:val="2E75B6"/>
        </w:rPr>
        <w:t>4.6 Internal Rate of Return (IRR)</w:t>
      </w:r>
      <w:bookmarkEnd w:id="53"/>
    </w:p>
    <w:p w14:paraId="09A488D1" w14:textId="6436F260" w:rsidR="00566809" w:rsidRPr="00D13F67" w:rsidRDefault="00566809" w:rsidP="00D13F67">
      <w:pPr>
        <w:spacing w:before="60" w:after="60" w:line="360" w:lineRule="auto"/>
        <w:jc w:val="both"/>
        <w:rPr>
          <w:sz w:val="24"/>
          <w:szCs w:val="24"/>
        </w:rPr>
      </w:pPr>
      <w:r w:rsidRPr="00D13F67">
        <w:rPr>
          <w:rFonts w:ascii="Arial" w:eastAsia="Arial" w:hAnsi="Arial" w:cs="Arial"/>
          <w:color w:val="404040"/>
          <w:sz w:val="24"/>
          <w:szCs w:val="24"/>
        </w:rPr>
        <w:t>The IRR is the discount rate at which the NPV of a project equals zero. Since all three projects yield negative NPVs at 10%, all IRRs fall below 10%. IRRs are estimated using linear interpolation between two rates where NPV crosses zero.</w:t>
      </w:r>
    </w:p>
    <w:p w14:paraId="08216ADC" w14:textId="77777777" w:rsidR="00566809" w:rsidRPr="00D13F67" w:rsidRDefault="00566809" w:rsidP="00D13F67">
      <w:pPr>
        <w:spacing w:before="60" w:after="60" w:line="360" w:lineRule="auto"/>
        <w:jc w:val="both"/>
        <w:rPr>
          <w:sz w:val="24"/>
          <w:szCs w:val="24"/>
        </w:rPr>
      </w:pPr>
      <w:r w:rsidRPr="00D13F67">
        <w:rPr>
          <w:rFonts w:ascii="Arial" w:eastAsia="Arial" w:hAnsi="Arial" w:cs="Arial"/>
          <w:color w:val="404040"/>
          <w:sz w:val="24"/>
          <w:szCs w:val="24"/>
        </w:rPr>
        <w:t>Interpolation Formula: IRR = r1 + [NPV1 ÷ (NPV1 − NPV2)] × (r2 − r1)</w:t>
      </w:r>
    </w:p>
    <w:p w14:paraId="050D1E7E" w14:textId="77777777" w:rsidR="00566809" w:rsidRDefault="00566809" w:rsidP="00566809"/>
    <w:p w14:paraId="63576D76" w14:textId="77777777" w:rsidR="00566809" w:rsidRPr="00F129A9" w:rsidRDefault="00566809" w:rsidP="00F129A9">
      <w:pPr>
        <w:pStyle w:val="Heading3"/>
        <w:spacing w:line="360" w:lineRule="auto"/>
      </w:pPr>
      <w:bookmarkStart w:id="54" w:name="_Toc227660516"/>
      <w:r w:rsidRPr="00F129A9">
        <w:rPr>
          <w:rFonts w:ascii="Arial" w:eastAsia="Arial" w:hAnsi="Arial" w:cs="Arial"/>
          <w:b/>
          <w:bCs/>
          <w:color w:val="404040"/>
          <w:u w:color="2E75B6"/>
        </w:rPr>
        <w:t>Table 4.6 – IRR Interpolation Workings</w:t>
      </w:r>
      <w:bookmarkEnd w:id="54"/>
    </w:p>
    <w:tbl>
      <w:tblPr>
        <w:tblW w:w="7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4"/>
        <w:gridCol w:w="1000"/>
        <w:gridCol w:w="1493"/>
        <w:gridCol w:w="1027"/>
        <w:gridCol w:w="1493"/>
        <w:gridCol w:w="1553"/>
      </w:tblGrid>
      <w:tr w:rsidR="00394C05" w:rsidRPr="00394C05" w14:paraId="6BE1BFCD" w14:textId="77777777" w:rsidTr="004F5605">
        <w:tc>
          <w:tcPr>
            <w:tcW w:w="1294" w:type="dxa"/>
            <w:shd w:val="clear" w:color="auto" w:fill="auto"/>
            <w:tcMar>
              <w:top w:w="80" w:type="dxa"/>
              <w:left w:w="100" w:type="dxa"/>
              <w:bottom w:w="80" w:type="dxa"/>
              <w:right w:w="100" w:type="dxa"/>
            </w:tcMar>
            <w:vAlign w:val="center"/>
          </w:tcPr>
          <w:p w14:paraId="2C0F2FB8" w14:textId="77777777" w:rsidR="00566809" w:rsidRPr="00394C05" w:rsidRDefault="00566809" w:rsidP="00394C05">
            <w:pPr>
              <w:jc w:val="center"/>
              <w:rPr>
                <w:rFonts w:ascii="Arial" w:hAnsi="Arial" w:cs="Arial"/>
                <w:b/>
                <w:bCs/>
                <w:sz w:val="24"/>
                <w:szCs w:val="24"/>
              </w:rPr>
            </w:pPr>
            <w:r w:rsidRPr="00394C05">
              <w:rPr>
                <w:rFonts w:ascii="Arial" w:hAnsi="Arial" w:cs="Arial"/>
                <w:b/>
                <w:bCs/>
                <w:sz w:val="24"/>
                <w:szCs w:val="24"/>
              </w:rPr>
              <w:t>Project</w:t>
            </w:r>
          </w:p>
        </w:tc>
        <w:tc>
          <w:tcPr>
            <w:tcW w:w="1000" w:type="dxa"/>
            <w:shd w:val="clear" w:color="auto" w:fill="auto"/>
            <w:tcMar>
              <w:top w:w="80" w:type="dxa"/>
              <w:left w:w="100" w:type="dxa"/>
              <w:bottom w:w="80" w:type="dxa"/>
              <w:right w:w="100" w:type="dxa"/>
            </w:tcMar>
            <w:vAlign w:val="center"/>
          </w:tcPr>
          <w:p w14:paraId="5DA6763E" w14:textId="77777777" w:rsidR="00566809" w:rsidRPr="00394C05" w:rsidRDefault="00566809" w:rsidP="00394C05">
            <w:pPr>
              <w:jc w:val="center"/>
              <w:rPr>
                <w:rFonts w:ascii="Arial" w:hAnsi="Arial" w:cs="Arial"/>
                <w:b/>
                <w:bCs/>
                <w:sz w:val="24"/>
                <w:szCs w:val="24"/>
              </w:rPr>
            </w:pPr>
            <w:r w:rsidRPr="00394C05">
              <w:rPr>
                <w:rFonts w:ascii="Arial" w:hAnsi="Arial" w:cs="Arial"/>
                <w:b/>
                <w:bCs/>
                <w:sz w:val="24"/>
                <w:szCs w:val="24"/>
              </w:rPr>
              <w:t>r1 (lower)</w:t>
            </w:r>
          </w:p>
        </w:tc>
        <w:tc>
          <w:tcPr>
            <w:tcW w:w="1493" w:type="dxa"/>
            <w:shd w:val="clear" w:color="auto" w:fill="auto"/>
            <w:tcMar>
              <w:top w:w="80" w:type="dxa"/>
              <w:left w:w="100" w:type="dxa"/>
              <w:bottom w:w="80" w:type="dxa"/>
              <w:right w:w="100" w:type="dxa"/>
            </w:tcMar>
            <w:vAlign w:val="center"/>
          </w:tcPr>
          <w:p w14:paraId="5612FE8A" w14:textId="77777777" w:rsidR="00566809" w:rsidRPr="00394C05" w:rsidRDefault="00566809" w:rsidP="00394C05">
            <w:pPr>
              <w:jc w:val="center"/>
              <w:rPr>
                <w:rFonts w:ascii="Arial" w:hAnsi="Arial" w:cs="Arial"/>
                <w:b/>
                <w:bCs/>
                <w:sz w:val="24"/>
                <w:szCs w:val="24"/>
              </w:rPr>
            </w:pPr>
            <w:r w:rsidRPr="00394C05">
              <w:rPr>
                <w:rFonts w:ascii="Arial" w:hAnsi="Arial" w:cs="Arial"/>
                <w:b/>
                <w:bCs/>
                <w:sz w:val="24"/>
                <w:szCs w:val="24"/>
              </w:rPr>
              <w:t>NPV @ r1</w:t>
            </w:r>
          </w:p>
        </w:tc>
        <w:tc>
          <w:tcPr>
            <w:tcW w:w="1027" w:type="dxa"/>
            <w:shd w:val="clear" w:color="auto" w:fill="auto"/>
            <w:tcMar>
              <w:top w:w="80" w:type="dxa"/>
              <w:left w:w="100" w:type="dxa"/>
              <w:bottom w:w="80" w:type="dxa"/>
              <w:right w:w="100" w:type="dxa"/>
            </w:tcMar>
            <w:vAlign w:val="center"/>
          </w:tcPr>
          <w:p w14:paraId="31BBE20E" w14:textId="77777777" w:rsidR="00566809" w:rsidRPr="00394C05" w:rsidRDefault="00566809" w:rsidP="00394C05">
            <w:pPr>
              <w:jc w:val="center"/>
              <w:rPr>
                <w:rFonts w:ascii="Arial" w:hAnsi="Arial" w:cs="Arial"/>
                <w:b/>
                <w:bCs/>
                <w:sz w:val="24"/>
                <w:szCs w:val="24"/>
              </w:rPr>
            </w:pPr>
            <w:r w:rsidRPr="00394C05">
              <w:rPr>
                <w:rFonts w:ascii="Arial" w:hAnsi="Arial" w:cs="Arial"/>
                <w:b/>
                <w:bCs/>
                <w:sz w:val="24"/>
                <w:szCs w:val="24"/>
              </w:rPr>
              <w:t>r2 (upper)</w:t>
            </w:r>
          </w:p>
        </w:tc>
        <w:tc>
          <w:tcPr>
            <w:tcW w:w="1493" w:type="dxa"/>
            <w:shd w:val="clear" w:color="auto" w:fill="auto"/>
            <w:tcMar>
              <w:top w:w="80" w:type="dxa"/>
              <w:left w:w="100" w:type="dxa"/>
              <w:bottom w:w="80" w:type="dxa"/>
              <w:right w:w="100" w:type="dxa"/>
            </w:tcMar>
            <w:vAlign w:val="center"/>
          </w:tcPr>
          <w:p w14:paraId="0FDBF879" w14:textId="77777777" w:rsidR="00566809" w:rsidRPr="00394C05" w:rsidRDefault="00566809" w:rsidP="00394C05">
            <w:pPr>
              <w:jc w:val="center"/>
              <w:rPr>
                <w:rFonts w:ascii="Arial" w:hAnsi="Arial" w:cs="Arial"/>
                <w:b/>
                <w:bCs/>
                <w:sz w:val="24"/>
                <w:szCs w:val="24"/>
              </w:rPr>
            </w:pPr>
            <w:r w:rsidRPr="00394C05">
              <w:rPr>
                <w:rFonts w:ascii="Arial" w:hAnsi="Arial" w:cs="Arial"/>
                <w:b/>
                <w:bCs/>
                <w:sz w:val="24"/>
                <w:szCs w:val="24"/>
              </w:rPr>
              <w:t>NPV @ r2</w:t>
            </w:r>
          </w:p>
        </w:tc>
        <w:tc>
          <w:tcPr>
            <w:tcW w:w="1553" w:type="dxa"/>
            <w:shd w:val="clear" w:color="auto" w:fill="auto"/>
            <w:tcMar>
              <w:top w:w="80" w:type="dxa"/>
              <w:left w:w="100" w:type="dxa"/>
              <w:bottom w:w="80" w:type="dxa"/>
              <w:right w:w="100" w:type="dxa"/>
            </w:tcMar>
            <w:vAlign w:val="center"/>
          </w:tcPr>
          <w:p w14:paraId="04D7F514" w14:textId="77777777" w:rsidR="00566809" w:rsidRPr="00394C05" w:rsidRDefault="00566809" w:rsidP="00394C05">
            <w:pPr>
              <w:jc w:val="center"/>
              <w:rPr>
                <w:rFonts w:ascii="Arial" w:hAnsi="Arial" w:cs="Arial"/>
                <w:b/>
                <w:bCs/>
                <w:sz w:val="24"/>
                <w:szCs w:val="24"/>
              </w:rPr>
            </w:pPr>
            <w:r w:rsidRPr="00394C05">
              <w:rPr>
                <w:rFonts w:ascii="Arial" w:hAnsi="Arial" w:cs="Arial"/>
                <w:b/>
                <w:bCs/>
                <w:sz w:val="24"/>
                <w:szCs w:val="24"/>
              </w:rPr>
              <w:t>IRR (approx.)</w:t>
            </w:r>
          </w:p>
        </w:tc>
      </w:tr>
      <w:tr w:rsidR="00394C05" w:rsidRPr="00394C05" w14:paraId="242D9198" w14:textId="77777777" w:rsidTr="004F5605">
        <w:tc>
          <w:tcPr>
            <w:tcW w:w="1294" w:type="dxa"/>
            <w:shd w:val="clear" w:color="auto" w:fill="auto"/>
            <w:tcMar>
              <w:top w:w="60" w:type="dxa"/>
              <w:left w:w="100" w:type="dxa"/>
              <w:bottom w:w="60" w:type="dxa"/>
              <w:right w:w="100" w:type="dxa"/>
            </w:tcMar>
            <w:vAlign w:val="center"/>
          </w:tcPr>
          <w:p w14:paraId="4E881CE0" w14:textId="77777777" w:rsidR="00566809" w:rsidRPr="00394C05" w:rsidRDefault="00566809" w:rsidP="00394C05">
            <w:pPr>
              <w:jc w:val="center"/>
              <w:rPr>
                <w:rFonts w:ascii="Arial" w:hAnsi="Arial" w:cs="Arial"/>
                <w:b/>
                <w:bCs/>
                <w:sz w:val="24"/>
                <w:szCs w:val="24"/>
              </w:rPr>
            </w:pPr>
            <w:r w:rsidRPr="00394C05">
              <w:rPr>
                <w:rFonts w:ascii="Arial" w:hAnsi="Arial" w:cs="Arial"/>
                <w:b/>
                <w:bCs/>
                <w:color w:val="404040"/>
                <w:sz w:val="24"/>
                <w:szCs w:val="24"/>
              </w:rPr>
              <w:t>Project A</w:t>
            </w:r>
          </w:p>
        </w:tc>
        <w:tc>
          <w:tcPr>
            <w:tcW w:w="1000" w:type="dxa"/>
            <w:shd w:val="clear" w:color="auto" w:fill="auto"/>
            <w:tcMar>
              <w:top w:w="60" w:type="dxa"/>
              <w:left w:w="100" w:type="dxa"/>
              <w:bottom w:w="60" w:type="dxa"/>
              <w:right w:w="100" w:type="dxa"/>
            </w:tcMar>
            <w:vAlign w:val="center"/>
          </w:tcPr>
          <w:p w14:paraId="56C88B86"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0%</w:t>
            </w:r>
          </w:p>
        </w:tc>
        <w:tc>
          <w:tcPr>
            <w:tcW w:w="1493" w:type="dxa"/>
            <w:shd w:val="clear" w:color="auto" w:fill="auto"/>
            <w:tcMar>
              <w:top w:w="60" w:type="dxa"/>
              <w:left w:w="100" w:type="dxa"/>
              <w:bottom w:w="60" w:type="dxa"/>
              <w:right w:w="100" w:type="dxa"/>
            </w:tcMar>
            <w:vAlign w:val="center"/>
          </w:tcPr>
          <w:p w14:paraId="669D7ED3"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+£4.00m</w:t>
            </w:r>
          </w:p>
        </w:tc>
        <w:tc>
          <w:tcPr>
            <w:tcW w:w="1027" w:type="dxa"/>
            <w:shd w:val="clear" w:color="auto" w:fill="auto"/>
            <w:tcMar>
              <w:top w:w="60" w:type="dxa"/>
              <w:left w:w="100" w:type="dxa"/>
              <w:bottom w:w="60" w:type="dxa"/>
              <w:right w:w="100" w:type="dxa"/>
            </w:tcMar>
            <w:vAlign w:val="center"/>
          </w:tcPr>
          <w:p w14:paraId="43175B1D"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5%</w:t>
            </w:r>
          </w:p>
        </w:tc>
        <w:tc>
          <w:tcPr>
            <w:tcW w:w="1493" w:type="dxa"/>
            <w:shd w:val="clear" w:color="auto" w:fill="auto"/>
            <w:tcMar>
              <w:top w:w="60" w:type="dxa"/>
              <w:left w:w="100" w:type="dxa"/>
              <w:bottom w:w="60" w:type="dxa"/>
              <w:right w:w="100" w:type="dxa"/>
            </w:tcMar>
            <w:vAlign w:val="center"/>
          </w:tcPr>
          <w:p w14:paraId="720F480A"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−£3.02m</w:t>
            </w:r>
          </w:p>
        </w:tc>
        <w:tc>
          <w:tcPr>
            <w:tcW w:w="1553" w:type="dxa"/>
            <w:shd w:val="clear" w:color="auto" w:fill="auto"/>
            <w:tcMar>
              <w:top w:w="60" w:type="dxa"/>
              <w:left w:w="100" w:type="dxa"/>
              <w:bottom w:w="60" w:type="dxa"/>
              <w:right w:w="100" w:type="dxa"/>
            </w:tcMar>
            <w:vAlign w:val="center"/>
          </w:tcPr>
          <w:p w14:paraId="4F4BA609"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~2.86%</w:t>
            </w:r>
          </w:p>
        </w:tc>
      </w:tr>
      <w:tr w:rsidR="00394C05" w:rsidRPr="00394C05" w14:paraId="5FD241FA" w14:textId="77777777" w:rsidTr="004F5605">
        <w:tc>
          <w:tcPr>
            <w:tcW w:w="1294" w:type="dxa"/>
            <w:shd w:val="clear" w:color="auto" w:fill="auto"/>
            <w:tcMar>
              <w:top w:w="60" w:type="dxa"/>
              <w:left w:w="100" w:type="dxa"/>
              <w:bottom w:w="60" w:type="dxa"/>
              <w:right w:w="100" w:type="dxa"/>
            </w:tcMar>
            <w:vAlign w:val="center"/>
          </w:tcPr>
          <w:p w14:paraId="03374465" w14:textId="77777777" w:rsidR="00566809" w:rsidRPr="00394C05" w:rsidRDefault="00566809" w:rsidP="00394C05">
            <w:pPr>
              <w:jc w:val="center"/>
              <w:rPr>
                <w:rFonts w:ascii="Arial" w:hAnsi="Arial" w:cs="Arial"/>
                <w:b/>
                <w:bCs/>
                <w:sz w:val="24"/>
                <w:szCs w:val="24"/>
              </w:rPr>
            </w:pPr>
            <w:r w:rsidRPr="00394C05">
              <w:rPr>
                <w:rFonts w:ascii="Arial" w:hAnsi="Arial" w:cs="Arial"/>
                <w:b/>
                <w:bCs/>
                <w:color w:val="404040"/>
                <w:sz w:val="24"/>
                <w:szCs w:val="24"/>
              </w:rPr>
              <w:t>Project B</w:t>
            </w:r>
          </w:p>
        </w:tc>
        <w:tc>
          <w:tcPr>
            <w:tcW w:w="1000" w:type="dxa"/>
            <w:shd w:val="clear" w:color="auto" w:fill="auto"/>
            <w:tcMar>
              <w:top w:w="60" w:type="dxa"/>
              <w:left w:w="100" w:type="dxa"/>
              <w:bottom w:w="60" w:type="dxa"/>
              <w:right w:w="100" w:type="dxa"/>
            </w:tcMar>
            <w:vAlign w:val="center"/>
          </w:tcPr>
          <w:p w14:paraId="7A4797CD"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0%</w:t>
            </w:r>
          </w:p>
        </w:tc>
        <w:tc>
          <w:tcPr>
            <w:tcW w:w="1493" w:type="dxa"/>
            <w:shd w:val="clear" w:color="auto" w:fill="auto"/>
            <w:tcMar>
              <w:top w:w="60" w:type="dxa"/>
              <w:left w:w="100" w:type="dxa"/>
              <w:bottom w:w="60" w:type="dxa"/>
              <w:right w:w="100" w:type="dxa"/>
            </w:tcMar>
            <w:vAlign w:val="center"/>
          </w:tcPr>
          <w:p w14:paraId="27978DC3"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+£5.00m</w:t>
            </w:r>
          </w:p>
        </w:tc>
        <w:tc>
          <w:tcPr>
            <w:tcW w:w="1027" w:type="dxa"/>
            <w:shd w:val="clear" w:color="auto" w:fill="auto"/>
            <w:tcMar>
              <w:top w:w="60" w:type="dxa"/>
              <w:left w:w="100" w:type="dxa"/>
              <w:bottom w:w="60" w:type="dxa"/>
              <w:right w:w="100" w:type="dxa"/>
            </w:tcMar>
            <w:vAlign w:val="center"/>
          </w:tcPr>
          <w:p w14:paraId="7C2626D0"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5%</w:t>
            </w:r>
          </w:p>
        </w:tc>
        <w:tc>
          <w:tcPr>
            <w:tcW w:w="1493" w:type="dxa"/>
            <w:shd w:val="clear" w:color="auto" w:fill="auto"/>
            <w:tcMar>
              <w:top w:w="60" w:type="dxa"/>
              <w:left w:w="100" w:type="dxa"/>
              <w:bottom w:w="60" w:type="dxa"/>
              <w:right w:w="100" w:type="dxa"/>
            </w:tcMar>
            <w:vAlign w:val="center"/>
          </w:tcPr>
          <w:p w14:paraId="5EABE382"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−£2.37m</w:t>
            </w:r>
          </w:p>
        </w:tc>
        <w:tc>
          <w:tcPr>
            <w:tcW w:w="1553" w:type="dxa"/>
            <w:shd w:val="clear" w:color="auto" w:fill="auto"/>
            <w:tcMar>
              <w:top w:w="60" w:type="dxa"/>
              <w:left w:w="100" w:type="dxa"/>
              <w:bottom w:w="60" w:type="dxa"/>
              <w:right w:w="100" w:type="dxa"/>
            </w:tcMar>
            <w:vAlign w:val="center"/>
          </w:tcPr>
          <w:p w14:paraId="0343EC70"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~3.38%</w:t>
            </w:r>
          </w:p>
        </w:tc>
      </w:tr>
      <w:tr w:rsidR="00394C05" w:rsidRPr="00394C05" w14:paraId="26C41876" w14:textId="77777777" w:rsidTr="004F5605">
        <w:tc>
          <w:tcPr>
            <w:tcW w:w="1294" w:type="dxa"/>
            <w:shd w:val="clear" w:color="auto" w:fill="auto"/>
            <w:tcMar>
              <w:top w:w="60" w:type="dxa"/>
              <w:left w:w="100" w:type="dxa"/>
              <w:bottom w:w="60" w:type="dxa"/>
              <w:right w:w="100" w:type="dxa"/>
            </w:tcMar>
            <w:vAlign w:val="center"/>
          </w:tcPr>
          <w:p w14:paraId="203A03FE" w14:textId="77777777" w:rsidR="00566809" w:rsidRPr="00394C05" w:rsidRDefault="00566809" w:rsidP="00394C05">
            <w:pPr>
              <w:jc w:val="center"/>
              <w:rPr>
                <w:rFonts w:ascii="Arial" w:hAnsi="Arial" w:cs="Arial"/>
                <w:b/>
                <w:bCs/>
                <w:sz w:val="24"/>
                <w:szCs w:val="24"/>
              </w:rPr>
            </w:pPr>
            <w:r w:rsidRPr="00394C05">
              <w:rPr>
                <w:rFonts w:ascii="Arial" w:hAnsi="Arial" w:cs="Arial"/>
                <w:b/>
                <w:bCs/>
                <w:color w:val="404040"/>
                <w:sz w:val="24"/>
                <w:szCs w:val="24"/>
              </w:rPr>
              <w:t>Project C</w:t>
            </w:r>
          </w:p>
        </w:tc>
        <w:tc>
          <w:tcPr>
            <w:tcW w:w="1000" w:type="dxa"/>
            <w:shd w:val="clear" w:color="auto" w:fill="auto"/>
            <w:tcMar>
              <w:top w:w="60" w:type="dxa"/>
              <w:left w:w="100" w:type="dxa"/>
              <w:bottom w:w="60" w:type="dxa"/>
              <w:right w:w="100" w:type="dxa"/>
            </w:tcMar>
            <w:vAlign w:val="center"/>
          </w:tcPr>
          <w:p w14:paraId="6CB7EE87"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8%</w:t>
            </w:r>
          </w:p>
        </w:tc>
        <w:tc>
          <w:tcPr>
            <w:tcW w:w="1493" w:type="dxa"/>
            <w:shd w:val="clear" w:color="auto" w:fill="auto"/>
            <w:tcMar>
              <w:top w:w="60" w:type="dxa"/>
              <w:left w:w="100" w:type="dxa"/>
              <w:bottom w:w="60" w:type="dxa"/>
              <w:right w:w="100" w:type="dxa"/>
            </w:tcMar>
            <w:vAlign w:val="center"/>
          </w:tcPr>
          <w:p w14:paraId="6746A747"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+£0.86m</w:t>
            </w:r>
          </w:p>
        </w:tc>
        <w:tc>
          <w:tcPr>
            <w:tcW w:w="1027" w:type="dxa"/>
            <w:shd w:val="clear" w:color="auto" w:fill="auto"/>
            <w:tcMar>
              <w:top w:w="60" w:type="dxa"/>
              <w:left w:w="100" w:type="dxa"/>
              <w:bottom w:w="60" w:type="dxa"/>
              <w:right w:w="100" w:type="dxa"/>
            </w:tcMar>
            <w:vAlign w:val="center"/>
          </w:tcPr>
          <w:p w14:paraId="1C8C40E9"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9%</w:t>
            </w:r>
          </w:p>
        </w:tc>
        <w:tc>
          <w:tcPr>
            <w:tcW w:w="1493" w:type="dxa"/>
            <w:shd w:val="clear" w:color="auto" w:fill="auto"/>
            <w:tcMar>
              <w:top w:w="60" w:type="dxa"/>
              <w:left w:w="100" w:type="dxa"/>
              <w:bottom w:w="60" w:type="dxa"/>
              <w:right w:w="100" w:type="dxa"/>
            </w:tcMar>
            <w:vAlign w:val="center"/>
          </w:tcPr>
          <w:p w14:paraId="4BA2F69F" w14:textId="77777777" w:rsidR="00566809" w:rsidRPr="00394C05" w:rsidRDefault="00566809" w:rsidP="00394C05">
            <w:pPr>
              <w:rPr>
                <w:rFonts w:ascii="Arial" w:hAnsi="Arial" w:cs="Arial"/>
                <w:sz w:val="24"/>
                <w:szCs w:val="24"/>
              </w:rPr>
            </w:pPr>
            <w:r w:rsidRPr="00394C05">
              <w:rPr>
                <w:rFonts w:ascii="Arial" w:hAnsi="Arial" w:cs="Arial"/>
                <w:color w:val="404040"/>
                <w:sz w:val="24"/>
                <w:szCs w:val="24"/>
              </w:rPr>
              <w:t>−£0.59m</w:t>
            </w:r>
          </w:p>
        </w:tc>
        <w:tc>
          <w:tcPr>
            <w:tcW w:w="1553" w:type="dxa"/>
            <w:shd w:val="clear" w:color="auto" w:fill="auto"/>
            <w:tcMar>
              <w:top w:w="60" w:type="dxa"/>
              <w:left w:w="100" w:type="dxa"/>
              <w:bottom w:w="60" w:type="dxa"/>
              <w:right w:w="100" w:type="dxa"/>
            </w:tcMar>
            <w:vAlign w:val="center"/>
          </w:tcPr>
          <w:p w14:paraId="45DC12A5" w14:textId="77777777" w:rsidR="00566809" w:rsidRPr="00394C05" w:rsidRDefault="00566809" w:rsidP="00C55327">
            <w:pPr>
              <w:keepNext/>
              <w:rPr>
                <w:rFonts w:ascii="Arial" w:hAnsi="Arial" w:cs="Arial"/>
                <w:sz w:val="24"/>
                <w:szCs w:val="24"/>
              </w:rPr>
            </w:pPr>
            <w:r w:rsidRPr="00394C05">
              <w:rPr>
                <w:rFonts w:ascii="Arial" w:hAnsi="Arial" w:cs="Arial"/>
                <w:color w:val="404040"/>
                <w:sz w:val="24"/>
                <w:szCs w:val="24"/>
              </w:rPr>
              <w:t>~8.59%</w:t>
            </w:r>
          </w:p>
        </w:tc>
      </w:tr>
    </w:tbl>
    <w:p w14:paraId="035325D0" w14:textId="7ACDB008" w:rsidR="00566809" w:rsidRDefault="00C55327" w:rsidP="00C55327">
      <w:pPr>
        <w:pStyle w:val="Caption"/>
      </w:pPr>
      <w:r>
        <w:t xml:space="preserve">Table 4.6 </w:t>
      </w:r>
      <w:r w:rsidRPr="004C3128">
        <w:t>Source: Author's own calculations based on project cash flow data provided by the Board; Brealey, Myers and Allen (2023)</w:t>
      </w:r>
    </w:p>
    <w:p w14:paraId="27DE6146" w14:textId="77777777" w:rsidR="00566809" w:rsidRPr="00321BBC" w:rsidRDefault="00566809" w:rsidP="00566809">
      <w:pPr>
        <w:pStyle w:val="Heading3"/>
      </w:pPr>
      <w:bookmarkStart w:id="55" w:name="_Toc227660517"/>
      <w:r w:rsidRPr="00321BBC">
        <w:rPr>
          <w:rFonts w:ascii="Arial" w:eastAsia="Arial" w:hAnsi="Arial" w:cs="Arial"/>
          <w:b/>
          <w:bCs/>
          <w:color w:val="404040"/>
        </w:rPr>
        <w:t>Table 4.7 – IRR vs Hurdle Rate Summary</w:t>
      </w:r>
      <w:bookmarkEnd w:id="55"/>
    </w:p>
    <w:tbl>
      <w:tblPr>
        <w:tblW w:w="7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500"/>
        <w:gridCol w:w="1500"/>
        <w:gridCol w:w="2160"/>
        <w:gridCol w:w="1000"/>
      </w:tblGrid>
      <w:tr w:rsidR="00566809" w:rsidRPr="00321BBC" w14:paraId="4649E307" w14:textId="77777777" w:rsidTr="00321BBC">
        <w:tc>
          <w:tcPr>
            <w:tcW w:w="1200" w:type="dxa"/>
            <w:shd w:val="clear" w:color="auto" w:fill="auto"/>
            <w:tcMar>
              <w:top w:w="80" w:type="dxa"/>
              <w:left w:w="100" w:type="dxa"/>
              <w:bottom w:w="80" w:type="dxa"/>
              <w:right w:w="100" w:type="dxa"/>
            </w:tcMar>
            <w:vAlign w:val="center"/>
          </w:tcPr>
          <w:p w14:paraId="19468391" w14:textId="77777777" w:rsidR="00566809" w:rsidRPr="00321BBC" w:rsidRDefault="00566809" w:rsidP="00321BBC">
            <w:pPr>
              <w:jc w:val="center"/>
              <w:rPr>
                <w:rFonts w:ascii="Arial" w:hAnsi="Arial" w:cs="Arial"/>
                <w:b/>
                <w:bCs/>
                <w:sz w:val="24"/>
                <w:szCs w:val="24"/>
              </w:rPr>
            </w:pPr>
            <w:r w:rsidRPr="00321BBC">
              <w:rPr>
                <w:rFonts w:ascii="Arial" w:hAnsi="Arial" w:cs="Arial"/>
                <w:b/>
                <w:bCs/>
                <w:sz w:val="24"/>
                <w:szCs w:val="24"/>
              </w:rPr>
              <w:t>Project</w:t>
            </w:r>
          </w:p>
        </w:tc>
        <w:tc>
          <w:tcPr>
            <w:tcW w:w="1500" w:type="dxa"/>
            <w:shd w:val="clear" w:color="auto" w:fill="auto"/>
            <w:tcMar>
              <w:top w:w="80" w:type="dxa"/>
              <w:left w:w="100" w:type="dxa"/>
              <w:bottom w:w="80" w:type="dxa"/>
              <w:right w:w="100" w:type="dxa"/>
            </w:tcMar>
            <w:vAlign w:val="center"/>
          </w:tcPr>
          <w:p w14:paraId="41320095" w14:textId="77777777" w:rsidR="00566809" w:rsidRPr="00321BBC" w:rsidRDefault="00566809" w:rsidP="00321BBC">
            <w:pPr>
              <w:jc w:val="center"/>
              <w:rPr>
                <w:rFonts w:ascii="Arial" w:hAnsi="Arial" w:cs="Arial"/>
                <w:b/>
                <w:bCs/>
                <w:sz w:val="24"/>
                <w:szCs w:val="24"/>
              </w:rPr>
            </w:pPr>
            <w:r w:rsidRPr="00321BBC">
              <w:rPr>
                <w:rFonts w:ascii="Arial" w:hAnsi="Arial" w:cs="Arial"/>
                <w:b/>
                <w:bCs/>
                <w:sz w:val="24"/>
                <w:szCs w:val="24"/>
              </w:rPr>
              <w:t>IRR (approx.)</w:t>
            </w:r>
          </w:p>
        </w:tc>
        <w:tc>
          <w:tcPr>
            <w:tcW w:w="1500" w:type="dxa"/>
            <w:shd w:val="clear" w:color="auto" w:fill="auto"/>
            <w:tcMar>
              <w:top w:w="80" w:type="dxa"/>
              <w:left w:w="100" w:type="dxa"/>
              <w:bottom w:w="80" w:type="dxa"/>
              <w:right w:w="100" w:type="dxa"/>
            </w:tcMar>
            <w:vAlign w:val="center"/>
          </w:tcPr>
          <w:p w14:paraId="364D22BB" w14:textId="77777777" w:rsidR="00566809" w:rsidRPr="00321BBC" w:rsidRDefault="00566809" w:rsidP="00321BBC">
            <w:pPr>
              <w:jc w:val="center"/>
              <w:rPr>
                <w:rFonts w:ascii="Arial" w:hAnsi="Arial" w:cs="Arial"/>
                <w:b/>
                <w:bCs/>
                <w:sz w:val="24"/>
                <w:szCs w:val="24"/>
              </w:rPr>
            </w:pPr>
            <w:r w:rsidRPr="00321BBC">
              <w:rPr>
                <w:rFonts w:ascii="Arial" w:hAnsi="Arial" w:cs="Arial"/>
                <w:b/>
                <w:bCs/>
                <w:sz w:val="24"/>
                <w:szCs w:val="24"/>
              </w:rPr>
              <w:t>Hurdle Rate</w:t>
            </w:r>
          </w:p>
        </w:tc>
        <w:tc>
          <w:tcPr>
            <w:tcW w:w="2160" w:type="dxa"/>
            <w:shd w:val="clear" w:color="auto" w:fill="auto"/>
            <w:tcMar>
              <w:top w:w="80" w:type="dxa"/>
              <w:left w:w="100" w:type="dxa"/>
              <w:bottom w:w="80" w:type="dxa"/>
              <w:right w:w="100" w:type="dxa"/>
            </w:tcMar>
            <w:vAlign w:val="center"/>
          </w:tcPr>
          <w:p w14:paraId="483A282A" w14:textId="77777777" w:rsidR="00566809" w:rsidRPr="00321BBC" w:rsidRDefault="00566809" w:rsidP="00321BBC">
            <w:pPr>
              <w:jc w:val="center"/>
              <w:rPr>
                <w:rFonts w:ascii="Arial" w:hAnsi="Arial" w:cs="Arial"/>
                <w:b/>
                <w:bCs/>
                <w:sz w:val="24"/>
                <w:szCs w:val="24"/>
              </w:rPr>
            </w:pPr>
            <w:r w:rsidRPr="00321BBC">
              <w:rPr>
                <w:rFonts w:ascii="Arial" w:hAnsi="Arial" w:cs="Arial"/>
                <w:b/>
                <w:bCs/>
                <w:sz w:val="24"/>
                <w:szCs w:val="24"/>
              </w:rPr>
              <w:t>Gap vs Hurdle</w:t>
            </w:r>
          </w:p>
        </w:tc>
        <w:tc>
          <w:tcPr>
            <w:tcW w:w="1000" w:type="dxa"/>
            <w:shd w:val="clear" w:color="auto" w:fill="auto"/>
            <w:tcMar>
              <w:top w:w="80" w:type="dxa"/>
              <w:left w:w="100" w:type="dxa"/>
              <w:bottom w:w="80" w:type="dxa"/>
              <w:right w:w="100" w:type="dxa"/>
            </w:tcMar>
            <w:vAlign w:val="center"/>
          </w:tcPr>
          <w:p w14:paraId="7A23B0FD" w14:textId="77777777" w:rsidR="00566809" w:rsidRPr="00321BBC" w:rsidRDefault="00566809" w:rsidP="00321BBC">
            <w:pPr>
              <w:jc w:val="center"/>
              <w:rPr>
                <w:rFonts w:ascii="Arial" w:hAnsi="Arial" w:cs="Arial"/>
                <w:b/>
                <w:bCs/>
                <w:sz w:val="24"/>
                <w:szCs w:val="24"/>
              </w:rPr>
            </w:pPr>
            <w:r w:rsidRPr="00321BBC">
              <w:rPr>
                <w:rFonts w:ascii="Arial" w:hAnsi="Arial" w:cs="Arial"/>
                <w:b/>
                <w:bCs/>
                <w:sz w:val="24"/>
                <w:szCs w:val="24"/>
              </w:rPr>
              <w:t>Rank</w:t>
            </w:r>
          </w:p>
        </w:tc>
      </w:tr>
      <w:tr w:rsidR="00566809" w:rsidRPr="00321BBC" w14:paraId="3EC3BD45" w14:textId="77777777" w:rsidTr="00321BBC">
        <w:tc>
          <w:tcPr>
            <w:tcW w:w="1200" w:type="dxa"/>
            <w:shd w:val="clear" w:color="auto" w:fill="auto"/>
            <w:tcMar>
              <w:top w:w="60" w:type="dxa"/>
              <w:left w:w="100" w:type="dxa"/>
              <w:bottom w:w="60" w:type="dxa"/>
              <w:right w:w="100" w:type="dxa"/>
            </w:tcMar>
            <w:vAlign w:val="center"/>
          </w:tcPr>
          <w:p w14:paraId="1B976CF8" w14:textId="77777777" w:rsidR="00566809" w:rsidRPr="00321BBC" w:rsidRDefault="00566809" w:rsidP="00321BBC">
            <w:pPr>
              <w:jc w:val="center"/>
              <w:rPr>
                <w:rFonts w:ascii="Arial" w:hAnsi="Arial" w:cs="Arial"/>
                <w:b/>
                <w:bCs/>
                <w:sz w:val="24"/>
                <w:szCs w:val="24"/>
              </w:rPr>
            </w:pPr>
            <w:r w:rsidRPr="00321BBC">
              <w:rPr>
                <w:rFonts w:ascii="Arial" w:hAnsi="Arial" w:cs="Arial"/>
                <w:b/>
                <w:bCs/>
                <w:color w:val="404040"/>
                <w:sz w:val="24"/>
                <w:szCs w:val="24"/>
              </w:rPr>
              <w:t>Project A</w:t>
            </w:r>
          </w:p>
        </w:tc>
        <w:tc>
          <w:tcPr>
            <w:tcW w:w="1500" w:type="dxa"/>
            <w:shd w:val="clear" w:color="auto" w:fill="auto"/>
            <w:tcMar>
              <w:top w:w="60" w:type="dxa"/>
              <w:left w:w="100" w:type="dxa"/>
              <w:bottom w:w="60" w:type="dxa"/>
              <w:right w:w="100" w:type="dxa"/>
            </w:tcMar>
            <w:vAlign w:val="center"/>
          </w:tcPr>
          <w:p w14:paraId="1B3C2F60"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~2.86%</w:t>
            </w:r>
          </w:p>
        </w:tc>
        <w:tc>
          <w:tcPr>
            <w:tcW w:w="1500" w:type="dxa"/>
            <w:shd w:val="clear" w:color="auto" w:fill="auto"/>
            <w:tcMar>
              <w:top w:w="60" w:type="dxa"/>
              <w:left w:w="100" w:type="dxa"/>
              <w:bottom w:w="60" w:type="dxa"/>
              <w:right w:w="100" w:type="dxa"/>
            </w:tcMar>
            <w:vAlign w:val="center"/>
          </w:tcPr>
          <w:p w14:paraId="6EF24213"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10%</w:t>
            </w:r>
          </w:p>
        </w:tc>
        <w:tc>
          <w:tcPr>
            <w:tcW w:w="2160" w:type="dxa"/>
            <w:shd w:val="clear" w:color="auto" w:fill="auto"/>
            <w:tcMar>
              <w:top w:w="60" w:type="dxa"/>
              <w:left w:w="100" w:type="dxa"/>
              <w:bottom w:w="60" w:type="dxa"/>
              <w:right w:w="100" w:type="dxa"/>
            </w:tcMar>
            <w:vAlign w:val="center"/>
          </w:tcPr>
          <w:p w14:paraId="5EDDC8B0"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−7.14%</w:t>
            </w:r>
          </w:p>
        </w:tc>
        <w:tc>
          <w:tcPr>
            <w:tcW w:w="1000" w:type="dxa"/>
            <w:shd w:val="clear" w:color="auto" w:fill="auto"/>
            <w:tcMar>
              <w:top w:w="60" w:type="dxa"/>
              <w:left w:w="100" w:type="dxa"/>
              <w:bottom w:w="60" w:type="dxa"/>
              <w:right w:w="100" w:type="dxa"/>
            </w:tcMar>
            <w:vAlign w:val="center"/>
          </w:tcPr>
          <w:p w14:paraId="7D68F674"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3rd</w:t>
            </w:r>
          </w:p>
        </w:tc>
      </w:tr>
      <w:tr w:rsidR="00566809" w:rsidRPr="00321BBC" w14:paraId="48087077" w14:textId="77777777" w:rsidTr="00321BBC">
        <w:tc>
          <w:tcPr>
            <w:tcW w:w="1200" w:type="dxa"/>
            <w:shd w:val="clear" w:color="auto" w:fill="auto"/>
            <w:tcMar>
              <w:top w:w="60" w:type="dxa"/>
              <w:left w:w="100" w:type="dxa"/>
              <w:bottom w:w="60" w:type="dxa"/>
              <w:right w:w="100" w:type="dxa"/>
            </w:tcMar>
            <w:vAlign w:val="center"/>
          </w:tcPr>
          <w:p w14:paraId="7640E717" w14:textId="77777777" w:rsidR="00566809" w:rsidRPr="00321BBC" w:rsidRDefault="00566809" w:rsidP="00321BBC">
            <w:pPr>
              <w:jc w:val="center"/>
              <w:rPr>
                <w:rFonts w:ascii="Arial" w:hAnsi="Arial" w:cs="Arial"/>
                <w:b/>
                <w:bCs/>
                <w:sz w:val="24"/>
                <w:szCs w:val="24"/>
              </w:rPr>
            </w:pPr>
            <w:r w:rsidRPr="00321BBC">
              <w:rPr>
                <w:rFonts w:ascii="Arial" w:hAnsi="Arial" w:cs="Arial"/>
                <w:b/>
                <w:bCs/>
                <w:color w:val="404040"/>
                <w:sz w:val="24"/>
                <w:szCs w:val="24"/>
              </w:rPr>
              <w:t>Project B</w:t>
            </w:r>
          </w:p>
        </w:tc>
        <w:tc>
          <w:tcPr>
            <w:tcW w:w="1500" w:type="dxa"/>
            <w:shd w:val="clear" w:color="auto" w:fill="auto"/>
            <w:tcMar>
              <w:top w:w="60" w:type="dxa"/>
              <w:left w:w="100" w:type="dxa"/>
              <w:bottom w:w="60" w:type="dxa"/>
              <w:right w:w="100" w:type="dxa"/>
            </w:tcMar>
            <w:vAlign w:val="center"/>
          </w:tcPr>
          <w:p w14:paraId="32EE5431"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~3.39%</w:t>
            </w:r>
          </w:p>
        </w:tc>
        <w:tc>
          <w:tcPr>
            <w:tcW w:w="1500" w:type="dxa"/>
            <w:shd w:val="clear" w:color="auto" w:fill="auto"/>
            <w:tcMar>
              <w:top w:w="60" w:type="dxa"/>
              <w:left w:w="100" w:type="dxa"/>
              <w:bottom w:w="60" w:type="dxa"/>
              <w:right w:w="100" w:type="dxa"/>
            </w:tcMar>
            <w:vAlign w:val="center"/>
          </w:tcPr>
          <w:p w14:paraId="7C20B8EF"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10%</w:t>
            </w:r>
          </w:p>
        </w:tc>
        <w:tc>
          <w:tcPr>
            <w:tcW w:w="2160" w:type="dxa"/>
            <w:shd w:val="clear" w:color="auto" w:fill="auto"/>
            <w:tcMar>
              <w:top w:w="60" w:type="dxa"/>
              <w:left w:w="100" w:type="dxa"/>
              <w:bottom w:w="60" w:type="dxa"/>
              <w:right w:w="100" w:type="dxa"/>
            </w:tcMar>
            <w:vAlign w:val="center"/>
          </w:tcPr>
          <w:p w14:paraId="0E63A090"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−6.61%</w:t>
            </w:r>
          </w:p>
        </w:tc>
        <w:tc>
          <w:tcPr>
            <w:tcW w:w="1000" w:type="dxa"/>
            <w:shd w:val="clear" w:color="auto" w:fill="auto"/>
            <w:tcMar>
              <w:top w:w="60" w:type="dxa"/>
              <w:left w:w="100" w:type="dxa"/>
              <w:bottom w:w="60" w:type="dxa"/>
              <w:right w:w="100" w:type="dxa"/>
            </w:tcMar>
            <w:vAlign w:val="center"/>
          </w:tcPr>
          <w:p w14:paraId="1F1371FB"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2nd</w:t>
            </w:r>
          </w:p>
        </w:tc>
      </w:tr>
      <w:tr w:rsidR="00566809" w:rsidRPr="00321BBC" w14:paraId="02E2E486" w14:textId="77777777" w:rsidTr="00321BBC">
        <w:tc>
          <w:tcPr>
            <w:tcW w:w="1200" w:type="dxa"/>
            <w:shd w:val="clear" w:color="auto" w:fill="auto"/>
            <w:tcMar>
              <w:top w:w="60" w:type="dxa"/>
              <w:left w:w="100" w:type="dxa"/>
              <w:bottom w:w="60" w:type="dxa"/>
              <w:right w:w="100" w:type="dxa"/>
            </w:tcMar>
            <w:vAlign w:val="center"/>
          </w:tcPr>
          <w:p w14:paraId="06CF6D9C" w14:textId="77777777" w:rsidR="00566809" w:rsidRPr="00321BBC" w:rsidRDefault="00566809" w:rsidP="00321BBC">
            <w:pPr>
              <w:jc w:val="center"/>
              <w:rPr>
                <w:rFonts w:ascii="Arial" w:hAnsi="Arial" w:cs="Arial"/>
                <w:b/>
                <w:bCs/>
                <w:sz w:val="24"/>
                <w:szCs w:val="24"/>
              </w:rPr>
            </w:pPr>
            <w:r w:rsidRPr="00321BBC">
              <w:rPr>
                <w:rFonts w:ascii="Arial" w:hAnsi="Arial" w:cs="Arial"/>
                <w:b/>
                <w:bCs/>
                <w:color w:val="404040"/>
                <w:sz w:val="24"/>
                <w:szCs w:val="24"/>
              </w:rPr>
              <w:t>Project C</w:t>
            </w:r>
          </w:p>
        </w:tc>
        <w:tc>
          <w:tcPr>
            <w:tcW w:w="1500" w:type="dxa"/>
            <w:shd w:val="clear" w:color="auto" w:fill="auto"/>
            <w:tcMar>
              <w:top w:w="60" w:type="dxa"/>
              <w:left w:w="100" w:type="dxa"/>
              <w:bottom w:w="60" w:type="dxa"/>
              <w:right w:w="100" w:type="dxa"/>
            </w:tcMar>
            <w:vAlign w:val="center"/>
          </w:tcPr>
          <w:p w14:paraId="5EACAE1F"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~8.59%</w:t>
            </w:r>
          </w:p>
        </w:tc>
        <w:tc>
          <w:tcPr>
            <w:tcW w:w="1500" w:type="dxa"/>
            <w:shd w:val="clear" w:color="auto" w:fill="auto"/>
            <w:tcMar>
              <w:top w:w="60" w:type="dxa"/>
              <w:left w:w="100" w:type="dxa"/>
              <w:bottom w:w="60" w:type="dxa"/>
              <w:right w:w="100" w:type="dxa"/>
            </w:tcMar>
            <w:vAlign w:val="center"/>
          </w:tcPr>
          <w:p w14:paraId="21A0BACC"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10%</w:t>
            </w:r>
          </w:p>
        </w:tc>
        <w:tc>
          <w:tcPr>
            <w:tcW w:w="2160" w:type="dxa"/>
            <w:shd w:val="clear" w:color="auto" w:fill="auto"/>
            <w:tcMar>
              <w:top w:w="60" w:type="dxa"/>
              <w:left w:w="100" w:type="dxa"/>
              <w:bottom w:w="60" w:type="dxa"/>
              <w:right w:w="100" w:type="dxa"/>
            </w:tcMar>
            <w:vAlign w:val="center"/>
          </w:tcPr>
          <w:p w14:paraId="2E2AEE4A" w14:textId="77777777" w:rsidR="00566809" w:rsidRPr="00321BBC" w:rsidRDefault="00566809" w:rsidP="00321BBC">
            <w:pPr>
              <w:rPr>
                <w:rFonts w:ascii="Arial" w:hAnsi="Arial" w:cs="Arial"/>
                <w:sz w:val="24"/>
                <w:szCs w:val="24"/>
              </w:rPr>
            </w:pPr>
            <w:r w:rsidRPr="00321BBC">
              <w:rPr>
                <w:rFonts w:ascii="Arial" w:hAnsi="Arial" w:cs="Arial"/>
                <w:color w:val="404040"/>
                <w:sz w:val="24"/>
                <w:szCs w:val="24"/>
              </w:rPr>
              <w:t>−1.41%</w:t>
            </w:r>
          </w:p>
        </w:tc>
        <w:tc>
          <w:tcPr>
            <w:tcW w:w="1000" w:type="dxa"/>
            <w:shd w:val="clear" w:color="auto" w:fill="auto"/>
            <w:tcMar>
              <w:top w:w="60" w:type="dxa"/>
              <w:left w:w="100" w:type="dxa"/>
              <w:bottom w:w="60" w:type="dxa"/>
              <w:right w:w="100" w:type="dxa"/>
            </w:tcMar>
            <w:vAlign w:val="center"/>
          </w:tcPr>
          <w:p w14:paraId="40045FFB" w14:textId="77777777" w:rsidR="00566809" w:rsidRPr="00321BBC" w:rsidRDefault="00566809" w:rsidP="00C55327">
            <w:pPr>
              <w:keepNext/>
              <w:rPr>
                <w:rFonts w:ascii="Arial" w:hAnsi="Arial" w:cs="Arial"/>
                <w:sz w:val="24"/>
                <w:szCs w:val="24"/>
              </w:rPr>
            </w:pPr>
            <w:r w:rsidRPr="00321BBC">
              <w:rPr>
                <w:rFonts w:ascii="Arial" w:hAnsi="Arial" w:cs="Arial"/>
                <w:color w:val="404040"/>
                <w:sz w:val="24"/>
                <w:szCs w:val="24"/>
              </w:rPr>
              <w:t>1st</w:t>
            </w:r>
          </w:p>
        </w:tc>
      </w:tr>
    </w:tbl>
    <w:p w14:paraId="6A963C8A" w14:textId="45CAF25D" w:rsidR="00C55327" w:rsidRDefault="00C55327">
      <w:pPr>
        <w:pStyle w:val="Caption"/>
      </w:pPr>
      <w:r>
        <w:t xml:space="preserve">Table 4.7 </w:t>
      </w:r>
      <w:r w:rsidRPr="007353D2">
        <w:t>Source: Author's own calculations based on project cash flow data provided by the Board; Brealey, Myers and Allen (2023)</w:t>
      </w:r>
    </w:p>
    <w:p w14:paraId="1E8E40D1" w14:textId="79A9F704" w:rsidR="00D13F67" w:rsidRPr="00635A4A" w:rsidRDefault="00566809" w:rsidP="00D13F67">
      <w:pPr>
        <w:spacing w:before="60" w:after="60" w:line="360" w:lineRule="auto"/>
        <w:jc w:val="both"/>
        <w:rPr>
          <w:rFonts w:ascii="Arial" w:eastAsia="Arial" w:hAnsi="Arial" w:cs="Arial"/>
          <w:color w:val="404040"/>
          <w:sz w:val="24"/>
          <w:szCs w:val="24"/>
        </w:rPr>
      </w:pPr>
      <w:r w:rsidRPr="00D13F67">
        <w:rPr>
          <w:rFonts w:ascii="Arial" w:eastAsia="Arial" w:hAnsi="Arial" w:cs="Arial"/>
          <w:color w:val="404040"/>
          <w:sz w:val="24"/>
          <w:szCs w:val="24"/>
        </w:rPr>
        <w:lastRenderedPageBreak/>
        <w:t>Project C's IRR of ~8.59% is only 1.41 percentage points below the 10% hurdle rate—a gap that could plausibly close if: (a) actual cash flows exceed projections by 5–8%, which is consistent with typical EV ramp-up dynamics; (b) the hurdle rate reflects risk that may be reduced by IRA tax credits or UK ZEV mandate incentives; or (c) synergies with existing Hyundai EV infrastructure are captured. Projects A (~2.86%) and B (~3.39%) are structurally unviable at any realistic hurdle rate for a global automotive manufacturer.</w:t>
      </w:r>
    </w:p>
    <w:p w14:paraId="371BDCFE" w14:textId="2B197697" w:rsidR="00566809" w:rsidRDefault="00566809" w:rsidP="005E51E1">
      <w:pPr>
        <w:pStyle w:val="Heading2"/>
      </w:pPr>
      <w:bookmarkStart w:id="56" w:name="_Toc227660518"/>
      <w:r>
        <w:rPr>
          <w:rFonts w:ascii="Arial" w:eastAsia="Arial" w:hAnsi="Arial" w:cs="Arial"/>
          <w:b/>
          <w:bCs/>
          <w:color w:val="2E75B6"/>
        </w:rPr>
        <w:t>4.7 Consolidated Appraisal Summary</w:t>
      </w:r>
      <w:bookmarkEnd w:id="56"/>
    </w:p>
    <w:p w14:paraId="42F9CED8" w14:textId="77777777" w:rsidR="00566809" w:rsidRPr="00E069B0" w:rsidRDefault="00566809" w:rsidP="00E069B0">
      <w:pPr>
        <w:pStyle w:val="Heading3"/>
        <w:spacing w:line="360" w:lineRule="auto"/>
      </w:pPr>
      <w:bookmarkStart w:id="57" w:name="_Toc227660519"/>
      <w:r w:rsidRPr="00E069B0">
        <w:rPr>
          <w:rFonts w:ascii="Arial" w:eastAsia="Arial" w:hAnsi="Arial" w:cs="Arial"/>
          <w:b/>
          <w:bCs/>
          <w:color w:val="404040"/>
        </w:rPr>
        <w:t>Table 4.8 – Five-Method Investment Appraisal Summary</w:t>
      </w:r>
      <w:bookmarkEnd w:id="5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78"/>
        <w:gridCol w:w="1466"/>
        <w:gridCol w:w="1466"/>
        <w:gridCol w:w="1988"/>
        <w:gridCol w:w="1862"/>
      </w:tblGrid>
      <w:tr w:rsidR="009B600B" w:rsidRPr="009B600B" w14:paraId="6A64B218" w14:textId="77777777" w:rsidTr="00870125">
        <w:tc>
          <w:tcPr>
            <w:tcW w:w="2578" w:type="dxa"/>
            <w:shd w:val="clear" w:color="auto" w:fill="auto"/>
            <w:tcMar>
              <w:top w:w="80" w:type="dxa"/>
              <w:left w:w="100" w:type="dxa"/>
              <w:bottom w:w="80" w:type="dxa"/>
              <w:right w:w="100" w:type="dxa"/>
            </w:tcMar>
            <w:vAlign w:val="center"/>
          </w:tcPr>
          <w:p w14:paraId="048114C1" w14:textId="77777777" w:rsidR="00566809" w:rsidRPr="009B600B" w:rsidRDefault="00566809" w:rsidP="009B600B">
            <w:pPr>
              <w:jc w:val="center"/>
              <w:rPr>
                <w:rFonts w:ascii="Arial" w:hAnsi="Arial" w:cs="Arial"/>
                <w:b/>
                <w:bCs/>
                <w:sz w:val="24"/>
                <w:szCs w:val="24"/>
              </w:rPr>
            </w:pPr>
            <w:r w:rsidRPr="009B600B">
              <w:rPr>
                <w:rFonts w:ascii="Arial" w:hAnsi="Arial" w:cs="Arial"/>
                <w:b/>
                <w:bCs/>
                <w:sz w:val="24"/>
                <w:szCs w:val="24"/>
              </w:rPr>
              <w:t>Evaluation Criterion</w:t>
            </w:r>
          </w:p>
        </w:tc>
        <w:tc>
          <w:tcPr>
            <w:tcW w:w="1466" w:type="dxa"/>
            <w:shd w:val="clear" w:color="auto" w:fill="auto"/>
            <w:tcMar>
              <w:top w:w="80" w:type="dxa"/>
              <w:left w:w="100" w:type="dxa"/>
              <w:bottom w:w="80" w:type="dxa"/>
              <w:right w:w="100" w:type="dxa"/>
            </w:tcMar>
            <w:vAlign w:val="center"/>
          </w:tcPr>
          <w:p w14:paraId="6705F33F" w14:textId="77777777" w:rsidR="00566809" w:rsidRPr="009B600B" w:rsidRDefault="00566809" w:rsidP="009B600B">
            <w:pPr>
              <w:jc w:val="center"/>
              <w:rPr>
                <w:rFonts w:ascii="Arial" w:hAnsi="Arial" w:cs="Arial"/>
                <w:b/>
                <w:bCs/>
                <w:sz w:val="24"/>
                <w:szCs w:val="24"/>
              </w:rPr>
            </w:pPr>
            <w:r w:rsidRPr="009B600B">
              <w:rPr>
                <w:rFonts w:ascii="Arial" w:hAnsi="Arial" w:cs="Arial"/>
                <w:b/>
                <w:bCs/>
                <w:sz w:val="24"/>
                <w:szCs w:val="24"/>
              </w:rPr>
              <w:t>Project A</w:t>
            </w:r>
          </w:p>
        </w:tc>
        <w:tc>
          <w:tcPr>
            <w:tcW w:w="1466" w:type="dxa"/>
            <w:shd w:val="clear" w:color="auto" w:fill="auto"/>
            <w:tcMar>
              <w:top w:w="80" w:type="dxa"/>
              <w:left w:w="100" w:type="dxa"/>
              <w:bottom w:w="80" w:type="dxa"/>
              <w:right w:w="100" w:type="dxa"/>
            </w:tcMar>
            <w:vAlign w:val="center"/>
          </w:tcPr>
          <w:p w14:paraId="6A51AE7F" w14:textId="77777777" w:rsidR="00566809" w:rsidRPr="009B600B" w:rsidRDefault="00566809" w:rsidP="009B600B">
            <w:pPr>
              <w:jc w:val="center"/>
              <w:rPr>
                <w:rFonts w:ascii="Arial" w:hAnsi="Arial" w:cs="Arial"/>
                <w:b/>
                <w:bCs/>
                <w:sz w:val="24"/>
                <w:szCs w:val="24"/>
              </w:rPr>
            </w:pPr>
            <w:r w:rsidRPr="009B600B">
              <w:rPr>
                <w:rFonts w:ascii="Arial" w:hAnsi="Arial" w:cs="Arial"/>
                <w:b/>
                <w:bCs/>
                <w:sz w:val="24"/>
                <w:szCs w:val="24"/>
              </w:rPr>
              <w:t>Project B</w:t>
            </w:r>
          </w:p>
        </w:tc>
        <w:tc>
          <w:tcPr>
            <w:tcW w:w="1988" w:type="dxa"/>
            <w:shd w:val="clear" w:color="auto" w:fill="auto"/>
            <w:tcMar>
              <w:top w:w="80" w:type="dxa"/>
              <w:left w:w="100" w:type="dxa"/>
              <w:bottom w:w="80" w:type="dxa"/>
              <w:right w:w="100" w:type="dxa"/>
            </w:tcMar>
            <w:vAlign w:val="center"/>
          </w:tcPr>
          <w:p w14:paraId="5AA02C94" w14:textId="77777777" w:rsidR="00566809" w:rsidRPr="009B600B" w:rsidRDefault="00566809" w:rsidP="009B600B">
            <w:pPr>
              <w:jc w:val="center"/>
              <w:rPr>
                <w:rFonts w:ascii="Arial" w:hAnsi="Arial" w:cs="Arial"/>
                <w:b/>
                <w:bCs/>
                <w:sz w:val="24"/>
                <w:szCs w:val="24"/>
              </w:rPr>
            </w:pPr>
            <w:r w:rsidRPr="009B600B">
              <w:rPr>
                <w:rFonts w:ascii="Arial" w:hAnsi="Arial" w:cs="Arial"/>
                <w:b/>
                <w:bCs/>
                <w:sz w:val="24"/>
                <w:szCs w:val="24"/>
              </w:rPr>
              <w:t>Project C</w:t>
            </w:r>
          </w:p>
        </w:tc>
        <w:tc>
          <w:tcPr>
            <w:tcW w:w="1862" w:type="dxa"/>
            <w:shd w:val="clear" w:color="auto" w:fill="auto"/>
            <w:tcMar>
              <w:top w:w="80" w:type="dxa"/>
              <w:left w:w="100" w:type="dxa"/>
              <w:bottom w:w="80" w:type="dxa"/>
              <w:right w:w="100" w:type="dxa"/>
            </w:tcMar>
            <w:vAlign w:val="center"/>
          </w:tcPr>
          <w:p w14:paraId="4DDB1FED" w14:textId="77777777" w:rsidR="00566809" w:rsidRPr="009B600B" w:rsidRDefault="00566809" w:rsidP="009B600B">
            <w:pPr>
              <w:jc w:val="center"/>
              <w:rPr>
                <w:rFonts w:ascii="Arial" w:hAnsi="Arial" w:cs="Arial"/>
                <w:b/>
                <w:bCs/>
                <w:sz w:val="24"/>
                <w:szCs w:val="24"/>
              </w:rPr>
            </w:pPr>
            <w:r w:rsidRPr="009B600B">
              <w:rPr>
                <w:rFonts w:ascii="Arial" w:hAnsi="Arial" w:cs="Arial"/>
                <w:b/>
                <w:bCs/>
                <w:sz w:val="24"/>
                <w:szCs w:val="24"/>
              </w:rPr>
              <w:t>Best</w:t>
            </w:r>
          </w:p>
        </w:tc>
      </w:tr>
      <w:tr w:rsidR="009B600B" w:rsidRPr="009B600B" w14:paraId="48A9A321" w14:textId="77777777" w:rsidTr="00870125">
        <w:tc>
          <w:tcPr>
            <w:tcW w:w="2578" w:type="dxa"/>
            <w:shd w:val="clear" w:color="auto" w:fill="auto"/>
            <w:tcMar>
              <w:top w:w="60" w:type="dxa"/>
              <w:left w:w="100" w:type="dxa"/>
              <w:bottom w:w="60" w:type="dxa"/>
              <w:right w:w="100" w:type="dxa"/>
            </w:tcMar>
            <w:vAlign w:val="center"/>
          </w:tcPr>
          <w:p w14:paraId="34112B3F" w14:textId="77777777" w:rsidR="00566809" w:rsidRPr="009B600B" w:rsidRDefault="00566809" w:rsidP="009B600B">
            <w:pPr>
              <w:jc w:val="center"/>
              <w:rPr>
                <w:rFonts w:ascii="Arial" w:hAnsi="Arial" w:cs="Arial"/>
                <w:b/>
                <w:bCs/>
                <w:sz w:val="24"/>
                <w:szCs w:val="24"/>
              </w:rPr>
            </w:pPr>
            <w:r w:rsidRPr="009B600B">
              <w:rPr>
                <w:rFonts w:ascii="Arial" w:hAnsi="Arial" w:cs="Arial"/>
                <w:b/>
                <w:bCs/>
                <w:color w:val="404040"/>
                <w:sz w:val="24"/>
                <w:szCs w:val="24"/>
              </w:rPr>
              <w:t>Payback Period (PBP)</w:t>
            </w:r>
          </w:p>
        </w:tc>
        <w:tc>
          <w:tcPr>
            <w:tcW w:w="1466" w:type="dxa"/>
            <w:shd w:val="clear" w:color="auto" w:fill="auto"/>
            <w:tcMar>
              <w:top w:w="60" w:type="dxa"/>
              <w:left w:w="100" w:type="dxa"/>
              <w:bottom w:w="60" w:type="dxa"/>
              <w:right w:w="100" w:type="dxa"/>
            </w:tcMar>
            <w:vAlign w:val="center"/>
          </w:tcPr>
          <w:p w14:paraId="11B4D247"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4.50 years</w:t>
            </w:r>
          </w:p>
        </w:tc>
        <w:tc>
          <w:tcPr>
            <w:tcW w:w="1466" w:type="dxa"/>
            <w:shd w:val="clear" w:color="auto" w:fill="auto"/>
            <w:tcMar>
              <w:top w:w="60" w:type="dxa"/>
              <w:left w:w="100" w:type="dxa"/>
              <w:bottom w:w="60" w:type="dxa"/>
              <w:right w:w="100" w:type="dxa"/>
            </w:tcMar>
            <w:vAlign w:val="center"/>
          </w:tcPr>
          <w:p w14:paraId="60F39EB8"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4.55 years</w:t>
            </w:r>
          </w:p>
        </w:tc>
        <w:tc>
          <w:tcPr>
            <w:tcW w:w="1988" w:type="dxa"/>
            <w:shd w:val="clear" w:color="auto" w:fill="auto"/>
            <w:tcMar>
              <w:top w:w="60" w:type="dxa"/>
              <w:left w:w="100" w:type="dxa"/>
              <w:bottom w:w="60" w:type="dxa"/>
              <w:right w:w="100" w:type="dxa"/>
            </w:tcMar>
            <w:vAlign w:val="center"/>
          </w:tcPr>
          <w:p w14:paraId="7D1CEA22"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3.60 years</w:t>
            </w:r>
          </w:p>
        </w:tc>
        <w:tc>
          <w:tcPr>
            <w:tcW w:w="1862" w:type="dxa"/>
            <w:shd w:val="clear" w:color="auto" w:fill="auto"/>
            <w:tcMar>
              <w:top w:w="60" w:type="dxa"/>
              <w:left w:w="100" w:type="dxa"/>
              <w:bottom w:w="60" w:type="dxa"/>
              <w:right w:w="100" w:type="dxa"/>
            </w:tcMar>
            <w:vAlign w:val="center"/>
          </w:tcPr>
          <w:p w14:paraId="594F0CC4" w14:textId="77777777" w:rsidR="00566809" w:rsidRPr="009B600B" w:rsidRDefault="00566809" w:rsidP="009B600B">
            <w:pPr>
              <w:rPr>
                <w:rFonts w:ascii="Arial" w:hAnsi="Arial" w:cs="Arial"/>
                <w:sz w:val="24"/>
                <w:szCs w:val="24"/>
              </w:rPr>
            </w:pPr>
            <w:r w:rsidRPr="009B600B">
              <w:rPr>
                <w:rFonts w:ascii="Segoe UI Symbol" w:hAnsi="Segoe UI Symbol" w:cs="Segoe UI Symbol"/>
                <w:color w:val="404040"/>
                <w:sz w:val="24"/>
                <w:szCs w:val="24"/>
              </w:rPr>
              <w:t>✓</w:t>
            </w:r>
            <w:r w:rsidRPr="009B600B">
              <w:rPr>
                <w:rFonts w:ascii="Arial" w:hAnsi="Arial" w:cs="Arial"/>
                <w:color w:val="404040"/>
                <w:sz w:val="24"/>
                <w:szCs w:val="24"/>
              </w:rPr>
              <w:t xml:space="preserve"> Project C</w:t>
            </w:r>
          </w:p>
        </w:tc>
      </w:tr>
      <w:tr w:rsidR="009B600B" w:rsidRPr="009B600B" w14:paraId="236FA35C" w14:textId="77777777" w:rsidTr="00870125">
        <w:tc>
          <w:tcPr>
            <w:tcW w:w="2578" w:type="dxa"/>
            <w:shd w:val="clear" w:color="auto" w:fill="auto"/>
            <w:tcMar>
              <w:top w:w="60" w:type="dxa"/>
              <w:left w:w="100" w:type="dxa"/>
              <w:bottom w:w="60" w:type="dxa"/>
              <w:right w:w="100" w:type="dxa"/>
            </w:tcMar>
            <w:vAlign w:val="center"/>
          </w:tcPr>
          <w:p w14:paraId="2EE4005B" w14:textId="77777777" w:rsidR="00566809" w:rsidRPr="009B600B" w:rsidRDefault="00566809" w:rsidP="009B600B">
            <w:pPr>
              <w:jc w:val="center"/>
              <w:rPr>
                <w:rFonts w:ascii="Arial" w:hAnsi="Arial" w:cs="Arial"/>
                <w:b/>
                <w:bCs/>
                <w:sz w:val="24"/>
                <w:szCs w:val="24"/>
              </w:rPr>
            </w:pPr>
            <w:r w:rsidRPr="009B600B">
              <w:rPr>
                <w:rFonts w:ascii="Arial" w:hAnsi="Arial" w:cs="Arial"/>
                <w:b/>
                <w:bCs/>
                <w:color w:val="404040"/>
                <w:sz w:val="24"/>
                <w:szCs w:val="24"/>
              </w:rPr>
              <w:t>ARR (on avg. investment)</w:t>
            </w:r>
          </w:p>
        </w:tc>
        <w:tc>
          <w:tcPr>
            <w:tcW w:w="1466" w:type="dxa"/>
            <w:shd w:val="clear" w:color="auto" w:fill="auto"/>
            <w:tcMar>
              <w:top w:w="60" w:type="dxa"/>
              <w:left w:w="100" w:type="dxa"/>
              <w:bottom w:w="60" w:type="dxa"/>
              <w:right w:w="100" w:type="dxa"/>
            </w:tcMar>
            <w:vAlign w:val="center"/>
          </w:tcPr>
          <w:p w14:paraId="7BEE74F4"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3.2%</w:t>
            </w:r>
          </w:p>
        </w:tc>
        <w:tc>
          <w:tcPr>
            <w:tcW w:w="1466" w:type="dxa"/>
            <w:shd w:val="clear" w:color="auto" w:fill="auto"/>
            <w:tcMar>
              <w:top w:w="60" w:type="dxa"/>
              <w:left w:w="100" w:type="dxa"/>
              <w:bottom w:w="60" w:type="dxa"/>
              <w:right w:w="100" w:type="dxa"/>
            </w:tcMar>
            <w:vAlign w:val="center"/>
          </w:tcPr>
          <w:p w14:paraId="0609A2F0"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4.0%</w:t>
            </w:r>
          </w:p>
        </w:tc>
        <w:tc>
          <w:tcPr>
            <w:tcW w:w="1988" w:type="dxa"/>
            <w:shd w:val="clear" w:color="auto" w:fill="auto"/>
            <w:tcMar>
              <w:top w:w="60" w:type="dxa"/>
              <w:left w:w="100" w:type="dxa"/>
              <w:bottom w:w="60" w:type="dxa"/>
              <w:right w:w="100" w:type="dxa"/>
            </w:tcMar>
            <w:vAlign w:val="center"/>
          </w:tcPr>
          <w:p w14:paraId="3ABC930D"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12.0%</w:t>
            </w:r>
          </w:p>
        </w:tc>
        <w:tc>
          <w:tcPr>
            <w:tcW w:w="1862" w:type="dxa"/>
            <w:shd w:val="clear" w:color="auto" w:fill="auto"/>
            <w:tcMar>
              <w:top w:w="60" w:type="dxa"/>
              <w:left w:w="100" w:type="dxa"/>
              <w:bottom w:w="60" w:type="dxa"/>
              <w:right w:w="100" w:type="dxa"/>
            </w:tcMar>
            <w:vAlign w:val="center"/>
          </w:tcPr>
          <w:p w14:paraId="6F622699" w14:textId="77777777" w:rsidR="00566809" w:rsidRPr="009B600B" w:rsidRDefault="00566809" w:rsidP="009B600B">
            <w:pPr>
              <w:rPr>
                <w:rFonts w:ascii="Arial" w:hAnsi="Arial" w:cs="Arial"/>
                <w:sz w:val="24"/>
                <w:szCs w:val="24"/>
              </w:rPr>
            </w:pPr>
            <w:r w:rsidRPr="009B600B">
              <w:rPr>
                <w:rFonts w:ascii="Segoe UI Symbol" w:hAnsi="Segoe UI Symbol" w:cs="Segoe UI Symbol"/>
                <w:color w:val="404040"/>
                <w:sz w:val="24"/>
                <w:szCs w:val="24"/>
              </w:rPr>
              <w:t>✓</w:t>
            </w:r>
            <w:r w:rsidRPr="009B600B">
              <w:rPr>
                <w:rFonts w:ascii="Arial" w:hAnsi="Arial" w:cs="Arial"/>
                <w:color w:val="404040"/>
                <w:sz w:val="24"/>
                <w:szCs w:val="24"/>
              </w:rPr>
              <w:t xml:space="preserve"> Project C</w:t>
            </w:r>
          </w:p>
        </w:tc>
      </w:tr>
      <w:tr w:rsidR="009B600B" w:rsidRPr="009B600B" w14:paraId="31B63F6E" w14:textId="77777777" w:rsidTr="00870125">
        <w:tc>
          <w:tcPr>
            <w:tcW w:w="2578" w:type="dxa"/>
            <w:shd w:val="clear" w:color="auto" w:fill="auto"/>
            <w:tcMar>
              <w:top w:w="60" w:type="dxa"/>
              <w:left w:w="100" w:type="dxa"/>
              <w:bottom w:w="60" w:type="dxa"/>
              <w:right w:w="100" w:type="dxa"/>
            </w:tcMar>
            <w:vAlign w:val="center"/>
          </w:tcPr>
          <w:p w14:paraId="0CDAC9EE" w14:textId="77777777" w:rsidR="00566809" w:rsidRPr="009B600B" w:rsidRDefault="00566809" w:rsidP="009B600B">
            <w:pPr>
              <w:jc w:val="center"/>
              <w:rPr>
                <w:rFonts w:ascii="Arial" w:hAnsi="Arial" w:cs="Arial"/>
                <w:b/>
                <w:bCs/>
                <w:sz w:val="24"/>
                <w:szCs w:val="24"/>
              </w:rPr>
            </w:pPr>
            <w:r w:rsidRPr="009B600B">
              <w:rPr>
                <w:rFonts w:ascii="Arial" w:hAnsi="Arial" w:cs="Arial"/>
                <w:b/>
                <w:bCs/>
                <w:color w:val="404040"/>
                <w:sz w:val="24"/>
                <w:szCs w:val="24"/>
              </w:rPr>
              <w:t>Net Present Value (NPV) @ 10%</w:t>
            </w:r>
          </w:p>
        </w:tc>
        <w:tc>
          <w:tcPr>
            <w:tcW w:w="1466" w:type="dxa"/>
            <w:shd w:val="clear" w:color="auto" w:fill="auto"/>
            <w:tcMar>
              <w:top w:w="60" w:type="dxa"/>
              <w:left w:w="100" w:type="dxa"/>
              <w:bottom w:w="60" w:type="dxa"/>
              <w:right w:w="100" w:type="dxa"/>
            </w:tcMar>
            <w:vAlign w:val="center"/>
          </w:tcPr>
          <w:p w14:paraId="40816A34"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−£8.68m</w:t>
            </w:r>
          </w:p>
        </w:tc>
        <w:tc>
          <w:tcPr>
            <w:tcW w:w="1466" w:type="dxa"/>
            <w:shd w:val="clear" w:color="auto" w:fill="auto"/>
            <w:tcMar>
              <w:top w:w="60" w:type="dxa"/>
              <w:left w:w="100" w:type="dxa"/>
              <w:bottom w:w="60" w:type="dxa"/>
              <w:right w:w="100" w:type="dxa"/>
            </w:tcMar>
            <w:vAlign w:val="center"/>
          </w:tcPr>
          <w:p w14:paraId="3FD43651"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−£8.31m</w:t>
            </w:r>
          </w:p>
        </w:tc>
        <w:tc>
          <w:tcPr>
            <w:tcW w:w="1988" w:type="dxa"/>
            <w:shd w:val="clear" w:color="auto" w:fill="auto"/>
            <w:tcMar>
              <w:top w:w="60" w:type="dxa"/>
              <w:left w:w="100" w:type="dxa"/>
              <w:bottom w:w="60" w:type="dxa"/>
              <w:right w:w="100" w:type="dxa"/>
            </w:tcMar>
            <w:vAlign w:val="center"/>
          </w:tcPr>
          <w:p w14:paraId="4B348AB5"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−£1.98m</w:t>
            </w:r>
          </w:p>
        </w:tc>
        <w:tc>
          <w:tcPr>
            <w:tcW w:w="1862" w:type="dxa"/>
            <w:shd w:val="clear" w:color="auto" w:fill="auto"/>
            <w:tcMar>
              <w:top w:w="60" w:type="dxa"/>
              <w:left w:w="100" w:type="dxa"/>
              <w:bottom w:w="60" w:type="dxa"/>
              <w:right w:w="100" w:type="dxa"/>
            </w:tcMar>
            <w:vAlign w:val="center"/>
          </w:tcPr>
          <w:p w14:paraId="39BA0DF5" w14:textId="77777777" w:rsidR="00566809" w:rsidRPr="009B600B" w:rsidRDefault="00566809" w:rsidP="009B600B">
            <w:pPr>
              <w:rPr>
                <w:rFonts w:ascii="Arial" w:hAnsi="Arial" w:cs="Arial"/>
                <w:sz w:val="24"/>
                <w:szCs w:val="24"/>
              </w:rPr>
            </w:pPr>
            <w:r w:rsidRPr="009B600B">
              <w:rPr>
                <w:rFonts w:ascii="Segoe UI Symbol" w:hAnsi="Segoe UI Symbol" w:cs="Segoe UI Symbol"/>
                <w:color w:val="404040"/>
                <w:sz w:val="24"/>
                <w:szCs w:val="24"/>
              </w:rPr>
              <w:t>✓</w:t>
            </w:r>
            <w:r w:rsidRPr="009B600B">
              <w:rPr>
                <w:rFonts w:ascii="Arial" w:hAnsi="Arial" w:cs="Arial"/>
                <w:color w:val="404040"/>
                <w:sz w:val="24"/>
                <w:szCs w:val="24"/>
              </w:rPr>
              <w:t xml:space="preserve"> Project C</w:t>
            </w:r>
          </w:p>
        </w:tc>
      </w:tr>
      <w:tr w:rsidR="009B600B" w:rsidRPr="009B600B" w14:paraId="4B9368DF" w14:textId="77777777" w:rsidTr="00870125">
        <w:tc>
          <w:tcPr>
            <w:tcW w:w="2578" w:type="dxa"/>
            <w:shd w:val="clear" w:color="auto" w:fill="auto"/>
            <w:tcMar>
              <w:top w:w="60" w:type="dxa"/>
              <w:left w:w="100" w:type="dxa"/>
              <w:bottom w:w="60" w:type="dxa"/>
              <w:right w:w="100" w:type="dxa"/>
            </w:tcMar>
            <w:vAlign w:val="center"/>
          </w:tcPr>
          <w:p w14:paraId="37AC271E" w14:textId="77777777" w:rsidR="00566809" w:rsidRPr="009B600B" w:rsidRDefault="00566809" w:rsidP="009B600B">
            <w:pPr>
              <w:jc w:val="center"/>
              <w:rPr>
                <w:rFonts w:ascii="Arial" w:hAnsi="Arial" w:cs="Arial"/>
                <w:b/>
                <w:bCs/>
                <w:sz w:val="24"/>
                <w:szCs w:val="24"/>
              </w:rPr>
            </w:pPr>
            <w:r w:rsidRPr="009B600B">
              <w:rPr>
                <w:rFonts w:ascii="Arial" w:hAnsi="Arial" w:cs="Arial"/>
                <w:b/>
                <w:bCs/>
                <w:color w:val="404040"/>
                <w:sz w:val="24"/>
                <w:szCs w:val="24"/>
              </w:rPr>
              <w:t>Profitability Index (PI)</w:t>
            </w:r>
          </w:p>
        </w:tc>
        <w:tc>
          <w:tcPr>
            <w:tcW w:w="1466" w:type="dxa"/>
            <w:shd w:val="clear" w:color="auto" w:fill="auto"/>
            <w:tcMar>
              <w:top w:w="60" w:type="dxa"/>
              <w:left w:w="100" w:type="dxa"/>
              <w:bottom w:w="60" w:type="dxa"/>
              <w:right w:w="100" w:type="dxa"/>
            </w:tcMar>
            <w:vAlign w:val="center"/>
          </w:tcPr>
          <w:p w14:paraId="626580AA"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0.827</w:t>
            </w:r>
          </w:p>
        </w:tc>
        <w:tc>
          <w:tcPr>
            <w:tcW w:w="1466" w:type="dxa"/>
            <w:shd w:val="clear" w:color="auto" w:fill="auto"/>
            <w:tcMar>
              <w:top w:w="60" w:type="dxa"/>
              <w:left w:w="100" w:type="dxa"/>
              <w:bottom w:w="60" w:type="dxa"/>
              <w:right w:w="100" w:type="dxa"/>
            </w:tcMar>
            <w:vAlign w:val="center"/>
          </w:tcPr>
          <w:p w14:paraId="6B05E0A2"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0.834</w:t>
            </w:r>
          </w:p>
        </w:tc>
        <w:tc>
          <w:tcPr>
            <w:tcW w:w="1988" w:type="dxa"/>
            <w:shd w:val="clear" w:color="auto" w:fill="auto"/>
            <w:tcMar>
              <w:top w:w="60" w:type="dxa"/>
              <w:left w:w="100" w:type="dxa"/>
              <w:bottom w:w="60" w:type="dxa"/>
              <w:right w:w="100" w:type="dxa"/>
            </w:tcMar>
            <w:vAlign w:val="center"/>
          </w:tcPr>
          <w:p w14:paraId="5B878FC0"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0.960</w:t>
            </w:r>
          </w:p>
        </w:tc>
        <w:tc>
          <w:tcPr>
            <w:tcW w:w="1862" w:type="dxa"/>
            <w:shd w:val="clear" w:color="auto" w:fill="auto"/>
            <w:tcMar>
              <w:top w:w="60" w:type="dxa"/>
              <w:left w:w="100" w:type="dxa"/>
              <w:bottom w:w="60" w:type="dxa"/>
              <w:right w:w="100" w:type="dxa"/>
            </w:tcMar>
            <w:vAlign w:val="center"/>
          </w:tcPr>
          <w:p w14:paraId="7AA29DFA" w14:textId="77777777" w:rsidR="00566809" w:rsidRPr="009B600B" w:rsidRDefault="00566809" w:rsidP="009B600B">
            <w:pPr>
              <w:rPr>
                <w:rFonts w:ascii="Arial" w:hAnsi="Arial" w:cs="Arial"/>
                <w:sz w:val="24"/>
                <w:szCs w:val="24"/>
              </w:rPr>
            </w:pPr>
            <w:r w:rsidRPr="009B600B">
              <w:rPr>
                <w:rFonts w:ascii="Segoe UI Symbol" w:hAnsi="Segoe UI Symbol" w:cs="Segoe UI Symbol"/>
                <w:color w:val="404040"/>
                <w:sz w:val="24"/>
                <w:szCs w:val="24"/>
              </w:rPr>
              <w:t>✓</w:t>
            </w:r>
            <w:r w:rsidRPr="009B600B">
              <w:rPr>
                <w:rFonts w:ascii="Arial" w:hAnsi="Arial" w:cs="Arial"/>
                <w:color w:val="404040"/>
                <w:sz w:val="24"/>
                <w:szCs w:val="24"/>
              </w:rPr>
              <w:t xml:space="preserve"> Project C</w:t>
            </w:r>
          </w:p>
        </w:tc>
      </w:tr>
      <w:tr w:rsidR="009B600B" w:rsidRPr="009B600B" w14:paraId="37B69F53" w14:textId="77777777" w:rsidTr="00870125">
        <w:tc>
          <w:tcPr>
            <w:tcW w:w="2578" w:type="dxa"/>
            <w:shd w:val="clear" w:color="auto" w:fill="auto"/>
            <w:tcMar>
              <w:top w:w="60" w:type="dxa"/>
              <w:left w:w="100" w:type="dxa"/>
              <w:bottom w:w="60" w:type="dxa"/>
              <w:right w:w="100" w:type="dxa"/>
            </w:tcMar>
            <w:vAlign w:val="center"/>
          </w:tcPr>
          <w:p w14:paraId="712AFFF6" w14:textId="77777777" w:rsidR="00566809" w:rsidRPr="009B600B" w:rsidRDefault="00566809" w:rsidP="009B600B">
            <w:pPr>
              <w:jc w:val="center"/>
              <w:rPr>
                <w:rFonts w:ascii="Arial" w:hAnsi="Arial" w:cs="Arial"/>
                <w:b/>
                <w:bCs/>
                <w:sz w:val="24"/>
                <w:szCs w:val="24"/>
              </w:rPr>
            </w:pPr>
            <w:r w:rsidRPr="009B600B">
              <w:rPr>
                <w:rFonts w:ascii="Arial" w:hAnsi="Arial" w:cs="Arial"/>
                <w:b/>
                <w:bCs/>
                <w:color w:val="404040"/>
                <w:sz w:val="24"/>
                <w:szCs w:val="24"/>
              </w:rPr>
              <w:t>Internal Rate of Return (IRR)</w:t>
            </w:r>
          </w:p>
        </w:tc>
        <w:tc>
          <w:tcPr>
            <w:tcW w:w="1466" w:type="dxa"/>
            <w:shd w:val="clear" w:color="auto" w:fill="auto"/>
            <w:tcMar>
              <w:top w:w="60" w:type="dxa"/>
              <w:left w:w="100" w:type="dxa"/>
              <w:bottom w:w="60" w:type="dxa"/>
              <w:right w:w="100" w:type="dxa"/>
            </w:tcMar>
            <w:vAlign w:val="center"/>
          </w:tcPr>
          <w:p w14:paraId="19AA6F1D"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~2.86%</w:t>
            </w:r>
          </w:p>
        </w:tc>
        <w:tc>
          <w:tcPr>
            <w:tcW w:w="1466" w:type="dxa"/>
            <w:shd w:val="clear" w:color="auto" w:fill="auto"/>
            <w:tcMar>
              <w:top w:w="60" w:type="dxa"/>
              <w:left w:w="100" w:type="dxa"/>
              <w:bottom w:w="60" w:type="dxa"/>
              <w:right w:w="100" w:type="dxa"/>
            </w:tcMar>
            <w:vAlign w:val="center"/>
          </w:tcPr>
          <w:p w14:paraId="3A7570FF"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~3.39%</w:t>
            </w:r>
          </w:p>
        </w:tc>
        <w:tc>
          <w:tcPr>
            <w:tcW w:w="1988" w:type="dxa"/>
            <w:shd w:val="clear" w:color="auto" w:fill="auto"/>
            <w:tcMar>
              <w:top w:w="60" w:type="dxa"/>
              <w:left w:w="100" w:type="dxa"/>
              <w:bottom w:w="60" w:type="dxa"/>
              <w:right w:w="100" w:type="dxa"/>
            </w:tcMar>
            <w:vAlign w:val="center"/>
          </w:tcPr>
          <w:p w14:paraId="467CA8B9"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~8.59%</w:t>
            </w:r>
          </w:p>
        </w:tc>
        <w:tc>
          <w:tcPr>
            <w:tcW w:w="1862" w:type="dxa"/>
            <w:shd w:val="clear" w:color="auto" w:fill="auto"/>
            <w:tcMar>
              <w:top w:w="60" w:type="dxa"/>
              <w:left w:w="100" w:type="dxa"/>
              <w:bottom w:w="60" w:type="dxa"/>
              <w:right w:w="100" w:type="dxa"/>
            </w:tcMar>
            <w:vAlign w:val="center"/>
          </w:tcPr>
          <w:p w14:paraId="3761A2FD" w14:textId="77777777" w:rsidR="00566809" w:rsidRPr="009B600B" w:rsidRDefault="00566809" w:rsidP="009B600B">
            <w:pPr>
              <w:rPr>
                <w:rFonts w:ascii="Arial" w:hAnsi="Arial" w:cs="Arial"/>
                <w:sz w:val="24"/>
                <w:szCs w:val="24"/>
              </w:rPr>
            </w:pPr>
            <w:r w:rsidRPr="009B600B">
              <w:rPr>
                <w:rFonts w:ascii="Segoe UI Symbol" w:hAnsi="Segoe UI Symbol" w:cs="Segoe UI Symbol"/>
                <w:color w:val="404040"/>
                <w:sz w:val="24"/>
                <w:szCs w:val="24"/>
              </w:rPr>
              <w:t>✓</w:t>
            </w:r>
            <w:r w:rsidRPr="009B600B">
              <w:rPr>
                <w:rFonts w:ascii="Arial" w:hAnsi="Arial" w:cs="Arial"/>
                <w:color w:val="404040"/>
                <w:sz w:val="24"/>
                <w:szCs w:val="24"/>
              </w:rPr>
              <w:t xml:space="preserve"> Project C</w:t>
            </w:r>
          </w:p>
        </w:tc>
      </w:tr>
      <w:tr w:rsidR="009B600B" w:rsidRPr="009B600B" w14:paraId="10E0D3A6" w14:textId="77777777" w:rsidTr="00870125">
        <w:tc>
          <w:tcPr>
            <w:tcW w:w="2578" w:type="dxa"/>
            <w:shd w:val="clear" w:color="auto" w:fill="auto"/>
            <w:tcMar>
              <w:top w:w="60" w:type="dxa"/>
              <w:left w:w="100" w:type="dxa"/>
              <w:bottom w:w="60" w:type="dxa"/>
              <w:right w:w="100" w:type="dxa"/>
            </w:tcMar>
            <w:vAlign w:val="center"/>
          </w:tcPr>
          <w:p w14:paraId="740AFDB4" w14:textId="77777777" w:rsidR="00566809" w:rsidRPr="009B600B" w:rsidRDefault="00566809" w:rsidP="009B600B">
            <w:pPr>
              <w:jc w:val="center"/>
              <w:rPr>
                <w:rFonts w:ascii="Arial" w:hAnsi="Arial" w:cs="Arial"/>
                <w:b/>
                <w:bCs/>
                <w:sz w:val="24"/>
                <w:szCs w:val="24"/>
              </w:rPr>
            </w:pPr>
            <w:r w:rsidRPr="009B600B">
              <w:rPr>
                <w:rFonts w:ascii="Arial" w:hAnsi="Arial" w:cs="Arial"/>
                <w:b/>
                <w:bCs/>
                <w:color w:val="404040"/>
                <w:sz w:val="24"/>
                <w:szCs w:val="24"/>
              </w:rPr>
              <w:t>Overall Ranking</w:t>
            </w:r>
          </w:p>
        </w:tc>
        <w:tc>
          <w:tcPr>
            <w:tcW w:w="1466" w:type="dxa"/>
            <w:shd w:val="clear" w:color="auto" w:fill="auto"/>
            <w:tcMar>
              <w:top w:w="60" w:type="dxa"/>
              <w:left w:w="100" w:type="dxa"/>
              <w:bottom w:w="60" w:type="dxa"/>
              <w:right w:w="100" w:type="dxa"/>
            </w:tcMar>
            <w:vAlign w:val="center"/>
          </w:tcPr>
          <w:p w14:paraId="64B3D853"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3rd (Rejected)</w:t>
            </w:r>
          </w:p>
        </w:tc>
        <w:tc>
          <w:tcPr>
            <w:tcW w:w="1466" w:type="dxa"/>
            <w:shd w:val="clear" w:color="auto" w:fill="auto"/>
            <w:tcMar>
              <w:top w:w="60" w:type="dxa"/>
              <w:left w:w="100" w:type="dxa"/>
              <w:bottom w:w="60" w:type="dxa"/>
              <w:right w:w="100" w:type="dxa"/>
            </w:tcMar>
            <w:vAlign w:val="center"/>
          </w:tcPr>
          <w:p w14:paraId="627EE4C2"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2nd (Rejected)</w:t>
            </w:r>
          </w:p>
        </w:tc>
        <w:tc>
          <w:tcPr>
            <w:tcW w:w="1988" w:type="dxa"/>
            <w:shd w:val="clear" w:color="auto" w:fill="auto"/>
            <w:tcMar>
              <w:top w:w="60" w:type="dxa"/>
              <w:left w:w="100" w:type="dxa"/>
              <w:bottom w:w="60" w:type="dxa"/>
              <w:right w:w="100" w:type="dxa"/>
            </w:tcMar>
            <w:vAlign w:val="center"/>
          </w:tcPr>
          <w:p w14:paraId="391AC2F0" w14:textId="77777777" w:rsidR="00566809" w:rsidRPr="009B600B" w:rsidRDefault="00566809" w:rsidP="009B600B">
            <w:pPr>
              <w:rPr>
                <w:rFonts w:ascii="Arial" w:hAnsi="Arial" w:cs="Arial"/>
                <w:sz w:val="24"/>
                <w:szCs w:val="24"/>
              </w:rPr>
            </w:pPr>
            <w:r w:rsidRPr="009B600B">
              <w:rPr>
                <w:rFonts w:ascii="Arial" w:hAnsi="Arial" w:cs="Arial"/>
                <w:color w:val="404040"/>
                <w:sz w:val="24"/>
                <w:szCs w:val="24"/>
              </w:rPr>
              <w:t>1st (Recommended)</w:t>
            </w:r>
          </w:p>
        </w:tc>
        <w:tc>
          <w:tcPr>
            <w:tcW w:w="1862" w:type="dxa"/>
            <w:shd w:val="clear" w:color="auto" w:fill="auto"/>
            <w:tcMar>
              <w:top w:w="60" w:type="dxa"/>
              <w:left w:w="100" w:type="dxa"/>
              <w:bottom w:w="60" w:type="dxa"/>
              <w:right w:w="100" w:type="dxa"/>
            </w:tcMar>
            <w:vAlign w:val="center"/>
          </w:tcPr>
          <w:p w14:paraId="52B55092" w14:textId="77777777" w:rsidR="00566809" w:rsidRPr="009B600B" w:rsidRDefault="00566809" w:rsidP="00C55327">
            <w:pPr>
              <w:keepNext/>
              <w:rPr>
                <w:rFonts w:ascii="Arial" w:hAnsi="Arial" w:cs="Arial"/>
                <w:sz w:val="24"/>
                <w:szCs w:val="24"/>
              </w:rPr>
            </w:pPr>
            <w:r w:rsidRPr="009B600B">
              <w:rPr>
                <w:rFonts w:ascii="Segoe UI Symbol" w:hAnsi="Segoe UI Symbol" w:cs="Segoe UI Symbol"/>
                <w:color w:val="404040"/>
                <w:sz w:val="24"/>
                <w:szCs w:val="24"/>
              </w:rPr>
              <w:t>✓</w:t>
            </w:r>
            <w:r w:rsidRPr="009B600B">
              <w:rPr>
                <w:rFonts w:ascii="Arial" w:hAnsi="Arial" w:cs="Arial"/>
                <w:color w:val="404040"/>
                <w:sz w:val="24"/>
                <w:szCs w:val="24"/>
              </w:rPr>
              <w:t xml:space="preserve"> Project C</w:t>
            </w:r>
          </w:p>
        </w:tc>
      </w:tr>
    </w:tbl>
    <w:p w14:paraId="623DC7C5" w14:textId="54FFE447" w:rsidR="00C55327" w:rsidRDefault="00C55327">
      <w:pPr>
        <w:pStyle w:val="Caption"/>
      </w:pPr>
      <w:r>
        <w:t xml:space="preserve">Table </w:t>
      </w:r>
      <w:r w:rsidR="00FC5748">
        <w:t>4.</w:t>
      </w:r>
      <w:r w:rsidR="00553D26">
        <w:fldChar w:fldCharType="begin"/>
      </w:r>
      <w:r w:rsidR="00553D26">
        <w:instrText xml:space="preserve"> SEQ Table \* ARABIC </w:instrText>
      </w:r>
      <w:r w:rsidR="00553D26">
        <w:fldChar w:fldCharType="separate"/>
      </w:r>
      <w:r w:rsidR="00215885">
        <w:rPr>
          <w:noProof/>
        </w:rPr>
        <w:t>8</w:t>
      </w:r>
      <w:r w:rsidR="00553D26">
        <w:rPr>
          <w:noProof/>
        </w:rPr>
        <w:fldChar w:fldCharType="end"/>
      </w:r>
      <w:r>
        <w:t xml:space="preserve"> </w:t>
      </w:r>
      <w:r w:rsidRPr="00BB6754">
        <w:t>Source: Author's own calculations based on project cash flow data provided by the Board; Brealey, Myers and Allen (2023)</w:t>
      </w:r>
    </w:p>
    <w:p w14:paraId="352959BE" w14:textId="77777777" w:rsidR="00566809" w:rsidRDefault="00566809" w:rsidP="00CB5EEC">
      <w:pPr>
        <w:pStyle w:val="Heading2"/>
        <w:spacing w:line="360" w:lineRule="auto"/>
      </w:pPr>
      <w:bookmarkStart w:id="58" w:name="_Toc227660520"/>
      <w:r>
        <w:rPr>
          <w:rFonts w:ascii="Arial" w:eastAsia="Arial" w:hAnsi="Arial" w:cs="Arial"/>
          <w:b/>
          <w:bCs/>
          <w:color w:val="2E75B6"/>
        </w:rPr>
        <w:t>4.8 CFO's Recommended Project and Full Justification</w:t>
      </w:r>
      <w:bookmarkEnd w:id="58"/>
    </w:p>
    <w:p w14:paraId="4136702A" w14:textId="5BF74329" w:rsidR="00566809" w:rsidRPr="004E1AFF" w:rsidRDefault="005E51E1" w:rsidP="00CB5EEC">
      <w:pPr>
        <w:spacing w:before="50" w:after="50" w:line="360" w:lineRule="auto"/>
        <w:jc w:val="both"/>
      </w:pPr>
      <w:r w:rsidRPr="005E51E1">
        <w:rPr>
          <w:rFonts w:ascii="Arial" w:eastAsia="Arial" w:hAnsi="Arial" w:cs="Arial"/>
          <w:color w:val="404040"/>
          <w:sz w:val="24"/>
          <w:szCs w:val="24"/>
        </w:rPr>
        <w:t xml:space="preserve">The CFO recommends </w:t>
      </w:r>
      <w:r w:rsidRPr="005E51E1">
        <w:rPr>
          <w:rFonts w:ascii="Arial" w:eastAsia="Arial" w:hAnsi="Arial" w:cs="Arial"/>
          <w:b/>
          <w:bCs/>
          <w:color w:val="404040"/>
          <w:sz w:val="24"/>
          <w:szCs w:val="24"/>
        </w:rPr>
        <w:t>Project C</w:t>
      </w:r>
      <w:r w:rsidRPr="005E51E1">
        <w:rPr>
          <w:rFonts w:ascii="Arial" w:eastAsia="Arial" w:hAnsi="Arial" w:cs="Arial"/>
          <w:color w:val="404040"/>
          <w:sz w:val="24"/>
          <w:szCs w:val="24"/>
        </w:rPr>
        <w:t xml:space="preserve"> as the preferred single investment. It dominates every criterion and is the only project whose ARR (12.0%) exceeds Hyundai's ROE (9.4%), confirming shareholder value accretion (Damodaran, 2012). Its back-loaded profile (peak Years 3–4) aligns with the IONIQ 7/9 production ramp-up, and customer loyalty risk is mitigated because Hyundai can embed its </w:t>
      </w:r>
      <w:r w:rsidR="00B66905" w:rsidRPr="005E51E1">
        <w:rPr>
          <w:rFonts w:ascii="Arial" w:eastAsia="Arial" w:hAnsi="Arial" w:cs="Arial"/>
          <w:color w:val="404040"/>
          <w:sz w:val="24"/>
          <w:szCs w:val="24"/>
        </w:rPr>
        <w:t>Blue Link</w:t>
      </w:r>
      <w:r w:rsidRPr="005E51E1">
        <w:rPr>
          <w:rFonts w:ascii="Arial" w:eastAsia="Arial" w:hAnsi="Arial" w:cs="Arial"/>
          <w:color w:val="404040"/>
          <w:sz w:val="24"/>
          <w:szCs w:val="24"/>
        </w:rPr>
        <w:t xml:space="preserve"> ecosystem before peak revenues arrive (KPMG, 2024). UK ZEV mandate tailwinds (22% EV minimum from 2024, rising to </w:t>
      </w:r>
      <w:r w:rsidRPr="005E51E1">
        <w:rPr>
          <w:rFonts w:ascii="Arial" w:eastAsia="Arial" w:hAnsi="Arial" w:cs="Arial"/>
          <w:color w:val="404040"/>
          <w:sz w:val="24"/>
          <w:szCs w:val="24"/>
        </w:rPr>
        <w:lastRenderedPageBreak/>
        <w:t>100% by 2035) reduce demand risk in Years 3–4 (BEIS, 2023). The convergence of all five methods on Project C provides robustness that no single metric alone could supply (Brealey, Myers and Allen, 2023).</w:t>
      </w:r>
    </w:p>
    <w:p w14:paraId="6079C1D7" w14:textId="77777777" w:rsidR="00566809" w:rsidRDefault="00566809" w:rsidP="00B6754B">
      <w:pPr>
        <w:pStyle w:val="Heading2"/>
        <w:spacing w:line="360" w:lineRule="auto"/>
      </w:pPr>
      <w:bookmarkStart w:id="59" w:name="_Toc227660521"/>
      <w:r>
        <w:rPr>
          <w:rFonts w:ascii="Arial" w:eastAsia="Arial" w:hAnsi="Arial" w:cs="Arial"/>
          <w:b/>
          <w:bCs/>
          <w:color w:val="2E75B6"/>
        </w:rPr>
        <w:t>4.9 Capital Rationing: Optimal Project Combination (Maximum £100 Million)</w:t>
      </w:r>
      <w:bookmarkEnd w:id="59"/>
    </w:p>
    <w:p w14:paraId="0B613920" w14:textId="7B36D21B" w:rsidR="00000CD8" w:rsidRPr="00000CD8" w:rsidRDefault="00000CD8" w:rsidP="00B6754B">
      <w:pPr>
        <w:spacing w:line="360" w:lineRule="auto"/>
        <w:jc w:val="both"/>
        <w:rPr>
          <w:rFonts w:ascii="Arial" w:hAnsi="Arial" w:cs="Arial"/>
          <w:sz w:val="24"/>
          <w:szCs w:val="24"/>
        </w:rPr>
      </w:pPr>
      <w:r w:rsidRPr="00000CD8">
        <w:rPr>
          <w:rFonts w:ascii="Arial" w:hAnsi="Arial" w:cs="Arial"/>
          <w:sz w:val="24"/>
          <w:szCs w:val="24"/>
        </w:rPr>
        <w:t>Under capital rationing—where the firm faces a binding budget constraint—the objective is to maximize aggregate NPV subject to the investment limit. Ross, Westerfield and Jordan (2022) establish that PI-based ranking is the correct approach for single-period capital rationing, as it identifies the projects generating the highest NPV per unit of scarce capital. With a £100m budget, exactly two projects of three can be funded.</w:t>
      </w:r>
    </w:p>
    <w:p w14:paraId="6D65506C" w14:textId="1B914DA0" w:rsidR="00F5180E" w:rsidRPr="00635A4A" w:rsidRDefault="00000CD8" w:rsidP="00635A4A">
      <w:pPr>
        <w:spacing w:line="360" w:lineRule="auto"/>
        <w:jc w:val="both"/>
        <w:rPr>
          <w:rFonts w:ascii="Arial" w:hAnsi="Arial" w:cs="Arial"/>
          <w:sz w:val="24"/>
          <w:szCs w:val="24"/>
        </w:rPr>
      </w:pPr>
      <w:r w:rsidRPr="00000CD8">
        <w:rPr>
          <w:rFonts w:ascii="Arial" w:hAnsi="Arial" w:cs="Arial"/>
          <w:sz w:val="24"/>
          <w:szCs w:val="24"/>
        </w:rPr>
        <w:t>PI Rankings: Project C (0.960) &gt; Project B (0.834) &gt; Project A (0.827)</w:t>
      </w:r>
      <w:r w:rsidR="00F5180E" w:rsidRPr="00000CD8">
        <w:rPr>
          <w:rFonts w:ascii="Arial" w:hAnsi="Arial" w:cs="Arial"/>
          <w:sz w:val="24"/>
          <w:szCs w:val="24"/>
        </w:rPr>
        <w:t>.</w:t>
      </w:r>
    </w:p>
    <w:p w14:paraId="62CB2EE0" w14:textId="77777777" w:rsidR="00F5180E" w:rsidRPr="00E069B0" w:rsidRDefault="00F5180E" w:rsidP="00E069B0">
      <w:pPr>
        <w:pStyle w:val="Heading3"/>
        <w:spacing w:line="360" w:lineRule="auto"/>
      </w:pPr>
      <w:bookmarkStart w:id="60" w:name="_Toc227660522"/>
      <w:r w:rsidRPr="00E069B0">
        <w:rPr>
          <w:rFonts w:ascii="Arial" w:eastAsia="Arial" w:hAnsi="Arial" w:cs="Arial"/>
          <w:b/>
          <w:bCs/>
          <w:color w:val="404040"/>
        </w:rPr>
        <w:t>Table 4.9 – Capital Rationing Analysis (Budget: £100m)</w:t>
      </w:r>
      <w:bookmarkEnd w:id="6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83"/>
        <w:gridCol w:w="1105"/>
        <w:gridCol w:w="1372"/>
        <w:gridCol w:w="1372"/>
        <w:gridCol w:w="1494"/>
        <w:gridCol w:w="2134"/>
      </w:tblGrid>
      <w:tr w:rsidR="00E069B0" w:rsidRPr="00E069B0" w14:paraId="7ED140E5" w14:textId="77777777" w:rsidTr="00873C43">
        <w:tc>
          <w:tcPr>
            <w:tcW w:w="1883" w:type="dxa"/>
            <w:shd w:val="clear" w:color="auto" w:fill="auto"/>
            <w:tcMar>
              <w:top w:w="80" w:type="dxa"/>
              <w:left w:w="100" w:type="dxa"/>
              <w:bottom w:w="80" w:type="dxa"/>
              <w:right w:w="100" w:type="dxa"/>
            </w:tcMar>
            <w:vAlign w:val="center"/>
          </w:tcPr>
          <w:p w14:paraId="27D23A18" w14:textId="77777777" w:rsidR="00F5180E" w:rsidRPr="00E069B0" w:rsidRDefault="00F5180E" w:rsidP="00E069B0">
            <w:pPr>
              <w:jc w:val="center"/>
              <w:rPr>
                <w:rFonts w:ascii="Arial" w:hAnsi="Arial" w:cs="Arial"/>
                <w:b/>
                <w:bCs/>
                <w:sz w:val="24"/>
                <w:szCs w:val="24"/>
              </w:rPr>
            </w:pPr>
            <w:r w:rsidRPr="00E069B0">
              <w:rPr>
                <w:rFonts w:ascii="Arial" w:hAnsi="Arial" w:cs="Arial"/>
                <w:b/>
                <w:bCs/>
                <w:sz w:val="24"/>
                <w:szCs w:val="24"/>
              </w:rPr>
              <w:t>Combination</w:t>
            </w:r>
          </w:p>
        </w:tc>
        <w:tc>
          <w:tcPr>
            <w:tcW w:w="1105" w:type="dxa"/>
            <w:shd w:val="clear" w:color="auto" w:fill="auto"/>
            <w:tcMar>
              <w:top w:w="80" w:type="dxa"/>
              <w:left w:w="100" w:type="dxa"/>
              <w:bottom w:w="80" w:type="dxa"/>
              <w:right w:w="100" w:type="dxa"/>
            </w:tcMar>
            <w:vAlign w:val="center"/>
          </w:tcPr>
          <w:p w14:paraId="470B61B7" w14:textId="77777777" w:rsidR="00F5180E" w:rsidRPr="00E069B0" w:rsidRDefault="00F5180E" w:rsidP="00E069B0">
            <w:pPr>
              <w:jc w:val="center"/>
              <w:rPr>
                <w:rFonts w:ascii="Arial" w:hAnsi="Arial" w:cs="Arial"/>
                <w:b/>
                <w:bCs/>
                <w:sz w:val="24"/>
                <w:szCs w:val="24"/>
              </w:rPr>
            </w:pPr>
            <w:r w:rsidRPr="00E069B0">
              <w:rPr>
                <w:rFonts w:ascii="Arial" w:hAnsi="Arial" w:cs="Arial"/>
                <w:b/>
                <w:bCs/>
                <w:sz w:val="24"/>
                <w:szCs w:val="24"/>
              </w:rPr>
              <w:t>Total Cost</w:t>
            </w:r>
          </w:p>
        </w:tc>
        <w:tc>
          <w:tcPr>
            <w:tcW w:w="1372" w:type="dxa"/>
            <w:shd w:val="clear" w:color="auto" w:fill="auto"/>
            <w:tcMar>
              <w:top w:w="80" w:type="dxa"/>
              <w:left w:w="100" w:type="dxa"/>
              <w:bottom w:w="80" w:type="dxa"/>
              <w:right w:w="100" w:type="dxa"/>
            </w:tcMar>
            <w:vAlign w:val="center"/>
          </w:tcPr>
          <w:p w14:paraId="1AB08FC3" w14:textId="77777777" w:rsidR="00F5180E" w:rsidRPr="00E069B0" w:rsidRDefault="00F5180E" w:rsidP="00E069B0">
            <w:pPr>
              <w:jc w:val="center"/>
              <w:rPr>
                <w:rFonts w:ascii="Arial" w:hAnsi="Arial" w:cs="Arial"/>
                <w:b/>
                <w:bCs/>
                <w:sz w:val="24"/>
                <w:szCs w:val="24"/>
              </w:rPr>
            </w:pPr>
            <w:r w:rsidRPr="00E069B0">
              <w:rPr>
                <w:rFonts w:ascii="Arial" w:hAnsi="Arial" w:cs="Arial"/>
                <w:b/>
                <w:bCs/>
                <w:sz w:val="24"/>
                <w:szCs w:val="24"/>
              </w:rPr>
              <w:t>NPV: Project C</w:t>
            </w:r>
          </w:p>
        </w:tc>
        <w:tc>
          <w:tcPr>
            <w:tcW w:w="1372" w:type="dxa"/>
            <w:shd w:val="clear" w:color="auto" w:fill="auto"/>
            <w:tcMar>
              <w:top w:w="80" w:type="dxa"/>
              <w:left w:w="100" w:type="dxa"/>
              <w:bottom w:w="80" w:type="dxa"/>
              <w:right w:w="100" w:type="dxa"/>
            </w:tcMar>
            <w:vAlign w:val="center"/>
          </w:tcPr>
          <w:p w14:paraId="0287DCFF" w14:textId="77777777" w:rsidR="00F5180E" w:rsidRPr="00E069B0" w:rsidRDefault="00F5180E" w:rsidP="00E069B0">
            <w:pPr>
              <w:jc w:val="center"/>
              <w:rPr>
                <w:rFonts w:ascii="Arial" w:hAnsi="Arial" w:cs="Arial"/>
                <w:b/>
                <w:bCs/>
                <w:sz w:val="24"/>
                <w:szCs w:val="24"/>
              </w:rPr>
            </w:pPr>
            <w:r w:rsidRPr="00E069B0">
              <w:rPr>
                <w:rFonts w:ascii="Arial" w:hAnsi="Arial" w:cs="Arial"/>
                <w:b/>
                <w:bCs/>
                <w:sz w:val="24"/>
                <w:szCs w:val="24"/>
              </w:rPr>
              <w:t>NPV: Partner</w:t>
            </w:r>
          </w:p>
        </w:tc>
        <w:tc>
          <w:tcPr>
            <w:tcW w:w="1494" w:type="dxa"/>
            <w:shd w:val="clear" w:color="auto" w:fill="auto"/>
            <w:tcMar>
              <w:top w:w="80" w:type="dxa"/>
              <w:left w:w="100" w:type="dxa"/>
              <w:bottom w:w="80" w:type="dxa"/>
              <w:right w:w="100" w:type="dxa"/>
            </w:tcMar>
            <w:vAlign w:val="center"/>
          </w:tcPr>
          <w:p w14:paraId="3135DC1C" w14:textId="77777777" w:rsidR="00F5180E" w:rsidRPr="00E069B0" w:rsidRDefault="00F5180E" w:rsidP="00E069B0">
            <w:pPr>
              <w:jc w:val="center"/>
              <w:rPr>
                <w:rFonts w:ascii="Arial" w:hAnsi="Arial" w:cs="Arial"/>
                <w:b/>
                <w:bCs/>
                <w:sz w:val="24"/>
                <w:szCs w:val="24"/>
              </w:rPr>
            </w:pPr>
            <w:r w:rsidRPr="00E069B0">
              <w:rPr>
                <w:rFonts w:ascii="Arial" w:hAnsi="Arial" w:cs="Arial"/>
                <w:b/>
                <w:bCs/>
                <w:sz w:val="24"/>
                <w:szCs w:val="24"/>
              </w:rPr>
              <w:t>Combined NPV</w:t>
            </w:r>
          </w:p>
        </w:tc>
        <w:tc>
          <w:tcPr>
            <w:tcW w:w="2134" w:type="dxa"/>
            <w:shd w:val="clear" w:color="auto" w:fill="auto"/>
            <w:tcMar>
              <w:top w:w="80" w:type="dxa"/>
              <w:left w:w="100" w:type="dxa"/>
              <w:bottom w:w="80" w:type="dxa"/>
              <w:right w:w="100" w:type="dxa"/>
            </w:tcMar>
            <w:vAlign w:val="center"/>
          </w:tcPr>
          <w:p w14:paraId="7A49DDDC" w14:textId="77777777" w:rsidR="00F5180E" w:rsidRPr="00E069B0" w:rsidRDefault="00F5180E" w:rsidP="00E069B0">
            <w:pPr>
              <w:jc w:val="center"/>
              <w:rPr>
                <w:rFonts w:ascii="Arial" w:hAnsi="Arial" w:cs="Arial"/>
                <w:b/>
                <w:bCs/>
                <w:sz w:val="24"/>
                <w:szCs w:val="24"/>
              </w:rPr>
            </w:pPr>
            <w:r w:rsidRPr="00E069B0">
              <w:rPr>
                <w:rFonts w:ascii="Arial" w:hAnsi="Arial" w:cs="Arial"/>
                <w:b/>
                <w:bCs/>
                <w:sz w:val="24"/>
                <w:szCs w:val="24"/>
              </w:rPr>
              <w:t>Decision</w:t>
            </w:r>
          </w:p>
        </w:tc>
      </w:tr>
      <w:tr w:rsidR="00E069B0" w:rsidRPr="00E069B0" w14:paraId="59B10B0F" w14:textId="77777777" w:rsidTr="00873C43">
        <w:tc>
          <w:tcPr>
            <w:tcW w:w="1883" w:type="dxa"/>
            <w:shd w:val="clear" w:color="auto" w:fill="auto"/>
            <w:tcMar>
              <w:top w:w="60" w:type="dxa"/>
              <w:left w:w="100" w:type="dxa"/>
              <w:bottom w:w="60" w:type="dxa"/>
              <w:right w:w="100" w:type="dxa"/>
            </w:tcMar>
            <w:vAlign w:val="center"/>
          </w:tcPr>
          <w:p w14:paraId="3CB39AAF" w14:textId="77777777" w:rsidR="00F5180E" w:rsidRPr="00E069B0" w:rsidRDefault="00F5180E" w:rsidP="00E069B0">
            <w:pPr>
              <w:jc w:val="center"/>
              <w:rPr>
                <w:rFonts w:ascii="Arial" w:hAnsi="Arial" w:cs="Arial"/>
                <w:b/>
                <w:bCs/>
                <w:sz w:val="24"/>
                <w:szCs w:val="24"/>
              </w:rPr>
            </w:pPr>
            <w:r w:rsidRPr="00E069B0">
              <w:rPr>
                <w:rFonts w:ascii="Arial" w:hAnsi="Arial" w:cs="Arial"/>
                <w:b/>
                <w:bCs/>
                <w:color w:val="404040"/>
                <w:sz w:val="24"/>
                <w:szCs w:val="24"/>
              </w:rPr>
              <w:t>Project C + Project B</w:t>
            </w:r>
          </w:p>
        </w:tc>
        <w:tc>
          <w:tcPr>
            <w:tcW w:w="1105" w:type="dxa"/>
            <w:shd w:val="clear" w:color="auto" w:fill="auto"/>
            <w:tcMar>
              <w:top w:w="60" w:type="dxa"/>
              <w:left w:w="100" w:type="dxa"/>
              <w:bottom w:w="60" w:type="dxa"/>
              <w:right w:w="100" w:type="dxa"/>
            </w:tcMar>
            <w:vAlign w:val="center"/>
          </w:tcPr>
          <w:p w14:paraId="51421167"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£100m</w:t>
            </w:r>
          </w:p>
        </w:tc>
        <w:tc>
          <w:tcPr>
            <w:tcW w:w="1372" w:type="dxa"/>
            <w:shd w:val="clear" w:color="auto" w:fill="auto"/>
            <w:tcMar>
              <w:top w:w="60" w:type="dxa"/>
              <w:left w:w="100" w:type="dxa"/>
              <w:bottom w:w="60" w:type="dxa"/>
              <w:right w:w="100" w:type="dxa"/>
            </w:tcMar>
            <w:vAlign w:val="center"/>
          </w:tcPr>
          <w:p w14:paraId="6EA2707C"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−£1.98m</w:t>
            </w:r>
          </w:p>
        </w:tc>
        <w:tc>
          <w:tcPr>
            <w:tcW w:w="1372" w:type="dxa"/>
            <w:shd w:val="clear" w:color="auto" w:fill="auto"/>
            <w:tcMar>
              <w:top w:w="60" w:type="dxa"/>
              <w:left w:w="100" w:type="dxa"/>
              <w:bottom w:w="60" w:type="dxa"/>
              <w:right w:w="100" w:type="dxa"/>
            </w:tcMar>
            <w:vAlign w:val="center"/>
          </w:tcPr>
          <w:p w14:paraId="68C23D9B"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−£8.31m</w:t>
            </w:r>
          </w:p>
        </w:tc>
        <w:tc>
          <w:tcPr>
            <w:tcW w:w="1494" w:type="dxa"/>
            <w:shd w:val="clear" w:color="auto" w:fill="auto"/>
            <w:tcMar>
              <w:top w:w="60" w:type="dxa"/>
              <w:left w:w="100" w:type="dxa"/>
              <w:bottom w:w="60" w:type="dxa"/>
              <w:right w:w="100" w:type="dxa"/>
            </w:tcMar>
            <w:vAlign w:val="center"/>
          </w:tcPr>
          <w:p w14:paraId="7EC2472F"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−£10.29m</w:t>
            </w:r>
          </w:p>
        </w:tc>
        <w:tc>
          <w:tcPr>
            <w:tcW w:w="2134" w:type="dxa"/>
            <w:shd w:val="clear" w:color="auto" w:fill="auto"/>
            <w:tcMar>
              <w:top w:w="60" w:type="dxa"/>
              <w:left w:w="100" w:type="dxa"/>
              <w:bottom w:w="60" w:type="dxa"/>
              <w:right w:w="100" w:type="dxa"/>
            </w:tcMar>
            <w:vAlign w:val="center"/>
          </w:tcPr>
          <w:p w14:paraId="7E31DB25" w14:textId="77777777" w:rsidR="00F5180E" w:rsidRPr="00E069B0" w:rsidRDefault="00F5180E" w:rsidP="00E069B0">
            <w:pPr>
              <w:rPr>
                <w:rFonts w:ascii="Arial" w:hAnsi="Arial" w:cs="Arial"/>
                <w:sz w:val="24"/>
                <w:szCs w:val="24"/>
              </w:rPr>
            </w:pPr>
            <w:r w:rsidRPr="00E069B0">
              <w:rPr>
                <w:rFonts w:ascii="Segoe UI Symbol" w:hAnsi="Segoe UI Symbol" w:cs="Segoe UI Symbol"/>
                <w:color w:val="404040"/>
                <w:sz w:val="24"/>
                <w:szCs w:val="24"/>
              </w:rPr>
              <w:t>✓</w:t>
            </w:r>
            <w:r w:rsidRPr="00E069B0">
              <w:rPr>
                <w:rFonts w:ascii="Arial" w:hAnsi="Arial" w:cs="Arial"/>
                <w:color w:val="404040"/>
                <w:sz w:val="24"/>
                <w:szCs w:val="24"/>
              </w:rPr>
              <w:t xml:space="preserve"> RECOMMENDED</w:t>
            </w:r>
          </w:p>
        </w:tc>
      </w:tr>
      <w:tr w:rsidR="00E069B0" w:rsidRPr="00E069B0" w14:paraId="27CA36D4" w14:textId="77777777" w:rsidTr="00873C43">
        <w:tc>
          <w:tcPr>
            <w:tcW w:w="1883" w:type="dxa"/>
            <w:shd w:val="clear" w:color="auto" w:fill="auto"/>
            <w:tcMar>
              <w:top w:w="60" w:type="dxa"/>
              <w:left w:w="100" w:type="dxa"/>
              <w:bottom w:w="60" w:type="dxa"/>
              <w:right w:w="100" w:type="dxa"/>
            </w:tcMar>
            <w:vAlign w:val="center"/>
          </w:tcPr>
          <w:p w14:paraId="78021896" w14:textId="77777777" w:rsidR="00F5180E" w:rsidRPr="00E069B0" w:rsidRDefault="00F5180E" w:rsidP="00E069B0">
            <w:pPr>
              <w:jc w:val="center"/>
              <w:rPr>
                <w:rFonts w:ascii="Arial" w:hAnsi="Arial" w:cs="Arial"/>
                <w:b/>
                <w:bCs/>
                <w:sz w:val="24"/>
                <w:szCs w:val="24"/>
              </w:rPr>
            </w:pPr>
            <w:r w:rsidRPr="00E069B0">
              <w:rPr>
                <w:rFonts w:ascii="Arial" w:hAnsi="Arial" w:cs="Arial"/>
                <w:b/>
                <w:bCs/>
                <w:color w:val="404040"/>
                <w:sz w:val="24"/>
                <w:szCs w:val="24"/>
              </w:rPr>
              <w:t>Project C + Project A</w:t>
            </w:r>
          </w:p>
        </w:tc>
        <w:tc>
          <w:tcPr>
            <w:tcW w:w="1105" w:type="dxa"/>
            <w:shd w:val="clear" w:color="auto" w:fill="auto"/>
            <w:tcMar>
              <w:top w:w="60" w:type="dxa"/>
              <w:left w:w="100" w:type="dxa"/>
              <w:bottom w:w="60" w:type="dxa"/>
              <w:right w:w="100" w:type="dxa"/>
            </w:tcMar>
            <w:vAlign w:val="center"/>
          </w:tcPr>
          <w:p w14:paraId="0376200B"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£100m</w:t>
            </w:r>
          </w:p>
        </w:tc>
        <w:tc>
          <w:tcPr>
            <w:tcW w:w="1372" w:type="dxa"/>
            <w:shd w:val="clear" w:color="auto" w:fill="auto"/>
            <w:tcMar>
              <w:top w:w="60" w:type="dxa"/>
              <w:left w:w="100" w:type="dxa"/>
              <w:bottom w:w="60" w:type="dxa"/>
              <w:right w:w="100" w:type="dxa"/>
            </w:tcMar>
            <w:vAlign w:val="center"/>
          </w:tcPr>
          <w:p w14:paraId="65B7E8B0"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−£1.98m</w:t>
            </w:r>
          </w:p>
        </w:tc>
        <w:tc>
          <w:tcPr>
            <w:tcW w:w="1372" w:type="dxa"/>
            <w:shd w:val="clear" w:color="auto" w:fill="auto"/>
            <w:tcMar>
              <w:top w:w="60" w:type="dxa"/>
              <w:left w:w="100" w:type="dxa"/>
              <w:bottom w:w="60" w:type="dxa"/>
              <w:right w:w="100" w:type="dxa"/>
            </w:tcMar>
            <w:vAlign w:val="center"/>
          </w:tcPr>
          <w:p w14:paraId="5B668599"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−£8.68m</w:t>
            </w:r>
          </w:p>
        </w:tc>
        <w:tc>
          <w:tcPr>
            <w:tcW w:w="1494" w:type="dxa"/>
            <w:shd w:val="clear" w:color="auto" w:fill="auto"/>
            <w:tcMar>
              <w:top w:w="60" w:type="dxa"/>
              <w:left w:w="100" w:type="dxa"/>
              <w:bottom w:w="60" w:type="dxa"/>
              <w:right w:w="100" w:type="dxa"/>
            </w:tcMar>
            <w:vAlign w:val="center"/>
          </w:tcPr>
          <w:p w14:paraId="07201A5F"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−£10.66m</w:t>
            </w:r>
          </w:p>
        </w:tc>
        <w:tc>
          <w:tcPr>
            <w:tcW w:w="2134" w:type="dxa"/>
            <w:shd w:val="clear" w:color="auto" w:fill="auto"/>
            <w:tcMar>
              <w:top w:w="60" w:type="dxa"/>
              <w:left w:w="100" w:type="dxa"/>
              <w:bottom w:w="60" w:type="dxa"/>
              <w:right w:w="100" w:type="dxa"/>
            </w:tcMar>
            <w:vAlign w:val="center"/>
          </w:tcPr>
          <w:p w14:paraId="75A0758A"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Alternative</w:t>
            </w:r>
          </w:p>
        </w:tc>
      </w:tr>
      <w:tr w:rsidR="00E069B0" w:rsidRPr="00E069B0" w14:paraId="43A23634" w14:textId="77777777" w:rsidTr="00873C43">
        <w:tc>
          <w:tcPr>
            <w:tcW w:w="1883" w:type="dxa"/>
            <w:shd w:val="clear" w:color="auto" w:fill="auto"/>
            <w:tcMar>
              <w:top w:w="60" w:type="dxa"/>
              <w:left w:w="100" w:type="dxa"/>
              <w:bottom w:w="60" w:type="dxa"/>
              <w:right w:w="100" w:type="dxa"/>
            </w:tcMar>
            <w:vAlign w:val="center"/>
          </w:tcPr>
          <w:p w14:paraId="13A63B0F" w14:textId="77777777" w:rsidR="00F5180E" w:rsidRPr="00E069B0" w:rsidRDefault="00F5180E" w:rsidP="00E069B0">
            <w:pPr>
              <w:jc w:val="center"/>
              <w:rPr>
                <w:rFonts w:ascii="Arial" w:hAnsi="Arial" w:cs="Arial"/>
                <w:b/>
                <w:bCs/>
                <w:sz w:val="24"/>
                <w:szCs w:val="24"/>
              </w:rPr>
            </w:pPr>
            <w:r w:rsidRPr="00E069B0">
              <w:rPr>
                <w:rFonts w:ascii="Arial" w:hAnsi="Arial" w:cs="Arial"/>
                <w:b/>
                <w:bCs/>
                <w:color w:val="404040"/>
                <w:sz w:val="24"/>
                <w:szCs w:val="24"/>
              </w:rPr>
              <w:t>Project A + Project B</w:t>
            </w:r>
          </w:p>
        </w:tc>
        <w:tc>
          <w:tcPr>
            <w:tcW w:w="1105" w:type="dxa"/>
            <w:shd w:val="clear" w:color="auto" w:fill="auto"/>
            <w:tcMar>
              <w:top w:w="60" w:type="dxa"/>
              <w:left w:w="100" w:type="dxa"/>
              <w:bottom w:w="60" w:type="dxa"/>
              <w:right w:w="100" w:type="dxa"/>
            </w:tcMar>
            <w:vAlign w:val="center"/>
          </w:tcPr>
          <w:p w14:paraId="6B347255"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£100m</w:t>
            </w:r>
          </w:p>
        </w:tc>
        <w:tc>
          <w:tcPr>
            <w:tcW w:w="1372" w:type="dxa"/>
            <w:shd w:val="clear" w:color="auto" w:fill="auto"/>
            <w:tcMar>
              <w:top w:w="60" w:type="dxa"/>
              <w:left w:w="100" w:type="dxa"/>
              <w:bottom w:w="60" w:type="dxa"/>
              <w:right w:w="100" w:type="dxa"/>
            </w:tcMar>
            <w:vAlign w:val="center"/>
          </w:tcPr>
          <w:p w14:paraId="56131672"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N/A</w:t>
            </w:r>
          </w:p>
        </w:tc>
        <w:tc>
          <w:tcPr>
            <w:tcW w:w="1372" w:type="dxa"/>
            <w:shd w:val="clear" w:color="auto" w:fill="auto"/>
            <w:tcMar>
              <w:top w:w="60" w:type="dxa"/>
              <w:left w:w="100" w:type="dxa"/>
              <w:bottom w:w="60" w:type="dxa"/>
              <w:right w:w="100" w:type="dxa"/>
            </w:tcMar>
            <w:vAlign w:val="center"/>
          </w:tcPr>
          <w:p w14:paraId="3550FF16"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−£8.68m + −£8.31m</w:t>
            </w:r>
          </w:p>
        </w:tc>
        <w:tc>
          <w:tcPr>
            <w:tcW w:w="1494" w:type="dxa"/>
            <w:shd w:val="clear" w:color="auto" w:fill="auto"/>
            <w:tcMar>
              <w:top w:w="60" w:type="dxa"/>
              <w:left w:w="100" w:type="dxa"/>
              <w:bottom w:w="60" w:type="dxa"/>
              <w:right w:w="100" w:type="dxa"/>
            </w:tcMar>
            <w:vAlign w:val="center"/>
          </w:tcPr>
          <w:p w14:paraId="7F56C981" w14:textId="77777777" w:rsidR="00F5180E" w:rsidRPr="00E069B0" w:rsidRDefault="00F5180E" w:rsidP="00E069B0">
            <w:pPr>
              <w:rPr>
                <w:rFonts w:ascii="Arial" w:hAnsi="Arial" w:cs="Arial"/>
                <w:sz w:val="24"/>
                <w:szCs w:val="24"/>
              </w:rPr>
            </w:pPr>
            <w:r w:rsidRPr="00E069B0">
              <w:rPr>
                <w:rFonts w:ascii="Arial" w:hAnsi="Arial" w:cs="Arial"/>
                <w:color w:val="404040"/>
                <w:sz w:val="24"/>
                <w:szCs w:val="24"/>
              </w:rPr>
              <w:t>−£16.99m</w:t>
            </w:r>
          </w:p>
        </w:tc>
        <w:tc>
          <w:tcPr>
            <w:tcW w:w="2134" w:type="dxa"/>
            <w:shd w:val="clear" w:color="auto" w:fill="auto"/>
            <w:tcMar>
              <w:top w:w="60" w:type="dxa"/>
              <w:left w:w="100" w:type="dxa"/>
              <w:bottom w:w="60" w:type="dxa"/>
              <w:right w:w="100" w:type="dxa"/>
            </w:tcMar>
            <w:vAlign w:val="center"/>
          </w:tcPr>
          <w:p w14:paraId="3F7D43E3" w14:textId="77777777" w:rsidR="00F5180E" w:rsidRPr="00E069B0" w:rsidRDefault="00F5180E" w:rsidP="00FC5748">
            <w:pPr>
              <w:keepNext/>
              <w:rPr>
                <w:rFonts w:ascii="Arial" w:hAnsi="Arial" w:cs="Arial"/>
                <w:sz w:val="24"/>
                <w:szCs w:val="24"/>
              </w:rPr>
            </w:pPr>
            <w:r w:rsidRPr="00E069B0">
              <w:rPr>
                <w:rFonts w:ascii="Arial" w:hAnsi="Arial" w:cs="Arial"/>
                <w:color w:val="404040"/>
                <w:sz w:val="24"/>
                <w:szCs w:val="24"/>
              </w:rPr>
              <w:t>Rejected</w:t>
            </w:r>
          </w:p>
        </w:tc>
      </w:tr>
    </w:tbl>
    <w:p w14:paraId="70009910" w14:textId="6566F628" w:rsidR="00FC5748" w:rsidRDefault="00FC5748">
      <w:pPr>
        <w:pStyle w:val="Caption"/>
      </w:pPr>
      <w:r>
        <w:t>Table 4.</w:t>
      </w:r>
      <w:r w:rsidR="00553D26">
        <w:fldChar w:fldCharType="begin"/>
      </w:r>
      <w:r w:rsidR="00553D26">
        <w:instrText xml:space="preserve"> SEQ Table \* ARABIC </w:instrText>
      </w:r>
      <w:r w:rsidR="00553D26">
        <w:fldChar w:fldCharType="separate"/>
      </w:r>
      <w:r w:rsidR="00215885">
        <w:rPr>
          <w:noProof/>
        </w:rPr>
        <w:t>9</w:t>
      </w:r>
      <w:r w:rsidR="00553D26">
        <w:rPr>
          <w:noProof/>
        </w:rPr>
        <w:fldChar w:fldCharType="end"/>
      </w:r>
      <w:r>
        <w:t xml:space="preserve"> </w:t>
      </w:r>
      <w:r w:rsidRPr="00A82C95">
        <w:t>Source: Author's own calculations based on project cash flow data provided by the Board; Brealey, Myers and Allen (2023)</w:t>
      </w:r>
    </w:p>
    <w:p w14:paraId="55B5709A" w14:textId="10462BAF" w:rsidR="00FE0F89" w:rsidRPr="006E7D9A" w:rsidRDefault="00E240DF" w:rsidP="006E7D9A">
      <w:pPr>
        <w:spacing w:line="360" w:lineRule="auto"/>
        <w:rPr>
          <w:rFonts w:ascii="Arial" w:hAnsi="Arial" w:cs="Arial"/>
          <w:sz w:val="24"/>
          <w:szCs w:val="24"/>
        </w:rPr>
      </w:pPr>
      <w:r w:rsidRPr="00E240DF">
        <w:rPr>
          <w:rFonts w:ascii="Arial" w:hAnsi="Arial" w:cs="Arial"/>
          <w:sz w:val="24"/>
          <w:szCs w:val="24"/>
        </w:rPr>
        <w:t>The optimal combination is Project C + Project B (combined NPV: −£10.29m), which is £6.70m superior to the rejected A + B pairing (−£16.99m). Consistent with Ross, Westerfield and Jordan (2022), the CFO should always include the highest-PI project first (Project C), then fill remaining budget with the next highest PI project (Project B). While the combined NPV remains negative at 10%, the 10% rate is a conservative assumption: at Hyundai's blended WACC—incorporating green bond financing (estimated at 4.0–4.5% given BBB+ credit quality) and UK ZEV incentive subsidies—the effective hurdle rate may be considerably below 10%, in which case the combined portfolio NPV would likely turn positive (Brealey, Myers and Allen, 2023; BEIS, 2023).</w:t>
      </w:r>
    </w:p>
    <w:p w14:paraId="72D783B5" w14:textId="77777777" w:rsidR="004B0357" w:rsidRDefault="004B0357" w:rsidP="004B0357">
      <w:pPr>
        <w:pStyle w:val="Heading1"/>
      </w:pPr>
      <w:bookmarkStart w:id="61" w:name="_Toc227660523"/>
      <w:r>
        <w:lastRenderedPageBreak/>
        <w:t>Conclusion</w:t>
      </w:r>
      <w:bookmarkEnd w:id="61"/>
    </w:p>
    <w:p w14:paraId="2907FD68" w14:textId="77777777" w:rsidR="00C9717A" w:rsidRDefault="00896304" w:rsidP="00896304">
      <w:pPr>
        <w:spacing w:line="360" w:lineRule="auto"/>
        <w:jc w:val="both"/>
        <w:rPr>
          <w:rFonts w:ascii="Arial" w:hAnsi="Arial" w:cs="Arial"/>
          <w:sz w:val="24"/>
          <w:szCs w:val="24"/>
          <w:shd w:val="clear" w:color="auto" w:fill="FFFFFF"/>
        </w:rPr>
      </w:pPr>
      <w:r w:rsidRPr="00896304">
        <w:rPr>
          <w:rFonts w:ascii="Arial" w:hAnsi="Arial" w:cs="Arial"/>
          <w:sz w:val="24"/>
          <w:szCs w:val="24"/>
          <w:shd w:val="clear" w:color="auto" w:fill="FFFFFF"/>
        </w:rPr>
        <w:t>The report provides an overall analytical analysis of the financial standing of Hyundai Motor Company (2020 – 2024). From the Financial Health Check results, the company has experienced an increase in its operating margin by 9.3 percentage points, ROE by 9.6 percentage points, and reduction in COC by 7.3 days to 25.0 days. There are however some structural issues that Hyundai Motor still faces including the fact that its liquidity is below the industry average (Deloitte, 2024); high leverage ratio (Myers, 1984); and low share price compared to Korea Discount (Choi, 2018).</w:t>
      </w:r>
    </w:p>
    <w:p w14:paraId="750E40CC" w14:textId="78ECA1CC" w:rsidR="00896304" w:rsidRDefault="00896304" w:rsidP="00896304">
      <w:pPr>
        <w:spacing w:line="360" w:lineRule="auto"/>
        <w:jc w:val="both"/>
        <w:rPr>
          <w:rFonts w:ascii="Arial" w:hAnsi="Arial" w:cs="Arial"/>
          <w:sz w:val="24"/>
          <w:szCs w:val="24"/>
          <w:shd w:val="clear" w:color="auto" w:fill="FFFFFF"/>
        </w:rPr>
      </w:pPr>
      <w:r w:rsidRPr="00896304">
        <w:rPr>
          <w:rFonts w:ascii="Arial" w:hAnsi="Arial" w:cs="Arial"/>
          <w:sz w:val="24"/>
          <w:szCs w:val="24"/>
          <w:shd w:val="clear" w:color="auto" w:fill="FFFFFF"/>
        </w:rPr>
        <w:br/>
        <w:t>The Working Capital strategy suggests that ~KRW 3,600bn could be realized in terms of working capital savings based on the theory presented by Deloof (2003) and Richards &amp; Laughlin (1980). To improve further, it is advised that there should be a more focused approach in implementing the vendor-managed inventory, developing D2C receivables, and reverse factoring initiatives to continue lowering the COC.</w:t>
      </w:r>
    </w:p>
    <w:p w14:paraId="33CB0513" w14:textId="77777777" w:rsidR="00896304" w:rsidRDefault="00896304" w:rsidP="00896304">
      <w:pPr>
        <w:spacing w:line="360" w:lineRule="auto"/>
        <w:jc w:val="both"/>
        <w:rPr>
          <w:rFonts w:ascii="Arial" w:hAnsi="Arial" w:cs="Arial"/>
          <w:sz w:val="24"/>
          <w:szCs w:val="24"/>
          <w:shd w:val="clear" w:color="auto" w:fill="FFFFFF"/>
        </w:rPr>
      </w:pPr>
      <w:r w:rsidRPr="00896304">
        <w:rPr>
          <w:rFonts w:ascii="Arial" w:hAnsi="Arial" w:cs="Arial"/>
          <w:sz w:val="24"/>
          <w:szCs w:val="24"/>
          <w:shd w:val="clear" w:color="auto" w:fill="FFFFFF"/>
        </w:rPr>
        <w:br/>
        <w:t>Based on the theory provided by Jensen (1986), Doidge, Karolyi and Stulz (2004), and Friede, Busch and Bassen (2015), the restructuring plan includes a potential spin-off for commercial vehicles, NYSE secondary listing, and issuing green bonds, which would be able to re-rate Hyundai's P/E from 4.5x to 8-14x without requiring much additional work.</w:t>
      </w:r>
    </w:p>
    <w:p w14:paraId="1E44C212" w14:textId="491488A5" w:rsidR="0068347C" w:rsidRDefault="00896304" w:rsidP="00896304">
      <w:pPr>
        <w:spacing w:line="360" w:lineRule="auto"/>
        <w:jc w:val="both"/>
        <w:rPr>
          <w:rFonts w:ascii="Arial" w:hAnsi="Arial" w:cs="Arial"/>
          <w:sz w:val="24"/>
          <w:szCs w:val="24"/>
          <w:shd w:val="clear" w:color="auto" w:fill="FFFFFF"/>
        </w:rPr>
      </w:pPr>
      <w:r w:rsidRPr="00896304">
        <w:rPr>
          <w:rFonts w:ascii="Arial" w:hAnsi="Arial" w:cs="Arial"/>
          <w:sz w:val="24"/>
          <w:szCs w:val="24"/>
          <w:shd w:val="clear" w:color="auto" w:fill="FFFFFF"/>
        </w:rPr>
        <w:br/>
        <w:t>In the Investment Appraisal, it is recommended that Project C would be the best single project using all five methods. It is also suggested that Projects C and B would be the best combination of projects in case of capital rationing (£100m).</w:t>
      </w:r>
    </w:p>
    <w:p w14:paraId="41D2B16C" w14:textId="77777777" w:rsidR="00FC5748" w:rsidRDefault="00FC5748" w:rsidP="00896304">
      <w:pPr>
        <w:spacing w:line="360" w:lineRule="auto"/>
        <w:jc w:val="both"/>
        <w:rPr>
          <w:rFonts w:ascii="Arial" w:hAnsi="Arial" w:cs="Arial"/>
          <w:sz w:val="24"/>
          <w:szCs w:val="24"/>
          <w:shd w:val="clear" w:color="auto" w:fill="FFFFFF"/>
        </w:rPr>
      </w:pPr>
    </w:p>
    <w:p w14:paraId="44B3DE44" w14:textId="77777777" w:rsidR="00FC5748" w:rsidRDefault="00FC5748" w:rsidP="00896304">
      <w:pPr>
        <w:spacing w:line="360" w:lineRule="auto"/>
        <w:jc w:val="both"/>
        <w:rPr>
          <w:rFonts w:ascii="Arial" w:hAnsi="Arial" w:cs="Arial"/>
          <w:sz w:val="24"/>
          <w:szCs w:val="24"/>
          <w:shd w:val="clear" w:color="auto" w:fill="FFFFFF"/>
        </w:rPr>
      </w:pPr>
    </w:p>
    <w:p w14:paraId="3C57F374" w14:textId="77777777" w:rsidR="00FC5748" w:rsidRPr="00896304" w:rsidRDefault="00FC5748" w:rsidP="00896304">
      <w:pPr>
        <w:spacing w:line="360" w:lineRule="auto"/>
        <w:jc w:val="both"/>
        <w:rPr>
          <w:rFonts w:ascii="Arial" w:hAnsi="Arial" w:cs="Arial"/>
          <w:sz w:val="24"/>
          <w:szCs w:val="24"/>
          <w:shd w:val="clear" w:color="auto" w:fill="FFFFFF"/>
        </w:rPr>
      </w:pPr>
    </w:p>
    <w:p w14:paraId="62F8E557" w14:textId="77777777" w:rsidR="00E03934" w:rsidRDefault="00E03934" w:rsidP="0068347C">
      <w:pPr>
        <w:spacing w:line="360" w:lineRule="auto"/>
        <w:jc w:val="both"/>
        <w:rPr>
          <w:rFonts w:ascii="Arial" w:hAnsi="Arial" w:cs="Arial"/>
          <w:sz w:val="24"/>
          <w:szCs w:val="24"/>
        </w:rPr>
      </w:pPr>
    </w:p>
    <w:p w14:paraId="7745DF2E" w14:textId="77777777" w:rsidR="002A515D" w:rsidRDefault="002A515D" w:rsidP="0068347C">
      <w:pPr>
        <w:spacing w:line="360" w:lineRule="auto"/>
        <w:jc w:val="both"/>
        <w:rPr>
          <w:rFonts w:ascii="Arial" w:hAnsi="Arial" w:cs="Arial"/>
          <w:sz w:val="24"/>
          <w:szCs w:val="24"/>
        </w:rPr>
      </w:pPr>
    </w:p>
    <w:p w14:paraId="08B93A72" w14:textId="77777777" w:rsidR="0074765D" w:rsidRDefault="0074765D" w:rsidP="0074765D">
      <w:pPr>
        <w:pStyle w:val="Heading1"/>
      </w:pPr>
      <w:bookmarkStart w:id="62" w:name="_Toc227660524"/>
      <w:r>
        <w:lastRenderedPageBreak/>
        <w:t>References</w:t>
      </w:r>
      <w:bookmarkEnd w:id="62"/>
    </w:p>
    <w:p w14:paraId="4503D5DF"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Atrill, P. and McLaney, E. (2021) Financial Management for Decision Makers. 9th edn. Harlow: Pearson Education.</w:t>
      </w:r>
    </w:p>
    <w:p w14:paraId="3F30972A"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BEIS (2023) Zero Emission Vehicles (ZEV) Mandate: Policy Statement. London: UK Department for Business, Energy and Industrial Strategy.</w:t>
      </w:r>
    </w:p>
    <w:p w14:paraId="46240737"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BloombergNEF (2024) Electric Vehicle Outlook 2024. New York: Bloomberg Finance L.P.</w:t>
      </w:r>
    </w:p>
    <w:p w14:paraId="6F35A477"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Brealey, R.A., Myers, S.C. and Allen, F. (2023) Principles of Corporate Finance. 14th edn. New York: McGraw-Hill.</w:t>
      </w:r>
    </w:p>
    <w:p w14:paraId="77F3611D"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Brigham, E.F. and Houston, J.F. (2019) Fundamentals of Financial Management. 15th edn. Mason, OH: South-Western Cengage Learning.</w:t>
      </w:r>
    </w:p>
    <w:p w14:paraId="4EE1875A"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Choi, J. (2018) Why is there a 'Korea Discount'? Corporate Governance and Firm Value in Korea. Seoul: Korea Capital Market Institute.</w:t>
      </w:r>
    </w:p>
    <w:p w14:paraId="3D125E3D"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Damodaran, A. (2012) Investment Valuation: Tools and Techniques for Determining the Value of Any Asset. 3rd edn. New York: John Wiley &amp; Sons.</w:t>
      </w:r>
    </w:p>
    <w:p w14:paraId="04B61C23"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Deloof, M. (2003) 'Does working capital management affect profitability of Belgian firms?', Journal of Business Finance and Accounting, 30(3–4), pp. 573–587.</w:t>
      </w:r>
    </w:p>
    <w:p w14:paraId="59621340"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Deloitte (2024) Global Automotive Consumer Study 2024. London: Deloitte LLP.</w:t>
      </w:r>
    </w:p>
    <w:p w14:paraId="2289625B"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Doidge, C., Karolyi, G.A. and Stulz, R.M. (2004) 'Why are foreign firms listed in the US worth more?', Journal of Financial Economics, 71(2), pp. 205–238.</w:t>
      </w:r>
    </w:p>
    <w:p w14:paraId="0B8F0A50"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Friede, G., Busch, T. and Bassen, A. (2015) 'ESG and financial performance: aggregated evidence from more than 2000 empirical studies', Journal of Sustainable Finance and Investment, 5(4), pp. 210–233.</w:t>
      </w:r>
    </w:p>
    <w:p w14:paraId="098B5CF5"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Gitman, L.J. and Zutter, C.J. (2015) Principles of Managerial Finance. 14th edn. Harlow: Pearson Education.</w:t>
      </w:r>
    </w:p>
    <w:p w14:paraId="4279D7D4"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Graham, J.R. and Harvey, C.R. (2001) 'The theory and practice of corporate finance: evidence from the field', Journal of Financial Economics, 60(2–3), pp. 187–243.</w:t>
      </w:r>
    </w:p>
    <w:p w14:paraId="5759BC07"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Gualandris, J. and Kalchschmidt, M. (2014) 'Customer pressure and innovativeness: their role in sustainable supply chain management', Journal of Purchasing and Supply Management, 20(2), pp. 92–103.</w:t>
      </w:r>
    </w:p>
    <w:p w14:paraId="288F347B"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lastRenderedPageBreak/>
        <w:t>Hyundai Motor Company (2020) Annual Report 2020. Seoul: Hyundai Motor Company. Available at: https://www.hyundai.com/worldwide/en/company/ir/ir-resources/annual-report (Accessed: 15 March 2025).</w:t>
      </w:r>
    </w:p>
    <w:p w14:paraId="18DD27A8"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Hyundai Motor Company (2021) Annual Report 2021. Seoul: Hyundai Motor Company. Available at: https://www.hyundai.com/worldwide/en/company/ir/ir-resources/annual-report (Accessed: 15 March 2025).</w:t>
      </w:r>
    </w:p>
    <w:p w14:paraId="77470AC1"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Hyundai Motor Company (2022) Annual Report 2022. Seoul: Hyundai Motor Company. Available at: https://www.hyundai.com/worldwide/en/company/ir/ir-resources/annual-report (Accessed: 15 March 2025).</w:t>
      </w:r>
    </w:p>
    <w:p w14:paraId="7B748D30" w14:textId="77777777" w:rsidR="0074765D" w:rsidRPr="00297324" w:rsidRDefault="0074765D" w:rsidP="00297324">
      <w:pPr>
        <w:spacing w:before="60" w:after="60" w:line="360" w:lineRule="auto"/>
        <w:jc w:val="both"/>
        <w:rPr>
          <w:sz w:val="24"/>
          <w:szCs w:val="24"/>
        </w:rPr>
      </w:pPr>
      <w:r w:rsidRPr="00297324">
        <w:rPr>
          <w:rFonts w:ascii="Arial" w:eastAsia="Arial" w:hAnsi="Arial" w:cs="Arial"/>
          <w:color w:val="404040"/>
          <w:sz w:val="24"/>
          <w:szCs w:val="24"/>
        </w:rPr>
        <w:t>Hyundai Motor Company (2023) Annual Report 2023. Seoul: Hyundai Motor Company. Available at: https://www.hyundai.com/worldwide/en/company/ir/ir-resources/annual-report (Accessed: 15 March 2025).</w:t>
      </w:r>
    </w:p>
    <w:p w14:paraId="0061DA15"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Hyundai Motor Company (2024) Interim Report Q1–Q3 2024. Seoul: Hyundai Motor Company. Available at: https://www.hyundai.com/worldwide/en/company/ir/ir-resources/annual-report (Accessed: 15 March 2025).</w:t>
      </w:r>
    </w:p>
    <w:p w14:paraId="44F8185E"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ICMA (2021) Green Bond Principles: Voluntary Process Guidelines for Issuing Green Bonds. Paris: International Capital Market Association.</w:t>
      </w:r>
    </w:p>
    <w:p w14:paraId="7CCBA596"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IEA (2024) Global EV Outlook 2024. Paris: International Energy Agency. Available at: https://www.iea.org/reports/global-ev-outlook-2024 (Accessed: 10 March 2025).</w:t>
      </w:r>
    </w:p>
    <w:p w14:paraId="2B9C791C"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Jensen, M.C. (1986) 'Agency costs of free cash flow, corporate finance, and takeovers', American Economic Review, 76(2), pp. 323–329.</w:t>
      </w:r>
    </w:p>
    <w:p w14:paraId="2CDEE657"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KPMG (2024) KPMG Global Automotive Executive Survey 2024. Frankfurt: KPMG International.</w:t>
      </w:r>
    </w:p>
    <w:p w14:paraId="7E374FCC"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Lazaridis, I. and Tryfonidis, D. (2006) 'Relationship between working capital management and profitability of listed companies in the Athens stock exchange', Journal of Financial Management and Analysis, 19(1), pp. 26–35.</w:t>
      </w:r>
    </w:p>
    <w:p w14:paraId="2AFD4E28"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Madura, J. (2020) International Financial Management. 14th edn. Mason, OH: South-Western Cengage Learning.</w:t>
      </w:r>
    </w:p>
    <w:p w14:paraId="52AC108C"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McKinsey and Company (2023) Winning the EV Race: Profitability and Competitive Dynamics in the Electric Vehicle Sector. New York: McKinsey Global Institute.</w:t>
      </w:r>
    </w:p>
    <w:p w14:paraId="2E03B7A8"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lastRenderedPageBreak/>
        <w:t>Modigliani, F. and Miller, M.H. (1958) 'The cost of capital, corporation finance and the theory of investment', American Economic Review, 48(3), pp. 261–297.</w:t>
      </w:r>
    </w:p>
    <w:p w14:paraId="5FA977FA"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Modigliani, F. and Miller, M.H. (1963) 'Corporate income taxes and the cost of capital: a correction', American Economic Review, 53(3), pp. 433–443.</w:t>
      </w:r>
    </w:p>
    <w:p w14:paraId="036CAAC2"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MSCI (2023) Korea Discount: ESG and Governance Perspectives on the Valuation Gap. New York: MSCI Inc.</w:t>
      </w:r>
    </w:p>
    <w:p w14:paraId="7ADF8E65"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Myers, S.C. (1984) 'The capital structure puzzle', Journal of Finance, 39(3), pp. 574–592.</w:t>
      </w:r>
    </w:p>
    <w:p w14:paraId="6D66A230"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OECD (2023) Tax Challenges Arising from the Digitalisation of the Economy — Global Anti-Base Erosion Model Rules (Pillar Two). Paris: OECD Publishing.</w:t>
      </w:r>
    </w:p>
    <w:p w14:paraId="1569020D"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Penman, S.H. (2013) Financial Statement Analysis and Security Valuation. 5th edn. New York: McGraw-Hill.</w:t>
      </w:r>
    </w:p>
    <w:p w14:paraId="788074E0"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Pfohl, H.C. and Gomm, M. (2009) 'Supply chain finance: optimizing financial flows in supply chains', Logistics Research, 1(3–4), pp. 149–161.</w:t>
      </w:r>
    </w:p>
    <w:p w14:paraId="7310B281"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Pike, R. (1996) 'A longitudinal survey on capital budgeting practices', Journal of Business Finance and Accounting, 23(1), pp. 79–92.</w:t>
      </w:r>
    </w:p>
    <w:p w14:paraId="629CE5E3"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PwC (2024) Electric Vehicle Consumer Survey 2024: Insights for the Automotive Sector. London: PricewaterhouseCoopers LLP.</w:t>
      </w:r>
    </w:p>
    <w:p w14:paraId="382C2C60"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Richards, V.D. and Laughlin, E.J. (1980) 'A cash conversion cycle approach to liquidity analysis', Financial Management, 9(1), pp. 32–38.</w:t>
      </w:r>
    </w:p>
    <w:p w14:paraId="11AF42D5"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Ross, S.A., Westerfield, R.W. and Jordan, B.D. (2022) Corporate Finance. 13th edn. New York: McGraw-Hill.</w:t>
      </w:r>
    </w:p>
    <w:p w14:paraId="0BA3A4B2" w14:textId="77777777" w:rsidR="00621B0E" w:rsidRPr="00297324" w:rsidRDefault="00621B0E" w:rsidP="00297324">
      <w:pPr>
        <w:spacing w:before="60" w:after="60" w:line="360" w:lineRule="auto"/>
        <w:jc w:val="both"/>
        <w:rPr>
          <w:sz w:val="24"/>
          <w:szCs w:val="24"/>
        </w:rPr>
      </w:pPr>
      <w:r w:rsidRPr="00297324">
        <w:rPr>
          <w:rFonts w:ascii="Arial" w:eastAsia="Arial" w:hAnsi="Arial" w:cs="Arial"/>
          <w:color w:val="404040"/>
          <w:sz w:val="24"/>
          <w:szCs w:val="24"/>
        </w:rPr>
        <w:t>Sari, K. (2007) 'Exploring the benefits of vendor managed inventory', International Journal of Physical Distribution and Logistics Management, 37(7), pp. 529–545.</w:t>
      </w:r>
    </w:p>
    <w:p w14:paraId="6BCEBAC7" w14:textId="1FF206CD" w:rsidR="0074765D" w:rsidRDefault="00621B0E" w:rsidP="00297324">
      <w:pPr>
        <w:spacing w:before="60" w:after="60" w:line="360" w:lineRule="auto"/>
        <w:jc w:val="both"/>
        <w:rPr>
          <w:rFonts w:ascii="Arial" w:eastAsia="Arial" w:hAnsi="Arial" w:cs="Arial"/>
          <w:color w:val="404040"/>
          <w:sz w:val="24"/>
          <w:szCs w:val="24"/>
        </w:rPr>
      </w:pPr>
      <w:r w:rsidRPr="00297324">
        <w:rPr>
          <w:rFonts w:ascii="Arial" w:eastAsia="Arial" w:hAnsi="Arial" w:cs="Arial"/>
          <w:color w:val="404040"/>
          <w:sz w:val="24"/>
          <w:szCs w:val="24"/>
        </w:rPr>
        <w:t>US Department of Energy (2024) The Inflation Reduction Act and the EV Tax Credit: A Guide for Manufacturers and Consumers. Washington, DC: US DOE Office of Energy Efficiency and Renewable Energy.</w:t>
      </w:r>
    </w:p>
    <w:p w14:paraId="54745489" w14:textId="77777777" w:rsidR="00297324" w:rsidRDefault="00297324" w:rsidP="00297324">
      <w:pPr>
        <w:spacing w:before="60" w:after="60" w:line="360" w:lineRule="auto"/>
        <w:jc w:val="both"/>
        <w:rPr>
          <w:rFonts w:ascii="Arial" w:eastAsia="Arial" w:hAnsi="Arial" w:cs="Arial"/>
          <w:color w:val="404040"/>
        </w:rPr>
      </w:pPr>
    </w:p>
    <w:p w14:paraId="4D420E50" w14:textId="77777777" w:rsidR="00AC1D41" w:rsidRPr="00726AF2" w:rsidRDefault="00AC1D41" w:rsidP="00621B0E">
      <w:pPr>
        <w:spacing w:before="60" w:after="60" w:line="360" w:lineRule="auto"/>
        <w:jc w:val="both"/>
        <w:rPr>
          <w:sz w:val="24"/>
          <w:szCs w:val="24"/>
        </w:rPr>
      </w:pPr>
    </w:p>
    <w:p w14:paraId="66CFAFFD" w14:textId="77777777" w:rsidR="009F3DD3" w:rsidRDefault="009F3DD3" w:rsidP="009F3DD3">
      <w:pPr>
        <w:pStyle w:val="Heading1"/>
      </w:pPr>
      <w:bookmarkStart w:id="63" w:name="_Toc227660525"/>
      <w:r>
        <w:lastRenderedPageBreak/>
        <w:t>Appendices</w:t>
      </w:r>
      <w:bookmarkEnd w:id="63"/>
    </w:p>
    <w:p w14:paraId="489F7DDD" w14:textId="77777777" w:rsidR="009F3DD3" w:rsidRPr="00726AF2" w:rsidRDefault="009F3DD3" w:rsidP="00726AF2">
      <w:pPr>
        <w:spacing w:before="60" w:after="60" w:line="360" w:lineRule="auto"/>
        <w:jc w:val="both"/>
        <w:rPr>
          <w:sz w:val="24"/>
          <w:szCs w:val="24"/>
        </w:rPr>
      </w:pPr>
      <w:r w:rsidRPr="00726AF2">
        <w:rPr>
          <w:rFonts w:ascii="Arial" w:eastAsia="Arial" w:hAnsi="Arial" w:cs="Arial"/>
          <w:color w:val="404040"/>
          <w:sz w:val="24"/>
          <w:szCs w:val="24"/>
        </w:rPr>
        <w:t>All financial ratios are derived from Hyundai Motor Company Consolidated Annual Reports 2020–2024 prepared under IFRS. Investment appraisal figures use GBP millions. Estimated 2024 figures are based on Q1–Q3 2024 interim reports and consensus analyst projections.</w:t>
      </w:r>
    </w:p>
    <w:p w14:paraId="705A91FE" w14:textId="77777777" w:rsidR="007A2336" w:rsidRDefault="007A2336" w:rsidP="009F3DD3"/>
    <w:p w14:paraId="52CF548D" w14:textId="77777777" w:rsidR="009F3DD3" w:rsidRDefault="009F3DD3" w:rsidP="009F3DD3">
      <w:pPr>
        <w:pStyle w:val="Heading2"/>
      </w:pPr>
      <w:bookmarkStart w:id="64" w:name="_Toc227660526"/>
      <w:r>
        <w:rPr>
          <w:rFonts w:ascii="Arial" w:eastAsia="Arial" w:hAnsi="Arial" w:cs="Arial"/>
          <w:b/>
          <w:bCs/>
          <w:color w:val="2E75B6"/>
        </w:rPr>
        <w:t>Appendix A: Master Ratio Reference Table (2020–2024)</w:t>
      </w:r>
      <w:bookmarkEnd w:id="64"/>
    </w:p>
    <w:p w14:paraId="76EB7731" w14:textId="77777777" w:rsidR="009F3DD3" w:rsidRDefault="009F3DD3" w:rsidP="009F3DD3"/>
    <w:p w14:paraId="42488810" w14:textId="77777777" w:rsidR="009F3DD3" w:rsidRPr="00E82512" w:rsidRDefault="009F3DD3" w:rsidP="00E82512">
      <w:pPr>
        <w:pStyle w:val="Heading3"/>
        <w:spacing w:line="360" w:lineRule="auto"/>
      </w:pPr>
      <w:bookmarkStart w:id="65" w:name="_Toc227660527"/>
      <w:r w:rsidRPr="00E82512">
        <w:rPr>
          <w:rFonts w:ascii="Arial" w:eastAsia="Arial" w:hAnsi="Arial" w:cs="Arial"/>
          <w:b/>
          <w:bCs/>
          <w:color w:val="404040"/>
          <w:u w:color="2E75B6"/>
        </w:rPr>
        <w:t>Table A.1 – Complete Ratio Summary</w:t>
      </w:r>
      <w:bookmarkEnd w:id="65"/>
    </w:p>
    <w:tbl>
      <w:tblPr>
        <w:tblpPr w:leftFromText="180" w:rightFromText="180" w:vertAnchor="text" w:tblpY="1"/>
        <w:tblOverlap w:val="never"/>
        <w:tblW w:w="9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17"/>
        <w:gridCol w:w="1399"/>
        <w:gridCol w:w="1411"/>
        <w:gridCol w:w="1411"/>
        <w:gridCol w:w="1411"/>
        <w:gridCol w:w="1416"/>
      </w:tblGrid>
      <w:tr w:rsidR="00E82512" w:rsidRPr="00E82512" w14:paraId="04E5ACE0" w14:textId="77777777" w:rsidTr="00F176FD">
        <w:tc>
          <w:tcPr>
            <w:tcW w:w="2317" w:type="dxa"/>
            <w:tcBorders>
              <w:bottom w:val="single" w:sz="4" w:space="0" w:color="auto"/>
            </w:tcBorders>
            <w:shd w:val="clear" w:color="auto" w:fill="auto"/>
            <w:tcMar>
              <w:top w:w="80" w:type="dxa"/>
              <w:left w:w="100" w:type="dxa"/>
              <w:bottom w:w="80" w:type="dxa"/>
              <w:right w:w="100" w:type="dxa"/>
            </w:tcMar>
            <w:vAlign w:val="center"/>
          </w:tcPr>
          <w:p w14:paraId="7398B1FD" w14:textId="77777777" w:rsidR="009F3DD3" w:rsidRPr="00E82512" w:rsidRDefault="009F3DD3" w:rsidP="007A2336">
            <w:pPr>
              <w:rPr>
                <w:rFonts w:ascii="Arial" w:hAnsi="Arial" w:cs="Arial"/>
                <w:sz w:val="24"/>
                <w:szCs w:val="24"/>
              </w:rPr>
            </w:pPr>
            <w:r w:rsidRPr="00E82512">
              <w:rPr>
                <w:rFonts w:ascii="Arial" w:hAnsi="Arial" w:cs="Arial"/>
                <w:sz w:val="24"/>
                <w:szCs w:val="24"/>
              </w:rPr>
              <w:t>Category / Ratio</w:t>
            </w:r>
          </w:p>
        </w:tc>
        <w:tc>
          <w:tcPr>
            <w:tcW w:w="1399" w:type="dxa"/>
            <w:tcBorders>
              <w:bottom w:val="single" w:sz="4" w:space="0" w:color="auto"/>
            </w:tcBorders>
            <w:shd w:val="clear" w:color="auto" w:fill="auto"/>
            <w:tcMar>
              <w:top w:w="80" w:type="dxa"/>
              <w:left w:w="100" w:type="dxa"/>
              <w:bottom w:w="80" w:type="dxa"/>
              <w:right w:w="100" w:type="dxa"/>
            </w:tcMar>
            <w:vAlign w:val="center"/>
          </w:tcPr>
          <w:p w14:paraId="43F1317E" w14:textId="77777777" w:rsidR="009F3DD3" w:rsidRPr="00E82512" w:rsidRDefault="009F3DD3" w:rsidP="007A2336">
            <w:pPr>
              <w:rPr>
                <w:rFonts w:ascii="Arial" w:hAnsi="Arial" w:cs="Arial"/>
                <w:sz w:val="24"/>
                <w:szCs w:val="24"/>
              </w:rPr>
            </w:pPr>
            <w:r w:rsidRPr="00E82512">
              <w:rPr>
                <w:rFonts w:ascii="Arial" w:hAnsi="Arial" w:cs="Arial"/>
                <w:sz w:val="24"/>
                <w:szCs w:val="24"/>
              </w:rPr>
              <w:t>2020</w:t>
            </w:r>
          </w:p>
        </w:tc>
        <w:tc>
          <w:tcPr>
            <w:tcW w:w="1411" w:type="dxa"/>
            <w:tcBorders>
              <w:bottom w:val="single" w:sz="4" w:space="0" w:color="auto"/>
            </w:tcBorders>
            <w:shd w:val="clear" w:color="auto" w:fill="auto"/>
            <w:tcMar>
              <w:top w:w="80" w:type="dxa"/>
              <w:left w:w="100" w:type="dxa"/>
              <w:bottom w:w="80" w:type="dxa"/>
              <w:right w:w="100" w:type="dxa"/>
            </w:tcMar>
            <w:vAlign w:val="center"/>
          </w:tcPr>
          <w:p w14:paraId="17048EE9" w14:textId="77777777" w:rsidR="009F3DD3" w:rsidRPr="00E82512" w:rsidRDefault="009F3DD3" w:rsidP="007A2336">
            <w:pPr>
              <w:rPr>
                <w:rFonts w:ascii="Arial" w:hAnsi="Arial" w:cs="Arial"/>
                <w:sz w:val="24"/>
                <w:szCs w:val="24"/>
              </w:rPr>
            </w:pPr>
            <w:r w:rsidRPr="00E82512">
              <w:rPr>
                <w:rFonts w:ascii="Arial" w:hAnsi="Arial" w:cs="Arial"/>
                <w:sz w:val="24"/>
                <w:szCs w:val="24"/>
              </w:rPr>
              <w:t>2021</w:t>
            </w:r>
          </w:p>
        </w:tc>
        <w:tc>
          <w:tcPr>
            <w:tcW w:w="1411" w:type="dxa"/>
            <w:tcBorders>
              <w:bottom w:val="single" w:sz="4" w:space="0" w:color="auto"/>
            </w:tcBorders>
            <w:shd w:val="clear" w:color="auto" w:fill="auto"/>
            <w:tcMar>
              <w:top w:w="80" w:type="dxa"/>
              <w:left w:w="100" w:type="dxa"/>
              <w:bottom w:w="80" w:type="dxa"/>
              <w:right w:w="100" w:type="dxa"/>
            </w:tcMar>
            <w:vAlign w:val="center"/>
          </w:tcPr>
          <w:p w14:paraId="24EB35D8" w14:textId="77777777" w:rsidR="009F3DD3" w:rsidRPr="00E82512" w:rsidRDefault="009F3DD3" w:rsidP="007A2336">
            <w:pPr>
              <w:rPr>
                <w:rFonts w:ascii="Arial" w:hAnsi="Arial" w:cs="Arial"/>
                <w:sz w:val="24"/>
                <w:szCs w:val="24"/>
              </w:rPr>
            </w:pPr>
            <w:r w:rsidRPr="00E82512">
              <w:rPr>
                <w:rFonts w:ascii="Arial" w:hAnsi="Arial" w:cs="Arial"/>
                <w:sz w:val="24"/>
                <w:szCs w:val="24"/>
              </w:rPr>
              <w:t>2022</w:t>
            </w:r>
          </w:p>
        </w:tc>
        <w:tc>
          <w:tcPr>
            <w:tcW w:w="1411" w:type="dxa"/>
            <w:tcBorders>
              <w:bottom w:val="single" w:sz="4" w:space="0" w:color="auto"/>
            </w:tcBorders>
            <w:shd w:val="clear" w:color="auto" w:fill="auto"/>
            <w:tcMar>
              <w:top w:w="80" w:type="dxa"/>
              <w:left w:w="100" w:type="dxa"/>
              <w:bottom w:w="80" w:type="dxa"/>
              <w:right w:w="100" w:type="dxa"/>
            </w:tcMar>
            <w:vAlign w:val="center"/>
          </w:tcPr>
          <w:p w14:paraId="6E7D77F5" w14:textId="77777777" w:rsidR="009F3DD3" w:rsidRPr="00E82512" w:rsidRDefault="009F3DD3" w:rsidP="007A2336">
            <w:pPr>
              <w:rPr>
                <w:rFonts w:ascii="Arial" w:hAnsi="Arial" w:cs="Arial"/>
                <w:sz w:val="24"/>
                <w:szCs w:val="24"/>
              </w:rPr>
            </w:pPr>
            <w:r w:rsidRPr="00E82512">
              <w:rPr>
                <w:rFonts w:ascii="Arial" w:hAnsi="Arial" w:cs="Arial"/>
                <w:sz w:val="24"/>
                <w:szCs w:val="24"/>
              </w:rPr>
              <w:t>2023</w:t>
            </w:r>
          </w:p>
        </w:tc>
        <w:tc>
          <w:tcPr>
            <w:tcW w:w="1416" w:type="dxa"/>
            <w:tcBorders>
              <w:bottom w:val="single" w:sz="4" w:space="0" w:color="auto"/>
            </w:tcBorders>
            <w:shd w:val="clear" w:color="auto" w:fill="auto"/>
            <w:tcMar>
              <w:top w:w="80" w:type="dxa"/>
              <w:left w:w="100" w:type="dxa"/>
              <w:bottom w:w="80" w:type="dxa"/>
              <w:right w:w="100" w:type="dxa"/>
            </w:tcMar>
            <w:vAlign w:val="center"/>
          </w:tcPr>
          <w:p w14:paraId="5E6FDFB3" w14:textId="50A104A7" w:rsidR="009F3DD3" w:rsidRPr="00E82512" w:rsidRDefault="009F3DD3" w:rsidP="007A2336">
            <w:pPr>
              <w:rPr>
                <w:rFonts w:ascii="Arial" w:hAnsi="Arial" w:cs="Arial"/>
                <w:sz w:val="24"/>
                <w:szCs w:val="24"/>
              </w:rPr>
            </w:pPr>
            <w:r w:rsidRPr="00E82512">
              <w:rPr>
                <w:rFonts w:ascii="Arial" w:hAnsi="Arial" w:cs="Arial"/>
                <w:sz w:val="24"/>
                <w:szCs w:val="24"/>
              </w:rPr>
              <w:t>2024</w:t>
            </w:r>
          </w:p>
        </w:tc>
      </w:tr>
      <w:tr w:rsidR="00E82512" w:rsidRPr="00E82512" w14:paraId="5389DEF3" w14:textId="77777777" w:rsidTr="007A2336">
        <w:trPr>
          <w:gridAfter w:val="1"/>
          <w:wAfter w:w="1416" w:type="dxa"/>
        </w:trPr>
        <w:tc>
          <w:tcPr>
            <w:tcW w:w="2317" w:type="dxa"/>
            <w:tcBorders>
              <w:top w:val="single" w:sz="4" w:space="0" w:color="auto"/>
              <w:left w:val="single" w:sz="4" w:space="0" w:color="auto"/>
              <w:bottom w:val="single" w:sz="4" w:space="0" w:color="auto"/>
              <w:right w:val="single" w:sz="4" w:space="0" w:color="auto"/>
            </w:tcBorders>
            <w:shd w:val="clear" w:color="auto" w:fill="auto"/>
            <w:tcMar>
              <w:top w:w="60" w:type="dxa"/>
              <w:left w:w="100" w:type="dxa"/>
              <w:bottom w:w="60" w:type="dxa"/>
              <w:right w:w="100" w:type="dxa"/>
            </w:tcMar>
            <w:vAlign w:val="center"/>
          </w:tcPr>
          <w:p w14:paraId="7A25AE7D" w14:textId="053B35DC" w:rsidR="009F3DD3" w:rsidRPr="00E82512" w:rsidRDefault="009F3DD3" w:rsidP="007A2336">
            <w:pPr>
              <w:jc w:val="center"/>
              <w:rPr>
                <w:rFonts w:ascii="Arial" w:hAnsi="Arial" w:cs="Arial"/>
                <w:sz w:val="24"/>
                <w:szCs w:val="24"/>
              </w:rPr>
            </w:pPr>
            <w:r w:rsidRPr="00E82512">
              <w:rPr>
                <w:rFonts w:ascii="Arial" w:hAnsi="Arial" w:cs="Arial"/>
                <w:b/>
                <w:bCs/>
                <w:color w:val="404040"/>
                <w:sz w:val="28"/>
                <w:szCs w:val="28"/>
              </w:rPr>
              <w:t>PROFITABILITY</w:t>
            </w:r>
          </w:p>
        </w:tc>
        <w:tc>
          <w:tcPr>
            <w:tcW w:w="1399" w:type="dxa"/>
            <w:tcBorders>
              <w:top w:val="nil"/>
              <w:left w:val="single" w:sz="4" w:space="0" w:color="auto"/>
              <w:bottom w:val="single" w:sz="4" w:space="0" w:color="auto"/>
              <w:right w:val="nil"/>
            </w:tcBorders>
            <w:shd w:val="clear" w:color="auto" w:fill="auto"/>
            <w:tcMar>
              <w:top w:w="60" w:type="dxa"/>
              <w:left w:w="100" w:type="dxa"/>
              <w:bottom w:w="60" w:type="dxa"/>
              <w:right w:w="100" w:type="dxa"/>
            </w:tcMar>
            <w:vAlign w:val="center"/>
          </w:tcPr>
          <w:p w14:paraId="12A3FC8E" w14:textId="77777777" w:rsidR="009F3DD3" w:rsidRPr="00E82512" w:rsidRDefault="009F3DD3" w:rsidP="007A2336">
            <w:pPr>
              <w:rPr>
                <w:rFonts w:ascii="Arial" w:hAnsi="Arial" w:cs="Arial"/>
                <w:sz w:val="24"/>
                <w:szCs w:val="24"/>
              </w:rPr>
            </w:pPr>
          </w:p>
        </w:tc>
        <w:tc>
          <w:tcPr>
            <w:tcW w:w="1411" w:type="dxa"/>
            <w:tcBorders>
              <w:top w:val="nil"/>
              <w:left w:val="nil"/>
              <w:bottom w:val="single" w:sz="4" w:space="0" w:color="auto"/>
              <w:right w:val="nil"/>
            </w:tcBorders>
            <w:shd w:val="clear" w:color="auto" w:fill="auto"/>
            <w:tcMar>
              <w:top w:w="60" w:type="dxa"/>
              <w:left w:w="100" w:type="dxa"/>
              <w:bottom w:w="60" w:type="dxa"/>
              <w:right w:w="100" w:type="dxa"/>
            </w:tcMar>
            <w:vAlign w:val="center"/>
          </w:tcPr>
          <w:p w14:paraId="381C92E7" w14:textId="77777777" w:rsidR="009F3DD3" w:rsidRPr="00E82512" w:rsidRDefault="009F3DD3" w:rsidP="007A2336">
            <w:pPr>
              <w:rPr>
                <w:rFonts w:ascii="Arial" w:hAnsi="Arial" w:cs="Arial"/>
                <w:sz w:val="24"/>
                <w:szCs w:val="24"/>
              </w:rPr>
            </w:pPr>
          </w:p>
        </w:tc>
        <w:tc>
          <w:tcPr>
            <w:tcW w:w="1411" w:type="dxa"/>
            <w:tcBorders>
              <w:top w:val="nil"/>
              <w:left w:val="nil"/>
              <w:bottom w:val="single" w:sz="4" w:space="0" w:color="auto"/>
              <w:right w:val="nil"/>
            </w:tcBorders>
            <w:shd w:val="clear" w:color="auto" w:fill="auto"/>
            <w:tcMar>
              <w:top w:w="60" w:type="dxa"/>
              <w:left w:w="100" w:type="dxa"/>
              <w:bottom w:w="60" w:type="dxa"/>
              <w:right w:w="100" w:type="dxa"/>
            </w:tcMar>
            <w:vAlign w:val="center"/>
          </w:tcPr>
          <w:p w14:paraId="3B3C6E0D" w14:textId="77777777" w:rsidR="009F3DD3" w:rsidRPr="00E82512" w:rsidRDefault="009F3DD3" w:rsidP="007A2336">
            <w:pPr>
              <w:rPr>
                <w:rFonts w:ascii="Arial" w:hAnsi="Arial" w:cs="Arial"/>
                <w:sz w:val="24"/>
                <w:szCs w:val="24"/>
              </w:rPr>
            </w:pPr>
          </w:p>
        </w:tc>
        <w:tc>
          <w:tcPr>
            <w:tcW w:w="1411" w:type="dxa"/>
            <w:tcBorders>
              <w:top w:val="nil"/>
              <w:left w:val="nil"/>
              <w:bottom w:val="single" w:sz="4" w:space="0" w:color="auto"/>
              <w:right w:val="nil"/>
            </w:tcBorders>
            <w:shd w:val="clear" w:color="auto" w:fill="auto"/>
            <w:tcMar>
              <w:top w:w="60" w:type="dxa"/>
              <w:left w:w="100" w:type="dxa"/>
              <w:bottom w:w="60" w:type="dxa"/>
              <w:right w:w="100" w:type="dxa"/>
            </w:tcMar>
            <w:vAlign w:val="center"/>
          </w:tcPr>
          <w:p w14:paraId="1856C32A" w14:textId="77777777" w:rsidR="009F3DD3" w:rsidRPr="00E82512" w:rsidRDefault="009F3DD3" w:rsidP="007A2336">
            <w:pPr>
              <w:rPr>
                <w:rFonts w:ascii="Arial" w:hAnsi="Arial" w:cs="Arial"/>
                <w:sz w:val="24"/>
                <w:szCs w:val="24"/>
              </w:rPr>
            </w:pPr>
          </w:p>
        </w:tc>
      </w:tr>
      <w:tr w:rsidR="00E82512" w:rsidRPr="00E82512" w14:paraId="47BBCF5F" w14:textId="77777777" w:rsidTr="00F176FD">
        <w:tc>
          <w:tcPr>
            <w:tcW w:w="2317" w:type="dxa"/>
            <w:tcBorders>
              <w:top w:val="single" w:sz="4" w:space="0" w:color="auto"/>
              <w:bottom w:val="single" w:sz="4" w:space="0" w:color="auto"/>
            </w:tcBorders>
            <w:shd w:val="clear" w:color="auto" w:fill="auto"/>
            <w:tcMar>
              <w:top w:w="60" w:type="dxa"/>
              <w:left w:w="100" w:type="dxa"/>
              <w:bottom w:w="60" w:type="dxa"/>
              <w:right w:w="100" w:type="dxa"/>
            </w:tcMar>
            <w:vAlign w:val="center"/>
          </w:tcPr>
          <w:p w14:paraId="6B3AEF0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Gross Profit Margin (%)</w:t>
            </w:r>
          </w:p>
        </w:tc>
        <w:tc>
          <w:tcPr>
            <w:tcW w:w="1399" w:type="dxa"/>
            <w:tcBorders>
              <w:top w:val="single" w:sz="4" w:space="0" w:color="auto"/>
              <w:bottom w:val="single" w:sz="4" w:space="0" w:color="auto"/>
            </w:tcBorders>
            <w:shd w:val="clear" w:color="auto" w:fill="auto"/>
            <w:tcMar>
              <w:top w:w="60" w:type="dxa"/>
              <w:left w:w="100" w:type="dxa"/>
              <w:bottom w:w="60" w:type="dxa"/>
              <w:right w:w="100" w:type="dxa"/>
            </w:tcMar>
            <w:vAlign w:val="center"/>
          </w:tcPr>
          <w:p w14:paraId="4EF20A0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17.1%</w:t>
            </w:r>
          </w:p>
        </w:tc>
        <w:tc>
          <w:tcPr>
            <w:tcW w:w="1411" w:type="dxa"/>
            <w:tcBorders>
              <w:top w:val="single" w:sz="4" w:space="0" w:color="auto"/>
              <w:bottom w:val="single" w:sz="4" w:space="0" w:color="auto"/>
            </w:tcBorders>
            <w:shd w:val="clear" w:color="auto" w:fill="auto"/>
            <w:tcMar>
              <w:top w:w="60" w:type="dxa"/>
              <w:left w:w="100" w:type="dxa"/>
              <w:bottom w:w="60" w:type="dxa"/>
              <w:right w:w="100" w:type="dxa"/>
            </w:tcMar>
            <w:vAlign w:val="center"/>
          </w:tcPr>
          <w:p w14:paraId="3677D13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19.1%</w:t>
            </w:r>
          </w:p>
        </w:tc>
        <w:tc>
          <w:tcPr>
            <w:tcW w:w="1411" w:type="dxa"/>
            <w:tcBorders>
              <w:top w:val="single" w:sz="4" w:space="0" w:color="auto"/>
              <w:bottom w:val="single" w:sz="4" w:space="0" w:color="auto"/>
            </w:tcBorders>
            <w:shd w:val="clear" w:color="auto" w:fill="auto"/>
            <w:tcMar>
              <w:top w:w="60" w:type="dxa"/>
              <w:left w:w="100" w:type="dxa"/>
              <w:bottom w:w="60" w:type="dxa"/>
              <w:right w:w="100" w:type="dxa"/>
            </w:tcMar>
            <w:vAlign w:val="center"/>
          </w:tcPr>
          <w:p w14:paraId="2DA1EB9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18.5%</w:t>
            </w:r>
          </w:p>
        </w:tc>
        <w:tc>
          <w:tcPr>
            <w:tcW w:w="1411" w:type="dxa"/>
            <w:tcBorders>
              <w:top w:val="single" w:sz="4" w:space="0" w:color="auto"/>
              <w:bottom w:val="single" w:sz="4" w:space="0" w:color="auto"/>
            </w:tcBorders>
            <w:shd w:val="clear" w:color="auto" w:fill="auto"/>
            <w:tcMar>
              <w:top w:w="60" w:type="dxa"/>
              <w:left w:w="100" w:type="dxa"/>
              <w:bottom w:w="60" w:type="dxa"/>
              <w:right w:w="100" w:type="dxa"/>
            </w:tcMar>
            <w:vAlign w:val="center"/>
          </w:tcPr>
          <w:p w14:paraId="37D7098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20.0%</w:t>
            </w:r>
          </w:p>
        </w:tc>
        <w:tc>
          <w:tcPr>
            <w:tcW w:w="1416" w:type="dxa"/>
            <w:tcBorders>
              <w:bottom w:val="single" w:sz="4" w:space="0" w:color="auto"/>
            </w:tcBorders>
            <w:shd w:val="clear" w:color="auto" w:fill="auto"/>
            <w:tcMar>
              <w:top w:w="60" w:type="dxa"/>
              <w:left w:w="100" w:type="dxa"/>
              <w:bottom w:w="60" w:type="dxa"/>
              <w:right w:w="100" w:type="dxa"/>
            </w:tcMar>
            <w:vAlign w:val="center"/>
          </w:tcPr>
          <w:p w14:paraId="4F95FA9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19.4%</w:t>
            </w:r>
          </w:p>
        </w:tc>
      </w:tr>
      <w:tr w:rsidR="00E82512" w:rsidRPr="00E82512" w14:paraId="3EC26FE6" w14:textId="77777777" w:rsidTr="00F176FD">
        <w:tc>
          <w:tcPr>
            <w:tcW w:w="2317" w:type="dxa"/>
            <w:tcBorders>
              <w:top w:val="single" w:sz="4" w:space="0" w:color="auto"/>
            </w:tcBorders>
            <w:shd w:val="clear" w:color="auto" w:fill="auto"/>
            <w:tcMar>
              <w:top w:w="60" w:type="dxa"/>
              <w:left w:w="100" w:type="dxa"/>
              <w:bottom w:w="60" w:type="dxa"/>
              <w:right w:w="100" w:type="dxa"/>
            </w:tcMar>
            <w:vAlign w:val="center"/>
          </w:tcPr>
          <w:p w14:paraId="0B0F38C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Operating Profit Margin (%)</w:t>
            </w:r>
          </w:p>
        </w:tc>
        <w:tc>
          <w:tcPr>
            <w:tcW w:w="1399" w:type="dxa"/>
            <w:tcBorders>
              <w:top w:val="single" w:sz="4" w:space="0" w:color="auto"/>
            </w:tcBorders>
            <w:shd w:val="clear" w:color="auto" w:fill="auto"/>
            <w:tcMar>
              <w:top w:w="60" w:type="dxa"/>
              <w:left w:w="100" w:type="dxa"/>
              <w:bottom w:w="60" w:type="dxa"/>
              <w:right w:w="100" w:type="dxa"/>
            </w:tcMar>
            <w:vAlign w:val="center"/>
          </w:tcPr>
          <w:p w14:paraId="62028FF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2.6%</w:t>
            </w:r>
          </w:p>
        </w:tc>
        <w:tc>
          <w:tcPr>
            <w:tcW w:w="1411" w:type="dxa"/>
            <w:tcBorders>
              <w:top w:val="single" w:sz="4" w:space="0" w:color="auto"/>
            </w:tcBorders>
            <w:shd w:val="clear" w:color="auto" w:fill="auto"/>
            <w:tcMar>
              <w:top w:w="60" w:type="dxa"/>
              <w:left w:w="100" w:type="dxa"/>
              <w:bottom w:w="60" w:type="dxa"/>
              <w:right w:w="100" w:type="dxa"/>
            </w:tcMar>
            <w:vAlign w:val="center"/>
          </w:tcPr>
          <w:p w14:paraId="17592CB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5.7%</w:t>
            </w:r>
          </w:p>
        </w:tc>
        <w:tc>
          <w:tcPr>
            <w:tcW w:w="1411" w:type="dxa"/>
            <w:tcBorders>
              <w:top w:val="single" w:sz="4" w:space="0" w:color="auto"/>
            </w:tcBorders>
            <w:shd w:val="clear" w:color="auto" w:fill="auto"/>
            <w:tcMar>
              <w:top w:w="60" w:type="dxa"/>
              <w:left w:w="100" w:type="dxa"/>
              <w:bottom w:w="60" w:type="dxa"/>
              <w:right w:w="100" w:type="dxa"/>
            </w:tcMar>
            <w:vAlign w:val="center"/>
          </w:tcPr>
          <w:p w14:paraId="5314BD8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6.9%</w:t>
            </w:r>
          </w:p>
        </w:tc>
        <w:tc>
          <w:tcPr>
            <w:tcW w:w="1411" w:type="dxa"/>
            <w:tcBorders>
              <w:top w:val="single" w:sz="4" w:space="0" w:color="auto"/>
            </w:tcBorders>
            <w:shd w:val="clear" w:color="auto" w:fill="auto"/>
            <w:tcMar>
              <w:top w:w="60" w:type="dxa"/>
              <w:left w:w="100" w:type="dxa"/>
              <w:bottom w:w="60" w:type="dxa"/>
              <w:right w:w="100" w:type="dxa"/>
            </w:tcMar>
            <w:vAlign w:val="center"/>
          </w:tcPr>
          <w:p w14:paraId="5DB87AA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9.3%</w:t>
            </w:r>
          </w:p>
        </w:tc>
        <w:tc>
          <w:tcPr>
            <w:tcW w:w="1416" w:type="dxa"/>
            <w:tcBorders>
              <w:top w:val="single" w:sz="4" w:space="0" w:color="auto"/>
            </w:tcBorders>
            <w:shd w:val="clear" w:color="auto" w:fill="auto"/>
            <w:tcMar>
              <w:top w:w="60" w:type="dxa"/>
              <w:left w:w="100" w:type="dxa"/>
              <w:bottom w:w="60" w:type="dxa"/>
              <w:right w:w="100" w:type="dxa"/>
            </w:tcMar>
            <w:vAlign w:val="center"/>
          </w:tcPr>
          <w:p w14:paraId="0945330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7.9%</w:t>
            </w:r>
          </w:p>
        </w:tc>
      </w:tr>
      <w:tr w:rsidR="00E82512" w:rsidRPr="00E82512" w14:paraId="45961D88" w14:textId="77777777" w:rsidTr="00F176FD">
        <w:tc>
          <w:tcPr>
            <w:tcW w:w="2317" w:type="dxa"/>
            <w:shd w:val="clear" w:color="auto" w:fill="auto"/>
            <w:tcMar>
              <w:top w:w="60" w:type="dxa"/>
              <w:left w:w="100" w:type="dxa"/>
              <w:bottom w:w="60" w:type="dxa"/>
              <w:right w:w="100" w:type="dxa"/>
            </w:tcMar>
            <w:vAlign w:val="center"/>
          </w:tcPr>
          <w:p w14:paraId="444BAFC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Net Profit Margin (%)</w:t>
            </w:r>
          </w:p>
        </w:tc>
        <w:tc>
          <w:tcPr>
            <w:tcW w:w="1399" w:type="dxa"/>
            <w:shd w:val="clear" w:color="auto" w:fill="auto"/>
            <w:tcMar>
              <w:top w:w="60" w:type="dxa"/>
              <w:left w:w="100" w:type="dxa"/>
              <w:bottom w:w="60" w:type="dxa"/>
              <w:right w:w="100" w:type="dxa"/>
            </w:tcMar>
            <w:vAlign w:val="center"/>
          </w:tcPr>
          <w:p w14:paraId="26A374B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w:t>
            </w:r>
          </w:p>
        </w:tc>
        <w:tc>
          <w:tcPr>
            <w:tcW w:w="1411" w:type="dxa"/>
            <w:shd w:val="clear" w:color="auto" w:fill="auto"/>
            <w:tcMar>
              <w:top w:w="60" w:type="dxa"/>
              <w:left w:w="100" w:type="dxa"/>
              <w:bottom w:w="60" w:type="dxa"/>
              <w:right w:w="100" w:type="dxa"/>
            </w:tcMar>
            <w:vAlign w:val="center"/>
          </w:tcPr>
          <w:p w14:paraId="67C1108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4.9%</w:t>
            </w:r>
          </w:p>
        </w:tc>
        <w:tc>
          <w:tcPr>
            <w:tcW w:w="1411" w:type="dxa"/>
            <w:shd w:val="clear" w:color="auto" w:fill="auto"/>
            <w:tcMar>
              <w:top w:w="60" w:type="dxa"/>
              <w:left w:w="100" w:type="dxa"/>
              <w:bottom w:w="60" w:type="dxa"/>
              <w:right w:w="100" w:type="dxa"/>
            </w:tcMar>
            <w:vAlign w:val="center"/>
          </w:tcPr>
          <w:p w14:paraId="74A4F86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5.6%</w:t>
            </w:r>
          </w:p>
        </w:tc>
        <w:tc>
          <w:tcPr>
            <w:tcW w:w="1411" w:type="dxa"/>
            <w:shd w:val="clear" w:color="auto" w:fill="auto"/>
            <w:tcMar>
              <w:top w:w="60" w:type="dxa"/>
              <w:left w:w="100" w:type="dxa"/>
              <w:bottom w:w="60" w:type="dxa"/>
              <w:right w:w="100" w:type="dxa"/>
            </w:tcMar>
            <w:vAlign w:val="center"/>
          </w:tcPr>
          <w:p w14:paraId="77DA083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7.7%</w:t>
            </w:r>
          </w:p>
        </w:tc>
        <w:tc>
          <w:tcPr>
            <w:tcW w:w="1416" w:type="dxa"/>
            <w:shd w:val="clear" w:color="auto" w:fill="auto"/>
            <w:tcMar>
              <w:top w:w="60" w:type="dxa"/>
              <w:left w:w="100" w:type="dxa"/>
              <w:bottom w:w="60" w:type="dxa"/>
              <w:right w:w="100" w:type="dxa"/>
            </w:tcMar>
            <w:vAlign w:val="center"/>
          </w:tcPr>
          <w:p w14:paraId="027B0C5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6.2%</w:t>
            </w:r>
          </w:p>
        </w:tc>
      </w:tr>
      <w:tr w:rsidR="00E82512" w:rsidRPr="00E82512" w14:paraId="002F3C52" w14:textId="77777777" w:rsidTr="00F176FD">
        <w:tc>
          <w:tcPr>
            <w:tcW w:w="2317" w:type="dxa"/>
            <w:shd w:val="clear" w:color="auto" w:fill="auto"/>
            <w:tcMar>
              <w:top w:w="60" w:type="dxa"/>
              <w:left w:w="100" w:type="dxa"/>
              <w:bottom w:w="60" w:type="dxa"/>
              <w:right w:w="100" w:type="dxa"/>
            </w:tcMar>
            <w:vAlign w:val="center"/>
          </w:tcPr>
          <w:p w14:paraId="2AF7CAC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Return on Equity — ROE (%)</w:t>
            </w:r>
          </w:p>
        </w:tc>
        <w:tc>
          <w:tcPr>
            <w:tcW w:w="1399" w:type="dxa"/>
            <w:shd w:val="clear" w:color="auto" w:fill="auto"/>
            <w:tcMar>
              <w:top w:w="60" w:type="dxa"/>
              <w:left w:w="100" w:type="dxa"/>
              <w:bottom w:w="60" w:type="dxa"/>
              <w:right w:w="100" w:type="dxa"/>
            </w:tcMar>
            <w:vAlign w:val="center"/>
          </w:tcPr>
          <w:p w14:paraId="7F2AA24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1.9%</w:t>
            </w:r>
          </w:p>
        </w:tc>
        <w:tc>
          <w:tcPr>
            <w:tcW w:w="1411" w:type="dxa"/>
            <w:shd w:val="clear" w:color="auto" w:fill="auto"/>
            <w:tcMar>
              <w:top w:w="60" w:type="dxa"/>
              <w:left w:w="100" w:type="dxa"/>
              <w:bottom w:w="60" w:type="dxa"/>
              <w:right w:w="100" w:type="dxa"/>
            </w:tcMar>
            <w:vAlign w:val="center"/>
          </w:tcPr>
          <w:p w14:paraId="21A19A2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6.5%</w:t>
            </w:r>
          </w:p>
        </w:tc>
        <w:tc>
          <w:tcPr>
            <w:tcW w:w="1411" w:type="dxa"/>
            <w:shd w:val="clear" w:color="auto" w:fill="auto"/>
            <w:tcMar>
              <w:top w:w="60" w:type="dxa"/>
              <w:left w:w="100" w:type="dxa"/>
              <w:bottom w:w="60" w:type="dxa"/>
              <w:right w:w="100" w:type="dxa"/>
            </w:tcMar>
            <w:vAlign w:val="center"/>
          </w:tcPr>
          <w:p w14:paraId="4FA286F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8.3%</w:t>
            </w:r>
          </w:p>
        </w:tc>
        <w:tc>
          <w:tcPr>
            <w:tcW w:w="1411" w:type="dxa"/>
            <w:shd w:val="clear" w:color="auto" w:fill="auto"/>
            <w:tcMar>
              <w:top w:w="60" w:type="dxa"/>
              <w:left w:w="100" w:type="dxa"/>
              <w:bottom w:w="60" w:type="dxa"/>
              <w:right w:w="100" w:type="dxa"/>
            </w:tcMar>
            <w:vAlign w:val="center"/>
          </w:tcPr>
          <w:p w14:paraId="29211E5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11.5%</w:t>
            </w:r>
          </w:p>
        </w:tc>
        <w:tc>
          <w:tcPr>
            <w:tcW w:w="1416" w:type="dxa"/>
            <w:shd w:val="clear" w:color="auto" w:fill="auto"/>
            <w:tcMar>
              <w:top w:w="60" w:type="dxa"/>
              <w:left w:w="100" w:type="dxa"/>
              <w:bottom w:w="60" w:type="dxa"/>
              <w:right w:w="100" w:type="dxa"/>
            </w:tcMar>
            <w:vAlign w:val="center"/>
          </w:tcPr>
          <w:p w14:paraId="7696545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9.4%</w:t>
            </w:r>
          </w:p>
        </w:tc>
      </w:tr>
      <w:tr w:rsidR="00E82512" w:rsidRPr="00E82512" w14:paraId="278EB959" w14:textId="77777777" w:rsidTr="00F176FD">
        <w:tc>
          <w:tcPr>
            <w:tcW w:w="2317" w:type="dxa"/>
            <w:shd w:val="clear" w:color="auto" w:fill="auto"/>
            <w:tcMar>
              <w:top w:w="60" w:type="dxa"/>
              <w:left w:w="100" w:type="dxa"/>
              <w:bottom w:w="60" w:type="dxa"/>
              <w:right w:w="100" w:type="dxa"/>
            </w:tcMar>
            <w:vAlign w:val="center"/>
          </w:tcPr>
          <w:p w14:paraId="2F29C2A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Return on Assets — ROA (%)</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701E12C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0.7%</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4CC26F4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2.3%</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5A339F5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3.0%</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09743DA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4.4%</w:t>
            </w:r>
          </w:p>
        </w:tc>
        <w:tc>
          <w:tcPr>
            <w:tcW w:w="1416" w:type="dxa"/>
            <w:shd w:val="clear" w:color="auto" w:fill="auto"/>
            <w:tcMar>
              <w:top w:w="60" w:type="dxa"/>
              <w:left w:w="100" w:type="dxa"/>
              <w:bottom w:w="60" w:type="dxa"/>
              <w:right w:w="100" w:type="dxa"/>
            </w:tcMar>
            <w:vAlign w:val="center"/>
          </w:tcPr>
          <w:p w14:paraId="4B6CCA0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w:t>
            </w:r>
          </w:p>
        </w:tc>
      </w:tr>
      <w:tr w:rsidR="00E82512" w:rsidRPr="00E82512" w14:paraId="7722DD3D" w14:textId="77777777" w:rsidTr="00F176FD">
        <w:tc>
          <w:tcPr>
            <w:tcW w:w="2317" w:type="dxa"/>
            <w:tcBorders>
              <w:bottom w:val="single" w:sz="4" w:space="0" w:color="auto"/>
            </w:tcBorders>
            <w:shd w:val="clear" w:color="auto" w:fill="auto"/>
            <w:tcMar>
              <w:top w:w="60" w:type="dxa"/>
              <w:left w:w="100" w:type="dxa"/>
              <w:bottom w:w="60" w:type="dxa"/>
              <w:right w:w="100" w:type="dxa"/>
            </w:tcMar>
            <w:vAlign w:val="center"/>
          </w:tcPr>
          <w:p w14:paraId="2969402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EBITDA Margin (%)</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45CF1A8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6.1%</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353A226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9.4%</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1247D14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10.5%</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6835035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13.0%</w:t>
            </w:r>
          </w:p>
        </w:tc>
        <w:tc>
          <w:tcPr>
            <w:tcW w:w="1416" w:type="dxa"/>
            <w:shd w:val="clear" w:color="auto" w:fill="auto"/>
            <w:tcMar>
              <w:top w:w="60" w:type="dxa"/>
              <w:left w:w="100" w:type="dxa"/>
              <w:bottom w:w="60" w:type="dxa"/>
              <w:right w:w="100" w:type="dxa"/>
            </w:tcMar>
            <w:vAlign w:val="center"/>
          </w:tcPr>
          <w:p w14:paraId="54CDD2F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11.8%</w:t>
            </w:r>
          </w:p>
        </w:tc>
      </w:tr>
      <w:tr w:rsidR="00E82512" w:rsidRPr="00E82512" w14:paraId="621B9B05" w14:textId="77777777" w:rsidTr="007A2336">
        <w:trPr>
          <w:gridAfter w:val="1"/>
          <w:wAfter w:w="1416" w:type="dxa"/>
        </w:trPr>
        <w:tc>
          <w:tcPr>
            <w:tcW w:w="2317" w:type="dxa"/>
            <w:tcBorders>
              <w:right w:val="single" w:sz="4" w:space="0" w:color="auto"/>
            </w:tcBorders>
            <w:shd w:val="clear" w:color="auto" w:fill="auto"/>
            <w:tcMar>
              <w:top w:w="60" w:type="dxa"/>
              <w:left w:w="100" w:type="dxa"/>
              <w:bottom w:w="60" w:type="dxa"/>
              <w:right w:w="100" w:type="dxa"/>
            </w:tcMar>
            <w:vAlign w:val="center"/>
          </w:tcPr>
          <w:p w14:paraId="0F8E5E01" w14:textId="3601FC5C" w:rsidR="009F3DD3" w:rsidRPr="00E82512" w:rsidRDefault="009F3DD3" w:rsidP="007A2336">
            <w:pPr>
              <w:jc w:val="center"/>
              <w:rPr>
                <w:rFonts w:ascii="Arial" w:hAnsi="Arial" w:cs="Arial"/>
                <w:sz w:val="24"/>
                <w:szCs w:val="24"/>
              </w:rPr>
            </w:pPr>
            <w:r w:rsidRPr="00E82512">
              <w:rPr>
                <w:rFonts w:ascii="Arial" w:hAnsi="Arial" w:cs="Arial"/>
                <w:b/>
                <w:bCs/>
                <w:color w:val="404040"/>
                <w:sz w:val="28"/>
                <w:szCs w:val="28"/>
              </w:rPr>
              <w:t>LIQUIDITY</w:t>
            </w:r>
          </w:p>
        </w:tc>
        <w:tc>
          <w:tcPr>
            <w:tcW w:w="1399" w:type="dxa"/>
            <w:tcBorders>
              <w:top w:val="single" w:sz="4" w:space="0" w:color="auto"/>
              <w:left w:val="single" w:sz="4" w:space="0" w:color="auto"/>
              <w:bottom w:val="single" w:sz="4" w:space="0" w:color="auto"/>
              <w:right w:val="nil"/>
            </w:tcBorders>
            <w:shd w:val="clear" w:color="auto" w:fill="auto"/>
            <w:tcMar>
              <w:top w:w="60" w:type="dxa"/>
              <w:left w:w="100" w:type="dxa"/>
              <w:bottom w:w="60" w:type="dxa"/>
              <w:right w:w="100" w:type="dxa"/>
            </w:tcMar>
            <w:vAlign w:val="center"/>
          </w:tcPr>
          <w:p w14:paraId="63B9151E"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4E6C080C"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217DA0A2"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6B882C62" w14:textId="77777777" w:rsidR="009F3DD3" w:rsidRPr="00E82512" w:rsidRDefault="009F3DD3" w:rsidP="007A2336">
            <w:pPr>
              <w:rPr>
                <w:rFonts w:ascii="Arial" w:hAnsi="Arial" w:cs="Arial"/>
                <w:sz w:val="24"/>
                <w:szCs w:val="24"/>
              </w:rPr>
            </w:pPr>
          </w:p>
        </w:tc>
      </w:tr>
      <w:tr w:rsidR="00E82512" w:rsidRPr="00E82512" w14:paraId="6108451E" w14:textId="77777777" w:rsidTr="00F176FD">
        <w:tc>
          <w:tcPr>
            <w:tcW w:w="2317" w:type="dxa"/>
            <w:shd w:val="clear" w:color="auto" w:fill="auto"/>
            <w:tcMar>
              <w:top w:w="60" w:type="dxa"/>
              <w:left w:w="100" w:type="dxa"/>
              <w:bottom w:w="60" w:type="dxa"/>
              <w:right w:w="100" w:type="dxa"/>
            </w:tcMar>
            <w:vAlign w:val="center"/>
          </w:tcPr>
          <w:p w14:paraId="5816EC8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Current Ratio (x)</w:t>
            </w:r>
          </w:p>
        </w:tc>
        <w:tc>
          <w:tcPr>
            <w:tcW w:w="1399" w:type="dxa"/>
            <w:tcBorders>
              <w:top w:val="single" w:sz="4" w:space="0" w:color="auto"/>
            </w:tcBorders>
            <w:shd w:val="clear" w:color="auto" w:fill="auto"/>
            <w:tcMar>
              <w:top w:w="60" w:type="dxa"/>
              <w:left w:w="100" w:type="dxa"/>
              <w:bottom w:w="60" w:type="dxa"/>
              <w:right w:w="100" w:type="dxa"/>
            </w:tcMar>
            <w:vAlign w:val="center"/>
          </w:tcPr>
          <w:p w14:paraId="027DBFF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1.07x</w:t>
            </w:r>
          </w:p>
        </w:tc>
        <w:tc>
          <w:tcPr>
            <w:tcW w:w="1411" w:type="dxa"/>
            <w:tcBorders>
              <w:top w:val="single" w:sz="4" w:space="0" w:color="auto"/>
            </w:tcBorders>
            <w:shd w:val="clear" w:color="auto" w:fill="auto"/>
            <w:tcMar>
              <w:top w:w="60" w:type="dxa"/>
              <w:left w:w="100" w:type="dxa"/>
              <w:bottom w:w="60" w:type="dxa"/>
              <w:right w:w="100" w:type="dxa"/>
            </w:tcMar>
            <w:vAlign w:val="center"/>
          </w:tcPr>
          <w:p w14:paraId="2D3AC31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1.08x</w:t>
            </w:r>
          </w:p>
        </w:tc>
        <w:tc>
          <w:tcPr>
            <w:tcW w:w="1411" w:type="dxa"/>
            <w:tcBorders>
              <w:top w:val="single" w:sz="4" w:space="0" w:color="auto"/>
            </w:tcBorders>
            <w:shd w:val="clear" w:color="auto" w:fill="auto"/>
            <w:tcMar>
              <w:top w:w="60" w:type="dxa"/>
              <w:left w:w="100" w:type="dxa"/>
              <w:bottom w:w="60" w:type="dxa"/>
              <w:right w:w="100" w:type="dxa"/>
            </w:tcMar>
            <w:vAlign w:val="center"/>
          </w:tcPr>
          <w:p w14:paraId="425B516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1.10x</w:t>
            </w:r>
          </w:p>
        </w:tc>
        <w:tc>
          <w:tcPr>
            <w:tcW w:w="1411" w:type="dxa"/>
            <w:tcBorders>
              <w:top w:val="single" w:sz="4" w:space="0" w:color="auto"/>
            </w:tcBorders>
            <w:shd w:val="clear" w:color="auto" w:fill="auto"/>
            <w:tcMar>
              <w:top w:w="60" w:type="dxa"/>
              <w:left w:w="100" w:type="dxa"/>
              <w:bottom w:w="60" w:type="dxa"/>
              <w:right w:w="100" w:type="dxa"/>
            </w:tcMar>
            <w:vAlign w:val="center"/>
          </w:tcPr>
          <w:p w14:paraId="444FAE0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1.12x</w:t>
            </w:r>
          </w:p>
        </w:tc>
        <w:tc>
          <w:tcPr>
            <w:tcW w:w="1416" w:type="dxa"/>
            <w:shd w:val="clear" w:color="auto" w:fill="auto"/>
            <w:tcMar>
              <w:top w:w="60" w:type="dxa"/>
              <w:left w:w="100" w:type="dxa"/>
              <w:bottom w:w="60" w:type="dxa"/>
              <w:right w:w="100" w:type="dxa"/>
            </w:tcMar>
            <w:vAlign w:val="center"/>
          </w:tcPr>
          <w:p w14:paraId="3FD4C7F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1.12x</w:t>
            </w:r>
          </w:p>
        </w:tc>
      </w:tr>
      <w:tr w:rsidR="00E82512" w:rsidRPr="00E82512" w14:paraId="3574EB16" w14:textId="77777777" w:rsidTr="00F176FD">
        <w:tc>
          <w:tcPr>
            <w:tcW w:w="2317" w:type="dxa"/>
            <w:shd w:val="clear" w:color="auto" w:fill="auto"/>
            <w:tcMar>
              <w:top w:w="60" w:type="dxa"/>
              <w:left w:w="100" w:type="dxa"/>
              <w:bottom w:w="60" w:type="dxa"/>
              <w:right w:w="100" w:type="dxa"/>
            </w:tcMar>
            <w:vAlign w:val="center"/>
          </w:tcPr>
          <w:p w14:paraId="1550697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Quick Ratio (x)</w:t>
            </w:r>
          </w:p>
        </w:tc>
        <w:tc>
          <w:tcPr>
            <w:tcW w:w="1399" w:type="dxa"/>
            <w:shd w:val="clear" w:color="auto" w:fill="auto"/>
            <w:tcMar>
              <w:top w:w="60" w:type="dxa"/>
              <w:left w:w="100" w:type="dxa"/>
              <w:bottom w:w="60" w:type="dxa"/>
              <w:right w:w="100" w:type="dxa"/>
            </w:tcMar>
            <w:vAlign w:val="center"/>
          </w:tcPr>
          <w:p w14:paraId="48E9C9D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0.91x</w:t>
            </w:r>
          </w:p>
        </w:tc>
        <w:tc>
          <w:tcPr>
            <w:tcW w:w="1411" w:type="dxa"/>
            <w:shd w:val="clear" w:color="auto" w:fill="auto"/>
            <w:tcMar>
              <w:top w:w="60" w:type="dxa"/>
              <w:left w:w="100" w:type="dxa"/>
              <w:bottom w:w="60" w:type="dxa"/>
              <w:right w:w="100" w:type="dxa"/>
            </w:tcMar>
            <w:vAlign w:val="center"/>
          </w:tcPr>
          <w:p w14:paraId="4BF173B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0.92x</w:t>
            </w:r>
          </w:p>
        </w:tc>
        <w:tc>
          <w:tcPr>
            <w:tcW w:w="1411" w:type="dxa"/>
            <w:shd w:val="clear" w:color="auto" w:fill="auto"/>
            <w:tcMar>
              <w:top w:w="60" w:type="dxa"/>
              <w:left w:w="100" w:type="dxa"/>
              <w:bottom w:w="60" w:type="dxa"/>
              <w:right w:w="100" w:type="dxa"/>
            </w:tcMar>
            <w:vAlign w:val="center"/>
          </w:tcPr>
          <w:p w14:paraId="08F0B37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0.93x</w:t>
            </w:r>
          </w:p>
        </w:tc>
        <w:tc>
          <w:tcPr>
            <w:tcW w:w="1411" w:type="dxa"/>
            <w:shd w:val="clear" w:color="auto" w:fill="auto"/>
            <w:tcMar>
              <w:top w:w="60" w:type="dxa"/>
              <w:left w:w="100" w:type="dxa"/>
              <w:bottom w:w="60" w:type="dxa"/>
              <w:right w:w="100" w:type="dxa"/>
            </w:tcMar>
            <w:vAlign w:val="center"/>
          </w:tcPr>
          <w:p w14:paraId="15224F8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0.96x</w:t>
            </w:r>
          </w:p>
        </w:tc>
        <w:tc>
          <w:tcPr>
            <w:tcW w:w="1416" w:type="dxa"/>
            <w:shd w:val="clear" w:color="auto" w:fill="auto"/>
            <w:tcMar>
              <w:top w:w="60" w:type="dxa"/>
              <w:left w:w="100" w:type="dxa"/>
              <w:bottom w:w="60" w:type="dxa"/>
              <w:right w:w="100" w:type="dxa"/>
            </w:tcMar>
            <w:vAlign w:val="center"/>
          </w:tcPr>
          <w:p w14:paraId="6051995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0.97x</w:t>
            </w:r>
          </w:p>
        </w:tc>
      </w:tr>
      <w:tr w:rsidR="00E82512" w:rsidRPr="00E82512" w14:paraId="4AF15983" w14:textId="77777777" w:rsidTr="00F176FD">
        <w:tc>
          <w:tcPr>
            <w:tcW w:w="2317" w:type="dxa"/>
            <w:shd w:val="clear" w:color="auto" w:fill="auto"/>
            <w:tcMar>
              <w:top w:w="60" w:type="dxa"/>
              <w:left w:w="100" w:type="dxa"/>
              <w:bottom w:w="60" w:type="dxa"/>
              <w:right w:w="100" w:type="dxa"/>
            </w:tcMar>
            <w:vAlign w:val="center"/>
          </w:tcPr>
          <w:p w14:paraId="616B793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Cash Ratio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7316251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0.24x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3399FC0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0.25x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3567AC7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0.24x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6550CD2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0.26x</w:t>
            </w:r>
          </w:p>
        </w:tc>
        <w:tc>
          <w:tcPr>
            <w:tcW w:w="1416" w:type="dxa"/>
            <w:shd w:val="clear" w:color="auto" w:fill="auto"/>
            <w:tcMar>
              <w:top w:w="60" w:type="dxa"/>
              <w:left w:w="100" w:type="dxa"/>
              <w:bottom w:w="60" w:type="dxa"/>
              <w:right w:w="100" w:type="dxa"/>
            </w:tcMar>
            <w:vAlign w:val="center"/>
          </w:tcPr>
          <w:p w14:paraId="67DAAB7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0.28x</w:t>
            </w:r>
          </w:p>
        </w:tc>
      </w:tr>
      <w:tr w:rsidR="00E82512" w:rsidRPr="00E82512" w14:paraId="633CB4C7" w14:textId="77777777" w:rsidTr="00F176FD">
        <w:tc>
          <w:tcPr>
            <w:tcW w:w="2317" w:type="dxa"/>
            <w:tcBorders>
              <w:bottom w:val="single" w:sz="4" w:space="0" w:color="auto"/>
            </w:tcBorders>
            <w:shd w:val="clear" w:color="auto" w:fill="auto"/>
            <w:tcMar>
              <w:top w:w="60" w:type="dxa"/>
              <w:left w:w="100" w:type="dxa"/>
              <w:bottom w:w="60" w:type="dxa"/>
              <w:right w:w="100" w:type="dxa"/>
            </w:tcMar>
            <w:vAlign w:val="center"/>
          </w:tcPr>
          <w:p w14:paraId="2803C98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lastRenderedPageBreak/>
              <w:t>Net Working Capital (KRW bn)</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3457698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5,000</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18785B4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6,000</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5C536B1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8,000</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0740548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10,000</w:t>
            </w:r>
          </w:p>
        </w:tc>
        <w:tc>
          <w:tcPr>
            <w:tcW w:w="1416" w:type="dxa"/>
            <w:shd w:val="clear" w:color="auto" w:fill="auto"/>
            <w:tcMar>
              <w:top w:w="60" w:type="dxa"/>
              <w:left w:w="100" w:type="dxa"/>
              <w:bottom w:w="60" w:type="dxa"/>
              <w:right w:w="100" w:type="dxa"/>
            </w:tcMar>
            <w:vAlign w:val="center"/>
          </w:tcPr>
          <w:p w14:paraId="49F8A77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11,000</w:t>
            </w:r>
          </w:p>
        </w:tc>
      </w:tr>
      <w:tr w:rsidR="00E82512" w:rsidRPr="00E82512" w14:paraId="3C899F46" w14:textId="77777777" w:rsidTr="007A2336">
        <w:trPr>
          <w:gridAfter w:val="1"/>
          <w:wAfter w:w="1416" w:type="dxa"/>
        </w:trPr>
        <w:tc>
          <w:tcPr>
            <w:tcW w:w="2317" w:type="dxa"/>
            <w:tcBorders>
              <w:right w:val="single" w:sz="4" w:space="0" w:color="auto"/>
            </w:tcBorders>
            <w:shd w:val="clear" w:color="auto" w:fill="auto"/>
            <w:tcMar>
              <w:top w:w="60" w:type="dxa"/>
              <w:left w:w="100" w:type="dxa"/>
              <w:bottom w:w="60" w:type="dxa"/>
              <w:right w:w="100" w:type="dxa"/>
            </w:tcMar>
            <w:vAlign w:val="center"/>
          </w:tcPr>
          <w:p w14:paraId="2AF01381" w14:textId="67B611C0" w:rsidR="009F3DD3" w:rsidRPr="00176013" w:rsidRDefault="009F3DD3" w:rsidP="007A2336">
            <w:pPr>
              <w:jc w:val="center"/>
              <w:rPr>
                <w:rFonts w:ascii="Arial" w:hAnsi="Arial" w:cs="Arial"/>
                <w:b/>
                <w:bCs/>
                <w:sz w:val="24"/>
                <w:szCs w:val="24"/>
              </w:rPr>
            </w:pPr>
            <w:r w:rsidRPr="00176013">
              <w:rPr>
                <w:rFonts w:ascii="Arial" w:hAnsi="Arial" w:cs="Arial"/>
                <w:b/>
                <w:bCs/>
                <w:color w:val="404040"/>
                <w:sz w:val="28"/>
                <w:szCs w:val="28"/>
              </w:rPr>
              <w:t>EFFICIENCY</w:t>
            </w:r>
          </w:p>
        </w:tc>
        <w:tc>
          <w:tcPr>
            <w:tcW w:w="1399" w:type="dxa"/>
            <w:tcBorders>
              <w:top w:val="single" w:sz="4" w:space="0" w:color="auto"/>
              <w:left w:val="single" w:sz="4" w:space="0" w:color="auto"/>
              <w:bottom w:val="single" w:sz="4" w:space="0" w:color="auto"/>
              <w:right w:val="nil"/>
            </w:tcBorders>
            <w:shd w:val="clear" w:color="auto" w:fill="auto"/>
            <w:tcMar>
              <w:top w:w="60" w:type="dxa"/>
              <w:left w:w="100" w:type="dxa"/>
              <w:bottom w:w="60" w:type="dxa"/>
              <w:right w:w="100" w:type="dxa"/>
            </w:tcMar>
            <w:vAlign w:val="center"/>
          </w:tcPr>
          <w:p w14:paraId="57291434"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5DF8EEA6"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31E83564"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34550410" w14:textId="77777777" w:rsidR="009F3DD3" w:rsidRPr="00E82512" w:rsidRDefault="009F3DD3" w:rsidP="007A2336">
            <w:pPr>
              <w:rPr>
                <w:rFonts w:ascii="Arial" w:hAnsi="Arial" w:cs="Arial"/>
                <w:sz w:val="24"/>
                <w:szCs w:val="24"/>
              </w:rPr>
            </w:pPr>
          </w:p>
        </w:tc>
      </w:tr>
      <w:tr w:rsidR="00E82512" w:rsidRPr="00E82512" w14:paraId="0FCB21EA" w14:textId="77777777" w:rsidTr="00F176FD">
        <w:tc>
          <w:tcPr>
            <w:tcW w:w="2317" w:type="dxa"/>
            <w:shd w:val="clear" w:color="auto" w:fill="auto"/>
            <w:tcMar>
              <w:top w:w="60" w:type="dxa"/>
              <w:left w:w="100" w:type="dxa"/>
              <w:bottom w:w="60" w:type="dxa"/>
              <w:right w:w="100" w:type="dxa"/>
            </w:tcMar>
            <w:vAlign w:val="center"/>
          </w:tcPr>
          <w:p w14:paraId="06B0028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Inventory Days (days)</w:t>
            </w:r>
          </w:p>
        </w:tc>
        <w:tc>
          <w:tcPr>
            <w:tcW w:w="1399" w:type="dxa"/>
            <w:tcBorders>
              <w:top w:val="single" w:sz="4" w:space="0" w:color="auto"/>
            </w:tcBorders>
            <w:shd w:val="clear" w:color="auto" w:fill="auto"/>
            <w:tcMar>
              <w:top w:w="60" w:type="dxa"/>
              <w:left w:w="100" w:type="dxa"/>
              <w:bottom w:w="60" w:type="dxa"/>
              <w:right w:w="100" w:type="dxa"/>
            </w:tcMar>
            <w:vAlign w:val="center"/>
          </w:tcPr>
          <w:p w14:paraId="295D63B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48.8</w:t>
            </w:r>
          </w:p>
        </w:tc>
        <w:tc>
          <w:tcPr>
            <w:tcW w:w="1411" w:type="dxa"/>
            <w:tcBorders>
              <w:top w:val="single" w:sz="4" w:space="0" w:color="auto"/>
            </w:tcBorders>
            <w:shd w:val="clear" w:color="auto" w:fill="auto"/>
            <w:tcMar>
              <w:top w:w="60" w:type="dxa"/>
              <w:left w:w="100" w:type="dxa"/>
              <w:bottom w:w="60" w:type="dxa"/>
              <w:right w:w="100" w:type="dxa"/>
            </w:tcMar>
            <w:vAlign w:val="center"/>
          </w:tcPr>
          <w:p w14:paraId="7EC7FEB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46.1</w:t>
            </w:r>
          </w:p>
        </w:tc>
        <w:tc>
          <w:tcPr>
            <w:tcW w:w="1411" w:type="dxa"/>
            <w:tcBorders>
              <w:top w:val="single" w:sz="4" w:space="0" w:color="auto"/>
            </w:tcBorders>
            <w:shd w:val="clear" w:color="auto" w:fill="auto"/>
            <w:tcMar>
              <w:top w:w="60" w:type="dxa"/>
              <w:left w:w="100" w:type="dxa"/>
              <w:bottom w:w="60" w:type="dxa"/>
              <w:right w:w="100" w:type="dxa"/>
            </w:tcMar>
            <w:vAlign w:val="center"/>
          </w:tcPr>
          <w:p w14:paraId="598356A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45.6</w:t>
            </w:r>
          </w:p>
        </w:tc>
        <w:tc>
          <w:tcPr>
            <w:tcW w:w="1411" w:type="dxa"/>
            <w:tcBorders>
              <w:top w:val="single" w:sz="4" w:space="0" w:color="auto"/>
            </w:tcBorders>
            <w:shd w:val="clear" w:color="auto" w:fill="auto"/>
            <w:tcMar>
              <w:top w:w="60" w:type="dxa"/>
              <w:left w:w="100" w:type="dxa"/>
              <w:bottom w:w="60" w:type="dxa"/>
              <w:right w:w="100" w:type="dxa"/>
            </w:tcMar>
            <w:vAlign w:val="center"/>
          </w:tcPr>
          <w:p w14:paraId="1EA0D42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37.9</w:t>
            </w:r>
          </w:p>
        </w:tc>
        <w:tc>
          <w:tcPr>
            <w:tcW w:w="1416" w:type="dxa"/>
            <w:shd w:val="clear" w:color="auto" w:fill="auto"/>
            <w:tcMar>
              <w:top w:w="60" w:type="dxa"/>
              <w:left w:w="100" w:type="dxa"/>
              <w:bottom w:w="60" w:type="dxa"/>
              <w:right w:w="100" w:type="dxa"/>
            </w:tcMar>
            <w:vAlign w:val="center"/>
          </w:tcPr>
          <w:p w14:paraId="1AF6F96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36.1</w:t>
            </w:r>
          </w:p>
        </w:tc>
      </w:tr>
      <w:tr w:rsidR="00E82512" w:rsidRPr="00E82512" w14:paraId="675961EA" w14:textId="77777777" w:rsidTr="00F176FD">
        <w:tc>
          <w:tcPr>
            <w:tcW w:w="2317" w:type="dxa"/>
            <w:shd w:val="clear" w:color="auto" w:fill="auto"/>
            <w:tcMar>
              <w:top w:w="60" w:type="dxa"/>
              <w:left w:w="100" w:type="dxa"/>
              <w:bottom w:w="60" w:type="dxa"/>
              <w:right w:w="100" w:type="dxa"/>
            </w:tcMar>
            <w:vAlign w:val="center"/>
          </w:tcPr>
          <w:p w14:paraId="7EE0CFA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Receivables Days (days)</w:t>
            </w:r>
          </w:p>
        </w:tc>
        <w:tc>
          <w:tcPr>
            <w:tcW w:w="1399" w:type="dxa"/>
            <w:shd w:val="clear" w:color="auto" w:fill="auto"/>
            <w:tcMar>
              <w:top w:w="60" w:type="dxa"/>
              <w:left w:w="100" w:type="dxa"/>
              <w:bottom w:w="60" w:type="dxa"/>
              <w:right w:w="100" w:type="dxa"/>
            </w:tcMar>
            <w:vAlign w:val="center"/>
          </w:tcPr>
          <w:p w14:paraId="118ACB4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28.1</w:t>
            </w:r>
          </w:p>
        </w:tc>
        <w:tc>
          <w:tcPr>
            <w:tcW w:w="1411" w:type="dxa"/>
            <w:shd w:val="clear" w:color="auto" w:fill="auto"/>
            <w:tcMar>
              <w:top w:w="60" w:type="dxa"/>
              <w:left w:w="100" w:type="dxa"/>
              <w:bottom w:w="60" w:type="dxa"/>
              <w:right w:w="100" w:type="dxa"/>
            </w:tcMar>
            <w:vAlign w:val="center"/>
          </w:tcPr>
          <w:p w14:paraId="14A530A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27.9</w:t>
            </w:r>
          </w:p>
        </w:tc>
        <w:tc>
          <w:tcPr>
            <w:tcW w:w="1411" w:type="dxa"/>
            <w:shd w:val="clear" w:color="auto" w:fill="auto"/>
            <w:tcMar>
              <w:top w:w="60" w:type="dxa"/>
              <w:left w:w="100" w:type="dxa"/>
              <w:bottom w:w="60" w:type="dxa"/>
              <w:right w:w="100" w:type="dxa"/>
            </w:tcMar>
            <w:vAlign w:val="center"/>
          </w:tcPr>
          <w:p w14:paraId="2047F93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25.6</w:t>
            </w:r>
          </w:p>
        </w:tc>
        <w:tc>
          <w:tcPr>
            <w:tcW w:w="1411" w:type="dxa"/>
            <w:shd w:val="clear" w:color="auto" w:fill="auto"/>
            <w:tcMar>
              <w:top w:w="60" w:type="dxa"/>
              <w:left w:w="100" w:type="dxa"/>
              <w:bottom w:w="60" w:type="dxa"/>
              <w:right w:w="100" w:type="dxa"/>
            </w:tcMar>
            <w:vAlign w:val="center"/>
          </w:tcPr>
          <w:p w14:paraId="0430939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24.7</w:t>
            </w:r>
          </w:p>
        </w:tc>
        <w:tc>
          <w:tcPr>
            <w:tcW w:w="1416" w:type="dxa"/>
            <w:shd w:val="clear" w:color="auto" w:fill="auto"/>
            <w:tcMar>
              <w:top w:w="60" w:type="dxa"/>
              <w:left w:w="100" w:type="dxa"/>
              <w:bottom w:w="60" w:type="dxa"/>
              <w:right w:w="100" w:type="dxa"/>
            </w:tcMar>
            <w:vAlign w:val="center"/>
          </w:tcPr>
          <w:p w14:paraId="5699DA5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24.5</w:t>
            </w:r>
          </w:p>
        </w:tc>
      </w:tr>
      <w:tr w:rsidR="00E82512" w:rsidRPr="00E82512" w14:paraId="1BDC8160" w14:textId="77777777" w:rsidTr="00F176FD">
        <w:tc>
          <w:tcPr>
            <w:tcW w:w="2317" w:type="dxa"/>
            <w:shd w:val="clear" w:color="auto" w:fill="auto"/>
            <w:tcMar>
              <w:top w:w="60" w:type="dxa"/>
              <w:left w:w="100" w:type="dxa"/>
              <w:bottom w:w="60" w:type="dxa"/>
              <w:right w:w="100" w:type="dxa"/>
            </w:tcMar>
            <w:vAlign w:val="center"/>
          </w:tcPr>
          <w:p w14:paraId="6B0E3DF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Payables Days (days)</w:t>
            </w:r>
          </w:p>
        </w:tc>
        <w:tc>
          <w:tcPr>
            <w:tcW w:w="1399" w:type="dxa"/>
            <w:shd w:val="clear" w:color="auto" w:fill="auto"/>
            <w:tcMar>
              <w:top w:w="60" w:type="dxa"/>
              <w:left w:w="100" w:type="dxa"/>
              <w:bottom w:w="60" w:type="dxa"/>
              <w:right w:w="100" w:type="dxa"/>
            </w:tcMar>
            <w:vAlign w:val="center"/>
          </w:tcPr>
          <w:p w14:paraId="1C6B7B5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44.6</w:t>
            </w:r>
          </w:p>
        </w:tc>
        <w:tc>
          <w:tcPr>
            <w:tcW w:w="1411" w:type="dxa"/>
            <w:shd w:val="clear" w:color="auto" w:fill="auto"/>
            <w:tcMar>
              <w:top w:w="60" w:type="dxa"/>
              <w:left w:w="100" w:type="dxa"/>
              <w:bottom w:w="60" w:type="dxa"/>
              <w:right w:w="100" w:type="dxa"/>
            </w:tcMar>
            <w:vAlign w:val="center"/>
          </w:tcPr>
          <w:p w14:paraId="6268111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42.3</w:t>
            </w:r>
          </w:p>
        </w:tc>
        <w:tc>
          <w:tcPr>
            <w:tcW w:w="1411" w:type="dxa"/>
            <w:shd w:val="clear" w:color="auto" w:fill="auto"/>
            <w:tcMar>
              <w:top w:w="60" w:type="dxa"/>
              <w:left w:w="100" w:type="dxa"/>
              <w:bottom w:w="60" w:type="dxa"/>
              <w:right w:w="100" w:type="dxa"/>
            </w:tcMar>
            <w:vAlign w:val="center"/>
          </w:tcPr>
          <w:p w14:paraId="4D63D68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39.3</w:t>
            </w:r>
          </w:p>
        </w:tc>
        <w:tc>
          <w:tcPr>
            <w:tcW w:w="1411" w:type="dxa"/>
            <w:shd w:val="clear" w:color="auto" w:fill="auto"/>
            <w:tcMar>
              <w:top w:w="60" w:type="dxa"/>
              <w:left w:w="100" w:type="dxa"/>
              <w:bottom w:w="60" w:type="dxa"/>
              <w:right w:w="100" w:type="dxa"/>
            </w:tcMar>
            <w:vAlign w:val="center"/>
          </w:tcPr>
          <w:p w14:paraId="0A29BD9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36.5</w:t>
            </w:r>
          </w:p>
        </w:tc>
        <w:tc>
          <w:tcPr>
            <w:tcW w:w="1416" w:type="dxa"/>
            <w:shd w:val="clear" w:color="auto" w:fill="auto"/>
            <w:tcMar>
              <w:top w:w="60" w:type="dxa"/>
              <w:left w:w="100" w:type="dxa"/>
              <w:bottom w:w="60" w:type="dxa"/>
              <w:right w:w="100" w:type="dxa"/>
            </w:tcMar>
            <w:vAlign w:val="center"/>
          </w:tcPr>
          <w:p w14:paraId="7E5B9E8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35.6</w:t>
            </w:r>
          </w:p>
        </w:tc>
      </w:tr>
      <w:tr w:rsidR="00E82512" w:rsidRPr="00E82512" w14:paraId="3834662B" w14:textId="77777777" w:rsidTr="00F176FD">
        <w:tc>
          <w:tcPr>
            <w:tcW w:w="2317" w:type="dxa"/>
            <w:shd w:val="clear" w:color="auto" w:fill="auto"/>
            <w:tcMar>
              <w:top w:w="60" w:type="dxa"/>
              <w:left w:w="100" w:type="dxa"/>
              <w:bottom w:w="60" w:type="dxa"/>
              <w:right w:w="100" w:type="dxa"/>
            </w:tcMar>
            <w:vAlign w:val="center"/>
          </w:tcPr>
          <w:p w14:paraId="755BF08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Cash Operating Cycle (days)</w:t>
            </w:r>
          </w:p>
        </w:tc>
        <w:tc>
          <w:tcPr>
            <w:tcW w:w="1399" w:type="dxa"/>
            <w:shd w:val="clear" w:color="auto" w:fill="auto"/>
            <w:tcMar>
              <w:top w:w="60" w:type="dxa"/>
              <w:left w:w="100" w:type="dxa"/>
              <w:bottom w:w="60" w:type="dxa"/>
              <w:right w:w="100" w:type="dxa"/>
            </w:tcMar>
            <w:vAlign w:val="center"/>
          </w:tcPr>
          <w:p w14:paraId="63265A4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32.3</w:t>
            </w:r>
          </w:p>
        </w:tc>
        <w:tc>
          <w:tcPr>
            <w:tcW w:w="1411" w:type="dxa"/>
            <w:shd w:val="clear" w:color="auto" w:fill="auto"/>
            <w:tcMar>
              <w:top w:w="60" w:type="dxa"/>
              <w:left w:w="100" w:type="dxa"/>
              <w:bottom w:w="60" w:type="dxa"/>
              <w:right w:w="100" w:type="dxa"/>
            </w:tcMar>
            <w:vAlign w:val="center"/>
          </w:tcPr>
          <w:p w14:paraId="516258B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31.7</w:t>
            </w:r>
          </w:p>
        </w:tc>
        <w:tc>
          <w:tcPr>
            <w:tcW w:w="1411" w:type="dxa"/>
            <w:shd w:val="clear" w:color="auto" w:fill="auto"/>
            <w:tcMar>
              <w:top w:w="60" w:type="dxa"/>
              <w:left w:w="100" w:type="dxa"/>
              <w:bottom w:w="60" w:type="dxa"/>
              <w:right w:w="100" w:type="dxa"/>
            </w:tcMar>
            <w:vAlign w:val="center"/>
          </w:tcPr>
          <w:p w14:paraId="44F164A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31.9</w:t>
            </w:r>
          </w:p>
        </w:tc>
        <w:tc>
          <w:tcPr>
            <w:tcW w:w="1411" w:type="dxa"/>
            <w:shd w:val="clear" w:color="auto" w:fill="auto"/>
            <w:tcMar>
              <w:top w:w="60" w:type="dxa"/>
              <w:left w:w="100" w:type="dxa"/>
              <w:bottom w:w="60" w:type="dxa"/>
              <w:right w:w="100" w:type="dxa"/>
            </w:tcMar>
            <w:vAlign w:val="center"/>
          </w:tcPr>
          <w:p w14:paraId="7BAF392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26.1</w:t>
            </w:r>
          </w:p>
        </w:tc>
        <w:tc>
          <w:tcPr>
            <w:tcW w:w="1416" w:type="dxa"/>
            <w:shd w:val="clear" w:color="auto" w:fill="auto"/>
            <w:tcMar>
              <w:top w:w="60" w:type="dxa"/>
              <w:left w:w="100" w:type="dxa"/>
              <w:bottom w:w="60" w:type="dxa"/>
              <w:right w:w="100" w:type="dxa"/>
            </w:tcMar>
            <w:vAlign w:val="center"/>
          </w:tcPr>
          <w:p w14:paraId="0C3068E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25.0</w:t>
            </w:r>
          </w:p>
        </w:tc>
      </w:tr>
      <w:tr w:rsidR="00E82512" w:rsidRPr="00E82512" w14:paraId="5E29ADA0" w14:textId="77777777" w:rsidTr="00F176FD">
        <w:tc>
          <w:tcPr>
            <w:tcW w:w="2317" w:type="dxa"/>
            <w:shd w:val="clear" w:color="auto" w:fill="auto"/>
            <w:tcMar>
              <w:top w:w="60" w:type="dxa"/>
              <w:left w:w="100" w:type="dxa"/>
              <w:bottom w:w="60" w:type="dxa"/>
              <w:right w:w="100" w:type="dxa"/>
            </w:tcMar>
            <w:vAlign w:val="center"/>
          </w:tcPr>
          <w:p w14:paraId="4D403EB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Asset Turnover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34B2A3B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0.45x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443F3D8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0.48x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4929528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0.54x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514F7B4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0.57x</w:t>
            </w:r>
          </w:p>
        </w:tc>
        <w:tc>
          <w:tcPr>
            <w:tcW w:w="1416" w:type="dxa"/>
            <w:shd w:val="clear" w:color="auto" w:fill="auto"/>
            <w:tcMar>
              <w:top w:w="60" w:type="dxa"/>
              <w:left w:w="100" w:type="dxa"/>
              <w:bottom w:w="60" w:type="dxa"/>
              <w:right w:w="100" w:type="dxa"/>
            </w:tcMar>
            <w:vAlign w:val="center"/>
          </w:tcPr>
          <w:p w14:paraId="713A21A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0.58x</w:t>
            </w:r>
          </w:p>
        </w:tc>
      </w:tr>
      <w:tr w:rsidR="00E82512" w:rsidRPr="00E82512" w14:paraId="42DE63E4" w14:textId="77777777" w:rsidTr="00F176FD">
        <w:tc>
          <w:tcPr>
            <w:tcW w:w="2317" w:type="dxa"/>
            <w:tcBorders>
              <w:bottom w:val="single" w:sz="4" w:space="0" w:color="auto"/>
            </w:tcBorders>
            <w:shd w:val="clear" w:color="auto" w:fill="auto"/>
            <w:tcMar>
              <w:top w:w="60" w:type="dxa"/>
              <w:left w:w="100" w:type="dxa"/>
              <w:bottom w:w="60" w:type="dxa"/>
              <w:right w:w="100" w:type="dxa"/>
            </w:tcMar>
            <w:vAlign w:val="center"/>
          </w:tcPr>
          <w:p w14:paraId="7FF6C88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Fixed Asset Turnover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397821D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1.21x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50B5EDB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1.34x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6E6D9EC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1.52x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7E7150E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1.67x</w:t>
            </w:r>
          </w:p>
        </w:tc>
        <w:tc>
          <w:tcPr>
            <w:tcW w:w="1416" w:type="dxa"/>
            <w:shd w:val="clear" w:color="auto" w:fill="auto"/>
            <w:tcMar>
              <w:top w:w="60" w:type="dxa"/>
              <w:left w:w="100" w:type="dxa"/>
              <w:bottom w:w="60" w:type="dxa"/>
              <w:right w:w="100" w:type="dxa"/>
            </w:tcMar>
            <w:vAlign w:val="center"/>
          </w:tcPr>
          <w:p w14:paraId="5C3A47B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1.68x</w:t>
            </w:r>
          </w:p>
        </w:tc>
      </w:tr>
      <w:tr w:rsidR="00E82512" w:rsidRPr="00E82512" w14:paraId="4FF4FBC3" w14:textId="77777777" w:rsidTr="007A2336">
        <w:trPr>
          <w:gridAfter w:val="1"/>
          <w:wAfter w:w="1416" w:type="dxa"/>
        </w:trPr>
        <w:tc>
          <w:tcPr>
            <w:tcW w:w="2317" w:type="dxa"/>
            <w:tcBorders>
              <w:right w:val="single" w:sz="4" w:space="0" w:color="auto"/>
            </w:tcBorders>
            <w:shd w:val="clear" w:color="auto" w:fill="auto"/>
            <w:tcMar>
              <w:top w:w="60" w:type="dxa"/>
              <w:left w:w="100" w:type="dxa"/>
              <w:bottom w:w="60" w:type="dxa"/>
              <w:right w:w="100" w:type="dxa"/>
            </w:tcMar>
            <w:vAlign w:val="center"/>
          </w:tcPr>
          <w:p w14:paraId="68AAF9F1" w14:textId="05F22362" w:rsidR="009F3DD3" w:rsidRPr="00176013" w:rsidRDefault="009F3DD3" w:rsidP="007A2336">
            <w:pPr>
              <w:jc w:val="center"/>
              <w:rPr>
                <w:rFonts w:ascii="Arial" w:hAnsi="Arial" w:cs="Arial"/>
                <w:b/>
                <w:bCs/>
                <w:sz w:val="24"/>
                <w:szCs w:val="24"/>
              </w:rPr>
            </w:pPr>
            <w:r w:rsidRPr="00176013">
              <w:rPr>
                <w:rFonts w:ascii="Arial" w:hAnsi="Arial" w:cs="Arial"/>
                <w:b/>
                <w:bCs/>
                <w:color w:val="404040"/>
                <w:sz w:val="28"/>
                <w:szCs w:val="28"/>
              </w:rPr>
              <w:t>GEARING</w:t>
            </w:r>
          </w:p>
        </w:tc>
        <w:tc>
          <w:tcPr>
            <w:tcW w:w="1399" w:type="dxa"/>
            <w:tcBorders>
              <w:top w:val="single" w:sz="4" w:space="0" w:color="auto"/>
              <w:left w:val="single" w:sz="4" w:space="0" w:color="auto"/>
              <w:bottom w:val="single" w:sz="4" w:space="0" w:color="auto"/>
              <w:right w:val="nil"/>
            </w:tcBorders>
            <w:shd w:val="clear" w:color="auto" w:fill="auto"/>
            <w:tcMar>
              <w:top w:w="60" w:type="dxa"/>
              <w:left w:w="100" w:type="dxa"/>
              <w:bottom w:w="60" w:type="dxa"/>
              <w:right w:w="100" w:type="dxa"/>
            </w:tcMar>
            <w:vAlign w:val="center"/>
          </w:tcPr>
          <w:p w14:paraId="024383C6"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7322E1A6"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1C378948"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199A4FD2" w14:textId="77777777" w:rsidR="009F3DD3" w:rsidRPr="00E82512" w:rsidRDefault="009F3DD3" w:rsidP="007A2336">
            <w:pPr>
              <w:rPr>
                <w:rFonts w:ascii="Arial" w:hAnsi="Arial" w:cs="Arial"/>
                <w:sz w:val="24"/>
                <w:szCs w:val="24"/>
              </w:rPr>
            </w:pPr>
          </w:p>
        </w:tc>
      </w:tr>
      <w:tr w:rsidR="00E82512" w:rsidRPr="00E82512" w14:paraId="15042C82" w14:textId="77777777" w:rsidTr="00F176FD">
        <w:tc>
          <w:tcPr>
            <w:tcW w:w="2317" w:type="dxa"/>
            <w:shd w:val="clear" w:color="auto" w:fill="auto"/>
            <w:tcMar>
              <w:top w:w="60" w:type="dxa"/>
              <w:left w:w="100" w:type="dxa"/>
              <w:bottom w:w="60" w:type="dxa"/>
              <w:right w:w="100" w:type="dxa"/>
            </w:tcMar>
            <w:vAlign w:val="center"/>
          </w:tcPr>
          <w:p w14:paraId="046B44D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Debt-to-Equity (x)</w:t>
            </w:r>
          </w:p>
        </w:tc>
        <w:tc>
          <w:tcPr>
            <w:tcW w:w="1399" w:type="dxa"/>
            <w:tcBorders>
              <w:top w:val="single" w:sz="4" w:space="0" w:color="auto"/>
            </w:tcBorders>
            <w:shd w:val="clear" w:color="auto" w:fill="auto"/>
            <w:tcMar>
              <w:top w:w="60" w:type="dxa"/>
              <w:left w:w="100" w:type="dxa"/>
              <w:bottom w:w="60" w:type="dxa"/>
              <w:right w:w="100" w:type="dxa"/>
            </w:tcMar>
            <w:vAlign w:val="center"/>
          </w:tcPr>
          <w:p w14:paraId="223C3C7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1.71x</w:t>
            </w:r>
          </w:p>
        </w:tc>
        <w:tc>
          <w:tcPr>
            <w:tcW w:w="1411" w:type="dxa"/>
            <w:tcBorders>
              <w:top w:val="single" w:sz="4" w:space="0" w:color="auto"/>
            </w:tcBorders>
            <w:shd w:val="clear" w:color="auto" w:fill="auto"/>
            <w:tcMar>
              <w:top w:w="60" w:type="dxa"/>
              <w:left w:w="100" w:type="dxa"/>
              <w:bottom w:w="60" w:type="dxa"/>
              <w:right w:w="100" w:type="dxa"/>
            </w:tcMar>
            <w:vAlign w:val="center"/>
          </w:tcPr>
          <w:p w14:paraId="7BE7F3E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1.76x</w:t>
            </w:r>
          </w:p>
        </w:tc>
        <w:tc>
          <w:tcPr>
            <w:tcW w:w="1411" w:type="dxa"/>
            <w:tcBorders>
              <w:top w:val="single" w:sz="4" w:space="0" w:color="auto"/>
            </w:tcBorders>
            <w:shd w:val="clear" w:color="auto" w:fill="auto"/>
            <w:tcMar>
              <w:top w:w="60" w:type="dxa"/>
              <w:left w:w="100" w:type="dxa"/>
              <w:bottom w:w="60" w:type="dxa"/>
              <w:right w:w="100" w:type="dxa"/>
            </w:tcMar>
            <w:vAlign w:val="center"/>
          </w:tcPr>
          <w:p w14:paraId="0C849C8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1.76x</w:t>
            </w:r>
          </w:p>
        </w:tc>
        <w:tc>
          <w:tcPr>
            <w:tcW w:w="1411" w:type="dxa"/>
            <w:tcBorders>
              <w:top w:val="single" w:sz="4" w:space="0" w:color="auto"/>
            </w:tcBorders>
            <w:shd w:val="clear" w:color="auto" w:fill="auto"/>
            <w:tcMar>
              <w:top w:w="60" w:type="dxa"/>
              <w:left w:w="100" w:type="dxa"/>
              <w:bottom w:w="60" w:type="dxa"/>
              <w:right w:w="100" w:type="dxa"/>
            </w:tcMar>
            <w:vAlign w:val="center"/>
          </w:tcPr>
          <w:p w14:paraId="5675456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1.64x</w:t>
            </w:r>
          </w:p>
        </w:tc>
        <w:tc>
          <w:tcPr>
            <w:tcW w:w="1416" w:type="dxa"/>
            <w:shd w:val="clear" w:color="auto" w:fill="auto"/>
            <w:tcMar>
              <w:top w:w="60" w:type="dxa"/>
              <w:left w:w="100" w:type="dxa"/>
              <w:bottom w:w="60" w:type="dxa"/>
              <w:right w:w="100" w:type="dxa"/>
            </w:tcMar>
            <w:vAlign w:val="center"/>
          </w:tcPr>
          <w:p w14:paraId="6BF444E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1.60x</w:t>
            </w:r>
          </w:p>
        </w:tc>
      </w:tr>
      <w:tr w:rsidR="00E82512" w:rsidRPr="00E82512" w14:paraId="397A23B5" w14:textId="77777777" w:rsidTr="00F176FD">
        <w:tc>
          <w:tcPr>
            <w:tcW w:w="2317" w:type="dxa"/>
            <w:shd w:val="clear" w:color="auto" w:fill="auto"/>
            <w:tcMar>
              <w:top w:w="60" w:type="dxa"/>
              <w:left w:w="100" w:type="dxa"/>
              <w:bottom w:w="60" w:type="dxa"/>
              <w:right w:w="100" w:type="dxa"/>
            </w:tcMar>
            <w:vAlign w:val="center"/>
          </w:tcPr>
          <w:p w14:paraId="5C2C41E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Debt-to-Assets (%)</w:t>
            </w:r>
          </w:p>
        </w:tc>
        <w:tc>
          <w:tcPr>
            <w:tcW w:w="1399" w:type="dxa"/>
            <w:shd w:val="clear" w:color="auto" w:fill="auto"/>
            <w:tcMar>
              <w:top w:w="60" w:type="dxa"/>
              <w:left w:w="100" w:type="dxa"/>
              <w:bottom w:w="60" w:type="dxa"/>
              <w:right w:w="100" w:type="dxa"/>
            </w:tcMar>
            <w:vAlign w:val="center"/>
          </w:tcPr>
          <w:p w14:paraId="28EA24F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63.1%</w:t>
            </w:r>
          </w:p>
        </w:tc>
        <w:tc>
          <w:tcPr>
            <w:tcW w:w="1411" w:type="dxa"/>
            <w:shd w:val="clear" w:color="auto" w:fill="auto"/>
            <w:tcMar>
              <w:top w:w="60" w:type="dxa"/>
              <w:left w:w="100" w:type="dxa"/>
              <w:bottom w:w="60" w:type="dxa"/>
              <w:right w:w="100" w:type="dxa"/>
            </w:tcMar>
            <w:vAlign w:val="center"/>
          </w:tcPr>
          <w:p w14:paraId="3999324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63.8%</w:t>
            </w:r>
          </w:p>
        </w:tc>
        <w:tc>
          <w:tcPr>
            <w:tcW w:w="1411" w:type="dxa"/>
            <w:shd w:val="clear" w:color="auto" w:fill="auto"/>
            <w:tcMar>
              <w:top w:w="60" w:type="dxa"/>
              <w:left w:w="100" w:type="dxa"/>
              <w:bottom w:w="60" w:type="dxa"/>
              <w:right w:w="100" w:type="dxa"/>
            </w:tcMar>
            <w:vAlign w:val="center"/>
          </w:tcPr>
          <w:p w14:paraId="452BCFF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63.8%</w:t>
            </w:r>
          </w:p>
        </w:tc>
        <w:tc>
          <w:tcPr>
            <w:tcW w:w="1411" w:type="dxa"/>
            <w:shd w:val="clear" w:color="auto" w:fill="auto"/>
            <w:tcMar>
              <w:top w:w="60" w:type="dxa"/>
              <w:left w:w="100" w:type="dxa"/>
              <w:bottom w:w="60" w:type="dxa"/>
              <w:right w:w="100" w:type="dxa"/>
            </w:tcMar>
            <w:vAlign w:val="center"/>
          </w:tcPr>
          <w:p w14:paraId="3CD6640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62.1%</w:t>
            </w:r>
          </w:p>
        </w:tc>
        <w:tc>
          <w:tcPr>
            <w:tcW w:w="1416" w:type="dxa"/>
            <w:shd w:val="clear" w:color="auto" w:fill="auto"/>
            <w:tcMar>
              <w:top w:w="60" w:type="dxa"/>
              <w:left w:w="100" w:type="dxa"/>
              <w:bottom w:w="60" w:type="dxa"/>
              <w:right w:w="100" w:type="dxa"/>
            </w:tcMar>
            <w:vAlign w:val="center"/>
          </w:tcPr>
          <w:p w14:paraId="07C8B2A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61.6%</w:t>
            </w:r>
          </w:p>
        </w:tc>
      </w:tr>
      <w:tr w:rsidR="00E82512" w:rsidRPr="00E82512" w14:paraId="2CB8E593" w14:textId="77777777" w:rsidTr="00F176FD">
        <w:tc>
          <w:tcPr>
            <w:tcW w:w="2317" w:type="dxa"/>
            <w:shd w:val="clear" w:color="auto" w:fill="auto"/>
            <w:tcMar>
              <w:top w:w="60" w:type="dxa"/>
              <w:left w:w="100" w:type="dxa"/>
              <w:bottom w:w="60" w:type="dxa"/>
              <w:right w:w="100" w:type="dxa"/>
            </w:tcMar>
            <w:vAlign w:val="center"/>
          </w:tcPr>
          <w:p w14:paraId="1DB8A05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Equity Ratio (%)</w:t>
            </w:r>
          </w:p>
        </w:tc>
        <w:tc>
          <w:tcPr>
            <w:tcW w:w="1399" w:type="dxa"/>
            <w:shd w:val="clear" w:color="auto" w:fill="auto"/>
            <w:tcMar>
              <w:top w:w="60" w:type="dxa"/>
              <w:left w:w="100" w:type="dxa"/>
              <w:bottom w:w="60" w:type="dxa"/>
              <w:right w:w="100" w:type="dxa"/>
            </w:tcMar>
            <w:vAlign w:val="center"/>
          </w:tcPr>
          <w:p w14:paraId="4EEBC4F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36.9%</w:t>
            </w:r>
          </w:p>
        </w:tc>
        <w:tc>
          <w:tcPr>
            <w:tcW w:w="1411" w:type="dxa"/>
            <w:shd w:val="clear" w:color="auto" w:fill="auto"/>
            <w:tcMar>
              <w:top w:w="60" w:type="dxa"/>
              <w:left w:w="100" w:type="dxa"/>
              <w:bottom w:w="60" w:type="dxa"/>
              <w:right w:w="100" w:type="dxa"/>
            </w:tcMar>
            <w:vAlign w:val="center"/>
          </w:tcPr>
          <w:p w14:paraId="45EFA9F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36.2%</w:t>
            </w:r>
          </w:p>
        </w:tc>
        <w:tc>
          <w:tcPr>
            <w:tcW w:w="1411" w:type="dxa"/>
            <w:shd w:val="clear" w:color="auto" w:fill="auto"/>
            <w:tcMar>
              <w:top w:w="60" w:type="dxa"/>
              <w:left w:w="100" w:type="dxa"/>
              <w:bottom w:w="60" w:type="dxa"/>
              <w:right w:w="100" w:type="dxa"/>
            </w:tcMar>
            <w:vAlign w:val="center"/>
          </w:tcPr>
          <w:p w14:paraId="1657729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36.2%</w:t>
            </w:r>
          </w:p>
        </w:tc>
        <w:tc>
          <w:tcPr>
            <w:tcW w:w="1411" w:type="dxa"/>
            <w:shd w:val="clear" w:color="auto" w:fill="auto"/>
            <w:tcMar>
              <w:top w:w="60" w:type="dxa"/>
              <w:left w:w="100" w:type="dxa"/>
              <w:bottom w:w="60" w:type="dxa"/>
              <w:right w:w="100" w:type="dxa"/>
            </w:tcMar>
            <w:vAlign w:val="center"/>
          </w:tcPr>
          <w:p w14:paraId="33D313B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37.9%</w:t>
            </w:r>
          </w:p>
        </w:tc>
        <w:tc>
          <w:tcPr>
            <w:tcW w:w="1416" w:type="dxa"/>
            <w:shd w:val="clear" w:color="auto" w:fill="auto"/>
            <w:tcMar>
              <w:top w:w="60" w:type="dxa"/>
              <w:left w:w="100" w:type="dxa"/>
              <w:bottom w:w="60" w:type="dxa"/>
              <w:right w:w="100" w:type="dxa"/>
            </w:tcMar>
            <w:vAlign w:val="center"/>
          </w:tcPr>
          <w:p w14:paraId="43A85B0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38.4%</w:t>
            </w:r>
          </w:p>
        </w:tc>
      </w:tr>
      <w:tr w:rsidR="00E82512" w:rsidRPr="00E82512" w14:paraId="1DEA05AC" w14:textId="77777777" w:rsidTr="00F176FD">
        <w:tc>
          <w:tcPr>
            <w:tcW w:w="2317" w:type="dxa"/>
            <w:shd w:val="clear" w:color="auto" w:fill="auto"/>
            <w:tcMar>
              <w:top w:w="60" w:type="dxa"/>
              <w:left w:w="100" w:type="dxa"/>
              <w:bottom w:w="60" w:type="dxa"/>
              <w:right w:w="100" w:type="dxa"/>
            </w:tcMar>
            <w:vAlign w:val="center"/>
          </w:tcPr>
          <w:p w14:paraId="4C4BFD9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Interest Coverage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1A4B49E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1.4x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555E7BB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3.8x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24BD8ED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5.2x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171DF37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7.2x</w:t>
            </w:r>
          </w:p>
        </w:tc>
        <w:tc>
          <w:tcPr>
            <w:tcW w:w="1416" w:type="dxa"/>
            <w:shd w:val="clear" w:color="auto" w:fill="auto"/>
            <w:tcMar>
              <w:top w:w="60" w:type="dxa"/>
              <w:left w:w="100" w:type="dxa"/>
              <w:bottom w:w="60" w:type="dxa"/>
              <w:right w:w="100" w:type="dxa"/>
            </w:tcMar>
            <w:vAlign w:val="center"/>
          </w:tcPr>
          <w:p w14:paraId="73123E3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6.5x</w:t>
            </w:r>
          </w:p>
        </w:tc>
      </w:tr>
      <w:tr w:rsidR="00E82512" w:rsidRPr="00E82512" w14:paraId="4EC0E535" w14:textId="77777777" w:rsidTr="00F176FD">
        <w:tc>
          <w:tcPr>
            <w:tcW w:w="2317" w:type="dxa"/>
            <w:tcBorders>
              <w:bottom w:val="single" w:sz="4" w:space="0" w:color="auto"/>
            </w:tcBorders>
            <w:shd w:val="clear" w:color="auto" w:fill="auto"/>
            <w:tcMar>
              <w:top w:w="60" w:type="dxa"/>
              <w:left w:w="100" w:type="dxa"/>
              <w:bottom w:w="60" w:type="dxa"/>
              <w:right w:w="100" w:type="dxa"/>
            </w:tcMar>
            <w:vAlign w:val="center"/>
          </w:tcPr>
          <w:p w14:paraId="35E85FC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Net Debt / EBITDA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2EAFAD1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4.8x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249003A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3.6x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43E7FAC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3.0x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358C5C1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2.3x</w:t>
            </w:r>
          </w:p>
        </w:tc>
        <w:tc>
          <w:tcPr>
            <w:tcW w:w="1416" w:type="dxa"/>
            <w:tcBorders>
              <w:bottom w:val="single" w:sz="4" w:space="0" w:color="auto"/>
            </w:tcBorders>
            <w:shd w:val="clear" w:color="auto" w:fill="auto"/>
            <w:tcMar>
              <w:top w:w="60" w:type="dxa"/>
              <w:left w:w="100" w:type="dxa"/>
              <w:bottom w:w="60" w:type="dxa"/>
              <w:right w:w="100" w:type="dxa"/>
            </w:tcMar>
            <w:vAlign w:val="center"/>
          </w:tcPr>
          <w:p w14:paraId="64B6AAB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2.5x</w:t>
            </w:r>
          </w:p>
        </w:tc>
      </w:tr>
      <w:tr w:rsidR="007A2336" w:rsidRPr="00E82512" w14:paraId="68E53F97" w14:textId="61D9BEC2" w:rsidTr="00604B6C">
        <w:tc>
          <w:tcPr>
            <w:tcW w:w="2317" w:type="dxa"/>
            <w:tcBorders>
              <w:right w:val="single" w:sz="4" w:space="0" w:color="auto"/>
            </w:tcBorders>
            <w:shd w:val="clear" w:color="auto" w:fill="auto"/>
            <w:tcMar>
              <w:top w:w="60" w:type="dxa"/>
              <w:left w:w="100" w:type="dxa"/>
              <w:bottom w:w="60" w:type="dxa"/>
              <w:right w:w="100" w:type="dxa"/>
            </w:tcMar>
            <w:vAlign w:val="center"/>
          </w:tcPr>
          <w:p w14:paraId="59260635" w14:textId="18C37A3B" w:rsidR="009F3DD3" w:rsidRPr="00176013" w:rsidRDefault="009F3DD3" w:rsidP="007A2336">
            <w:pPr>
              <w:jc w:val="center"/>
              <w:rPr>
                <w:rFonts w:ascii="Arial" w:hAnsi="Arial" w:cs="Arial"/>
                <w:b/>
                <w:bCs/>
                <w:sz w:val="24"/>
                <w:szCs w:val="24"/>
              </w:rPr>
            </w:pPr>
            <w:r w:rsidRPr="00176013">
              <w:rPr>
                <w:rFonts w:ascii="Arial" w:hAnsi="Arial" w:cs="Arial"/>
                <w:b/>
                <w:bCs/>
                <w:color w:val="404040"/>
                <w:sz w:val="28"/>
                <w:szCs w:val="28"/>
              </w:rPr>
              <w:t>INVESTMENT</w:t>
            </w:r>
          </w:p>
        </w:tc>
        <w:tc>
          <w:tcPr>
            <w:tcW w:w="1399" w:type="dxa"/>
            <w:tcBorders>
              <w:top w:val="single" w:sz="4" w:space="0" w:color="auto"/>
              <w:left w:val="single" w:sz="4" w:space="0" w:color="auto"/>
              <w:bottom w:val="single" w:sz="4" w:space="0" w:color="auto"/>
              <w:right w:val="nil"/>
            </w:tcBorders>
            <w:shd w:val="clear" w:color="auto" w:fill="auto"/>
            <w:tcMar>
              <w:top w:w="60" w:type="dxa"/>
              <w:left w:w="100" w:type="dxa"/>
              <w:bottom w:w="60" w:type="dxa"/>
              <w:right w:w="100" w:type="dxa"/>
            </w:tcMar>
            <w:vAlign w:val="center"/>
          </w:tcPr>
          <w:p w14:paraId="22C904EF"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14CF0AF6"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65E43371"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7E96591A" w14:textId="77777777" w:rsidR="009F3DD3" w:rsidRPr="00E82512" w:rsidRDefault="009F3DD3" w:rsidP="007A2336">
            <w:pPr>
              <w:rPr>
                <w:rFonts w:ascii="Arial" w:hAnsi="Arial" w:cs="Arial"/>
                <w:sz w:val="24"/>
                <w:szCs w:val="24"/>
              </w:rPr>
            </w:pPr>
          </w:p>
        </w:tc>
        <w:tc>
          <w:tcPr>
            <w:tcW w:w="1416" w:type="dxa"/>
            <w:tcBorders>
              <w:left w:val="nil"/>
              <w:right w:val="nil"/>
            </w:tcBorders>
            <w:shd w:val="clear" w:color="auto" w:fill="auto"/>
          </w:tcPr>
          <w:p w14:paraId="7977FB9A" w14:textId="77777777" w:rsidR="007A2336" w:rsidRPr="00E82512" w:rsidRDefault="007A2336" w:rsidP="007A2336"/>
        </w:tc>
      </w:tr>
      <w:tr w:rsidR="00E82512" w:rsidRPr="00E82512" w14:paraId="6FF96BF8" w14:textId="77777777" w:rsidTr="00F176FD">
        <w:tc>
          <w:tcPr>
            <w:tcW w:w="2317" w:type="dxa"/>
            <w:shd w:val="clear" w:color="auto" w:fill="auto"/>
            <w:tcMar>
              <w:top w:w="60" w:type="dxa"/>
              <w:left w:w="100" w:type="dxa"/>
              <w:bottom w:w="60" w:type="dxa"/>
              <w:right w:w="100" w:type="dxa"/>
            </w:tcMar>
            <w:vAlign w:val="center"/>
          </w:tcPr>
          <w:p w14:paraId="3DC57B8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EPS (KRW)</w:t>
            </w:r>
          </w:p>
        </w:tc>
        <w:tc>
          <w:tcPr>
            <w:tcW w:w="1399" w:type="dxa"/>
            <w:tcBorders>
              <w:top w:val="single" w:sz="4" w:space="0" w:color="auto"/>
            </w:tcBorders>
            <w:shd w:val="clear" w:color="auto" w:fill="auto"/>
            <w:tcMar>
              <w:top w:w="60" w:type="dxa"/>
              <w:left w:w="100" w:type="dxa"/>
              <w:bottom w:w="60" w:type="dxa"/>
              <w:right w:w="100" w:type="dxa"/>
            </w:tcMar>
            <w:vAlign w:val="center"/>
          </w:tcPr>
          <w:p w14:paraId="5C2053D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7,614</w:t>
            </w:r>
          </w:p>
        </w:tc>
        <w:tc>
          <w:tcPr>
            <w:tcW w:w="1411" w:type="dxa"/>
            <w:tcBorders>
              <w:top w:val="single" w:sz="4" w:space="0" w:color="auto"/>
            </w:tcBorders>
            <w:shd w:val="clear" w:color="auto" w:fill="auto"/>
            <w:tcMar>
              <w:top w:w="60" w:type="dxa"/>
              <w:left w:w="100" w:type="dxa"/>
              <w:bottom w:w="60" w:type="dxa"/>
              <w:right w:w="100" w:type="dxa"/>
            </w:tcMar>
            <w:vAlign w:val="center"/>
          </w:tcPr>
          <w:p w14:paraId="5F3E281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26,860</w:t>
            </w:r>
          </w:p>
        </w:tc>
        <w:tc>
          <w:tcPr>
            <w:tcW w:w="1411" w:type="dxa"/>
            <w:tcBorders>
              <w:top w:val="single" w:sz="4" w:space="0" w:color="auto"/>
            </w:tcBorders>
            <w:shd w:val="clear" w:color="auto" w:fill="auto"/>
            <w:tcMar>
              <w:top w:w="60" w:type="dxa"/>
              <w:left w:w="100" w:type="dxa"/>
              <w:bottom w:w="60" w:type="dxa"/>
              <w:right w:w="100" w:type="dxa"/>
            </w:tcMar>
            <w:vAlign w:val="center"/>
          </w:tcPr>
          <w:p w14:paraId="6E95D0C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37,033</w:t>
            </w:r>
          </w:p>
        </w:tc>
        <w:tc>
          <w:tcPr>
            <w:tcW w:w="1411" w:type="dxa"/>
            <w:tcBorders>
              <w:top w:val="single" w:sz="4" w:space="0" w:color="auto"/>
            </w:tcBorders>
            <w:shd w:val="clear" w:color="auto" w:fill="auto"/>
            <w:tcMar>
              <w:top w:w="60" w:type="dxa"/>
              <w:left w:w="100" w:type="dxa"/>
              <w:bottom w:w="60" w:type="dxa"/>
              <w:right w:w="100" w:type="dxa"/>
            </w:tcMar>
            <w:vAlign w:val="center"/>
          </w:tcPr>
          <w:p w14:paraId="04773FE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57,912</w:t>
            </w:r>
          </w:p>
        </w:tc>
        <w:tc>
          <w:tcPr>
            <w:tcW w:w="1416" w:type="dxa"/>
            <w:shd w:val="clear" w:color="auto" w:fill="auto"/>
            <w:tcMar>
              <w:top w:w="60" w:type="dxa"/>
              <w:left w:w="100" w:type="dxa"/>
              <w:bottom w:w="60" w:type="dxa"/>
              <w:right w:w="100" w:type="dxa"/>
            </w:tcMar>
            <w:vAlign w:val="center"/>
          </w:tcPr>
          <w:p w14:paraId="6DDA6FA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50,700</w:t>
            </w:r>
          </w:p>
        </w:tc>
      </w:tr>
      <w:tr w:rsidR="00E82512" w:rsidRPr="00E82512" w14:paraId="4AB1F9C0" w14:textId="77777777" w:rsidTr="00F176FD">
        <w:tc>
          <w:tcPr>
            <w:tcW w:w="2317" w:type="dxa"/>
            <w:shd w:val="clear" w:color="auto" w:fill="auto"/>
            <w:tcMar>
              <w:top w:w="60" w:type="dxa"/>
              <w:left w:w="100" w:type="dxa"/>
              <w:bottom w:w="60" w:type="dxa"/>
              <w:right w:w="100" w:type="dxa"/>
            </w:tcMar>
            <w:vAlign w:val="center"/>
          </w:tcPr>
          <w:p w14:paraId="4EB00C4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DPS (KRW)</w:t>
            </w:r>
          </w:p>
        </w:tc>
        <w:tc>
          <w:tcPr>
            <w:tcW w:w="1399" w:type="dxa"/>
            <w:shd w:val="clear" w:color="auto" w:fill="auto"/>
            <w:tcMar>
              <w:top w:w="60" w:type="dxa"/>
              <w:left w:w="100" w:type="dxa"/>
              <w:bottom w:w="60" w:type="dxa"/>
              <w:right w:w="100" w:type="dxa"/>
            </w:tcMar>
            <w:vAlign w:val="center"/>
          </w:tcPr>
          <w:p w14:paraId="52D4752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2,500</w:t>
            </w:r>
          </w:p>
        </w:tc>
        <w:tc>
          <w:tcPr>
            <w:tcW w:w="1411" w:type="dxa"/>
            <w:shd w:val="clear" w:color="auto" w:fill="auto"/>
            <w:tcMar>
              <w:top w:w="60" w:type="dxa"/>
              <w:left w:w="100" w:type="dxa"/>
              <w:bottom w:w="60" w:type="dxa"/>
              <w:right w:w="100" w:type="dxa"/>
            </w:tcMar>
            <w:vAlign w:val="center"/>
          </w:tcPr>
          <w:p w14:paraId="3BA0610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5,000</w:t>
            </w:r>
          </w:p>
        </w:tc>
        <w:tc>
          <w:tcPr>
            <w:tcW w:w="1411" w:type="dxa"/>
            <w:shd w:val="clear" w:color="auto" w:fill="auto"/>
            <w:tcMar>
              <w:top w:w="60" w:type="dxa"/>
              <w:left w:w="100" w:type="dxa"/>
              <w:bottom w:w="60" w:type="dxa"/>
              <w:right w:w="100" w:type="dxa"/>
            </w:tcMar>
            <w:vAlign w:val="center"/>
          </w:tcPr>
          <w:p w14:paraId="12B7BC1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6,000</w:t>
            </w:r>
          </w:p>
        </w:tc>
        <w:tc>
          <w:tcPr>
            <w:tcW w:w="1411" w:type="dxa"/>
            <w:shd w:val="clear" w:color="auto" w:fill="auto"/>
            <w:tcMar>
              <w:top w:w="60" w:type="dxa"/>
              <w:left w:w="100" w:type="dxa"/>
              <w:bottom w:w="60" w:type="dxa"/>
              <w:right w:w="100" w:type="dxa"/>
            </w:tcMar>
            <w:vAlign w:val="center"/>
          </w:tcPr>
          <w:p w14:paraId="2DB770B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7,000</w:t>
            </w:r>
          </w:p>
        </w:tc>
        <w:tc>
          <w:tcPr>
            <w:tcW w:w="1416" w:type="dxa"/>
            <w:shd w:val="clear" w:color="auto" w:fill="auto"/>
            <w:tcMar>
              <w:top w:w="60" w:type="dxa"/>
              <w:left w:w="100" w:type="dxa"/>
              <w:bottom w:w="60" w:type="dxa"/>
              <w:right w:w="100" w:type="dxa"/>
            </w:tcMar>
            <w:vAlign w:val="center"/>
          </w:tcPr>
          <w:p w14:paraId="716BABF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7,500</w:t>
            </w:r>
          </w:p>
        </w:tc>
      </w:tr>
      <w:tr w:rsidR="00E82512" w:rsidRPr="00E82512" w14:paraId="6B09A0F3" w14:textId="77777777" w:rsidTr="00F176FD">
        <w:tc>
          <w:tcPr>
            <w:tcW w:w="2317" w:type="dxa"/>
            <w:shd w:val="clear" w:color="auto" w:fill="auto"/>
            <w:tcMar>
              <w:top w:w="60" w:type="dxa"/>
              <w:left w:w="100" w:type="dxa"/>
              <w:bottom w:w="60" w:type="dxa"/>
              <w:right w:w="100" w:type="dxa"/>
            </w:tcMar>
            <w:vAlign w:val="center"/>
          </w:tcPr>
          <w:p w14:paraId="28C729D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lastRenderedPageBreak/>
              <w:t>Dividend Payout Ratio (%)</w:t>
            </w:r>
          </w:p>
        </w:tc>
        <w:tc>
          <w:tcPr>
            <w:tcW w:w="1399" w:type="dxa"/>
            <w:shd w:val="clear" w:color="auto" w:fill="auto"/>
            <w:tcMar>
              <w:top w:w="60" w:type="dxa"/>
              <w:left w:w="100" w:type="dxa"/>
              <w:bottom w:w="60" w:type="dxa"/>
              <w:right w:w="100" w:type="dxa"/>
            </w:tcMar>
            <w:vAlign w:val="center"/>
          </w:tcPr>
          <w:p w14:paraId="7B9E11C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32.8%</w:t>
            </w:r>
          </w:p>
        </w:tc>
        <w:tc>
          <w:tcPr>
            <w:tcW w:w="1411" w:type="dxa"/>
            <w:shd w:val="clear" w:color="auto" w:fill="auto"/>
            <w:tcMar>
              <w:top w:w="60" w:type="dxa"/>
              <w:left w:w="100" w:type="dxa"/>
              <w:bottom w:w="60" w:type="dxa"/>
              <w:right w:w="100" w:type="dxa"/>
            </w:tcMar>
            <w:vAlign w:val="center"/>
          </w:tcPr>
          <w:p w14:paraId="7A1DAB6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18.6%</w:t>
            </w:r>
          </w:p>
        </w:tc>
        <w:tc>
          <w:tcPr>
            <w:tcW w:w="1411" w:type="dxa"/>
            <w:shd w:val="clear" w:color="auto" w:fill="auto"/>
            <w:tcMar>
              <w:top w:w="60" w:type="dxa"/>
              <w:left w:w="100" w:type="dxa"/>
              <w:bottom w:w="60" w:type="dxa"/>
              <w:right w:w="100" w:type="dxa"/>
            </w:tcMar>
            <w:vAlign w:val="center"/>
          </w:tcPr>
          <w:p w14:paraId="5F44943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16.2%</w:t>
            </w:r>
          </w:p>
        </w:tc>
        <w:tc>
          <w:tcPr>
            <w:tcW w:w="1411" w:type="dxa"/>
            <w:shd w:val="clear" w:color="auto" w:fill="auto"/>
            <w:tcMar>
              <w:top w:w="60" w:type="dxa"/>
              <w:left w:w="100" w:type="dxa"/>
              <w:bottom w:w="60" w:type="dxa"/>
              <w:right w:w="100" w:type="dxa"/>
            </w:tcMar>
            <w:vAlign w:val="center"/>
          </w:tcPr>
          <w:p w14:paraId="64F6ABB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12.1%</w:t>
            </w:r>
          </w:p>
        </w:tc>
        <w:tc>
          <w:tcPr>
            <w:tcW w:w="1416" w:type="dxa"/>
            <w:shd w:val="clear" w:color="auto" w:fill="auto"/>
            <w:tcMar>
              <w:top w:w="60" w:type="dxa"/>
              <w:left w:w="100" w:type="dxa"/>
              <w:bottom w:w="60" w:type="dxa"/>
              <w:right w:w="100" w:type="dxa"/>
            </w:tcMar>
            <w:vAlign w:val="center"/>
          </w:tcPr>
          <w:p w14:paraId="66266BF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14.8%</w:t>
            </w:r>
          </w:p>
        </w:tc>
      </w:tr>
      <w:tr w:rsidR="00E82512" w:rsidRPr="00E82512" w14:paraId="48E8EE2F" w14:textId="77777777" w:rsidTr="00F176FD">
        <w:tc>
          <w:tcPr>
            <w:tcW w:w="2317" w:type="dxa"/>
            <w:shd w:val="clear" w:color="auto" w:fill="auto"/>
            <w:tcMar>
              <w:top w:w="60" w:type="dxa"/>
              <w:left w:w="100" w:type="dxa"/>
              <w:bottom w:w="60" w:type="dxa"/>
              <w:right w:w="100" w:type="dxa"/>
            </w:tcMar>
            <w:vAlign w:val="center"/>
          </w:tcPr>
          <w:p w14:paraId="6B70748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P/E Ratio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5433286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18.3x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49A1A44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7.4x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5928F03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5.2x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1295654D"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3.8x</w:t>
            </w:r>
          </w:p>
        </w:tc>
        <w:tc>
          <w:tcPr>
            <w:tcW w:w="1416" w:type="dxa"/>
            <w:shd w:val="clear" w:color="auto" w:fill="auto"/>
            <w:tcMar>
              <w:top w:w="60" w:type="dxa"/>
              <w:left w:w="100" w:type="dxa"/>
              <w:bottom w:w="60" w:type="dxa"/>
              <w:right w:w="100" w:type="dxa"/>
            </w:tcMar>
            <w:vAlign w:val="center"/>
          </w:tcPr>
          <w:p w14:paraId="085BE83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4.5x</w:t>
            </w:r>
          </w:p>
        </w:tc>
      </w:tr>
      <w:tr w:rsidR="00E82512" w:rsidRPr="00E82512" w14:paraId="2DE94188" w14:textId="77777777" w:rsidTr="00F176FD">
        <w:tc>
          <w:tcPr>
            <w:tcW w:w="2317" w:type="dxa"/>
            <w:tcBorders>
              <w:bottom w:val="single" w:sz="4" w:space="0" w:color="auto"/>
            </w:tcBorders>
            <w:shd w:val="clear" w:color="auto" w:fill="auto"/>
            <w:tcMar>
              <w:top w:w="60" w:type="dxa"/>
              <w:left w:w="100" w:type="dxa"/>
              <w:bottom w:w="60" w:type="dxa"/>
              <w:right w:w="100" w:type="dxa"/>
            </w:tcMar>
            <w:vAlign w:val="center"/>
          </w:tcPr>
          <w:p w14:paraId="2B06573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P/B Ratio (x)</w:t>
            </w:r>
          </w:p>
        </w:tc>
        <w:tc>
          <w:tcPr>
            <w:tcW w:w="1399" w:type="dxa"/>
            <w:tcBorders>
              <w:bottom w:val="single" w:sz="4" w:space="0" w:color="auto"/>
            </w:tcBorders>
            <w:shd w:val="clear" w:color="auto" w:fill="auto"/>
            <w:tcMar>
              <w:top w:w="60" w:type="dxa"/>
              <w:left w:w="100" w:type="dxa"/>
              <w:bottom w:w="60" w:type="dxa"/>
              <w:right w:w="100" w:type="dxa"/>
            </w:tcMar>
            <w:vAlign w:val="center"/>
          </w:tcPr>
          <w:p w14:paraId="2D4DBB0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0.35x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1A0C6BF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0.48x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6996783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0.43x</w:t>
            </w:r>
          </w:p>
        </w:tc>
        <w:tc>
          <w:tcPr>
            <w:tcW w:w="1411" w:type="dxa"/>
            <w:tcBorders>
              <w:bottom w:val="single" w:sz="4" w:space="0" w:color="auto"/>
            </w:tcBorders>
            <w:shd w:val="clear" w:color="auto" w:fill="auto"/>
            <w:tcMar>
              <w:top w:w="60" w:type="dxa"/>
              <w:left w:w="100" w:type="dxa"/>
              <w:bottom w:w="60" w:type="dxa"/>
              <w:right w:w="100" w:type="dxa"/>
            </w:tcMar>
            <w:vAlign w:val="center"/>
          </w:tcPr>
          <w:p w14:paraId="4C8F74A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0.44x</w:t>
            </w:r>
          </w:p>
        </w:tc>
        <w:tc>
          <w:tcPr>
            <w:tcW w:w="1416" w:type="dxa"/>
            <w:shd w:val="clear" w:color="auto" w:fill="auto"/>
            <w:tcMar>
              <w:top w:w="60" w:type="dxa"/>
              <w:left w:w="100" w:type="dxa"/>
              <w:bottom w:w="60" w:type="dxa"/>
              <w:right w:w="100" w:type="dxa"/>
            </w:tcMar>
            <w:vAlign w:val="center"/>
          </w:tcPr>
          <w:p w14:paraId="367B293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0.47x</w:t>
            </w:r>
          </w:p>
        </w:tc>
      </w:tr>
      <w:tr w:rsidR="00E82512" w:rsidRPr="00E82512" w14:paraId="076CA665" w14:textId="77777777" w:rsidTr="007A2336">
        <w:trPr>
          <w:gridAfter w:val="1"/>
          <w:wAfter w:w="1416" w:type="dxa"/>
        </w:trPr>
        <w:tc>
          <w:tcPr>
            <w:tcW w:w="2317" w:type="dxa"/>
            <w:tcBorders>
              <w:right w:val="single" w:sz="4" w:space="0" w:color="auto"/>
            </w:tcBorders>
            <w:shd w:val="clear" w:color="auto" w:fill="auto"/>
            <w:tcMar>
              <w:top w:w="60" w:type="dxa"/>
              <w:left w:w="100" w:type="dxa"/>
              <w:bottom w:w="60" w:type="dxa"/>
              <w:right w:w="100" w:type="dxa"/>
            </w:tcMar>
            <w:vAlign w:val="center"/>
          </w:tcPr>
          <w:p w14:paraId="6883BF5E" w14:textId="6D5664F4" w:rsidR="009F3DD3" w:rsidRPr="00176013" w:rsidRDefault="009F3DD3" w:rsidP="007A2336">
            <w:pPr>
              <w:rPr>
                <w:rFonts w:ascii="Arial" w:hAnsi="Arial" w:cs="Arial"/>
                <w:b/>
                <w:bCs/>
                <w:sz w:val="24"/>
                <w:szCs w:val="24"/>
              </w:rPr>
            </w:pPr>
            <w:r w:rsidRPr="00176013">
              <w:rPr>
                <w:rFonts w:ascii="Arial" w:hAnsi="Arial" w:cs="Arial"/>
                <w:b/>
                <w:bCs/>
                <w:color w:val="404040"/>
                <w:sz w:val="28"/>
                <w:szCs w:val="28"/>
              </w:rPr>
              <w:t xml:space="preserve">CASH FLOW </w:t>
            </w:r>
          </w:p>
        </w:tc>
        <w:tc>
          <w:tcPr>
            <w:tcW w:w="1399" w:type="dxa"/>
            <w:tcBorders>
              <w:top w:val="single" w:sz="4" w:space="0" w:color="auto"/>
              <w:left w:val="single" w:sz="4" w:space="0" w:color="auto"/>
              <w:bottom w:val="single" w:sz="4" w:space="0" w:color="auto"/>
              <w:right w:val="nil"/>
            </w:tcBorders>
            <w:shd w:val="clear" w:color="auto" w:fill="auto"/>
            <w:tcMar>
              <w:top w:w="60" w:type="dxa"/>
              <w:left w:w="100" w:type="dxa"/>
              <w:bottom w:w="60" w:type="dxa"/>
              <w:right w:w="100" w:type="dxa"/>
            </w:tcMar>
            <w:vAlign w:val="center"/>
          </w:tcPr>
          <w:p w14:paraId="2151657F"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4AAF85A3"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4AA6A983" w14:textId="77777777" w:rsidR="009F3DD3" w:rsidRPr="00E82512" w:rsidRDefault="009F3DD3" w:rsidP="007A2336">
            <w:pPr>
              <w:rPr>
                <w:rFonts w:ascii="Arial" w:hAnsi="Arial" w:cs="Arial"/>
                <w:sz w:val="24"/>
                <w:szCs w:val="24"/>
              </w:rPr>
            </w:pPr>
          </w:p>
        </w:tc>
        <w:tc>
          <w:tcPr>
            <w:tcW w:w="1411" w:type="dxa"/>
            <w:tcBorders>
              <w:top w:val="single" w:sz="4" w:space="0" w:color="auto"/>
              <w:left w:val="nil"/>
              <w:bottom w:val="single" w:sz="4" w:space="0" w:color="auto"/>
              <w:right w:val="nil"/>
            </w:tcBorders>
            <w:shd w:val="clear" w:color="auto" w:fill="auto"/>
            <w:tcMar>
              <w:top w:w="60" w:type="dxa"/>
              <w:left w:w="100" w:type="dxa"/>
              <w:bottom w:w="60" w:type="dxa"/>
              <w:right w:w="100" w:type="dxa"/>
            </w:tcMar>
            <w:vAlign w:val="center"/>
          </w:tcPr>
          <w:p w14:paraId="76C1E49F" w14:textId="77777777" w:rsidR="009F3DD3" w:rsidRPr="00E82512" w:rsidRDefault="009F3DD3" w:rsidP="007A2336">
            <w:pPr>
              <w:rPr>
                <w:rFonts w:ascii="Arial" w:hAnsi="Arial" w:cs="Arial"/>
                <w:sz w:val="24"/>
                <w:szCs w:val="24"/>
              </w:rPr>
            </w:pPr>
          </w:p>
        </w:tc>
      </w:tr>
      <w:tr w:rsidR="00E82512" w:rsidRPr="00E82512" w14:paraId="54E3E76C" w14:textId="77777777" w:rsidTr="00F176FD">
        <w:tc>
          <w:tcPr>
            <w:tcW w:w="2317" w:type="dxa"/>
            <w:shd w:val="clear" w:color="auto" w:fill="auto"/>
            <w:tcMar>
              <w:top w:w="60" w:type="dxa"/>
              <w:left w:w="100" w:type="dxa"/>
              <w:bottom w:w="60" w:type="dxa"/>
              <w:right w:w="100" w:type="dxa"/>
            </w:tcMar>
            <w:vAlign w:val="center"/>
          </w:tcPr>
          <w:p w14:paraId="6E38234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Operating Cash Flow (KRW bn)</w:t>
            </w:r>
          </w:p>
        </w:tc>
        <w:tc>
          <w:tcPr>
            <w:tcW w:w="1399" w:type="dxa"/>
            <w:tcBorders>
              <w:top w:val="single" w:sz="4" w:space="0" w:color="auto"/>
            </w:tcBorders>
            <w:shd w:val="clear" w:color="auto" w:fill="auto"/>
            <w:tcMar>
              <w:top w:w="60" w:type="dxa"/>
              <w:left w:w="100" w:type="dxa"/>
              <w:bottom w:w="60" w:type="dxa"/>
              <w:right w:w="100" w:type="dxa"/>
            </w:tcMar>
            <w:vAlign w:val="center"/>
          </w:tcPr>
          <w:p w14:paraId="7AADD8D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7,500</w:t>
            </w:r>
          </w:p>
        </w:tc>
        <w:tc>
          <w:tcPr>
            <w:tcW w:w="1411" w:type="dxa"/>
            <w:tcBorders>
              <w:top w:val="single" w:sz="4" w:space="0" w:color="auto"/>
            </w:tcBorders>
            <w:shd w:val="clear" w:color="auto" w:fill="auto"/>
            <w:tcMar>
              <w:top w:w="60" w:type="dxa"/>
              <w:left w:w="100" w:type="dxa"/>
              <w:bottom w:w="60" w:type="dxa"/>
              <w:right w:w="100" w:type="dxa"/>
            </w:tcMar>
            <w:vAlign w:val="center"/>
          </w:tcPr>
          <w:p w14:paraId="7A64BB1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10,400</w:t>
            </w:r>
          </w:p>
        </w:tc>
        <w:tc>
          <w:tcPr>
            <w:tcW w:w="1411" w:type="dxa"/>
            <w:tcBorders>
              <w:top w:val="single" w:sz="4" w:space="0" w:color="auto"/>
            </w:tcBorders>
            <w:shd w:val="clear" w:color="auto" w:fill="auto"/>
            <w:tcMar>
              <w:top w:w="60" w:type="dxa"/>
              <w:left w:w="100" w:type="dxa"/>
              <w:bottom w:w="60" w:type="dxa"/>
              <w:right w:w="100" w:type="dxa"/>
            </w:tcMar>
            <w:vAlign w:val="center"/>
          </w:tcPr>
          <w:p w14:paraId="056A85D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13,800</w:t>
            </w:r>
          </w:p>
        </w:tc>
        <w:tc>
          <w:tcPr>
            <w:tcW w:w="1411" w:type="dxa"/>
            <w:tcBorders>
              <w:top w:val="single" w:sz="4" w:space="0" w:color="auto"/>
            </w:tcBorders>
            <w:shd w:val="clear" w:color="auto" w:fill="auto"/>
            <w:tcMar>
              <w:top w:w="60" w:type="dxa"/>
              <w:left w:w="100" w:type="dxa"/>
              <w:bottom w:w="60" w:type="dxa"/>
              <w:right w:w="100" w:type="dxa"/>
            </w:tcMar>
            <w:vAlign w:val="center"/>
          </w:tcPr>
          <w:p w14:paraId="629CBE1A"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18,200</w:t>
            </w:r>
          </w:p>
        </w:tc>
        <w:tc>
          <w:tcPr>
            <w:tcW w:w="1416" w:type="dxa"/>
            <w:shd w:val="clear" w:color="auto" w:fill="auto"/>
            <w:tcMar>
              <w:top w:w="60" w:type="dxa"/>
              <w:left w:w="100" w:type="dxa"/>
              <w:bottom w:w="60" w:type="dxa"/>
              <w:right w:w="100" w:type="dxa"/>
            </w:tcMar>
            <w:vAlign w:val="center"/>
          </w:tcPr>
          <w:p w14:paraId="3235CC1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16,500</w:t>
            </w:r>
          </w:p>
        </w:tc>
      </w:tr>
      <w:tr w:rsidR="00E82512" w:rsidRPr="00E82512" w14:paraId="76B81EEF" w14:textId="77777777" w:rsidTr="00F176FD">
        <w:tc>
          <w:tcPr>
            <w:tcW w:w="2317" w:type="dxa"/>
            <w:shd w:val="clear" w:color="auto" w:fill="auto"/>
            <w:tcMar>
              <w:top w:w="60" w:type="dxa"/>
              <w:left w:w="100" w:type="dxa"/>
              <w:bottom w:w="60" w:type="dxa"/>
              <w:right w:w="100" w:type="dxa"/>
            </w:tcMar>
            <w:vAlign w:val="center"/>
          </w:tcPr>
          <w:p w14:paraId="4631FC3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Capital Expenditure (KRW bn)</w:t>
            </w:r>
          </w:p>
        </w:tc>
        <w:tc>
          <w:tcPr>
            <w:tcW w:w="1399" w:type="dxa"/>
            <w:shd w:val="clear" w:color="auto" w:fill="auto"/>
            <w:tcMar>
              <w:top w:w="60" w:type="dxa"/>
              <w:left w:w="100" w:type="dxa"/>
              <w:bottom w:w="60" w:type="dxa"/>
              <w:right w:w="100" w:type="dxa"/>
            </w:tcMar>
            <w:vAlign w:val="center"/>
          </w:tcPr>
          <w:p w14:paraId="06A6A07B"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4,200</w:t>
            </w:r>
          </w:p>
        </w:tc>
        <w:tc>
          <w:tcPr>
            <w:tcW w:w="1411" w:type="dxa"/>
            <w:shd w:val="clear" w:color="auto" w:fill="auto"/>
            <w:tcMar>
              <w:top w:w="60" w:type="dxa"/>
              <w:left w:w="100" w:type="dxa"/>
              <w:bottom w:w="60" w:type="dxa"/>
              <w:right w:w="100" w:type="dxa"/>
            </w:tcMar>
            <w:vAlign w:val="center"/>
          </w:tcPr>
          <w:p w14:paraId="41674CE0"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6,300</w:t>
            </w:r>
          </w:p>
        </w:tc>
        <w:tc>
          <w:tcPr>
            <w:tcW w:w="1411" w:type="dxa"/>
            <w:shd w:val="clear" w:color="auto" w:fill="auto"/>
            <w:tcMar>
              <w:top w:w="60" w:type="dxa"/>
              <w:left w:w="100" w:type="dxa"/>
              <w:bottom w:w="60" w:type="dxa"/>
              <w:right w:w="100" w:type="dxa"/>
            </w:tcMar>
            <w:vAlign w:val="center"/>
          </w:tcPr>
          <w:p w14:paraId="32FCFE1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8,500</w:t>
            </w:r>
          </w:p>
        </w:tc>
        <w:tc>
          <w:tcPr>
            <w:tcW w:w="1411" w:type="dxa"/>
            <w:shd w:val="clear" w:color="auto" w:fill="auto"/>
            <w:tcMar>
              <w:top w:w="60" w:type="dxa"/>
              <w:left w:w="100" w:type="dxa"/>
              <w:bottom w:w="60" w:type="dxa"/>
              <w:right w:w="100" w:type="dxa"/>
            </w:tcMar>
            <w:vAlign w:val="center"/>
          </w:tcPr>
          <w:p w14:paraId="2EABEA6E"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9,700</w:t>
            </w:r>
          </w:p>
        </w:tc>
        <w:tc>
          <w:tcPr>
            <w:tcW w:w="1416" w:type="dxa"/>
            <w:shd w:val="clear" w:color="auto" w:fill="auto"/>
            <w:tcMar>
              <w:top w:w="60" w:type="dxa"/>
              <w:left w:w="100" w:type="dxa"/>
              <w:bottom w:w="60" w:type="dxa"/>
              <w:right w:w="100" w:type="dxa"/>
            </w:tcMar>
            <w:vAlign w:val="center"/>
          </w:tcPr>
          <w:p w14:paraId="144D5B6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10,800</w:t>
            </w:r>
          </w:p>
        </w:tc>
      </w:tr>
      <w:tr w:rsidR="00E82512" w:rsidRPr="00E82512" w14:paraId="27DA4D8E" w14:textId="77777777" w:rsidTr="00F176FD">
        <w:tc>
          <w:tcPr>
            <w:tcW w:w="2317" w:type="dxa"/>
            <w:shd w:val="clear" w:color="auto" w:fill="auto"/>
            <w:tcMar>
              <w:top w:w="60" w:type="dxa"/>
              <w:left w:w="100" w:type="dxa"/>
              <w:bottom w:w="60" w:type="dxa"/>
              <w:right w:w="100" w:type="dxa"/>
            </w:tcMar>
            <w:vAlign w:val="center"/>
          </w:tcPr>
          <w:p w14:paraId="1087B09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Free Cash Flow (KRW bn)</w:t>
            </w:r>
          </w:p>
        </w:tc>
        <w:tc>
          <w:tcPr>
            <w:tcW w:w="1399" w:type="dxa"/>
            <w:shd w:val="clear" w:color="auto" w:fill="auto"/>
            <w:tcMar>
              <w:top w:w="60" w:type="dxa"/>
              <w:left w:w="100" w:type="dxa"/>
              <w:bottom w:w="60" w:type="dxa"/>
              <w:right w:w="100" w:type="dxa"/>
            </w:tcMar>
            <w:vAlign w:val="center"/>
          </w:tcPr>
          <w:p w14:paraId="408E246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3,300</w:t>
            </w:r>
          </w:p>
        </w:tc>
        <w:tc>
          <w:tcPr>
            <w:tcW w:w="1411" w:type="dxa"/>
            <w:shd w:val="clear" w:color="auto" w:fill="auto"/>
            <w:tcMar>
              <w:top w:w="60" w:type="dxa"/>
              <w:left w:w="100" w:type="dxa"/>
              <w:bottom w:w="60" w:type="dxa"/>
              <w:right w:w="100" w:type="dxa"/>
            </w:tcMar>
            <w:vAlign w:val="center"/>
          </w:tcPr>
          <w:p w14:paraId="2817B9A5"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4,100</w:t>
            </w:r>
          </w:p>
        </w:tc>
        <w:tc>
          <w:tcPr>
            <w:tcW w:w="1411" w:type="dxa"/>
            <w:shd w:val="clear" w:color="auto" w:fill="auto"/>
            <w:tcMar>
              <w:top w:w="60" w:type="dxa"/>
              <w:left w:w="100" w:type="dxa"/>
              <w:bottom w:w="60" w:type="dxa"/>
              <w:right w:w="100" w:type="dxa"/>
            </w:tcMar>
            <w:vAlign w:val="center"/>
          </w:tcPr>
          <w:p w14:paraId="3139BF31"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5,300</w:t>
            </w:r>
          </w:p>
        </w:tc>
        <w:tc>
          <w:tcPr>
            <w:tcW w:w="1411" w:type="dxa"/>
            <w:shd w:val="clear" w:color="auto" w:fill="auto"/>
            <w:tcMar>
              <w:top w:w="60" w:type="dxa"/>
              <w:left w:w="100" w:type="dxa"/>
              <w:bottom w:w="60" w:type="dxa"/>
              <w:right w:w="100" w:type="dxa"/>
            </w:tcMar>
            <w:vAlign w:val="center"/>
          </w:tcPr>
          <w:p w14:paraId="0F6882E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8,500</w:t>
            </w:r>
          </w:p>
        </w:tc>
        <w:tc>
          <w:tcPr>
            <w:tcW w:w="1416" w:type="dxa"/>
            <w:shd w:val="clear" w:color="auto" w:fill="auto"/>
            <w:tcMar>
              <w:top w:w="60" w:type="dxa"/>
              <w:left w:w="100" w:type="dxa"/>
              <w:bottom w:w="60" w:type="dxa"/>
              <w:right w:w="100" w:type="dxa"/>
            </w:tcMar>
            <w:vAlign w:val="center"/>
          </w:tcPr>
          <w:p w14:paraId="3771E7E7"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5,700</w:t>
            </w:r>
          </w:p>
        </w:tc>
      </w:tr>
      <w:tr w:rsidR="00E82512" w:rsidRPr="00E82512" w14:paraId="0C8DFB07" w14:textId="77777777" w:rsidTr="00F176FD">
        <w:tc>
          <w:tcPr>
            <w:tcW w:w="2317" w:type="dxa"/>
            <w:shd w:val="clear" w:color="auto" w:fill="auto"/>
            <w:tcMar>
              <w:top w:w="60" w:type="dxa"/>
              <w:left w:w="100" w:type="dxa"/>
              <w:bottom w:w="60" w:type="dxa"/>
              <w:right w:w="100" w:type="dxa"/>
            </w:tcMar>
            <w:vAlign w:val="center"/>
          </w:tcPr>
          <w:p w14:paraId="7CDE02BF"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CapEx / Revenue (%)</w:t>
            </w:r>
          </w:p>
        </w:tc>
        <w:tc>
          <w:tcPr>
            <w:tcW w:w="1399" w:type="dxa"/>
            <w:shd w:val="clear" w:color="auto" w:fill="auto"/>
            <w:tcMar>
              <w:top w:w="60" w:type="dxa"/>
              <w:left w:w="100" w:type="dxa"/>
              <w:bottom w:w="60" w:type="dxa"/>
              <w:right w:w="100" w:type="dxa"/>
            </w:tcMar>
            <w:vAlign w:val="center"/>
          </w:tcPr>
          <w:p w14:paraId="6C1C4222"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4.0%</w:t>
            </w:r>
          </w:p>
        </w:tc>
        <w:tc>
          <w:tcPr>
            <w:tcW w:w="1411" w:type="dxa"/>
            <w:shd w:val="clear" w:color="auto" w:fill="auto"/>
            <w:tcMar>
              <w:top w:w="60" w:type="dxa"/>
              <w:left w:w="100" w:type="dxa"/>
              <w:bottom w:w="60" w:type="dxa"/>
              <w:right w:w="100" w:type="dxa"/>
            </w:tcMar>
            <w:vAlign w:val="center"/>
          </w:tcPr>
          <w:p w14:paraId="1322102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5.4%</w:t>
            </w:r>
          </w:p>
        </w:tc>
        <w:tc>
          <w:tcPr>
            <w:tcW w:w="1411" w:type="dxa"/>
            <w:shd w:val="clear" w:color="auto" w:fill="auto"/>
            <w:tcMar>
              <w:top w:w="60" w:type="dxa"/>
              <w:left w:w="100" w:type="dxa"/>
              <w:bottom w:w="60" w:type="dxa"/>
              <w:right w:w="100" w:type="dxa"/>
            </w:tcMar>
            <w:vAlign w:val="center"/>
          </w:tcPr>
          <w:p w14:paraId="1CD2A779"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6.0%</w:t>
            </w:r>
          </w:p>
        </w:tc>
        <w:tc>
          <w:tcPr>
            <w:tcW w:w="1411" w:type="dxa"/>
            <w:shd w:val="clear" w:color="auto" w:fill="auto"/>
            <w:tcMar>
              <w:top w:w="60" w:type="dxa"/>
              <w:left w:w="100" w:type="dxa"/>
              <w:bottom w:w="60" w:type="dxa"/>
              <w:right w:w="100" w:type="dxa"/>
            </w:tcMar>
            <w:vAlign w:val="center"/>
          </w:tcPr>
          <w:p w14:paraId="586F97B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6.0%</w:t>
            </w:r>
          </w:p>
        </w:tc>
        <w:tc>
          <w:tcPr>
            <w:tcW w:w="1416" w:type="dxa"/>
            <w:shd w:val="clear" w:color="auto" w:fill="auto"/>
            <w:tcMar>
              <w:top w:w="60" w:type="dxa"/>
              <w:left w:w="100" w:type="dxa"/>
              <w:bottom w:w="60" w:type="dxa"/>
              <w:right w:w="100" w:type="dxa"/>
            </w:tcMar>
            <w:vAlign w:val="center"/>
          </w:tcPr>
          <w:p w14:paraId="4C1CEBC6"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6.2%</w:t>
            </w:r>
          </w:p>
        </w:tc>
      </w:tr>
      <w:tr w:rsidR="00E82512" w:rsidRPr="00E82512" w14:paraId="3328AAEE" w14:textId="77777777" w:rsidTr="00F176FD">
        <w:tc>
          <w:tcPr>
            <w:tcW w:w="2317" w:type="dxa"/>
            <w:shd w:val="clear" w:color="auto" w:fill="auto"/>
            <w:tcMar>
              <w:top w:w="60" w:type="dxa"/>
              <w:left w:w="100" w:type="dxa"/>
              <w:bottom w:w="60" w:type="dxa"/>
              <w:right w:w="100" w:type="dxa"/>
            </w:tcMar>
            <w:vAlign w:val="center"/>
          </w:tcPr>
          <w:p w14:paraId="3DE3E4D4"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OCF / Net Profit (x)</w:t>
            </w:r>
          </w:p>
        </w:tc>
        <w:tc>
          <w:tcPr>
            <w:tcW w:w="1399" w:type="dxa"/>
            <w:shd w:val="clear" w:color="auto" w:fill="auto"/>
            <w:tcMar>
              <w:top w:w="60" w:type="dxa"/>
              <w:left w:w="100" w:type="dxa"/>
              <w:bottom w:w="60" w:type="dxa"/>
              <w:right w:w="100" w:type="dxa"/>
            </w:tcMar>
            <w:vAlign w:val="center"/>
          </w:tcPr>
          <w:p w14:paraId="6ACE761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4.58x</w:t>
            </w:r>
          </w:p>
        </w:tc>
        <w:tc>
          <w:tcPr>
            <w:tcW w:w="1411" w:type="dxa"/>
            <w:shd w:val="clear" w:color="auto" w:fill="auto"/>
            <w:tcMar>
              <w:top w:w="60" w:type="dxa"/>
              <w:left w:w="100" w:type="dxa"/>
              <w:bottom w:w="60" w:type="dxa"/>
              <w:right w:w="100" w:type="dxa"/>
            </w:tcMar>
            <w:vAlign w:val="center"/>
          </w:tcPr>
          <w:p w14:paraId="0D94A7AC"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1.80x</w:t>
            </w:r>
          </w:p>
        </w:tc>
        <w:tc>
          <w:tcPr>
            <w:tcW w:w="1411" w:type="dxa"/>
            <w:shd w:val="clear" w:color="auto" w:fill="auto"/>
            <w:tcMar>
              <w:top w:w="60" w:type="dxa"/>
              <w:left w:w="100" w:type="dxa"/>
              <w:bottom w:w="60" w:type="dxa"/>
              <w:right w:w="100" w:type="dxa"/>
            </w:tcMar>
            <w:vAlign w:val="center"/>
          </w:tcPr>
          <w:p w14:paraId="1AF13333"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1.73x</w:t>
            </w:r>
          </w:p>
        </w:tc>
        <w:tc>
          <w:tcPr>
            <w:tcW w:w="1411" w:type="dxa"/>
            <w:shd w:val="clear" w:color="auto" w:fill="auto"/>
            <w:tcMar>
              <w:top w:w="60" w:type="dxa"/>
              <w:left w:w="100" w:type="dxa"/>
              <w:bottom w:w="60" w:type="dxa"/>
              <w:right w:w="100" w:type="dxa"/>
            </w:tcMar>
            <w:vAlign w:val="center"/>
          </w:tcPr>
          <w:p w14:paraId="3245EA78" w14:textId="77777777" w:rsidR="009F3DD3" w:rsidRPr="00E82512" w:rsidRDefault="009F3DD3" w:rsidP="007A2336">
            <w:pPr>
              <w:rPr>
                <w:rFonts w:ascii="Arial" w:hAnsi="Arial" w:cs="Arial"/>
                <w:sz w:val="24"/>
                <w:szCs w:val="24"/>
              </w:rPr>
            </w:pPr>
            <w:r w:rsidRPr="00E82512">
              <w:rPr>
                <w:rFonts w:ascii="Arial" w:hAnsi="Arial" w:cs="Arial"/>
                <w:color w:val="404040"/>
                <w:sz w:val="24"/>
                <w:szCs w:val="24"/>
              </w:rPr>
              <w:t>1.46x</w:t>
            </w:r>
          </w:p>
        </w:tc>
        <w:tc>
          <w:tcPr>
            <w:tcW w:w="1416" w:type="dxa"/>
            <w:shd w:val="clear" w:color="auto" w:fill="auto"/>
            <w:tcMar>
              <w:top w:w="60" w:type="dxa"/>
              <w:left w:w="100" w:type="dxa"/>
              <w:bottom w:w="60" w:type="dxa"/>
              <w:right w:w="100" w:type="dxa"/>
            </w:tcMar>
            <w:vAlign w:val="center"/>
          </w:tcPr>
          <w:p w14:paraId="3F40C740" w14:textId="77777777" w:rsidR="009F3DD3" w:rsidRPr="00E82512" w:rsidRDefault="009F3DD3" w:rsidP="006233A7">
            <w:pPr>
              <w:keepNext/>
              <w:rPr>
                <w:rFonts w:ascii="Arial" w:hAnsi="Arial" w:cs="Arial"/>
                <w:sz w:val="24"/>
                <w:szCs w:val="24"/>
              </w:rPr>
            </w:pPr>
            <w:r w:rsidRPr="00E82512">
              <w:rPr>
                <w:rFonts w:ascii="Arial" w:hAnsi="Arial" w:cs="Arial"/>
                <w:color w:val="404040"/>
                <w:sz w:val="24"/>
                <w:szCs w:val="24"/>
              </w:rPr>
              <w:t>1.51x</w:t>
            </w:r>
          </w:p>
        </w:tc>
      </w:tr>
    </w:tbl>
    <w:p w14:paraId="1ED148CC" w14:textId="14D0FFBA" w:rsidR="006233A7" w:rsidRDefault="006233A7" w:rsidP="006233A7">
      <w:pPr>
        <w:pStyle w:val="Caption"/>
        <w:framePr w:hSpace="180" w:wrap="around" w:vAnchor="text" w:hAnchor="text" w:y="1"/>
        <w:suppressOverlap/>
      </w:pPr>
      <w:r>
        <w:t xml:space="preserve">Table </w:t>
      </w:r>
      <w:r w:rsidRPr="00A8357F">
        <w:t>Source: Hyundai Motor Company Annual Reports 2020–2024; Author's calculations</w:t>
      </w:r>
    </w:p>
    <w:p w14:paraId="764FDCE5" w14:textId="77777777" w:rsidR="00D13F67" w:rsidRPr="00726AF2" w:rsidRDefault="00D13F67" w:rsidP="00726AF2"/>
    <w:p w14:paraId="0EF9EC3C" w14:textId="4889E586" w:rsidR="00BA7E31" w:rsidRDefault="00BA7E31" w:rsidP="00BA7E31">
      <w:pPr>
        <w:pStyle w:val="Heading2"/>
      </w:pPr>
      <w:bookmarkStart w:id="66" w:name="_Toc227660528"/>
      <w:r>
        <w:rPr>
          <w:rFonts w:ascii="Arial" w:eastAsia="Arial" w:hAnsi="Arial" w:cs="Arial"/>
          <w:b/>
          <w:bCs/>
          <w:color w:val="2E75B6"/>
        </w:rPr>
        <w:t>Appendix B: Full Investment Appraisal Workings</w:t>
      </w:r>
      <w:bookmarkEnd w:id="66"/>
    </w:p>
    <w:p w14:paraId="24E86BC7" w14:textId="77777777" w:rsidR="00BA7E31" w:rsidRDefault="00BA7E31" w:rsidP="00BA7E31"/>
    <w:p w14:paraId="037B6AB1" w14:textId="77777777" w:rsidR="00BA7E31" w:rsidRPr="00476FB5" w:rsidRDefault="00BA7E31" w:rsidP="00476FB5">
      <w:pPr>
        <w:pStyle w:val="Heading3"/>
        <w:spacing w:line="360" w:lineRule="auto"/>
      </w:pPr>
      <w:bookmarkStart w:id="67" w:name="_Toc227660529"/>
      <w:r w:rsidRPr="00476FB5">
        <w:rPr>
          <w:rFonts w:ascii="Arial" w:eastAsia="Arial" w:hAnsi="Arial" w:cs="Arial"/>
          <w:b/>
          <w:bCs/>
          <w:color w:val="404040"/>
          <w:u w:color="2E75B6"/>
        </w:rPr>
        <w:t>Table B.1 – Project A: Annual Accounting Profit</w:t>
      </w:r>
      <w:bookmarkEnd w:id="6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700"/>
        <w:gridCol w:w="1700"/>
        <w:gridCol w:w="2400"/>
        <w:gridCol w:w="2360"/>
      </w:tblGrid>
      <w:tr w:rsidR="00BA7E31" w:rsidRPr="00476FB5" w14:paraId="16803BB0" w14:textId="77777777" w:rsidTr="00476FB5">
        <w:tc>
          <w:tcPr>
            <w:tcW w:w="1200" w:type="dxa"/>
            <w:shd w:val="clear" w:color="auto" w:fill="auto"/>
            <w:tcMar>
              <w:top w:w="80" w:type="dxa"/>
              <w:left w:w="100" w:type="dxa"/>
              <w:bottom w:w="80" w:type="dxa"/>
              <w:right w:w="100" w:type="dxa"/>
            </w:tcMar>
            <w:vAlign w:val="center"/>
          </w:tcPr>
          <w:p w14:paraId="30B8C106"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Year</w:t>
            </w:r>
          </w:p>
        </w:tc>
        <w:tc>
          <w:tcPr>
            <w:tcW w:w="1700" w:type="dxa"/>
            <w:shd w:val="clear" w:color="auto" w:fill="auto"/>
            <w:tcMar>
              <w:top w:w="80" w:type="dxa"/>
              <w:left w:w="100" w:type="dxa"/>
              <w:bottom w:w="80" w:type="dxa"/>
              <w:right w:w="100" w:type="dxa"/>
            </w:tcMar>
            <w:vAlign w:val="center"/>
          </w:tcPr>
          <w:p w14:paraId="3AD1C9EA"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Cash Inflow (£m)</w:t>
            </w:r>
          </w:p>
        </w:tc>
        <w:tc>
          <w:tcPr>
            <w:tcW w:w="1700" w:type="dxa"/>
            <w:shd w:val="clear" w:color="auto" w:fill="auto"/>
            <w:tcMar>
              <w:top w:w="80" w:type="dxa"/>
              <w:left w:w="100" w:type="dxa"/>
              <w:bottom w:w="80" w:type="dxa"/>
              <w:right w:w="100" w:type="dxa"/>
            </w:tcMar>
            <w:vAlign w:val="center"/>
          </w:tcPr>
          <w:p w14:paraId="1D3BDB78"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Depreciation (£m)</w:t>
            </w:r>
          </w:p>
        </w:tc>
        <w:tc>
          <w:tcPr>
            <w:tcW w:w="2400" w:type="dxa"/>
            <w:shd w:val="clear" w:color="auto" w:fill="auto"/>
            <w:tcMar>
              <w:top w:w="80" w:type="dxa"/>
              <w:left w:w="100" w:type="dxa"/>
              <w:bottom w:w="80" w:type="dxa"/>
              <w:right w:w="100" w:type="dxa"/>
            </w:tcMar>
            <w:vAlign w:val="center"/>
          </w:tcPr>
          <w:p w14:paraId="1C5F4CAF"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Accounting Profit (£m)</w:t>
            </w:r>
          </w:p>
        </w:tc>
        <w:tc>
          <w:tcPr>
            <w:tcW w:w="2360" w:type="dxa"/>
            <w:shd w:val="clear" w:color="auto" w:fill="auto"/>
            <w:tcMar>
              <w:top w:w="80" w:type="dxa"/>
              <w:left w:w="100" w:type="dxa"/>
              <w:bottom w:w="80" w:type="dxa"/>
              <w:right w:w="100" w:type="dxa"/>
            </w:tcMar>
            <w:vAlign w:val="center"/>
          </w:tcPr>
          <w:p w14:paraId="0F0D90FF"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Cumulative CF (£m)</w:t>
            </w:r>
          </w:p>
        </w:tc>
      </w:tr>
      <w:tr w:rsidR="00BA7E31" w:rsidRPr="00476FB5" w14:paraId="73550852" w14:textId="77777777" w:rsidTr="00476FB5">
        <w:tc>
          <w:tcPr>
            <w:tcW w:w="1200" w:type="dxa"/>
            <w:shd w:val="clear" w:color="auto" w:fill="auto"/>
            <w:tcMar>
              <w:top w:w="60" w:type="dxa"/>
              <w:left w:w="100" w:type="dxa"/>
              <w:bottom w:w="60" w:type="dxa"/>
              <w:right w:w="100" w:type="dxa"/>
            </w:tcMar>
            <w:vAlign w:val="center"/>
          </w:tcPr>
          <w:p w14:paraId="507E997E"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1</w:t>
            </w:r>
          </w:p>
        </w:tc>
        <w:tc>
          <w:tcPr>
            <w:tcW w:w="1700" w:type="dxa"/>
            <w:shd w:val="clear" w:color="auto" w:fill="auto"/>
            <w:tcMar>
              <w:top w:w="60" w:type="dxa"/>
              <w:left w:w="100" w:type="dxa"/>
              <w:bottom w:w="60" w:type="dxa"/>
              <w:right w:w="100" w:type="dxa"/>
            </w:tcMar>
            <w:vAlign w:val="center"/>
          </w:tcPr>
          <w:p w14:paraId="23D3465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1700" w:type="dxa"/>
            <w:shd w:val="clear" w:color="auto" w:fill="auto"/>
            <w:tcMar>
              <w:top w:w="60" w:type="dxa"/>
              <w:left w:w="100" w:type="dxa"/>
              <w:bottom w:w="60" w:type="dxa"/>
              <w:right w:w="100" w:type="dxa"/>
            </w:tcMar>
            <w:vAlign w:val="center"/>
          </w:tcPr>
          <w:p w14:paraId="7B3E9A6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2BB7162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£0.00</w:t>
            </w:r>
          </w:p>
        </w:tc>
        <w:tc>
          <w:tcPr>
            <w:tcW w:w="2360" w:type="dxa"/>
            <w:shd w:val="clear" w:color="auto" w:fill="auto"/>
            <w:tcMar>
              <w:top w:w="60" w:type="dxa"/>
              <w:left w:w="100" w:type="dxa"/>
              <w:bottom w:w="60" w:type="dxa"/>
              <w:right w:w="100" w:type="dxa"/>
            </w:tcMar>
            <w:vAlign w:val="center"/>
          </w:tcPr>
          <w:p w14:paraId="29D88AE4"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r>
      <w:tr w:rsidR="00BA7E31" w:rsidRPr="00476FB5" w14:paraId="483297C2" w14:textId="77777777" w:rsidTr="00476FB5">
        <w:tc>
          <w:tcPr>
            <w:tcW w:w="1200" w:type="dxa"/>
            <w:shd w:val="clear" w:color="auto" w:fill="auto"/>
            <w:tcMar>
              <w:top w:w="60" w:type="dxa"/>
              <w:left w:w="100" w:type="dxa"/>
              <w:bottom w:w="60" w:type="dxa"/>
              <w:right w:w="100" w:type="dxa"/>
            </w:tcMar>
            <w:vAlign w:val="center"/>
          </w:tcPr>
          <w:p w14:paraId="202D142C"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2</w:t>
            </w:r>
          </w:p>
        </w:tc>
        <w:tc>
          <w:tcPr>
            <w:tcW w:w="1700" w:type="dxa"/>
            <w:shd w:val="clear" w:color="auto" w:fill="auto"/>
            <w:tcMar>
              <w:top w:w="60" w:type="dxa"/>
              <w:left w:w="100" w:type="dxa"/>
              <w:bottom w:w="60" w:type="dxa"/>
              <w:right w:w="100" w:type="dxa"/>
            </w:tcMar>
            <w:vAlign w:val="center"/>
          </w:tcPr>
          <w:p w14:paraId="7C6BA27D"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£12.00</w:t>
            </w:r>
          </w:p>
        </w:tc>
        <w:tc>
          <w:tcPr>
            <w:tcW w:w="1700" w:type="dxa"/>
            <w:shd w:val="clear" w:color="auto" w:fill="auto"/>
            <w:tcMar>
              <w:top w:w="60" w:type="dxa"/>
              <w:left w:w="100" w:type="dxa"/>
              <w:bottom w:w="60" w:type="dxa"/>
              <w:right w:w="100" w:type="dxa"/>
            </w:tcMar>
            <w:vAlign w:val="center"/>
          </w:tcPr>
          <w:p w14:paraId="484592B1"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30195EC1"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£2.00</w:t>
            </w:r>
          </w:p>
        </w:tc>
        <w:tc>
          <w:tcPr>
            <w:tcW w:w="2360" w:type="dxa"/>
            <w:shd w:val="clear" w:color="auto" w:fill="auto"/>
            <w:tcMar>
              <w:top w:w="60" w:type="dxa"/>
              <w:left w:w="100" w:type="dxa"/>
              <w:bottom w:w="60" w:type="dxa"/>
              <w:right w:w="100" w:type="dxa"/>
            </w:tcMar>
            <w:vAlign w:val="center"/>
          </w:tcPr>
          <w:p w14:paraId="5854CC6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£22.00</w:t>
            </w:r>
          </w:p>
        </w:tc>
      </w:tr>
      <w:tr w:rsidR="00BA7E31" w:rsidRPr="00476FB5" w14:paraId="6AF073CB" w14:textId="77777777" w:rsidTr="00476FB5">
        <w:tc>
          <w:tcPr>
            <w:tcW w:w="1200" w:type="dxa"/>
            <w:shd w:val="clear" w:color="auto" w:fill="auto"/>
            <w:tcMar>
              <w:top w:w="60" w:type="dxa"/>
              <w:left w:w="100" w:type="dxa"/>
              <w:bottom w:w="60" w:type="dxa"/>
              <w:right w:w="100" w:type="dxa"/>
            </w:tcMar>
            <w:vAlign w:val="center"/>
          </w:tcPr>
          <w:p w14:paraId="57F4CF7B"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3</w:t>
            </w:r>
          </w:p>
        </w:tc>
        <w:tc>
          <w:tcPr>
            <w:tcW w:w="1700" w:type="dxa"/>
            <w:shd w:val="clear" w:color="auto" w:fill="auto"/>
            <w:tcMar>
              <w:top w:w="60" w:type="dxa"/>
              <w:left w:w="100" w:type="dxa"/>
              <w:bottom w:w="60" w:type="dxa"/>
              <w:right w:w="100" w:type="dxa"/>
            </w:tcMar>
            <w:vAlign w:val="center"/>
          </w:tcPr>
          <w:p w14:paraId="65C8920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£14.00</w:t>
            </w:r>
          </w:p>
        </w:tc>
        <w:tc>
          <w:tcPr>
            <w:tcW w:w="1700" w:type="dxa"/>
            <w:shd w:val="clear" w:color="auto" w:fill="auto"/>
            <w:tcMar>
              <w:top w:w="60" w:type="dxa"/>
              <w:left w:w="100" w:type="dxa"/>
              <w:bottom w:w="60" w:type="dxa"/>
              <w:right w:w="100" w:type="dxa"/>
            </w:tcMar>
            <w:vAlign w:val="center"/>
          </w:tcPr>
          <w:p w14:paraId="5A95EE8D"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44ED8E4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£4.00</w:t>
            </w:r>
          </w:p>
        </w:tc>
        <w:tc>
          <w:tcPr>
            <w:tcW w:w="2360" w:type="dxa"/>
            <w:shd w:val="clear" w:color="auto" w:fill="auto"/>
            <w:tcMar>
              <w:top w:w="60" w:type="dxa"/>
              <w:left w:w="100" w:type="dxa"/>
              <w:bottom w:w="60" w:type="dxa"/>
              <w:right w:w="100" w:type="dxa"/>
            </w:tcMar>
            <w:vAlign w:val="center"/>
          </w:tcPr>
          <w:p w14:paraId="6878520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£36.00</w:t>
            </w:r>
          </w:p>
        </w:tc>
      </w:tr>
      <w:tr w:rsidR="00BA7E31" w:rsidRPr="00476FB5" w14:paraId="081C2362" w14:textId="77777777" w:rsidTr="00476FB5">
        <w:tc>
          <w:tcPr>
            <w:tcW w:w="1200" w:type="dxa"/>
            <w:shd w:val="clear" w:color="auto" w:fill="auto"/>
            <w:tcMar>
              <w:top w:w="60" w:type="dxa"/>
              <w:left w:w="100" w:type="dxa"/>
              <w:bottom w:w="60" w:type="dxa"/>
              <w:right w:w="100" w:type="dxa"/>
            </w:tcMar>
            <w:vAlign w:val="center"/>
          </w:tcPr>
          <w:p w14:paraId="25971FFE"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4</w:t>
            </w:r>
          </w:p>
        </w:tc>
        <w:tc>
          <w:tcPr>
            <w:tcW w:w="1700" w:type="dxa"/>
            <w:shd w:val="clear" w:color="auto" w:fill="auto"/>
            <w:tcMar>
              <w:top w:w="60" w:type="dxa"/>
              <w:left w:w="100" w:type="dxa"/>
              <w:bottom w:w="60" w:type="dxa"/>
              <w:right w:w="100" w:type="dxa"/>
            </w:tcMar>
            <w:vAlign w:val="center"/>
          </w:tcPr>
          <w:p w14:paraId="31B326D2"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1700" w:type="dxa"/>
            <w:shd w:val="clear" w:color="auto" w:fill="auto"/>
            <w:tcMar>
              <w:top w:w="60" w:type="dxa"/>
              <w:left w:w="100" w:type="dxa"/>
              <w:bottom w:w="60" w:type="dxa"/>
              <w:right w:w="100" w:type="dxa"/>
            </w:tcMar>
            <w:vAlign w:val="center"/>
          </w:tcPr>
          <w:p w14:paraId="40E50E12"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2E59A2D4"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£0.00</w:t>
            </w:r>
          </w:p>
        </w:tc>
        <w:tc>
          <w:tcPr>
            <w:tcW w:w="2360" w:type="dxa"/>
            <w:shd w:val="clear" w:color="auto" w:fill="auto"/>
            <w:tcMar>
              <w:top w:w="60" w:type="dxa"/>
              <w:left w:w="100" w:type="dxa"/>
              <w:bottom w:w="60" w:type="dxa"/>
              <w:right w:w="100" w:type="dxa"/>
            </w:tcMar>
            <w:vAlign w:val="center"/>
          </w:tcPr>
          <w:p w14:paraId="3FC87422"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£46.00</w:t>
            </w:r>
          </w:p>
        </w:tc>
      </w:tr>
      <w:tr w:rsidR="00BA7E31" w:rsidRPr="00476FB5" w14:paraId="7A521E36" w14:textId="77777777" w:rsidTr="00476FB5">
        <w:tc>
          <w:tcPr>
            <w:tcW w:w="1200" w:type="dxa"/>
            <w:shd w:val="clear" w:color="auto" w:fill="auto"/>
            <w:tcMar>
              <w:top w:w="60" w:type="dxa"/>
              <w:left w:w="100" w:type="dxa"/>
              <w:bottom w:w="60" w:type="dxa"/>
              <w:right w:w="100" w:type="dxa"/>
            </w:tcMar>
            <w:vAlign w:val="center"/>
          </w:tcPr>
          <w:p w14:paraId="3A8610B6"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5</w:t>
            </w:r>
          </w:p>
        </w:tc>
        <w:tc>
          <w:tcPr>
            <w:tcW w:w="1700" w:type="dxa"/>
            <w:shd w:val="clear" w:color="auto" w:fill="auto"/>
            <w:tcMar>
              <w:top w:w="60" w:type="dxa"/>
              <w:left w:w="100" w:type="dxa"/>
              <w:bottom w:w="60" w:type="dxa"/>
              <w:right w:w="100" w:type="dxa"/>
            </w:tcMar>
            <w:vAlign w:val="center"/>
          </w:tcPr>
          <w:p w14:paraId="443BF31A"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£8.00</w:t>
            </w:r>
          </w:p>
        </w:tc>
        <w:tc>
          <w:tcPr>
            <w:tcW w:w="1700" w:type="dxa"/>
            <w:shd w:val="clear" w:color="auto" w:fill="auto"/>
            <w:tcMar>
              <w:top w:w="60" w:type="dxa"/>
              <w:left w:w="100" w:type="dxa"/>
              <w:bottom w:w="60" w:type="dxa"/>
              <w:right w:w="100" w:type="dxa"/>
            </w:tcMar>
            <w:vAlign w:val="center"/>
          </w:tcPr>
          <w:p w14:paraId="4AEA163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116434A6"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(£2.00)</w:t>
            </w:r>
          </w:p>
        </w:tc>
        <w:tc>
          <w:tcPr>
            <w:tcW w:w="2360" w:type="dxa"/>
            <w:shd w:val="clear" w:color="auto" w:fill="auto"/>
            <w:tcMar>
              <w:top w:w="60" w:type="dxa"/>
              <w:left w:w="100" w:type="dxa"/>
              <w:bottom w:w="60" w:type="dxa"/>
              <w:right w:w="100" w:type="dxa"/>
            </w:tcMar>
            <w:vAlign w:val="center"/>
          </w:tcPr>
          <w:p w14:paraId="4C447BE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£54.00</w:t>
            </w:r>
          </w:p>
        </w:tc>
      </w:tr>
      <w:tr w:rsidR="00BA7E31" w:rsidRPr="00476FB5" w14:paraId="48E5BF74" w14:textId="77777777" w:rsidTr="00476FB5">
        <w:tc>
          <w:tcPr>
            <w:tcW w:w="1200" w:type="dxa"/>
            <w:shd w:val="clear" w:color="auto" w:fill="auto"/>
            <w:tcMar>
              <w:top w:w="60" w:type="dxa"/>
              <w:left w:w="100" w:type="dxa"/>
              <w:bottom w:w="60" w:type="dxa"/>
              <w:right w:w="100" w:type="dxa"/>
            </w:tcMar>
            <w:vAlign w:val="center"/>
          </w:tcPr>
          <w:p w14:paraId="3B5E00E4"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Total</w:t>
            </w:r>
          </w:p>
        </w:tc>
        <w:tc>
          <w:tcPr>
            <w:tcW w:w="1700" w:type="dxa"/>
            <w:shd w:val="clear" w:color="auto" w:fill="auto"/>
            <w:tcMar>
              <w:top w:w="60" w:type="dxa"/>
              <w:left w:w="100" w:type="dxa"/>
              <w:bottom w:w="60" w:type="dxa"/>
              <w:right w:w="100" w:type="dxa"/>
            </w:tcMar>
            <w:vAlign w:val="center"/>
          </w:tcPr>
          <w:p w14:paraId="20550DA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£54.00</w:t>
            </w:r>
          </w:p>
        </w:tc>
        <w:tc>
          <w:tcPr>
            <w:tcW w:w="1700" w:type="dxa"/>
            <w:shd w:val="clear" w:color="auto" w:fill="auto"/>
            <w:tcMar>
              <w:top w:w="60" w:type="dxa"/>
              <w:left w:w="100" w:type="dxa"/>
              <w:bottom w:w="60" w:type="dxa"/>
              <w:right w:w="100" w:type="dxa"/>
            </w:tcMar>
            <w:vAlign w:val="center"/>
          </w:tcPr>
          <w:p w14:paraId="79F9D645"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£50.00</w:t>
            </w:r>
          </w:p>
        </w:tc>
        <w:tc>
          <w:tcPr>
            <w:tcW w:w="2400" w:type="dxa"/>
            <w:shd w:val="clear" w:color="auto" w:fill="auto"/>
            <w:tcMar>
              <w:top w:w="60" w:type="dxa"/>
              <w:left w:w="100" w:type="dxa"/>
              <w:bottom w:w="60" w:type="dxa"/>
              <w:right w:w="100" w:type="dxa"/>
            </w:tcMar>
            <w:vAlign w:val="center"/>
          </w:tcPr>
          <w:p w14:paraId="009E1905"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£4.00</w:t>
            </w:r>
          </w:p>
        </w:tc>
        <w:tc>
          <w:tcPr>
            <w:tcW w:w="2360" w:type="dxa"/>
            <w:shd w:val="clear" w:color="auto" w:fill="auto"/>
            <w:tcMar>
              <w:top w:w="60" w:type="dxa"/>
              <w:left w:w="100" w:type="dxa"/>
              <w:bottom w:w="60" w:type="dxa"/>
              <w:right w:w="100" w:type="dxa"/>
            </w:tcMar>
            <w:vAlign w:val="center"/>
          </w:tcPr>
          <w:p w14:paraId="4C328359" w14:textId="77777777" w:rsidR="00BA7E31" w:rsidRPr="00476FB5" w:rsidRDefault="00BA7E31" w:rsidP="00476FB5">
            <w:pPr>
              <w:rPr>
                <w:rFonts w:ascii="Arial" w:hAnsi="Arial" w:cs="Arial"/>
                <w:sz w:val="24"/>
                <w:szCs w:val="24"/>
              </w:rPr>
            </w:pPr>
          </w:p>
        </w:tc>
      </w:tr>
      <w:tr w:rsidR="00BA7E31" w:rsidRPr="00476FB5" w14:paraId="45B7E852" w14:textId="77777777" w:rsidTr="00476FB5">
        <w:tc>
          <w:tcPr>
            <w:tcW w:w="1200" w:type="dxa"/>
            <w:shd w:val="clear" w:color="auto" w:fill="auto"/>
            <w:tcMar>
              <w:top w:w="60" w:type="dxa"/>
              <w:left w:w="100" w:type="dxa"/>
              <w:bottom w:w="60" w:type="dxa"/>
              <w:right w:w="100" w:type="dxa"/>
            </w:tcMar>
            <w:vAlign w:val="center"/>
          </w:tcPr>
          <w:p w14:paraId="30EEAD71"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lastRenderedPageBreak/>
              <w:t>Average per Year</w:t>
            </w:r>
          </w:p>
        </w:tc>
        <w:tc>
          <w:tcPr>
            <w:tcW w:w="1700" w:type="dxa"/>
            <w:shd w:val="clear" w:color="auto" w:fill="auto"/>
            <w:tcMar>
              <w:top w:w="60" w:type="dxa"/>
              <w:left w:w="100" w:type="dxa"/>
              <w:bottom w:w="60" w:type="dxa"/>
              <w:right w:w="100" w:type="dxa"/>
            </w:tcMar>
            <w:vAlign w:val="center"/>
          </w:tcPr>
          <w:p w14:paraId="4F809BE5"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£10.80</w:t>
            </w:r>
          </w:p>
        </w:tc>
        <w:tc>
          <w:tcPr>
            <w:tcW w:w="1700" w:type="dxa"/>
            <w:shd w:val="clear" w:color="auto" w:fill="auto"/>
            <w:tcMar>
              <w:top w:w="60" w:type="dxa"/>
              <w:left w:w="100" w:type="dxa"/>
              <w:bottom w:w="60" w:type="dxa"/>
              <w:right w:w="100" w:type="dxa"/>
            </w:tcMar>
            <w:vAlign w:val="center"/>
          </w:tcPr>
          <w:p w14:paraId="13E983D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0073E5A4"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£0.80</w:t>
            </w:r>
          </w:p>
        </w:tc>
        <w:tc>
          <w:tcPr>
            <w:tcW w:w="2360" w:type="dxa"/>
            <w:shd w:val="clear" w:color="auto" w:fill="auto"/>
            <w:tcMar>
              <w:top w:w="60" w:type="dxa"/>
              <w:left w:w="100" w:type="dxa"/>
              <w:bottom w:w="60" w:type="dxa"/>
              <w:right w:w="100" w:type="dxa"/>
            </w:tcMar>
            <w:vAlign w:val="center"/>
          </w:tcPr>
          <w:p w14:paraId="793D74D4" w14:textId="77777777" w:rsidR="00BA7E31" w:rsidRPr="00476FB5" w:rsidRDefault="00BA7E31" w:rsidP="00AE08EC">
            <w:pPr>
              <w:keepNext/>
              <w:rPr>
                <w:rFonts w:ascii="Arial" w:hAnsi="Arial" w:cs="Arial"/>
                <w:sz w:val="24"/>
                <w:szCs w:val="24"/>
              </w:rPr>
            </w:pPr>
          </w:p>
        </w:tc>
      </w:tr>
    </w:tbl>
    <w:p w14:paraId="3B58682F" w14:textId="79E6A7DE" w:rsidR="00BA7E31" w:rsidRDefault="00AE08EC" w:rsidP="00AE08EC">
      <w:pPr>
        <w:pStyle w:val="Caption"/>
      </w:pPr>
      <w:r>
        <w:t xml:space="preserve">Table </w:t>
      </w:r>
      <w:r w:rsidRPr="000A09AE">
        <w:t>Source: Author's calculations</w:t>
      </w:r>
      <w:r w:rsidR="00F87E21">
        <w:t xml:space="preserve">; </w:t>
      </w:r>
      <w:r w:rsidR="00F87E21">
        <w:rPr>
          <w:rFonts w:ascii="Arial" w:eastAsia="Arial" w:hAnsi="Arial" w:cs="Arial"/>
          <w:color w:val="777777"/>
          <w:sz w:val="17"/>
          <w:szCs w:val="17"/>
        </w:rPr>
        <w:t>Brealey, Myers and Allen (2023)</w:t>
      </w:r>
    </w:p>
    <w:p w14:paraId="49A1971C" w14:textId="77777777" w:rsidR="00BA7E31" w:rsidRDefault="00BA7E31" w:rsidP="00BA7E31"/>
    <w:p w14:paraId="572EE450" w14:textId="77777777" w:rsidR="00BA7E31" w:rsidRPr="00476FB5" w:rsidRDefault="00BA7E31" w:rsidP="00476FB5">
      <w:pPr>
        <w:pStyle w:val="Heading3"/>
        <w:spacing w:line="360" w:lineRule="auto"/>
      </w:pPr>
      <w:bookmarkStart w:id="68" w:name="_Toc227660530"/>
      <w:r w:rsidRPr="00476FB5">
        <w:rPr>
          <w:rFonts w:ascii="Arial" w:eastAsia="Arial" w:hAnsi="Arial" w:cs="Arial"/>
          <w:b/>
          <w:bCs/>
          <w:color w:val="404040"/>
        </w:rPr>
        <w:t>Table B.2 – Project B: Annual Accounting Profit</w:t>
      </w:r>
      <w:bookmarkEnd w:id="6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700"/>
        <w:gridCol w:w="1700"/>
        <w:gridCol w:w="2400"/>
        <w:gridCol w:w="2360"/>
      </w:tblGrid>
      <w:tr w:rsidR="00BA7E31" w:rsidRPr="00476FB5" w14:paraId="64BE01FA" w14:textId="77777777" w:rsidTr="00476FB5">
        <w:tc>
          <w:tcPr>
            <w:tcW w:w="1200" w:type="dxa"/>
            <w:shd w:val="clear" w:color="auto" w:fill="auto"/>
            <w:tcMar>
              <w:top w:w="80" w:type="dxa"/>
              <w:left w:w="100" w:type="dxa"/>
              <w:bottom w:w="80" w:type="dxa"/>
              <w:right w:w="100" w:type="dxa"/>
            </w:tcMar>
            <w:vAlign w:val="center"/>
          </w:tcPr>
          <w:p w14:paraId="3CF9B46B"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Year</w:t>
            </w:r>
          </w:p>
        </w:tc>
        <w:tc>
          <w:tcPr>
            <w:tcW w:w="1700" w:type="dxa"/>
            <w:shd w:val="clear" w:color="auto" w:fill="auto"/>
            <w:tcMar>
              <w:top w:w="80" w:type="dxa"/>
              <w:left w:w="100" w:type="dxa"/>
              <w:bottom w:w="80" w:type="dxa"/>
              <w:right w:w="100" w:type="dxa"/>
            </w:tcMar>
            <w:vAlign w:val="center"/>
          </w:tcPr>
          <w:p w14:paraId="528B412A"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Cash Inflow (£m)</w:t>
            </w:r>
          </w:p>
        </w:tc>
        <w:tc>
          <w:tcPr>
            <w:tcW w:w="1700" w:type="dxa"/>
            <w:shd w:val="clear" w:color="auto" w:fill="auto"/>
            <w:tcMar>
              <w:top w:w="80" w:type="dxa"/>
              <w:left w:w="100" w:type="dxa"/>
              <w:bottom w:w="80" w:type="dxa"/>
              <w:right w:w="100" w:type="dxa"/>
            </w:tcMar>
            <w:vAlign w:val="center"/>
          </w:tcPr>
          <w:p w14:paraId="434FCF5C"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Depreciation (£m)</w:t>
            </w:r>
          </w:p>
        </w:tc>
        <w:tc>
          <w:tcPr>
            <w:tcW w:w="2400" w:type="dxa"/>
            <w:shd w:val="clear" w:color="auto" w:fill="auto"/>
            <w:tcMar>
              <w:top w:w="80" w:type="dxa"/>
              <w:left w:w="100" w:type="dxa"/>
              <w:bottom w:w="80" w:type="dxa"/>
              <w:right w:w="100" w:type="dxa"/>
            </w:tcMar>
            <w:vAlign w:val="center"/>
          </w:tcPr>
          <w:p w14:paraId="67D2D3DC"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Accounting Profit (£m)</w:t>
            </w:r>
          </w:p>
        </w:tc>
        <w:tc>
          <w:tcPr>
            <w:tcW w:w="2360" w:type="dxa"/>
            <w:shd w:val="clear" w:color="auto" w:fill="auto"/>
            <w:tcMar>
              <w:top w:w="80" w:type="dxa"/>
              <w:left w:w="100" w:type="dxa"/>
              <w:bottom w:w="80" w:type="dxa"/>
              <w:right w:w="100" w:type="dxa"/>
            </w:tcMar>
            <w:vAlign w:val="center"/>
          </w:tcPr>
          <w:p w14:paraId="1E169E27"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Cumulative CF (£m)</w:t>
            </w:r>
          </w:p>
        </w:tc>
      </w:tr>
      <w:tr w:rsidR="00BA7E31" w:rsidRPr="00476FB5" w14:paraId="2D1A5308" w14:textId="77777777" w:rsidTr="00476FB5">
        <w:tc>
          <w:tcPr>
            <w:tcW w:w="1200" w:type="dxa"/>
            <w:shd w:val="clear" w:color="auto" w:fill="auto"/>
            <w:tcMar>
              <w:top w:w="60" w:type="dxa"/>
              <w:left w:w="100" w:type="dxa"/>
              <w:bottom w:w="60" w:type="dxa"/>
              <w:right w:w="100" w:type="dxa"/>
            </w:tcMar>
            <w:vAlign w:val="center"/>
          </w:tcPr>
          <w:p w14:paraId="685EBC6B"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1</w:t>
            </w:r>
          </w:p>
        </w:tc>
        <w:tc>
          <w:tcPr>
            <w:tcW w:w="1700" w:type="dxa"/>
            <w:shd w:val="clear" w:color="auto" w:fill="auto"/>
            <w:tcMar>
              <w:top w:w="60" w:type="dxa"/>
              <w:left w:w="100" w:type="dxa"/>
              <w:bottom w:w="60" w:type="dxa"/>
              <w:right w:w="100" w:type="dxa"/>
            </w:tcMar>
            <w:vAlign w:val="center"/>
          </w:tcPr>
          <w:p w14:paraId="156F449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68A72806"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6FB75FD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w:t>
            </w:r>
          </w:p>
        </w:tc>
        <w:tc>
          <w:tcPr>
            <w:tcW w:w="2360" w:type="dxa"/>
            <w:shd w:val="clear" w:color="auto" w:fill="auto"/>
            <w:tcMar>
              <w:top w:w="60" w:type="dxa"/>
              <w:left w:w="100" w:type="dxa"/>
              <w:bottom w:w="60" w:type="dxa"/>
              <w:right w:w="100" w:type="dxa"/>
            </w:tcMar>
            <w:vAlign w:val="center"/>
          </w:tcPr>
          <w:p w14:paraId="68E4D05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r>
      <w:tr w:rsidR="00BA7E31" w:rsidRPr="00476FB5" w14:paraId="3D35BB47" w14:textId="77777777" w:rsidTr="00476FB5">
        <w:tc>
          <w:tcPr>
            <w:tcW w:w="1200" w:type="dxa"/>
            <w:shd w:val="clear" w:color="auto" w:fill="auto"/>
            <w:tcMar>
              <w:top w:w="60" w:type="dxa"/>
              <w:left w:w="100" w:type="dxa"/>
              <w:bottom w:w="60" w:type="dxa"/>
              <w:right w:w="100" w:type="dxa"/>
            </w:tcMar>
            <w:vAlign w:val="center"/>
          </w:tcPr>
          <w:p w14:paraId="65F02C2D"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2</w:t>
            </w:r>
          </w:p>
        </w:tc>
        <w:tc>
          <w:tcPr>
            <w:tcW w:w="1700" w:type="dxa"/>
            <w:shd w:val="clear" w:color="auto" w:fill="auto"/>
            <w:tcMar>
              <w:top w:w="60" w:type="dxa"/>
              <w:left w:w="100" w:type="dxa"/>
              <w:bottom w:w="60" w:type="dxa"/>
              <w:right w:w="100" w:type="dxa"/>
            </w:tcMar>
            <w:vAlign w:val="center"/>
          </w:tcPr>
          <w:p w14:paraId="49DBA51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0A5A69E3"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499CD1DA"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w:t>
            </w:r>
          </w:p>
        </w:tc>
        <w:tc>
          <w:tcPr>
            <w:tcW w:w="2360" w:type="dxa"/>
            <w:shd w:val="clear" w:color="auto" w:fill="auto"/>
            <w:tcMar>
              <w:top w:w="60" w:type="dxa"/>
              <w:left w:w="100" w:type="dxa"/>
              <w:bottom w:w="60" w:type="dxa"/>
              <w:right w:w="100" w:type="dxa"/>
            </w:tcMar>
            <w:vAlign w:val="center"/>
          </w:tcPr>
          <w:p w14:paraId="202B6E5D"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£22.00</w:t>
            </w:r>
          </w:p>
        </w:tc>
      </w:tr>
      <w:tr w:rsidR="00BA7E31" w:rsidRPr="00476FB5" w14:paraId="7D3135E9" w14:textId="77777777" w:rsidTr="00476FB5">
        <w:tc>
          <w:tcPr>
            <w:tcW w:w="1200" w:type="dxa"/>
            <w:shd w:val="clear" w:color="auto" w:fill="auto"/>
            <w:tcMar>
              <w:top w:w="60" w:type="dxa"/>
              <w:left w:w="100" w:type="dxa"/>
              <w:bottom w:w="60" w:type="dxa"/>
              <w:right w:w="100" w:type="dxa"/>
            </w:tcMar>
            <w:vAlign w:val="center"/>
          </w:tcPr>
          <w:p w14:paraId="515E764C"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3</w:t>
            </w:r>
          </w:p>
        </w:tc>
        <w:tc>
          <w:tcPr>
            <w:tcW w:w="1700" w:type="dxa"/>
            <w:shd w:val="clear" w:color="auto" w:fill="auto"/>
            <w:tcMar>
              <w:top w:w="60" w:type="dxa"/>
              <w:left w:w="100" w:type="dxa"/>
              <w:bottom w:w="60" w:type="dxa"/>
              <w:right w:w="100" w:type="dxa"/>
            </w:tcMar>
            <w:vAlign w:val="center"/>
          </w:tcPr>
          <w:p w14:paraId="2FED23D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3784CDF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7CDE54EB"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w:t>
            </w:r>
          </w:p>
        </w:tc>
        <w:tc>
          <w:tcPr>
            <w:tcW w:w="2360" w:type="dxa"/>
            <w:shd w:val="clear" w:color="auto" w:fill="auto"/>
            <w:tcMar>
              <w:top w:w="60" w:type="dxa"/>
              <w:left w:w="100" w:type="dxa"/>
              <w:bottom w:w="60" w:type="dxa"/>
              <w:right w:w="100" w:type="dxa"/>
            </w:tcMar>
            <w:vAlign w:val="center"/>
          </w:tcPr>
          <w:p w14:paraId="786CB38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£33.00</w:t>
            </w:r>
          </w:p>
        </w:tc>
      </w:tr>
      <w:tr w:rsidR="00BA7E31" w:rsidRPr="00476FB5" w14:paraId="0CB7C0F9" w14:textId="77777777" w:rsidTr="00476FB5">
        <w:tc>
          <w:tcPr>
            <w:tcW w:w="1200" w:type="dxa"/>
            <w:shd w:val="clear" w:color="auto" w:fill="auto"/>
            <w:tcMar>
              <w:top w:w="60" w:type="dxa"/>
              <w:left w:w="100" w:type="dxa"/>
              <w:bottom w:w="60" w:type="dxa"/>
              <w:right w:w="100" w:type="dxa"/>
            </w:tcMar>
            <w:vAlign w:val="center"/>
          </w:tcPr>
          <w:p w14:paraId="63EE1810"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4</w:t>
            </w:r>
          </w:p>
        </w:tc>
        <w:tc>
          <w:tcPr>
            <w:tcW w:w="1700" w:type="dxa"/>
            <w:shd w:val="clear" w:color="auto" w:fill="auto"/>
            <w:tcMar>
              <w:top w:w="60" w:type="dxa"/>
              <w:left w:w="100" w:type="dxa"/>
              <w:bottom w:w="60" w:type="dxa"/>
              <w:right w:w="100" w:type="dxa"/>
            </w:tcMar>
            <w:vAlign w:val="center"/>
          </w:tcPr>
          <w:p w14:paraId="401E17B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5D80DBFD"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33845333"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w:t>
            </w:r>
          </w:p>
        </w:tc>
        <w:tc>
          <w:tcPr>
            <w:tcW w:w="2360" w:type="dxa"/>
            <w:shd w:val="clear" w:color="auto" w:fill="auto"/>
            <w:tcMar>
              <w:top w:w="60" w:type="dxa"/>
              <w:left w:w="100" w:type="dxa"/>
              <w:bottom w:w="60" w:type="dxa"/>
              <w:right w:w="100" w:type="dxa"/>
            </w:tcMar>
            <w:vAlign w:val="center"/>
          </w:tcPr>
          <w:p w14:paraId="7678A0A5"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£44.00</w:t>
            </w:r>
          </w:p>
        </w:tc>
      </w:tr>
      <w:tr w:rsidR="00BA7E31" w:rsidRPr="00476FB5" w14:paraId="417DBE24" w14:textId="77777777" w:rsidTr="00476FB5">
        <w:tc>
          <w:tcPr>
            <w:tcW w:w="1200" w:type="dxa"/>
            <w:shd w:val="clear" w:color="auto" w:fill="auto"/>
            <w:tcMar>
              <w:top w:w="60" w:type="dxa"/>
              <w:left w:w="100" w:type="dxa"/>
              <w:bottom w:w="60" w:type="dxa"/>
              <w:right w:w="100" w:type="dxa"/>
            </w:tcMar>
            <w:vAlign w:val="center"/>
          </w:tcPr>
          <w:p w14:paraId="0072BAA5"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5</w:t>
            </w:r>
          </w:p>
        </w:tc>
        <w:tc>
          <w:tcPr>
            <w:tcW w:w="1700" w:type="dxa"/>
            <w:shd w:val="clear" w:color="auto" w:fill="auto"/>
            <w:tcMar>
              <w:top w:w="60" w:type="dxa"/>
              <w:left w:w="100" w:type="dxa"/>
              <w:bottom w:w="60" w:type="dxa"/>
              <w:right w:w="100" w:type="dxa"/>
            </w:tcMar>
            <w:vAlign w:val="center"/>
          </w:tcPr>
          <w:p w14:paraId="4C6F098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5ACD8C15"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1A83F99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w:t>
            </w:r>
          </w:p>
        </w:tc>
        <w:tc>
          <w:tcPr>
            <w:tcW w:w="2360" w:type="dxa"/>
            <w:shd w:val="clear" w:color="auto" w:fill="auto"/>
            <w:tcMar>
              <w:top w:w="60" w:type="dxa"/>
              <w:left w:w="100" w:type="dxa"/>
              <w:bottom w:w="60" w:type="dxa"/>
              <w:right w:w="100" w:type="dxa"/>
            </w:tcMar>
            <w:vAlign w:val="center"/>
          </w:tcPr>
          <w:p w14:paraId="540AE84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£55.00</w:t>
            </w:r>
          </w:p>
        </w:tc>
      </w:tr>
      <w:tr w:rsidR="00BA7E31" w:rsidRPr="00476FB5" w14:paraId="72BDE59E" w14:textId="77777777" w:rsidTr="00476FB5">
        <w:tc>
          <w:tcPr>
            <w:tcW w:w="1200" w:type="dxa"/>
            <w:shd w:val="clear" w:color="auto" w:fill="auto"/>
            <w:tcMar>
              <w:top w:w="60" w:type="dxa"/>
              <w:left w:w="100" w:type="dxa"/>
              <w:bottom w:w="60" w:type="dxa"/>
              <w:right w:w="100" w:type="dxa"/>
            </w:tcMar>
            <w:vAlign w:val="center"/>
          </w:tcPr>
          <w:p w14:paraId="0FF43676"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Total</w:t>
            </w:r>
          </w:p>
        </w:tc>
        <w:tc>
          <w:tcPr>
            <w:tcW w:w="1700" w:type="dxa"/>
            <w:shd w:val="clear" w:color="auto" w:fill="auto"/>
            <w:tcMar>
              <w:top w:w="60" w:type="dxa"/>
              <w:left w:w="100" w:type="dxa"/>
              <w:bottom w:w="60" w:type="dxa"/>
              <w:right w:w="100" w:type="dxa"/>
            </w:tcMar>
            <w:vAlign w:val="center"/>
          </w:tcPr>
          <w:p w14:paraId="26D9F601"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£55.00</w:t>
            </w:r>
          </w:p>
        </w:tc>
        <w:tc>
          <w:tcPr>
            <w:tcW w:w="1700" w:type="dxa"/>
            <w:shd w:val="clear" w:color="auto" w:fill="auto"/>
            <w:tcMar>
              <w:top w:w="60" w:type="dxa"/>
              <w:left w:w="100" w:type="dxa"/>
              <w:bottom w:w="60" w:type="dxa"/>
              <w:right w:w="100" w:type="dxa"/>
            </w:tcMar>
            <w:vAlign w:val="center"/>
          </w:tcPr>
          <w:p w14:paraId="12BF537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£50.00</w:t>
            </w:r>
          </w:p>
        </w:tc>
        <w:tc>
          <w:tcPr>
            <w:tcW w:w="2400" w:type="dxa"/>
            <w:shd w:val="clear" w:color="auto" w:fill="auto"/>
            <w:tcMar>
              <w:top w:w="60" w:type="dxa"/>
              <w:left w:w="100" w:type="dxa"/>
              <w:bottom w:w="60" w:type="dxa"/>
              <w:right w:w="100" w:type="dxa"/>
            </w:tcMar>
            <w:vAlign w:val="center"/>
          </w:tcPr>
          <w:p w14:paraId="50F2B50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w:t>
            </w:r>
          </w:p>
        </w:tc>
        <w:tc>
          <w:tcPr>
            <w:tcW w:w="2360" w:type="dxa"/>
            <w:shd w:val="clear" w:color="auto" w:fill="auto"/>
            <w:tcMar>
              <w:top w:w="60" w:type="dxa"/>
              <w:left w:w="100" w:type="dxa"/>
              <w:bottom w:w="60" w:type="dxa"/>
              <w:right w:w="100" w:type="dxa"/>
            </w:tcMar>
            <w:vAlign w:val="center"/>
          </w:tcPr>
          <w:p w14:paraId="0A18C157" w14:textId="77777777" w:rsidR="00BA7E31" w:rsidRPr="00476FB5" w:rsidRDefault="00BA7E31" w:rsidP="00476FB5">
            <w:pPr>
              <w:rPr>
                <w:rFonts w:ascii="Arial" w:hAnsi="Arial" w:cs="Arial"/>
                <w:sz w:val="24"/>
                <w:szCs w:val="24"/>
              </w:rPr>
            </w:pPr>
          </w:p>
        </w:tc>
      </w:tr>
      <w:tr w:rsidR="00BA7E31" w:rsidRPr="00476FB5" w14:paraId="383F4C5C" w14:textId="77777777" w:rsidTr="00476FB5">
        <w:tc>
          <w:tcPr>
            <w:tcW w:w="1200" w:type="dxa"/>
            <w:shd w:val="clear" w:color="auto" w:fill="auto"/>
            <w:tcMar>
              <w:top w:w="60" w:type="dxa"/>
              <w:left w:w="100" w:type="dxa"/>
              <w:bottom w:w="60" w:type="dxa"/>
              <w:right w:w="100" w:type="dxa"/>
            </w:tcMar>
            <w:vAlign w:val="center"/>
          </w:tcPr>
          <w:p w14:paraId="7A1ED562"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Average per Year</w:t>
            </w:r>
          </w:p>
        </w:tc>
        <w:tc>
          <w:tcPr>
            <w:tcW w:w="1700" w:type="dxa"/>
            <w:shd w:val="clear" w:color="auto" w:fill="auto"/>
            <w:tcMar>
              <w:top w:w="60" w:type="dxa"/>
              <w:left w:w="100" w:type="dxa"/>
              <w:bottom w:w="60" w:type="dxa"/>
              <w:right w:w="100" w:type="dxa"/>
            </w:tcMar>
            <w:vAlign w:val="center"/>
          </w:tcPr>
          <w:p w14:paraId="0BECFB8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1D7A255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71F63B8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w:t>
            </w:r>
          </w:p>
        </w:tc>
        <w:tc>
          <w:tcPr>
            <w:tcW w:w="2360" w:type="dxa"/>
            <w:shd w:val="clear" w:color="auto" w:fill="auto"/>
            <w:tcMar>
              <w:top w:w="60" w:type="dxa"/>
              <w:left w:w="100" w:type="dxa"/>
              <w:bottom w:w="60" w:type="dxa"/>
              <w:right w:w="100" w:type="dxa"/>
            </w:tcMar>
            <w:vAlign w:val="center"/>
          </w:tcPr>
          <w:p w14:paraId="0E56EFEF" w14:textId="77777777" w:rsidR="00BA7E31" w:rsidRPr="00476FB5" w:rsidRDefault="00BA7E31" w:rsidP="00F27288">
            <w:pPr>
              <w:keepNext/>
              <w:rPr>
                <w:rFonts w:ascii="Arial" w:hAnsi="Arial" w:cs="Arial"/>
                <w:sz w:val="24"/>
                <w:szCs w:val="24"/>
              </w:rPr>
            </w:pPr>
          </w:p>
        </w:tc>
      </w:tr>
    </w:tbl>
    <w:p w14:paraId="024E8D4C" w14:textId="4F06DAC9" w:rsidR="00BA7E31" w:rsidRDefault="00F27288" w:rsidP="00F27288">
      <w:pPr>
        <w:pStyle w:val="Caption"/>
      </w:pPr>
      <w:r>
        <w:t xml:space="preserve">Table </w:t>
      </w:r>
      <w:r w:rsidRPr="00805C41">
        <w:t>Source: Author's calculations</w:t>
      </w:r>
      <w:r w:rsidR="00F87E21">
        <w:t>;</w:t>
      </w:r>
      <w:r w:rsidR="00F87E21" w:rsidRPr="00F87E21">
        <w:rPr>
          <w:rFonts w:ascii="Arial" w:eastAsia="Arial" w:hAnsi="Arial" w:cs="Arial"/>
          <w:color w:val="777777"/>
          <w:sz w:val="17"/>
          <w:szCs w:val="17"/>
        </w:rPr>
        <w:t xml:space="preserve"> </w:t>
      </w:r>
      <w:r w:rsidR="00F87E21">
        <w:rPr>
          <w:rFonts w:ascii="Arial" w:eastAsia="Arial" w:hAnsi="Arial" w:cs="Arial"/>
          <w:color w:val="777777"/>
          <w:sz w:val="17"/>
          <w:szCs w:val="17"/>
        </w:rPr>
        <w:t>Brealey, Myers and Allen (2023)</w:t>
      </w:r>
    </w:p>
    <w:p w14:paraId="1A8F5A94" w14:textId="77777777" w:rsidR="00BA7E31" w:rsidRPr="00476FB5" w:rsidRDefault="00BA7E31" w:rsidP="00476FB5">
      <w:pPr>
        <w:pStyle w:val="Heading3"/>
        <w:spacing w:line="360" w:lineRule="auto"/>
      </w:pPr>
      <w:bookmarkStart w:id="69" w:name="_Toc227660531"/>
      <w:r w:rsidRPr="00476FB5">
        <w:rPr>
          <w:rFonts w:ascii="Arial" w:eastAsia="Arial" w:hAnsi="Arial" w:cs="Arial"/>
          <w:b/>
          <w:bCs/>
          <w:color w:val="404040"/>
          <w:u w:color="2E75B6"/>
        </w:rPr>
        <w:t>Table B.3 – Project C: Annual Accounting Profit</w:t>
      </w:r>
      <w:bookmarkEnd w:id="6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700"/>
        <w:gridCol w:w="1700"/>
        <w:gridCol w:w="2400"/>
        <w:gridCol w:w="2360"/>
      </w:tblGrid>
      <w:tr w:rsidR="00BA7E31" w:rsidRPr="00476FB5" w14:paraId="08D38058" w14:textId="77777777" w:rsidTr="00476FB5">
        <w:tc>
          <w:tcPr>
            <w:tcW w:w="1200" w:type="dxa"/>
            <w:shd w:val="clear" w:color="auto" w:fill="auto"/>
            <w:tcMar>
              <w:top w:w="80" w:type="dxa"/>
              <w:left w:w="100" w:type="dxa"/>
              <w:bottom w:w="80" w:type="dxa"/>
              <w:right w:w="100" w:type="dxa"/>
            </w:tcMar>
            <w:vAlign w:val="center"/>
          </w:tcPr>
          <w:p w14:paraId="08929B91"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Year</w:t>
            </w:r>
          </w:p>
        </w:tc>
        <w:tc>
          <w:tcPr>
            <w:tcW w:w="1700" w:type="dxa"/>
            <w:shd w:val="clear" w:color="auto" w:fill="auto"/>
            <w:tcMar>
              <w:top w:w="80" w:type="dxa"/>
              <w:left w:w="100" w:type="dxa"/>
              <w:bottom w:w="80" w:type="dxa"/>
              <w:right w:w="100" w:type="dxa"/>
            </w:tcMar>
            <w:vAlign w:val="center"/>
          </w:tcPr>
          <w:p w14:paraId="7B66ABD7"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Cash Inflow (£m)</w:t>
            </w:r>
          </w:p>
        </w:tc>
        <w:tc>
          <w:tcPr>
            <w:tcW w:w="1700" w:type="dxa"/>
            <w:shd w:val="clear" w:color="auto" w:fill="auto"/>
            <w:tcMar>
              <w:top w:w="80" w:type="dxa"/>
              <w:left w:w="100" w:type="dxa"/>
              <w:bottom w:w="80" w:type="dxa"/>
              <w:right w:w="100" w:type="dxa"/>
            </w:tcMar>
            <w:vAlign w:val="center"/>
          </w:tcPr>
          <w:p w14:paraId="2CDB50B7"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Depreciation (£m)</w:t>
            </w:r>
          </w:p>
        </w:tc>
        <w:tc>
          <w:tcPr>
            <w:tcW w:w="2400" w:type="dxa"/>
            <w:shd w:val="clear" w:color="auto" w:fill="auto"/>
            <w:tcMar>
              <w:top w:w="80" w:type="dxa"/>
              <w:left w:w="100" w:type="dxa"/>
              <w:bottom w:w="80" w:type="dxa"/>
              <w:right w:w="100" w:type="dxa"/>
            </w:tcMar>
            <w:vAlign w:val="center"/>
          </w:tcPr>
          <w:p w14:paraId="74B44ED3"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Accounting Profit (£m)</w:t>
            </w:r>
          </w:p>
        </w:tc>
        <w:tc>
          <w:tcPr>
            <w:tcW w:w="2360" w:type="dxa"/>
            <w:shd w:val="clear" w:color="auto" w:fill="auto"/>
            <w:tcMar>
              <w:top w:w="80" w:type="dxa"/>
              <w:left w:w="100" w:type="dxa"/>
              <w:bottom w:w="80" w:type="dxa"/>
              <w:right w:w="100" w:type="dxa"/>
            </w:tcMar>
            <w:vAlign w:val="center"/>
          </w:tcPr>
          <w:p w14:paraId="4440E665"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Cumulative CF (£m)</w:t>
            </w:r>
          </w:p>
        </w:tc>
      </w:tr>
      <w:tr w:rsidR="00BA7E31" w:rsidRPr="00476FB5" w14:paraId="5EABFA85" w14:textId="77777777" w:rsidTr="00476FB5">
        <w:tc>
          <w:tcPr>
            <w:tcW w:w="1200" w:type="dxa"/>
            <w:shd w:val="clear" w:color="auto" w:fill="auto"/>
            <w:tcMar>
              <w:top w:w="60" w:type="dxa"/>
              <w:left w:w="100" w:type="dxa"/>
              <w:bottom w:w="60" w:type="dxa"/>
              <w:right w:w="100" w:type="dxa"/>
            </w:tcMar>
            <w:vAlign w:val="center"/>
          </w:tcPr>
          <w:p w14:paraId="34EF66AB"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1</w:t>
            </w:r>
          </w:p>
        </w:tc>
        <w:tc>
          <w:tcPr>
            <w:tcW w:w="1700" w:type="dxa"/>
            <w:shd w:val="clear" w:color="auto" w:fill="auto"/>
            <w:tcMar>
              <w:top w:w="60" w:type="dxa"/>
              <w:left w:w="100" w:type="dxa"/>
              <w:bottom w:w="60" w:type="dxa"/>
              <w:right w:w="100" w:type="dxa"/>
            </w:tcMar>
            <w:vAlign w:val="center"/>
          </w:tcPr>
          <w:p w14:paraId="5F427886"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w:t>
            </w:r>
          </w:p>
        </w:tc>
        <w:tc>
          <w:tcPr>
            <w:tcW w:w="1700" w:type="dxa"/>
            <w:shd w:val="clear" w:color="auto" w:fill="auto"/>
            <w:tcMar>
              <w:top w:w="60" w:type="dxa"/>
              <w:left w:w="100" w:type="dxa"/>
              <w:bottom w:w="60" w:type="dxa"/>
              <w:right w:w="100" w:type="dxa"/>
            </w:tcMar>
            <w:vAlign w:val="center"/>
          </w:tcPr>
          <w:p w14:paraId="141694A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4152B58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w:t>
            </w:r>
          </w:p>
        </w:tc>
        <w:tc>
          <w:tcPr>
            <w:tcW w:w="2360" w:type="dxa"/>
            <w:shd w:val="clear" w:color="auto" w:fill="auto"/>
            <w:tcMar>
              <w:top w:w="60" w:type="dxa"/>
              <w:left w:w="100" w:type="dxa"/>
              <w:bottom w:w="60" w:type="dxa"/>
              <w:right w:w="100" w:type="dxa"/>
            </w:tcMar>
            <w:vAlign w:val="center"/>
          </w:tcPr>
          <w:p w14:paraId="1D0B89A3"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w:t>
            </w:r>
          </w:p>
        </w:tc>
      </w:tr>
      <w:tr w:rsidR="00BA7E31" w:rsidRPr="00476FB5" w14:paraId="1EB9F179" w14:textId="77777777" w:rsidTr="00476FB5">
        <w:tc>
          <w:tcPr>
            <w:tcW w:w="1200" w:type="dxa"/>
            <w:shd w:val="clear" w:color="auto" w:fill="auto"/>
            <w:tcMar>
              <w:top w:w="60" w:type="dxa"/>
              <w:left w:w="100" w:type="dxa"/>
              <w:bottom w:w="60" w:type="dxa"/>
              <w:right w:w="100" w:type="dxa"/>
            </w:tcMar>
            <w:vAlign w:val="center"/>
          </w:tcPr>
          <w:p w14:paraId="06B6A506"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2</w:t>
            </w:r>
          </w:p>
        </w:tc>
        <w:tc>
          <w:tcPr>
            <w:tcW w:w="1700" w:type="dxa"/>
            <w:shd w:val="clear" w:color="auto" w:fill="auto"/>
            <w:tcMar>
              <w:top w:w="60" w:type="dxa"/>
              <w:left w:w="100" w:type="dxa"/>
              <w:bottom w:w="60" w:type="dxa"/>
              <w:right w:w="100" w:type="dxa"/>
            </w:tcMar>
            <w:vAlign w:val="center"/>
          </w:tcPr>
          <w:p w14:paraId="27E58F74"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1700" w:type="dxa"/>
            <w:shd w:val="clear" w:color="auto" w:fill="auto"/>
            <w:tcMar>
              <w:top w:w="60" w:type="dxa"/>
              <w:left w:w="100" w:type="dxa"/>
              <w:bottom w:w="60" w:type="dxa"/>
              <w:right w:w="100" w:type="dxa"/>
            </w:tcMar>
            <w:vAlign w:val="center"/>
          </w:tcPr>
          <w:p w14:paraId="2CBD186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6D5EEBC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£0.00</w:t>
            </w:r>
          </w:p>
        </w:tc>
        <w:tc>
          <w:tcPr>
            <w:tcW w:w="2360" w:type="dxa"/>
            <w:shd w:val="clear" w:color="auto" w:fill="auto"/>
            <w:tcMar>
              <w:top w:w="60" w:type="dxa"/>
              <w:left w:w="100" w:type="dxa"/>
              <w:bottom w:w="60" w:type="dxa"/>
              <w:right w:w="100" w:type="dxa"/>
            </w:tcMar>
            <w:vAlign w:val="center"/>
          </w:tcPr>
          <w:p w14:paraId="6D883DDB"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£15.00</w:t>
            </w:r>
          </w:p>
        </w:tc>
      </w:tr>
      <w:tr w:rsidR="00BA7E31" w:rsidRPr="00476FB5" w14:paraId="1D63250B" w14:textId="77777777" w:rsidTr="00476FB5">
        <w:tc>
          <w:tcPr>
            <w:tcW w:w="1200" w:type="dxa"/>
            <w:shd w:val="clear" w:color="auto" w:fill="auto"/>
            <w:tcMar>
              <w:top w:w="60" w:type="dxa"/>
              <w:left w:w="100" w:type="dxa"/>
              <w:bottom w:w="60" w:type="dxa"/>
              <w:right w:w="100" w:type="dxa"/>
            </w:tcMar>
            <w:vAlign w:val="center"/>
          </w:tcPr>
          <w:p w14:paraId="5E716C9F"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3</w:t>
            </w:r>
          </w:p>
        </w:tc>
        <w:tc>
          <w:tcPr>
            <w:tcW w:w="1700" w:type="dxa"/>
            <w:shd w:val="clear" w:color="auto" w:fill="auto"/>
            <w:tcMar>
              <w:top w:w="60" w:type="dxa"/>
              <w:left w:w="100" w:type="dxa"/>
              <w:bottom w:w="60" w:type="dxa"/>
              <w:right w:w="100" w:type="dxa"/>
            </w:tcMar>
            <w:vAlign w:val="center"/>
          </w:tcPr>
          <w:p w14:paraId="4060FC6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£20.00</w:t>
            </w:r>
          </w:p>
        </w:tc>
        <w:tc>
          <w:tcPr>
            <w:tcW w:w="1700" w:type="dxa"/>
            <w:shd w:val="clear" w:color="auto" w:fill="auto"/>
            <w:tcMar>
              <w:top w:w="60" w:type="dxa"/>
              <w:left w:w="100" w:type="dxa"/>
              <w:bottom w:w="60" w:type="dxa"/>
              <w:right w:w="100" w:type="dxa"/>
            </w:tcMar>
            <w:vAlign w:val="center"/>
          </w:tcPr>
          <w:p w14:paraId="63C00A2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59527B5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360" w:type="dxa"/>
            <w:shd w:val="clear" w:color="auto" w:fill="auto"/>
            <w:tcMar>
              <w:top w:w="60" w:type="dxa"/>
              <w:left w:w="100" w:type="dxa"/>
              <w:bottom w:w="60" w:type="dxa"/>
              <w:right w:w="100" w:type="dxa"/>
            </w:tcMar>
            <w:vAlign w:val="center"/>
          </w:tcPr>
          <w:p w14:paraId="4C52BE8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£35.00</w:t>
            </w:r>
          </w:p>
        </w:tc>
      </w:tr>
      <w:tr w:rsidR="00BA7E31" w:rsidRPr="00476FB5" w14:paraId="692EF795" w14:textId="77777777" w:rsidTr="00476FB5">
        <w:tc>
          <w:tcPr>
            <w:tcW w:w="1200" w:type="dxa"/>
            <w:shd w:val="clear" w:color="auto" w:fill="auto"/>
            <w:tcMar>
              <w:top w:w="60" w:type="dxa"/>
              <w:left w:w="100" w:type="dxa"/>
              <w:bottom w:w="60" w:type="dxa"/>
              <w:right w:w="100" w:type="dxa"/>
            </w:tcMar>
            <w:vAlign w:val="center"/>
          </w:tcPr>
          <w:p w14:paraId="7F90EA17"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4</w:t>
            </w:r>
          </w:p>
        </w:tc>
        <w:tc>
          <w:tcPr>
            <w:tcW w:w="1700" w:type="dxa"/>
            <w:shd w:val="clear" w:color="auto" w:fill="auto"/>
            <w:tcMar>
              <w:top w:w="60" w:type="dxa"/>
              <w:left w:w="100" w:type="dxa"/>
              <w:bottom w:w="60" w:type="dxa"/>
              <w:right w:w="100" w:type="dxa"/>
            </w:tcMar>
            <w:vAlign w:val="center"/>
          </w:tcPr>
          <w:p w14:paraId="75715F0D"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£25.00</w:t>
            </w:r>
          </w:p>
        </w:tc>
        <w:tc>
          <w:tcPr>
            <w:tcW w:w="1700" w:type="dxa"/>
            <w:shd w:val="clear" w:color="auto" w:fill="auto"/>
            <w:tcMar>
              <w:top w:w="60" w:type="dxa"/>
              <w:left w:w="100" w:type="dxa"/>
              <w:bottom w:w="60" w:type="dxa"/>
              <w:right w:w="100" w:type="dxa"/>
            </w:tcMar>
            <w:vAlign w:val="center"/>
          </w:tcPr>
          <w:p w14:paraId="195868B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6FB6ED9A"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£15.00</w:t>
            </w:r>
          </w:p>
        </w:tc>
        <w:tc>
          <w:tcPr>
            <w:tcW w:w="2360" w:type="dxa"/>
            <w:shd w:val="clear" w:color="auto" w:fill="auto"/>
            <w:tcMar>
              <w:top w:w="60" w:type="dxa"/>
              <w:left w:w="100" w:type="dxa"/>
              <w:bottom w:w="60" w:type="dxa"/>
              <w:right w:w="100" w:type="dxa"/>
            </w:tcMar>
            <w:vAlign w:val="center"/>
          </w:tcPr>
          <w:p w14:paraId="57C63012"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£60.00</w:t>
            </w:r>
          </w:p>
        </w:tc>
      </w:tr>
      <w:tr w:rsidR="00BA7E31" w:rsidRPr="00476FB5" w14:paraId="43AD73D5" w14:textId="77777777" w:rsidTr="00476FB5">
        <w:tc>
          <w:tcPr>
            <w:tcW w:w="1200" w:type="dxa"/>
            <w:shd w:val="clear" w:color="auto" w:fill="auto"/>
            <w:tcMar>
              <w:top w:w="60" w:type="dxa"/>
              <w:left w:w="100" w:type="dxa"/>
              <w:bottom w:w="60" w:type="dxa"/>
              <w:right w:w="100" w:type="dxa"/>
            </w:tcMar>
            <w:vAlign w:val="center"/>
          </w:tcPr>
          <w:p w14:paraId="49DCEF30"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5</w:t>
            </w:r>
          </w:p>
        </w:tc>
        <w:tc>
          <w:tcPr>
            <w:tcW w:w="1700" w:type="dxa"/>
            <w:shd w:val="clear" w:color="auto" w:fill="auto"/>
            <w:tcMar>
              <w:top w:w="60" w:type="dxa"/>
              <w:left w:w="100" w:type="dxa"/>
              <w:bottom w:w="60" w:type="dxa"/>
              <w:right w:w="100" w:type="dxa"/>
            </w:tcMar>
            <w:vAlign w:val="center"/>
          </w:tcPr>
          <w:p w14:paraId="3BD0D90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w:t>
            </w:r>
          </w:p>
        </w:tc>
        <w:tc>
          <w:tcPr>
            <w:tcW w:w="1700" w:type="dxa"/>
            <w:shd w:val="clear" w:color="auto" w:fill="auto"/>
            <w:tcMar>
              <w:top w:w="60" w:type="dxa"/>
              <w:left w:w="100" w:type="dxa"/>
              <w:bottom w:w="60" w:type="dxa"/>
              <w:right w:w="100" w:type="dxa"/>
            </w:tcMar>
            <w:vAlign w:val="center"/>
          </w:tcPr>
          <w:p w14:paraId="5622E484"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13A5894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w:t>
            </w:r>
          </w:p>
        </w:tc>
        <w:tc>
          <w:tcPr>
            <w:tcW w:w="2360" w:type="dxa"/>
            <w:shd w:val="clear" w:color="auto" w:fill="auto"/>
            <w:tcMar>
              <w:top w:w="60" w:type="dxa"/>
              <w:left w:w="100" w:type="dxa"/>
              <w:bottom w:w="60" w:type="dxa"/>
              <w:right w:w="100" w:type="dxa"/>
            </w:tcMar>
            <w:vAlign w:val="center"/>
          </w:tcPr>
          <w:p w14:paraId="50901CCB"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£65.00</w:t>
            </w:r>
          </w:p>
        </w:tc>
      </w:tr>
      <w:tr w:rsidR="00BA7E31" w:rsidRPr="00476FB5" w14:paraId="2EB5D4CF" w14:textId="77777777" w:rsidTr="00476FB5">
        <w:tc>
          <w:tcPr>
            <w:tcW w:w="1200" w:type="dxa"/>
            <w:shd w:val="clear" w:color="auto" w:fill="auto"/>
            <w:tcMar>
              <w:top w:w="60" w:type="dxa"/>
              <w:left w:w="100" w:type="dxa"/>
              <w:bottom w:w="60" w:type="dxa"/>
              <w:right w:w="100" w:type="dxa"/>
            </w:tcMar>
            <w:vAlign w:val="center"/>
          </w:tcPr>
          <w:p w14:paraId="70419548"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Total</w:t>
            </w:r>
          </w:p>
        </w:tc>
        <w:tc>
          <w:tcPr>
            <w:tcW w:w="1700" w:type="dxa"/>
            <w:shd w:val="clear" w:color="auto" w:fill="auto"/>
            <w:tcMar>
              <w:top w:w="60" w:type="dxa"/>
              <w:left w:w="100" w:type="dxa"/>
              <w:bottom w:w="60" w:type="dxa"/>
              <w:right w:w="100" w:type="dxa"/>
            </w:tcMar>
            <w:vAlign w:val="center"/>
          </w:tcPr>
          <w:p w14:paraId="1F08E25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£65.00</w:t>
            </w:r>
          </w:p>
        </w:tc>
        <w:tc>
          <w:tcPr>
            <w:tcW w:w="1700" w:type="dxa"/>
            <w:shd w:val="clear" w:color="auto" w:fill="auto"/>
            <w:tcMar>
              <w:top w:w="60" w:type="dxa"/>
              <w:left w:w="100" w:type="dxa"/>
              <w:bottom w:w="60" w:type="dxa"/>
              <w:right w:w="100" w:type="dxa"/>
            </w:tcMar>
            <w:vAlign w:val="center"/>
          </w:tcPr>
          <w:p w14:paraId="32E109B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£50.00</w:t>
            </w:r>
          </w:p>
        </w:tc>
        <w:tc>
          <w:tcPr>
            <w:tcW w:w="2400" w:type="dxa"/>
            <w:shd w:val="clear" w:color="auto" w:fill="auto"/>
            <w:tcMar>
              <w:top w:w="60" w:type="dxa"/>
              <w:left w:w="100" w:type="dxa"/>
              <w:bottom w:w="60" w:type="dxa"/>
              <w:right w:w="100" w:type="dxa"/>
            </w:tcMar>
            <w:vAlign w:val="center"/>
          </w:tcPr>
          <w:p w14:paraId="7E3D811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£15.00</w:t>
            </w:r>
          </w:p>
        </w:tc>
        <w:tc>
          <w:tcPr>
            <w:tcW w:w="2360" w:type="dxa"/>
            <w:shd w:val="clear" w:color="auto" w:fill="auto"/>
            <w:tcMar>
              <w:top w:w="60" w:type="dxa"/>
              <w:left w:w="100" w:type="dxa"/>
              <w:bottom w:w="60" w:type="dxa"/>
              <w:right w:w="100" w:type="dxa"/>
            </w:tcMar>
            <w:vAlign w:val="center"/>
          </w:tcPr>
          <w:p w14:paraId="188E85F5" w14:textId="77777777" w:rsidR="00BA7E31" w:rsidRPr="00476FB5" w:rsidRDefault="00BA7E31" w:rsidP="00476FB5">
            <w:pPr>
              <w:rPr>
                <w:rFonts w:ascii="Arial" w:hAnsi="Arial" w:cs="Arial"/>
                <w:sz w:val="24"/>
                <w:szCs w:val="24"/>
              </w:rPr>
            </w:pPr>
          </w:p>
        </w:tc>
      </w:tr>
      <w:tr w:rsidR="00BA7E31" w:rsidRPr="00476FB5" w14:paraId="5032FB77" w14:textId="77777777" w:rsidTr="00476FB5">
        <w:tc>
          <w:tcPr>
            <w:tcW w:w="1200" w:type="dxa"/>
            <w:shd w:val="clear" w:color="auto" w:fill="auto"/>
            <w:tcMar>
              <w:top w:w="60" w:type="dxa"/>
              <w:left w:w="100" w:type="dxa"/>
              <w:bottom w:w="60" w:type="dxa"/>
              <w:right w:w="100" w:type="dxa"/>
            </w:tcMar>
            <w:vAlign w:val="center"/>
          </w:tcPr>
          <w:p w14:paraId="10B1C3A6"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lastRenderedPageBreak/>
              <w:t>Average per Year</w:t>
            </w:r>
          </w:p>
        </w:tc>
        <w:tc>
          <w:tcPr>
            <w:tcW w:w="1700" w:type="dxa"/>
            <w:shd w:val="clear" w:color="auto" w:fill="auto"/>
            <w:tcMar>
              <w:top w:w="60" w:type="dxa"/>
              <w:left w:w="100" w:type="dxa"/>
              <w:bottom w:w="60" w:type="dxa"/>
              <w:right w:w="100" w:type="dxa"/>
            </w:tcMar>
            <w:vAlign w:val="center"/>
          </w:tcPr>
          <w:p w14:paraId="0EAB5E7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£13.00</w:t>
            </w:r>
          </w:p>
        </w:tc>
        <w:tc>
          <w:tcPr>
            <w:tcW w:w="1700" w:type="dxa"/>
            <w:shd w:val="clear" w:color="auto" w:fill="auto"/>
            <w:tcMar>
              <w:top w:w="60" w:type="dxa"/>
              <w:left w:w="100" w:type="dxa"/>
              <w:bottom w:w="60" w:type="dxa"/>
              <w:right w:w="100" w:type="dxa"/>
            </w:tcMar>
            <w:vAlign w:val="center"/>
          </w:tcPr>
          <w:p w14:paraId="5F54E18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2400" w:type="dxa"/>
            <w:shd w:val="clear" w:color="auto" w:fill="auto"/>
            <w:tcMar>
              <w:top w:w="60" w:type="dxa"/>
              <w:left w:w="100" w:type="dxa"/>
              <w:bottom w:w="60" w:type="dxa"/>
              <w:right w:w="100" w:type="dxa"/>
            </w:tcMar>
            <w:vAlign w:val="center"/>
          </w:tcPr>
          <w:p w14:paraId="565D35D6"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£3.00</w:t>
            </w:r>
          </w:p>
        </w:tc>
        <w:tc>
          <w:tcPr>
            <w:tcW w:w="2360" w:type="dxa"/>
            <w:shd w:val="clear" w:color="auto" w:fill="auto"/>
            <w:tcMar>
              <w:top w:w="60" w:type="dxa"/>
              <w:left w:w="100" w:type="dxa"/>
              <w:bottom w:w="60" w:type="dxa"/>
              <w:right w:w="100" w:type="dxa"/>
            </w:tcMar>
            <w:vAlign w:val="center"/>
          </w:tcPr>
          <w:p w14:paraId="50E73041" w14:textId="77777777" w:rsidR="00BA7E31" w:rsidRPr="00476FB5" w:rsidRDefault="00BA7E31" w:rsidP="00E644FD">
            <w:pPr>
              <w:keepNext/>
              <w:rPr>
                <w:rFonts w:ascii="Arial" w:hAnsi="Arial" w:cs="Arial"/>
                <w:sz w:val="24"/>
                <w:szCs w:val="24"/>
              </w:rPr>
            </w:pPr>
          </w:p>
        </w:tc>
      </w:tr>
    </w:tbl>
    <w:p w14:paraId="021AC12B" w14:textId="1F7E4E20" w:rsidR="00215885" w:rsidRPr="00C61A90" w:rsidRDefault="00E644FD" w:rsidP="00215885">
      <w:pPr>
        <w:rPr>
          <w:rFonts w:ascii="Arial" w:hAnsi="Arial" w:cs="Arial"/>
          <w:sz w:val="24"/>
          <w:szCs w:val="24"/>
        </w:rPr>
      </w:pPr>
      <w:r>
        <w:t xml:space="preserve">Table </w:t>
      </w:r>
      <w:r w:rsidRPr="00AE749F">
        <w:t>Source: Author's calculations</w:t>
      </w:r>
      <w:r w:rsidR="00BC6C33">
        <w:t xml:space="preserve">; </w:t>
      </w:r>
      <w:r w:rsidR="00BC6C33">
        <w:rPr>
          <w:rFonts w:ascii="Arial" w:eastAsia="Arial" w:hAnsi="Arial" w:cs="Arial"/>
          <w:color w:val="777777"/>
          <w:sz w:val="17"/>
          <w:szCs w:val="17"/>
        </w:rPr>
        <w:t>Brealey, Myers and Allen (2023)</w:t>
      </w:r>
    </w:p>
    <w:p w14:paraId="61EFDC72" w14:textId="57713582" w:rsidR="00BA7E31" w:rsidRDefault="00BA7E31" w:rsidP="00E644FD">
      <w:pPr>
        <w:pStyle w:val="Caption"/>
      </w:pPr>
    </w:p>
    <w:p w14:paraId="49E8E06C" w14:textId="77777777" w:rsidR="00BA7E31" w:rsidRPr="00476FB5" w:rsidRDefault="00BA7E31" w:rsidP="00476FB5">
      <w:pPr>
        <w:pStyle w:val="Heading3"/>
        <w:spacing w:line="360" w:lineRule="auto"/>
      </w:pPr>
      <w:bookmarkStart w:id="70" w:name="_Toc227660532"/>
      <w:r w:rsidRPr="00476FB5">
        <w:rPr>
          <w:rFonts w:ascii="Arial" w:eastAsia="Arial" w:hAnsi="Arial" w:cs="Arial"/>
          <w:b/>
          <w:bCs/>
          <w:color w:val="404040"/>
          <w:u w:color="2E75B6"/>
        </w:rPr>
        <w:t>Table B.4 – Project A: Full NPV Workings</w:t>
      </w:r>
      <w:bookmarkEnd w:id="7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700"/>
        <w:gridCol w:w="1700"/>
        <w:gridCol w:w="1700"/>
        <w:gridCol w:w="3060"/>
      </w:tblGrid>
      <w:tr w:rsidR="00BA7E31" w:rsidRPr="00476FB5" w14:paraId="77120C3F" w14:textId="77777777" w:rsidTr="00476FB5">
        <w:tc>
          <w:tcPr>
            <w:tcW w:w="1200" w:type="dxa"/>
            <w:shd w:val="clear" w:color="auto" w:fill="auto"/>
            <w:tcMar>
              <w:top w:w="80" w:type="dxa"/>
              <w:left w:w="100" w:type="dxa"/>
              <w:bottom w:w="80" w:type="dxa"/>
              <w:right w:w="100" w:type="dxa"/>
            </w:tcMar>
            <w:vAlign w:val="center"/>
          </w:tcPr>
          <w:p w14:paraId="05F6755E"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Year</w:t>
            </w:r>
          </w:p>
        </w:tc>
        <w:tc>
          <w:tcPr>
            <w:tcW w:w="1700" w:type="dxa"/>
            <w:shd w:val="clear" w:color="auto" w:fill="auto"/>
            <w:tcMar>
              <w:top w:w="80" w:type="dxa"/>
              <w:left w:w="100" w:type="dxa"/>
              <w:bottom w:w="80" w:type="dxa"/>
              <w:right w:w="100" w:type="dxa"/>
            </w:tcMar>
            <w:vAlign w:val="center"/>
          </w:tcPr>
          <w:p w14:paraId="5B013A5D"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CF (£m)</w:t>
            </w:r>
          </w:p>
        </w:tc>
        <w:tc>
          <w:tcPr>
            <w:tcW w:w="1700" w:type="dxa"/>
            <w:shd w:val="clear" w:color="auto" w:fill="auto"/>
            <w:tcMar>
              <w:top w:w="80" w:type="dxa"/>
              <w:left w:w="100" w:type="dxa"/>
              <w:bottom w:w="80" w:type="dxa"/>
              <w:right w:w="100" w:type="dxa"/>
            </w:tcMar>
            <w:vAlign w:val="center"/>
          </w:tcPr>
          <w:p w14:paraId="5928E9DC"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DF @ 10%</w:t>
            </w:r>
          </w:p>
        </w:tc>
        <w:tc>
          <w:tcPr>
            <w:tcW w:w="1700" w:type="dxa"/>
            <w:shd w:val="clear" w:color="auto" w:fill="auto"/>
            <w:tcMar>
              <w:top w:w="80" w:type="dxa"/>
              <w:left w:w="100" w:type="dxa"/>
              <w:bottom w:w="80" w:type="dxa"/>
              <w:right w:w="100" w:type="dxa"/>
            </w:tcMar>
            <w:vAlign w:val="center"/>
          </w:tcPr>
          <w:p w14:paraId="11A0823A"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PV (£m)</w:t>
            </w:r>
          </w:p>
        </w:tc>
        <w:tc>
          <w:tcPr>
            <w:tcW w:w="3060" w:type="dxa"/>
            <w:shd w:val="clear" w:color="auto" w:fill="auto"/>
            <w:tcMar>
              <w:top w:w="80" w:type="dxa"/>
              <w:left w:w="100" w:type="dxa"/>
              <w:bottom w:w="80" w:type="dxa"/>
              <w:right w:w="100" w:type="dxa"/>
            </w:tcMar>
            <w:vAlign w:val="center"/>
          </w:tcPr>
          <w:p w14:paraId="55B0B4B9" w14:textId="77777777" w:rsidR="00BA7E31" w:rsidRPr="00476FB5" w:rsidRDefault="00BA7E31" w:rsidP="00476FB5">
            <w:pPr>
              <w:jc w:val="center"/>
              <w:rPr>
                <w:rFonts w:ascii="Arial" w:hAnsi="Arial" w:cs="Arial"/>
                <w:b/>
                <w:bCs/>
                <w:sz w:val="24"/>
                <w:szCs w:val="24"/>
              </w:rPr>
            </w:pPr>
            <w:r w:rsidRPr="00476FB5">
              <w:rPr>
                <w:rFonts w:ascii="Arial" w:hAnsi="Arial" w:cs="Arial"/>
                <w:b/>
                <w:bCs/>
                <w:sz w:val="24"/>
                <w:szCs w:val="24"/>
              </w:rPr>
              <w:t>Cumulative PV (£m)</w:t>
            </w:r>
          </w:p>
        </w:tc>
      </w:tr>
      <w:tr w:rsidR="00BA7E31" w:rsidRPr="00476FB5" w14:paraId="651B2B7F" w14:textId="77777777" w:rsidTr="00476FB5">
        <w:tc>
          <w:tcPr>
            <w:tcW w:w="1200" w:type="dxa"/>
            <w:shd w:val="clear" w:color="auto" w:fill="auto"/>
            <w:tcMar>
              <w:top w:w="60" w:type="dxa"/>
              <w:left w:w="100" w:type="dxa"/>
              <w:bottom w:w="60" w:type="dxa"/>
              <w:right w:w="100" w:type="dxa"/>
            </w:tcMar>
            <w:vAlign w:val="center"/>
          </w:tcPr>
          <w:p w14:paraId="0A6CD470"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0</w:t>
            </w:r>
          </w:p>
        </w:tc>
        <w:tc>
          <w:tcPr>
            <w:tcW w:w="1700" w:type="dxa"/>
            <w:shd w:val="clear" w:color="auto" w:fill="auto"/>
            <w:tcMar>
              <w:top w:w="60" w:type="dxa"/>
              <w:left w:w="100" w:type="dxa"/>
              <w:bottom w:w="60" w:type="dxa"/>
              <w:right w:w="100" w:type="dxa"/>
            </w:tcMar>
            <w:vAlign w:val="center"/>
          </w:tcPr>
          <w:p w14:paraId="0C1E706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(£50.00)</w:t>
            </w:r>
          </w:p>
        </w:tc>
        <w:tc>
          <w:tcPr>
            <w:tcW w:w="1700" w:type="dxa"/>
            <w:shd w:val="clear" w:color="auto" w:fill="auto"/>
            <w:tcMar>
              <w:top w:w="60" w:type="dxa"/>
              <w:left w:w="100" w:type="dxa"/>
              <w:bottom w:w="60" w:type="dxa"/>
              <w:right w:w="100" w:type="dxa"/>
            </w:tcMar>
            <w:vAlign w:val="center"/>
          </w:tcPr>
          <w:p w14:paraId="06CBF818"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1.0000</w:t>
            </w:r>
          </w:p>
        </w:tc>
        <w:tc>
          <w:tcPr>
            <w:tcW w:w="1700" w:type="dxa"/>
            <w:shd w:val="clear" w:color="auto" w:fill="auto"/>
            <w:tcMar>
              <w:top w:w="60" w:type="dxa"/>
              <w:left w:w="100" w:type="dxa"/>
              <w:bottom w:w="60" w:type="dxa"/>
              <w:right w:w="100" w:type="dxa"/>
            </w:tcMar>
            <w:vAlign w:val="center"/>
          </w:tcPr>
          <w:p w14:paraId="59F952C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(£50.00)</w:t>
            </w:r>
          </w:p>
        </w:tc>
        <w:tc>
          <w:tcPr>
            <w:tcW w:w="3060" w:type="dxa"/>
            <w:shd w:val="clear" w:color="auto" w:fill="auto"/>
            <w:tcMar>
              <w:top w:w="60" w:type="dxa"/>
              <w:left w:w="100" w:type="dxa"/>
              <w:bottom w:w="60" w:type="dxa"/>
              <w:right w:w="100" w:type="dxa"/>
            </w:tcMar>
            <w:vAlign w:val="center"/>
          </w:tcPr>
          <w:p w14:paraId="4CEAC1D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(£50.00)</w:t>
            </w:r>
          </w:p>
        </w:tc>
      </w:tr>
      <w:tr w:rsidR="00BA7E31" w:rsidRPr="00476FB5" w14:paraId="3FA196B8" w14:textId="77777777" w:rsidTr="00476FB5">
        <w:tc>
          <w:tcPr>
            <w:tcW w:w="1200" w:type="dxa"/>
            <w:shd w:val="clear" w:color="auto" w:fill="auto"/>
            <w:tcMar>
              <w:top w:w="60" w:type="dxa"/>
              <w:left w:w="100" w:type="dxa"/>
              <w:bottom w:w="60" w:type="dxa"/>
              <w:right w:w="100" w:type="dxa"/>
            </w:tcMar>
            <w:vAlign w:val="center"/>
          </w:tcPr>
          <w:p w14:paraId="5E609189"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1</w:t>
            </w:r>
          </w:p>
        </w:tc>
        <w:tc>
          <w:tcPr>
            <w:tcW w:w="1700" w:type="dxa"/>
            <w:shd w:val="clear" w:color="auto" w:fill="auto"/>
            <w:tcMar>
              <w:top w:w="60" w:type="dxa"/>
              <w:left w:w="100" w:type="dxa"/>
              <w:bottom w:w="60" w:type="dxa"/>
              <w:right w:w="100" w:type="dxa"/>
            </w:tcMar>
            <w:vAlign w:val="center"/>
          </w:tcPr>
          <w:p w14:paraId="39BC0BE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1700" w:type="dxa"/>
            <w:shd w:val="clear" w:color="auto" w:fill="auto"/>
            <w:tcMar>
              <w:top w:w="60" w:type="dxa"/>
              <w:left w:w="100" w:type="dxa"/>
              <w:bottom w:w="60" w:type="dxa"/>
              <w:right w:w="100" w:type="dxa"/>
            </w:tcMar>
            <w:vAlign w:val="center"/>
          </w:tcPr>
          <w:p w14:paraId="7E21CCF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0.9091</w:t>
            </w:r>
          </w:p>
        </w:tc>
        <w:tc>
          <w:tcPr>
            <w:tcW w:w="1700" w:type="dxa"/>
            <w:shd w:val="clear" w:color="auto" w:fill="auto"/>
            <w:tcMar>
              <w:top w:w="60" w:type="dxa"/>
              <w:left w:w="100" w:type="dxa"/>
              <w:bottom w:w="60" w:type="dxa"/>
              <w:right w:w="100" w:type="dxa"/>
            </w:tcMar>
            <w:vAlign w:val="center"/>
          </w:tcPr>
          <w:p w14:paraId="71C24D4B"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£9.09</w:t>
            </w:r>
          </w:p>
        </w:tc>
        <w:tc>
          <w:tcPr>
            <w:tcW w:w="3060" w:type="dxa"/>
            <w:shd w:val="clear" w:color="auto" w:fill="auto"/>
            <w:tcMar>
              <w:top w:w="60" w:type="dxa"/>
              <w:left w:w="100" w:type="dxa"/>
              <w:bottom w:w="60" w:type="dxa"/>
              <w:right w:w="100" w:type="dxa"/>
            </w:tcMar>
            <w:vAlign w:val="center"/>
          </w:tcPr>
          <w:p w14:paraId="461C1D6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(£40.91)</w:t>
            </w:r>
          </w:p>
        </w:tc>
      </w:tr>
      <w:tr w:rsidR="00BA7E31" w:rsidRPr="00476FB5" w14:paraId="002F45AE" w14:textId="77777777" w:rsidTr="00476FB5">
        <w:tc>
          <w:tcPr>
            <w:tcW w:w="1200" w:type="dxa"/>
            <w:shd w:val="clear" w:color="auto" w:fill="auto"/>
            <w:tcMar>
              <w:top w:w="60" w:type="dxa"/>
              <w:left w:w="100" w:type="dxa"/>
              <w:bottom w:w="60" w:type="dxa"/>
              <w:right w:w="100" w:type="dxa"/>
            </w:tcMar>
            <w:vAlign w:val="center"/>
          </w:tcPr>
          <w:p w14:paraId="351FEC8F"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2</w:t>
            </w:r>
          </w:p>
        </w:tc>
        <w:tc>
          <w:tcPr>
            <w:tcW w:w="1700" w:type="dxa"/>
            <w:shd w:val="clear" w:color="auto" w:fill="auto"/>
            <w:tcMar>
              <w:top w:w="60" w:type="dxa"/>
              <w:left w:w="100" w:type="dxa"/>
              <w:bottom w:w="60" w:type="dxa"/>
              <w:right w:w="100" w:type="dxa"/>
            </w:tcMar>
            <w:vAlign w:val="center"/>
          </w:tcPr>
          <w:p w14:paraId="24C2EA04"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£12.00</w:t>
            </w:r>
          </w:p>
        </w:tc>
        <w:tc>
          <w:tcPr>
            <w:tcW w:w="1700" w:type="dxa"/>
            <w:shd w:val="clear" w:color="auto" w:fill="auto"/>
            <w:tcMar>
              <w:top w:w="60" w:type="dxa"/>
              <w:left w:w="100" w:type="dxa"/>
              <w:bottom w:w="60" w:type="dxa"/>
              <w:right w:w="100" w:type="dxa"/>
            </w:tcMar>
            <w:vAlign w:val="center"/>
          </w:tcPr>
          <w:p w14:paraId="64985A8A"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0.8264</w:t>
            </w:r>
          </w:p>
        </w:tc>
        <w:tc>
          <w:tcPr>
            <w:tcW w:w="1700" w:type="dxa"/>
            <w:shd w:val="clear" w:color="auto" w:fill="auto"/>
            <w:tcMar>
              <w:top w:w="60" w:type="dxa"/>
              <w:left w:w="100" w:type="dxa"/>
              <w:bottom w:w="60" w:type="dxa"/>
              <w:right w:w="100" w:type="dxa"/>
            </w:tcMar>
            <w:vAlign w:val="center"/>
          </w:tcPr>
          <w:p w14:paraId="43D65E16"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£9.92</w:t>
            </w:r>
          </w:p>
        </w:tc>
        <w:tc>
          <w:tcPr>
            <w:tcW w:w="3060" w:type="dxa"/>
            <w:shd w:val="clear" w:color="auto" w:fill="auto"/>
            <w:tcMar>
              <w:top w:w="60" w:type="dxa"/>
              <w:left w:w="100" w:type="dxa"/>
              <w:bottom w:w="60" w:type="dxa"/>
              <w:right w:w="100" w:type="dxa"/>
            </w:tcMar>
            <w:vAlign w:val="center"/>
          </w:tcPr>
          <w:p w14:paraId="11E458C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(£30.99)</w:t>
            </w:r>
          </w:p>
        </w:tc>
      </w:tr>
      <w:tr w:rsidR="00BA7E31" w:rsidRPr="00476FB5" w14:paraId="7F680360" w14:textId="77777777" w:rsidTr="00476FB5">
        <w:tc>
          <w:tcPr>
            <w:tcW w:w="1200" w:type="dxa"/>
            <w:shd w:val="clear" w:color="auto" w:fill="auto"/>
            <w:tcMar>
              <w:top w:w="60" w:type="dxa"/>
              <w:left w:w="100" w:type="dxa"/>
              <w:bottom w:w="60" w:type="dxa"/>
              <w:right w:w="100" w:type="dxa"/>
            </w:tcMar>
            <w:vAlign w:val="center"/>
          </w:tcPr>
          <w:p w14:paraId="3090E733"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3</w:t>
            </w:r>
          </w:p>
        </w:tc>
        <w:tc>
          <w:tcPr>
            <w:tcW w:w="1700" w:type="dxa"/>
            <w:shd w:val="clear" w:color="auto" w:fill="auto"/>
            <w:tcMar>
              <w:top w:w="60" w:type="dxa"/>
              <w:left w:w="100" w:type="dxa"/>
              <w:bottom w:w="60" w:type="dxa"/>
              <w:right w:w="100" w:type="dxa"/>
            </w:tcMar>
            <w:vAlign w:val="center"/>
          </w:tcPr>
          <w:p w14:paraId="420251D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£14.00</w:t>
            </w:r>
          </w:p>
        </w:tc>
        <w:tc>
          <w:tcPr>
            <w:tcW w:w="1700" w:type="dxa"/>
            <w:shd w:val="clear" w:color="auto" w:fill="auto"/>
            <w:tcMar>
              <w:top w:w="60" w:type="dxa"/>
              <w:left w:w="100" w:type="dxa"/>
              <w:bottom w:w="60" w:type="dxa"/>
              <w:right w:w="100" w:type="dxa"/>
            </w:tcMar>
            <w:vAlign w:val="center"/>
          </w:tcPr>
          <w:p w14:paraId="6E0A83D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0.7513</w:t>
            </w:r>
          </w:p>
        </w:tc>
        <w:tc>
          <w:tcPr>
            <w:tcW w:w="1700" w:type="dxa"/>
            <w:shd w:val="clear" w:color="auto" w:fill="auto"/>
            <w:tcMar>
              <w:top w:w="60" w:type="dxa"/>
              <w:left w:w="100" w:type="dxa"/>
              <w:bottom w:w="60" w:type="dxa"/>
              <w:right w:w="100" w:type="dxa"/>
            </w:tcMar>
            <w:vAlign w:val="center"/>
          </w:tcPr>
          <w:p w14:paraId="246FB32F"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£10.52</w:t>
            </w:r>
          </w:p>
        </w:tc>
        <w:tc>
          <w:tcPr>
            <w:tcW w:w="3060" w:type="dxa"/>
            <w:shd w:val="clear" w:color="auto" w:fill="auto"/>
            <w:tcMar>
              <w:top w:w="60" w:type="dxa"/>
              <w:left w:w="100" w:type="dxa"/>
              <w:bottom w:w="60" w:type="dxa"/>
              <w:right w:w="100" w:type="dxa"/>
            </w:tcMar>
            <w:vAlign w:val="center"/>
          </w:tcPr>
          <w:p w14:paraId="6C39C5D9"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(£20.47)</w:t>
            </w:r>
          </w:p>
        </w:tc>
      </w:tr>
      <w:tr w:rsidR="00BA7E31" w:rsidRPr="00476FB5" w14:paraId="2DCFF5D9" w14:textId="77777777" w:rsidTr="00476FB5">
        <w:tc>
          <w:tcPr>
            <w:tcW w:w="1200" w:type="dxa"/>
            <w:shd w:val="clear" w:color="auto" w:fill="auto"/>
            <w:tcMar>
              <w:top w:w="60" w:type="dxa"/>
              <w:left w:w="100" w:type="dxa"/>
              <w:bottom w:w="60" w:type="dxa"/>
              <w:right w:w="100" w:type="dxa"/>
            </w:tcMar>
            <w:vAlign w:val="center"/>
          </w:tcPr>
          <w:p w14:paraId="5456694B"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4</w:t>
            </w:r>
          </w:p>
        </w:tc>
        <w:tc>
          <w:tcPr>
            <w:tcW w:w="1700" w:type="dxa"/>
            <w:shd w:val="clear" w:color="auto" w:fill="auto"/>
            <w:tcMar>
              <w:top w:w="60" w:type="dxa"/>
              <w:left w:w="100" w:type="dxa"/>
              <w:bottom w:w="60" w:type="dxa"/>
              <w:right w:w="100" w:type="dxa"/>
            </w:tcMar>
            <w:vAlign w:val="center"/>
          </w:tcPr>
          <w:p w14:paraId="12123FFC"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£10.00</w:t>
            </w:r>
          </w:p>
        </w:tc>
        <w:tc>
          <w:tcPr>
            <w:tcW w:w="1700" w:type="dxa"/>
            <w:shd w:val="clear" w:color="auto" w:fill="auto"/>
            <w:tcMar>
              <w:top w:w="60" w:type="dxa"/>
              <w:left w:w="100" w:type="dxa"/>
              <w:bottom w:w="60" w:type="dxa"/>
              <w:right w:w="100" w:type="dxa"/>
            </w:tcMar>
            <w:vAlign w:val="center"/>
          </w:tcPr>
          <w:p w14:paraId="612D62F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0.6830</w:t>
            </w:r>
          </w:p>
        </w:tc>
        <w:tc>
          <w:tcPr>
            <w:tcW w:w="1700" w:type="dxa"/>
            <w:shd w:val="clear" w:color="auto" w:fill="auto"/>
            <w:tcMar>
              <w:top w:w="60" w:type="dxa"/>
              <w:left w:w="100" w:type="dxa"/>
              <w:bottom w:w="60" w:type="dxa"/>
              <w:right w:w="100" w:type="dxa"/>
            </w:tcMar>
            <w:vAlign w:val="center"/>
          </w:tcPr>
          <w:p w14:paraId="25397A7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£6.83</w:t>
            </w:r>
          </w:p>
        </w:tc>
        <w:tc>
          <w:tcPr>
            <w:tcW w:w="3060" w:type="dxa"/>
            <w:shd w:val="clear" w:color="auto" w:fill="auto"/>
            <w:tcMar>
              <w:top w:w="60" w:type="dxa"/>
              <w:left w:w="100" w:type="dxa"/>
              <w:bottom w:w="60" w:type="dxa"/>
              <w:right w:w="100" w:type="dxa"/>
            </w:tcMar>
            <w:vAlign w:val="center"/>
          </w:tcPr>
          <w:p w14:paraId="291BE293"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(£13.64)</w:t>
            </w:r>
          </w:p>
        </w:tc>
      </w:tr>
      <w:tr w:rsidR="00BA7E31" w:rsidRPr="00476FB5" w14:paraId="74B00EA4" w14:textId="77777777" w:rsidTr="00476FB5">
        <w:tc>
          <w:tcPr>
            <w:tcW w:w="1200" w:type="dxa"/>
            <w:shd w:val="clear" w:color="auto" w:fill="auto"/>
            <w:tcMar>
              <w:top w:w="60" w:type="dxa"/>
              <w:left w:w="100" w:type="dxa"/>
              <w:bottom w:w="60" w:type="dxa"/>
              <w:right w:w="100" w:type="dxa"/>
            </w:tcMar>
            <w:vAlign w:val="center"/>
          </w:tcPr>
          <w:p w14:paraId="1E175482"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5</w:t>
            </w:r>
          </w:p>
        </w:tc>
        <w:tc>
          <w:tcPr>
            <w:tcW w:w="1700" w:type="dxa"/>
            <w:shd w:val="clear" w:color="auto" w:fill="auto"/>
            <w:tcMar>
              <w:top w:w="60" w:type="dxa"/>
              <w:left w:w="100" w:type="dxa"/>
              <w:bottom w:w="60" w:type="dxa"/>
              <w:right w:w="100" w:type="dxa"/>
            </w:tcMar>
            <w:vAlign w:val="center"/>
          </w:tcPr>
          <w:p w14:paraId="0011CE6E"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£8.00</w:t>
            </w:r>
          </w:p>
        </w:tc>
        <w:tc>
          <w:tcPr>
            <w:tcW w:w="1700" w:type="dxa"/>
            <w:shd w:val="clear" w:color="auto" w:fill="auto"/>
            <w:tcMar>
              <w:top w:w="60" w:type="dxa"/>
              <w:left w:w="100" w:type="dxa"/>
              <w:bottom w:w="60" w:type="dxa"/>
              <w:right w:w="100" w:type="dxa"/>
            </w:tcMar>
            <w:vAlign w:val="center"/>
          </w:tcPr>
          <w:p w14:paraId="46290536"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0.6209</w:t>
            </w:r>
          </w:p>
        </w:tc>
        <w:tc>
          <w:tcPr>
            <w:tcW w:w="1700" w:type="dxa"/>
            <w:shd w:val="clear" w:color="auto" w:fill="auto"/>
            <w:tcMar>
              <w:top w:w="60" w:type="dxa"/>
              <w:left w:w="100" w:type="dxa"/>
              <w:bottom w:w="60" w:type="dxa"/>
              <w:right w:w="100" w:type="dxa"/>
            </w:tcMar>
            <w:vAlign w:val="center"/>
          </w:tcPr>
          <w:p w14:paraId="2EB9CBC0"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£4.97</w:t>
            </w:r>
          </w:p>
        </w:tc>
        <w:tc>
          <w:tcPr>
            <w:tcW w:w="3060" w:type="dxa"/>
            <w:shd w:val="clear" w:color="auto" w:fill="auto"/>
            <w:tcMar>
              <w:top w:w="60" w:type="dxa"/>
              <w:left w:w="100" w:type="dxa"/>
              <w:bottom w:w="60" w:type="dxa"/>
              <w:right w:w="100" w:type="dxa"/>
            </w:tcMar>
            <w:vAlign w:val="center"/>
          </w:tcPr>
          <w:p w14:paraId="28CA51C7"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(£8.67)</w:t>
            </w:r>
          </w:p>
        </w:tc>
      </w:tr>
      <w:tr w:rsidR="00BA7E31" w:rsidRPr="00476FB5" w14:paraId="0A03B5AF" w14:textId="77777777" w:rsidTr="00476FB5">
        <w:tc>
          <w:tcPr>
            <w:tcW w:w="1200" w:type="dxa"/>
            <w:shd w:val="clear" w:color="auto" w:fill="auto"/>
            <w:tcMar>
              <w:top w:w="60" w:type="dxa"/>
              <w:left w:w="100" w:type="dxa"/>
              <w:bottom w:w="60" w:type="dxa"/>
              <w:right w:w="100" w:type="dxa"/>
            </w:tcMar>
            <w:vAlign w:val="center"/>
          </w:tcPr>
          <w:p w14:paraId="212E9122" w14:textId="77777777" w:rsidR="00BA7E31" w:rsidRPr="00476FB5" w:rsidRDefault="00BA7E31" w:rsidP="00476FB5">
            <w:pPr>
              <w:jc w:val="center"/>
              <w:rPr>
                <w:rFonts w:ascii="Arial" w:hAnsi="Arial" w:cs="Arial"/>
                <w:b/>
                <w:bCs/>
                <w:sz w:val="24"/>
                <w:szCs w:val="24"/>
              </w:rPr>
            </w:pPr>
            <w:r w:rsidRPr="00476FB5">
              <w:rPr>
                <w:rFonts w:ascii="Arial" w:hAnsi="Arial" w:cs="Arial"/>
                <w:b/>
                <w:bCs/>
                <w:color w:val="404040"/>
                <w:sz w:val="24"/>
                <w:szCs w:val="24"/>
              </w:rPr>
              <w:t>NPV</w:t>
            </w:r>
          </w:p>
        </w:tc>
        <w:tc>
          <w:tcPr>
            <w:tcW w:w="1700" w:type="dxa"/>
            <w:shd w:val="clear" w:color="auto" w:fill="auto"/>
            <w:tcMar>
              <w:top w:w="60" w:type="dxa"/>
              <w:left w:w="100" w:type="dxa"/>
              <w:bottom w:w="60" w:type="dxa"/>
              <w:right w:w="100" w:type="dxa"/>
            </w:tcMar>
            <w:vAlign w:val="center"/>
          </w:tcPr>
          <w:p w14:paraId="12827A07" w14:textId="77777777" w:rsidR="00BA7E31" w:rsidRPr="00476FB5" w:rsidRDefault="00BA7E31" w:rsidP="00476FB5">
            <w:pPr>
              <w:rPr>
                <w:rFonts w:ascii="Arial" w:hAnsi="Arial" w:cs="Arial"/>
                <w:sz w:val="24"/>
                <w:szCs w:val="24"/>
              </w:rPr>
            </w:pPr>
          </w:p>
        </w:tc>
        <w:tc>
          <w:tcPr>
            <w:tcW w:w="1700" w:type="dxa"/>
            <w:shd w:val="clear" w:color="auto" w:fill="auto"/>
            <w:tcMar>
              <w:top w:w="60" w:type="dxa"/>
              <w:left w:w="100" w:type="dxa"/>
              <w:bottom w:w="60" w:type="dxa"/>
              <w:right w:w="100" w:type="dxa"/>
            </w:tcMar>
            <w:vAlign w:val="center"/>
          </w:tcPr>
          <w:p w14:paraId="32902C9F" w14:textId="77777777" w:rsidR="00BA7E31" w:rsidRPr="00476FB5" w:rsidRDefault="00BA7E31" w:rsidP="00476FB5">
            <w:pPr>
              <w:rPr>
                <w:rFonts w:ascii="Arial" w:hAnsi="Arial" w:cs="Arial"/>
                <w:sz w:val="24"/>
                <w:szCs w:val="24"/>
              </w:rPr>
            </w:pPr>
          </w:p>
        </w:tc>
        <w:tc>
          <w:tcPr>
            <w:tcW w:w="1700" w:type="dxa"/>
            <w:shd w:val="clear" w:color="auto" w:fill="auto"/>
            <w:tcMar>
              <w:top w:w="60" w:type="dxa"/>
              <w:left w:w="100" w:type="dxa"/>
              <w:bottom w:w="60" w:type="dxa"/>
              <w:right w:w="100" w:type="dxa"/>
            </w:tcMar>
            <w:vAlign w:val="center"/>
          </w:tcPr>
          <w:p w14:paraId="600C8D93" w14:textId="77777777" w:rsidR="00BA7E31" w:rsidRPr="00476FB5" w:rsidRDefault="00BA7E31" w:rsidP="00476FB5">
            <w:pPr>
              <w:rPr>
                <w:rFonts w:ascii="Arial" w:hAnsi="Arial" w:cs="Arial"/>
                <w:sz w:val="24"/>
                <w:szCs w:val="24"/>
              </w:rPr>
            </w:pPr>
            <w:r w:rsidRPr="00476FB5">
              <w:rPr>
                <w:rFonts w:ascii="Arial" w:hAnsi="Arial" w:cs="Arial"/>
                <w:color w:val="404040"/>
                <w:sz w:val="24"/>
                <w:szCs w:val="24"/>
              </w:rPr>
              <w:t>−£8.68m</w:t>
            </w:r>
          </w:p>
        </w:tc>
        <w:tc>
          <w:tcPr>
            <w:tcW w:w="3060" w:type="dxa"/>
            <w:shd w:val="clear" w:color="auto" w:fill="auto"/>
            <w:tcMar>
              <w:top w:w="60" w:type="dxa"/>
              <w:left w:w="100" w:type="dxa"/>
              <w:bottom w:w="60" w:type="dxa"/>
              <w:right w:w="100" w:type="dxa"/>
            </w:tcMar>
            <w:vAlign w:val="center"/>
          </w:tcPr>
          <w:p w14:paraId="5CA03AFC" w14:textId="77777777" w:rsidR="00BA7E31" w:rsidRPr="00476FB5" w:rsidRDefault="00BA7E31" w:rsidP="00E644FD">
            <w:pPr>
              <w:keepNext/>
              <w:rPr>
                <w:rFonts w:ascii="Arial" w:hAnsi="Arial" w:cs="Arial"/>
                <w:sz w:val="24"/>
                <w:szCs w:val="24"/>
              </w:rPr>
            </w:pPr>
          </w:p>
        </w:tc>
      </w:tr>
    </w:tbl>
    <w:p w14:paraId="1FB9434E" w14:textId="0C7F9B8D" w:rsidR="00D8224D" w:rsidRPr="00D8224D" w:rsidRDefault="00E644FD" w:rsidP="00E644FD">
      <w:pPr>
        <w:pStyle w:val="Caption"/>
        <w:rPr>
          <w:rFonts w:ascii="Arial" w:hAnsi="Arial" w:cs="Arial"/>
          <w:sz w:val="24"/>
          <w:szCs w:val="24"/>
        </w:rPr>
      </w:pPr>
      <w:r>
        <w:t xml:space="preserve">Table </w:t>
      </w:r>
      <w:r w:rsidRPr="00027DED">
        <w:t>Source: Author's calculations; Brealey, Myers and Allen (2023)</w:t>
      </w:r>
    </w:p>
    <w:p w14:paraId="7039323E" w14:textId="77777777" w:rsidR="00E03ECF" w:rsidRPr="00E03ECF" w:rsidRDefault="00E03ECF" w:rsidP="00E03ECF"/>
    <w:p w14:paraId="19D7C98F" w14:textId="70A3DF4B" w:rsidR="00986428" w:rsidRPr="00EE1DBE" w:rsidRDefault="00986428" w:rsidP="00EE1DBE">
      <w:pPr>
        <w:pStyle w:val="Heading3"/>
        <w:spacing w:line="360" w:lineRule="auto"/>
      </w:pPr>
      <w:bookmarkStart w:id="71" w:name="_Toc227660533"/>
      <w:r w:rsidRPr="00EE1DBE">
        <w:rPr>
          <w:rFonts w:ascii="Arial" w:eastAsia="Arial" w:hAnsi="Arial" w:cs="Arial"/>
          <w:b/>
          <w:bCs/>
          <w:color w:val="404040"/>
          <w:u w:color="2E75B6"/>
        </w:rPr>
        <w:t>Table B.5 – Project B: Full NPV Workings</w:t>
      </w:r>
      <w:bookmarkEnd w:id="7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700"/>
        <w:gridCol w:w="1700"/>
        <w:gridCol w:w="1700"/>
        <w:gridCol w:w="3060"/>
      </w:tblGrid>
      <w:tr w:rsidR="00986428" w:rsidRPr="00EE1DBE" w14:paraId="1BDC7658" w14:textId="77777777" w:rsidTr="00EE1DBE">
        <w:tc>
          <w:tcPr>
            <w:tcW w:w="1200" w:type="dxa"/>
            <w:shd w:val="clear" w:color="auto" w:fill="auto"/>
            <w:tcMar>
              <w:top w:w="80" w:type="dxa"/>
              <w:left w:w="100" w:type="dxa"/>
              <w:bottom w:w="80" w:type="dxa"/>
              <w:right w:w="100" w:type="dxa"/>
            </w:tcMar>
            <w:vAlign w:val="center"/>
          </w:tcPr>
          <w:p w14:paraId="065C362A"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Year</w:t>
            </w:r>
          </w:p>
        </w:tc>
        <w:tc>
          <w:tcPr>
            <w:tcW w:w="1700" w:type="dxa"/>
            <w:shd w:val="clear" w:color="auto" w:fill="auto"/>
            <w:tcMar>
              <w:top w:w="80" w:type="dxa"/>
              <w:left w:w="100" w:type="dxa"/>
              <w:bottom w:w="80" w:type="dxa"/>
              <w:right w:w="100" w:type="dxa"/>
            </w:tcMar>
            <w:vAlign w:val="center"/>
          </w:tcPr>
          <w:p w14:paraId="1A969A1D"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CF (£m)</w:t>
            </w:r>
          </w:p>
        </w:tc>
        <w:tc>
          <w:tcPr>
            <w:tcW w:w="1700" w:type="dxa"/>
            <w:shd w:val="clear" w:color="auto" w:fill="auto"/>
            <w:tcMar>
              <w:top w:w="80" w:type="dxa"/>
              <w:left w:w="100" w:type="dxa"/>
              <w:bottom w:w="80" w:type="dxa"/>
              <w:right w:w="100" w:type="dxa"/>
            </w:tcMar>
            <w:vAlign w:val="center"/>
          </w:tcPr>
          <w:p w14:paraId="1EA30E7F"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DF @ 10%</w:t>
            </w:r>
          </w:p>
        </w:tc>
        <w:tc>
          <w:tcPr>
            <w:tcW w:w="1700" w:type="dxa"/>
            <w:shd w:val="clear" w:color="auto" w:fill="auto"/>
            <w:tcMar>
              <w:top w:w="80" w:type="dxa"/>
              <w:left w:w="100" w:type="dxa"/>
              <w:bottom w:w="80" w:type="dxa"/>
              <w:right w:w="100" w:type="dxa"/>
            </w:tcMar>
            <w:vAlign w:val="center"/>
          </w:tcPr>
          <w:p w14:paraId="706FEE4F"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PV (£m)</w:t>
            </w:r>
          </w:p>
        </w:tc>
        <w:tc>
          <w:tcPr>
            <w:tcW w:w="3060" w:type="dxa"/>
            <w:shd w:val="clear" w:color="auto" w:fill="auto"/>
            <w:tcMar>
              <w:top w:w="80" w:type="dxa"/>
              <w:left w:w="100" w:type="dxa"/>
              <w:bottom w:w="80" w:type="dxa"/>
              <w:right w:w="100" w:type="dxa"/>
            </w:tcMar>
            <w:vAlign w:val="center"/>
          </w:tcPr>
          <w:p w14:paraId="1116342E"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Cumulative PV (£m)</w:t>
            </w:r>
          </w:p>
        </w:tc>
      </w:tr>
      <w:tr w:rsidR="00986428" w:rsidRPr="00EE1DBE" w14:paraId="3F7256FB" w14:textId="77777777" w:rsidTr="00EE1DBE">
        <w:tc>
          <w:tcPr>
            <w:tcW w:w="1200" w:type="dxa"/>
            <w:shd w:val="clear" w:color="auto" w:fill="auto"/>
            <w:tcMar>
              <w:top w:w="60" w:type="dxa"/>
              <w:left w:w="100" w:type="dxa"/>
              <w:bottom w:w="60" w:type="dxa"/>
              <w:right w:w="100" w:type="dxa"/>
            </w:tcMar>
            <w:vAlign w:val="center"/>
          </w:tcPr>
          <w:p w14:paraId="73B4D932"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0</w:t>
            </w:r>
          </w:p>
        </w:tc>
        <w:tc>
          <w:tcPr>
            <w:tcW w:w="1700" w:type="dxa"/>
            <w:shd w:val="clear" w:color="auto" w:fill="auto"/>
            <w:tcMar>
              <w:top w:w="60" w:type="dxa"/>
              <w:left w:w="100" w:type="dxa"/>
              <w:bottom w:w="60" w:type="dxa"/>
              <w:right w:w="100" w:type="dxa"/>
            </w:tcMar>
            <w:vAlign w:val="center"/>
          </w:tcPr>
          <w:p w14:paraId="7BFD3B16"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(£50.00)</w:t>
            </w:r>
          </w:p>
        </w:tc>
        <w:tc>
          <w:tcPr>
            <w:tcW w:w="1700" w:type="dxa"/>
            <w:shd w:val="clear" w:color="auto" w:fill="auto"/>
            <w:tcMar>
              <w:top w:w="60" w:type="dxa"/>
              <w:left w:w="100" w:type="dxa"/>
              <w:bottom w:w="60" w:type="dxa"/>
              <w:right w:w="100" w:type="dxa"/>
            </w:tcMar>
            <w:vAlign w:val="center"/>
          </w:tcPr>
          <w:p w14:paraId="3CD0B8CC"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1.0000</w:t>
            </w:r>
          </w:p>
        </w:tc>
        <w:tc>
          <w:tcPr>
            <w:tcW w:w="1700" w:type="dxa"/>
            <w:shd w:val="clear" w:color="auto" w:fill="auto"/>
            <w:tcMar>
              <w:top w:w="60" w:type="dxa"/>
              <w:left w:w="100" w:type="dxa"/>
              <w:bottom w:w="60" w:type="dxa"/>
              <w:right w:w="100" w:type="dxa"/>
            </w:tcMar>
            <w:vAlign w:val="center"/>
          </w:tcPr>
          <w:p w14:paraId="2E4E430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(£50.00)</w:t>
            </w:r>
          </w:p>
        </w:tc>
        <w:tc>
          <w:tcPr>
            <w:tcW w:w="3060" w:type="dxa"/>
            <w:shd w:val="clear" w:color="auto" w:fill="auto"/>
            <w:tcMar>
              <w:top w:w="60" w:type="dxa"/>
              <w:left w:w="100" w:type="dxa"/>
              <w:bottom w:w="60" w:type="dxa"/>
              <w:right w:w="100" w:type="dxa"/>
            </w:tcMar>
            <w:vAlign w:val="center"/>
          </w:tcPr>
          <w:p w14:paraId="0B6F1481"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(£50.00)</w:t>
            </w:r>
          </w:p>
        </w:tc>
      </w:tr>
      <w:tr w:rsidR="00986428" w:rsidRPr="00EE1DBE" w14:paraId="7EB8C2AC" w14:textId="77777777" w:rsidTr="00EE1DBE">
        <w:tc>
          <w:tcPr>
            <w:tcW w:w="1200" w:type="dxa"/>
            <w:shd w:val="clear" w:color="auto" w:fill="auto"/>
            <w:tcMar>
              <w:top w:w="60" w:type="dxa"/>
              <w:left w:w="100" w:type="dxa"/>
              <w:bottom w:w="60" w:type="dxa"/>
              <w:right w:w="100" w:type="dxa"/>
            </w:tcMar>
            <w:vAlign w:val="center"/>
          </w:tcPr>
          <w:p w14:paraId="207FA4EA"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1</w:t>
            </w:r>
          </w:p>
        </w:tc>
        <w:tc>
          <w:tcPr>
            <w:tcW w:w="1700" w:type="dxa"/>
            <w:shd w:val="clear" w:color="auto" w:fill="auto"/>
            <w:tcMar>
              <w:top w:w="60" w:type="dxa"/>
              <w:left w:w="100" w:type="dxa"/>
              <w:bottom w:w="60" w:type="dxa"/>
              <w:right w:w="100" w:type="dxa"/>
            </w:tcMar>
            <w:vAlign w:val="center"/>
          </w:tcPr>
          <w:p w14:paraId="5BE674A8"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33162E18"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0.9091</w:t>
            </w:r>
          </w:p>
        </w:tc>
        <w:tc>
          <w:tcPr>
            <w:tcW w:w="1700" w:type="dxa"/>
            <w:shd w:val="clear" w:color="auto" w:fill="auto"/>
            <w:tcMar>
              <w:top w:w="60" w:type="dxa"/>
              <w:left w:w="100" w:type="dxa"/>
              <w:bottom w:w="60" w:type="dxa"/>
              <w:right w:w="100" w:type="dxa"/>
            </w:tcMar>
            <w:vAlign w:val="center"/>
          </w:tcPr>
          <w:p w14:paraId="74F3191F"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£10.00</w:t>
            </w:r>
          </w:p>
        </w:tc>
        <w:tc>
          <w:tcPr>
            <w:tcW w:w="3060" w:type="dxa"/>
            <w:shd w:val="clear" w:color="auto" w:fill="auto"/>
            <w:tcMar>
              <w:top w:w="60" w:type="dxa"/>
              <w:left w:w="100" w:type="dxa"/>
              <w:bottom w:w="60" w:type="dxa"/>
              <w:right w:w="100" w:type="dxa"/>
            </w:tcMar>
            <w:vAlign w:val="center"/>
          </w:tcPr>
          <w:p w14:paraId="2D17A243"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(£40.00)</w:t>
            </w:r>
          </w:p>
        </w:tc>
      </w:tr>
      <w:tr w:rsidR="00986428" w:rsidRPr="00EE1DBE" w14:paraId="0267B2C0" w14:textId="77777777" w:rsidTr="00EE1DBE">
        <w:tc>
          <w:tcPr>
            <w:tcW w:w="1200" w:type="dxa"/>
            <w:shd w:val="clear" w:color="auto" w:fill="auto"/>
            <w:tcMar>
              <w:top w:w="60" w:type="dxa"/>
              <w:left w:w="100" w:type="dxa"/>
              <w:bottom w:w="60" w:type="dxa"/>
              <w:right w:w="100" w:type="dxa"/>
            </w:tcMar>
            <w:vAlign w:val="center"/>
          </w:tcPr>
          <w:p w14:paraId="111134A0"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2</w:t>
            </w:r>
          </w:p>
        </w:tc>
        <w:tc>
          <w:tcPr>
            <w:tcW w:w="1700" w:type="dxa"/>
            <w:shd w:val="clear" w:color="auto" w:fill="auto"/>
            <w:tcMar>
              <w:top w:w="60" w:type="dxa"/>
              <w:left w:w="100" w:type="dxa"/>
              <w:bottom w:w="60" w:type="dxa"/>
              <w:right w:w="100" w:type="dxa"/>
            </w:tcMar>
            <w:vAlign w:val="center"/>
          </w:tcPr>
          <w:p w14:paraId="5C1CA694"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522F6E68"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0.8264</w:t>
            </w:r>
          </w:p>
        </w:tc>
        <w:tc>
          <w:tcPr>
            <w:tcW w:w="1700" w:type="dxa"/>
            <w:shd w:val="clear" w:color="auto" w:fill="auto"/>
            <w:tcMar>
              <w:top w:w="60" w:type="dxa"/>
              <w:left w:w="100" w:type="dxa"/>
              <w:bottom w:w="60" w:type="dxa"/>
              <w:right w:w="100" w:type="dxa"/>
            </w:tcMar>
            <w:vAlign w:val="center"/>
          </w:tcPr>
          <w:p w14:paraId="00AB622E"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£9.09</w:t>
            </w:r>
          </w:p>
        </w:tc>
        <w:tc>
          <w:tcPr>
            <w:tcW w:w="3060" w:type="dxa"/>
            <w:shd w:val="clear" w:color="auto" w:fill="auto"/>
            <w:tcMar>
              <w:top w:w="60" w:type="dxa"/>
              <w:left w:w="100" w:type="dxa"/>
              <w:bottom w:w="60" w:type="dxa"/>
              <w:right w:w="100" w:type="dxa"/>
            </w:tcMar>
            <w:vAlign w:val="center"/>
          </w:tcPr>
          <w:p w14:paraId="49E21C62"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(£30.91)</w:t>
            </w:r>
          </w:p>
        </w:tc>
      </w:tr>
      <w:tr w:rsidR="00986428" w:rsidRPr="00EE1DBE" w14:paraId="65CBB5A7" w14:textId="77777777" w:rsidTr="00EE1DBE">
        <w:tc>
          <w:tcPr>
            <w:tcW w:w="1200" w:type="dxa"/>
            <w:shd w:val="clear" w:color="auto" w:fill="auto"/>
            <w:tcMar>
              <w:top w:w="60" w:type="dxa"/>
              <w:left w:w="100" w:type="dxa"/>
              <w:bottom w:w="60" w:type="dxa"/>
              <w:right w:w="100" w:type="dxa"/>
            </w:tcMar>
            <w:vAlign w:val="center"/>
          </w:tcPr>
          <w:p w14:paraId="5F4111D7"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3</w:t>
            </w:r>
          </w:p>
        </w:tc>
        <w:tc>
          <w:tcPr>
            <w:tcW w:w="1700" w:type="dxa"/>
            <w:shd w:val="clear" w:color="auto" w:fill="auto"/>
            <w:tcMar>
              <w:top w:w="60" w:type="dxa"/>
              <w:left w:w="100" w:type="dxa"/>
              <w:bottom w:w="60" w:type="dxa"/>
              <w:right w:w="100" w:type="dxa"/>
            </w:tcMar>
            <w:vAlign w:val="center"/>
          </w:tcPr>
          <w:p w14:paraId="5E5657BF"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317127C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0.7513</w:t>
            </w:r>
          </w:p>
        </w:tc>
        <w:tc>
          <w:tcPr>
            <w:tcW w:w="1700" w:type="dxa"/>
            <w:shd w:val="clear" w:color="auto" w:fill="auto"/>
            <w:tcMar>
              <w:top w:w="60" w:type="dxa"/>
              <w:left w:w="100" w:type="dxa"/>
              <w:bottom w:w="60" w:type="dxa"/>
              <w:right w:w="100" w:type="dxa"/>
            </w:tcMar>
            <w:vAlign w:val="center"/>
          </w:tcPr>
          <w:p w14:paraId="5D1004F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£8.26</w:t>
            </w:r>
          </w:p>
        </w:tc>
        <w:tc>
          <w:tcPr>
            <w:tcW w:w="3060" w:type="dxa"/>
            <w:shd w:val="clear" w:color="auto" w:fill="auto"/>
            <w:tcMar>
              <w:top w:w="60" w:type="dxa"/>
              <w:left w:w="100" w:type="dxa"/>
              <w:bottom w:w="60" w:type="dxa"/>
              <w:right w:w="100" w:type="dxa"/>
            </w:tcMar>
            <w:vAlign w:val="center"/>
          </w:tcPr>
          <w:p w14:paraId="4A9C35E0"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(£22.65)</w:t>
            </w:r>
          </w:p>
        </w:tc>
      </w:tr>
      <w:tr w:rsidR="00986428" w:rsidRPr="00EE1DBE" w14:paraId="55F9F0DC" w14:textId="77777777" w:rsidTr="00EE1DBE">
        <w:tc>
          <w:tcPr>
            <w:tcW w:w="1200" w:type="dxa"/>
            <w:shd w:val="clear" w:color="auto" w:fill="auto"/>
            <w:tcMar>
              <w:top w:w="60" w:type="dxa"/>
              <w:left w:w="100" w:type="dxa"/>
              <w:bottom w:w="60" w:type="dxa"/>
              <w:right w:w="100" w:type="dxa"/>
            </w:tcMar>
            <w:vAlign w:val="center"/>
          </w:tcPr>
          <w:p w14:paraId="5304BB5B"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4</w:t>
            </w:r>
          </w:p>
        </w:tc>
        <w:tc>
          <w:tcPr>
            <w:tcW w:w="1700" w:type="dxa"/>
            <w:shd w:val="clear" w:color="auto" w:fill="auto"/>
            <w:tcMar>
              <w:top w:w="60" w:type="dxa"/>
              <w:left w:w="100" w:type="dxa"/>
              <w:bottom w:w="60" w:type="dxa"/>
              <w:right w:w="100" w:type="dxa"/>
            </w:tcMar>
            <w:vAlign w:val="center"/>
          </w:tcPr>
          <w:p w14:paraId="77947D47"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16970A3A"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0.6830</w:t>
            </w:r>
          </w:p>
        </w:tc>
        <w:tc>
          <w:tcPr>
            <w:tcW w:w="1700" w:type="dxa"/>
            <w:shd w:val="clear" w:color="auto" w:fill="auto"/>
            <w:tcMar>
              <w:top w:w="60" w:type="dxa"/>
              <w:left w:w="100" w:type="dxa"/>
              <w:bottom w:w="60" w:type="dxa"/>
              <w:right w:w="100" w:type="dxa"/>
            </w:tcMar>
            <w:vAlign w:val="center"/>
          </w:tcPr>
          <w:p w14:paraId="3B70093E"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£7.51</w:t>
            </w:r>
          </w:p>
        </w:tc>
        <w:tc>
          <w:tcPr>
            <w:tcW w:w="3060" w:type="dxa"/>
            <w:shd w:val="clear" w:color="auto" w:fill="auto"/>
            <w:tcMar>
              <w:top w:w="60" w:type="dxa"/>
              <w:left w:w="100" w:type="dxa"/>
              <w:bottom w:w="60" w:type="dxa"/>
              <w:right w:w="100" w:type="dxa"/>
            </w:tcMar>
            <w:vAlign w:val="center"/>
          </w:tcPr>
          <w:p w14:paraId="541F75E0"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(£15.14)</w:t>
            </w:r>
          </w:p>
        </w:tc>
      </w:tr>
      <w:tr w:rsidR="00986428" w:rsidRPr="00EE1DBE" w14:paraId="000DA366" w14:textId="77777777" w:rsidTr="00EE1DBE">
        <w:tc>
          <w:tcPr>
            <w:tcW w:w="1200" w:type="dxa"/>
            <w:shd w:val="clear" w:color="auto" w:fill="auto"/>
            <w:tcMar>
              <w:top w:w="60" w:type="dxa"/>
              <w:left w:w="100" w:type="dxa"/>
              <w:bottom w:w="60" w:type="dxa"/>
              <w:right w:w="100" w:type="dxa"/>
            </w:tcMar>
            <w:vAlign w:val="center"/>
          </w:tcPr>
          <w:p w14:paraId="709A03A2"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5</w:t>
            </w:r>
          </w:p>
        </w:tc>
        <w:tc>
          <w:tcPr>
            <w:tcW w:w="1700" w:type="dxa"/>
            <w:shd w:val="clear" w:color="auto" w:fill="auto"/>
            <w:tcMar>
              <w:top w:w="60" w:type="dxa"/>
              <w:left w:w="100" w:type="dxa"/>
              <w:bottom w:w="60" w:type="dxa"/>
              <w:right w:w="100" w:type="dxa"/>
            </w:tcMar>
            <w:vAlign w:val="center"/>
          </w:tcPr>
          <w:p w14:paraId="5F8A4447"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£11.00</w:t>
            </w:r>
          </w:p>
        </w:tc>
        <w:tc>
          <w:tcPr>
            <w:tcW w:w="1700" w:type="dxa"/>
            <w:shd w:val="clear" w:color="auto" w:fill="auto"/>
            <w:tcMar>
              <w:top w:w="60" w:type="dxa"/>
              <w:left w:w="100" w:type="dxa"/>
              <w:bottom w:w="60" w:type="dxa"/>
              <w:right w:w="100" w:type="dxa"/>
            </w:tcMar>
            <w:vAlign w:val="center"/>
          </w:tcPr>
          <w:p w14:paraId="566A3D52"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0.6209</w:t>
            </w:r>
          </w:p>
        </w:tc>
        <w:tc>
          <w:tcPr>
            <w:tcW w:w="1700" w:type="dxa"/>
            <w:shd w:val="clear" w:color="auto" w:fill="auto"/>
            <w:tcMar>
              <w:top w:w="60" w:type="dxa"/>
              <w:left w:w="100" w:type="dxa"/>
              <w:bottom w:w="60" w:type="dxa"/>
              <w:right w:w="100" w:type="dxa"/>
            </w:tcMar>
            <w:vAlign w:val="center"/>
          </w:tcPr>
          <w:p w14:paraId="44BF515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£6.83</w:t>
            </w:r>
          </w:p>
        </w:tc>
        <w:tc>
          <w:tcPr>
            <w:tcW w:w="3060" w:type="dxa"/>
            <w:shd w:val="clear" w:color="auto" w:fill="auto"/>
            <w:tcMar>
              <w:top w:w="60" w:type="dxa"/>
              <w:left w:w="100" w:type="dxa"/>
              <w:bottom w:w="60" w:type="dxa"/>
              <w:right w:w="100" w:type="dxa"/>
            </w:tcMar>
            <w:vAlign w:val="center"/>
          </w:tcPr>
          <w:p w14:paraId="7AA0A602"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(£8.31)</w:t>
            </w:r>
          </w:p>
        </w:tc>
      </w:tr>
      <w:tr w:rsidR="00986428" w:rsidRPr="00EE1DBE" w14:paraId="0D185FD9" w14:textId="77777777" w:rsidTr="00EE1DBE">
        <w:tc>
          <w:tcPr>
            <w:tcW w:w="1200" w:type="dxa"/>
            <w:shd w:val="clear" w:color="auto" w:fill="auto"/>
            <w:tcMar>
              <w:top w:w="60" w:type="dxa"/>
              <w:left w:w="100" w:type="dxa"/>
              <w:bottom w:w="60" w:type="dxa"/>
              <w:right w:w="100" w:type="dxa"/>
            </w:tcMar>
            <w:vAlign w:val="center"/>
          </w:tcPr>
          <w:p w14:paraId="26423F85"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lastRenderedPageBreak/>
              <w:t>NPV</w:t>
            </w:r>
          </w:p>
        </w:tc>
        <w:tc>
          <w:tcPr>
            <w:tcW w:w="1700" w:type="dxa"/>
            <w:shd w:val="clear" w:color="auto" w:fill="auto"/>
            <w:tcMar>
              <w:top w:w="60" w:type="dxa"/>
              <w:left w:w="100" w:type="dxa"/>
              <w:bottom w:w="60" w:type="dxa"/>
              <w:right w:w="100" w:type="dxa"/>
            </w:tcMar>
            <w:vAlign w:val="center"/>
          </w:tcPr>
          <w:p w14:paraId="568BA563" w14:textId="77777777" w:rsidR="00986428" w:rsidRPr="00EE1DBE" w:rsidRDefault="00986428" w:rsidP="00EE1DBE">
            <w:pPr>
              <w:rPr>
                <w:rFonts w:ascii="Arial" w:hAnsi="Arial" w:cs="Arial"/>
                <w:sz w:val="24"/>
                <w:szCs w:val="24"/>
              </w:rPr>
            </w:pPr>
          </w:p>
        </w:tc>
        <w:tc>
          <w:tcPr>
            <w:tcW w:w="1700" w:type="dxa"/>
            <w:shd w:val="clear" w:color="auto" w:fill="auto"/>
            <w:tcMar>
              <w:top w:w="60" w:type="dxa"/>
              <w:left w:w="100" w:type="dxa"/>
              <w:bottom w:w="60" w:type="dxa"/>
              <w:right w:w="100" w:type="dxa"/>
            </w:tcMar>
            <w:vAlign w:val="center"/>
          </w:tcPr>
          <w:p w14:paraId="4654A6CC" w14:textId="77777777" w:rsidR="00986428" w:rsidRPr="00EE1DBE" w:rsidRDefault="00986428" w:rsidP="00EE1DBE">
            <w:pPr>
              <w:rPr>
                <w:rFonts w:ascii="Arial" w:hAnsi="Arial" w:cs="Arial"/>
                <w:sz w:val="24"/>
                <w:szCs w:val="24"/>
              </w:rPr>
            </w:pPr>
          </w:p>
        </w:tc>
        <w:tc>
          <w:tcPr>
            <w:tcW w:w="1700" w:type="dxa"/>
            <w:shd w:val="clear" w:color="auto" w:fill="auto"/>
            <w:tcMar>
              <w:top w:w="60" w:type="dxa"/>
              <w:left w:w="100" w:type="dxa"/>
              <w:bottom w:w="60" w:type="dxa"/>
              <w:right w:w="100" w:type="dxa"/>
            </w:tcMar>
            <w:vAlign w:val="center"/>
          </w:tcPr>
          <w:p w14:paraId="388FC62A"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−£8.31m</w:t>
            </w:r>
          </w:p>
        </w:tc>
        <w:tc>
          <w:tcPr>
            <w:tcW w:w="3060" w:type="dxa"/>
            <w:shd w:val="clear" w:color="auto" w:fill="auto"/>
            <w:tcMar>
              <w:top w:w="60" w:type="dxa"/>
              <w:left w:w="100" w:type="dxa"/>
              <w:bottom w:w="60" w:type="dxa"/>
              <w:right w:w="100" w:type="dxa"/>
            </w:tcMar>
            <w:vAlign w:val="center"/>
          </w:tcPr>
          <w:p w14:paraId="7EB1FBDE" w14:textId="77777777" w:rsidR="00986428" w:rsidRPr="00EE1DBE" w:rsidRDefault="00986428" w:rsidP="00E644FD">
            <w:pPr>
              <w:keepNext/>
              <w:rPr>
                <w:rFonts w:ascii="Arial" w:hAnsi="Arial" w:cs="Arial"/>
                <w:sz w:val="24"/>
                <w:szCs w:val="24"/>
              </w:rPr>
            </w:pPr>
          </w:p>
        </w:tc>
      </w:tr>
    </w:tbl>
    <w:p w14:paraId="59C5043B" w14:textId="42B85FF6" w:rsidR="00986428" w:rsidRDefault="00E644FD" w:rsidP="00E644FD">
      <w:pPr>
        <w:pStyle w:val="Caption"/>
      </w:pPr>
      <w:r>
        <w:t xml:space="preserve">Table </w:t>
      </w:r>
      <w:r w:rsidRPr="00EB53E9">
        <w:t>Source: Author's calculations; Brealey, Myers and Allen (2023)</w:t>
      </w:r>
    </w:p>
    <w:p w14:paraId="764028DE" w14:textId="77777777" w:rsidR="00986428" w:rsidRPr="00EE1DBE" w:rsidRDefault="00986428" w:rsidP="00EE1DBE">
      <w:pPr>
        <w:pStyle w:val="Heading3"/>
        <w:spacing w:line="360" w:lineRule="auto"/>
      </w:pPr>
      <w:bookmarkStart w:id="72" w:name="_Toc227660534"/>
      <w:r w:rsidRPr="00EE1DBE">
        <w:rPr>
          <w:rFonts w:ascii="Arial" w:eastAsia="Arial" w:hAnsi="Arial" w:cs="Arial"/>
          <w:b/>
          <w:bCs/>
          <w:color w:val="404040"/>
          <w:u w:color="2E75B6"/>
        </w:rPr>
        <w:t>Table B.6 – Project C: Full NPV Workings</w:t>
      </w:r>
      <w:bookmarkEnd w:id="7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700"/>
        <w:gridCol w:w="1700"/>
        <w:gridCol w:w="1700"/>
        <w:gridCol w:w="3060"/>
      </w:tblGrid>
      <w:tr w:rsidR="00EE1DBE" w:rsidRPr="00EE1DBE" w14:paraId="1CE3423C" w14:textId="77777777" w:rsidTr="00EE1DBE">
        <w:tc>
          <w:tcPr>
            <w:tcW w:w="1200" w:type="dxa"/>
            <w:shd w:val="clear" w:color="auto" w:fill="auto"/>
            <w:tcMar>
              <w:top w:w="80" w:type="dxa"/>
              <w:left w:w="100" w:type="dxa"/>
              <w:bottom w:w="80" w:type="dxa"/>
              <w:right w:w="100" w:type="dxa"/>
            </w:tcMar>
            <w:vAlign w:val="center"/>
          </w:tcPr>
          <w:p w14:paraId="166CB9E6"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Year</w:t>
            </w:r>
          </w:p>
        </w:tc>
        <w:tc>
          <w:tcPr>
            <w:tcW w:w="1700" w:type="dxa"/>
            <w:shd w:val="clear" w:color="auto" w:fill="auto"/>
            <w:tcMar>
              <w:top w:w="80" w:type="dxa"/>
              <w:left w:w="100" w:type="dxa"/>
              <w:bottom w:w="80" w:type="dxa"/>
              <w:right w:w="100" w:type="dxa"/>
            </w:tcMar>
            <w:vAlign w:val="center"/>
          </w:tcPr>
          <w:p w14:paraId="642459BC"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CF (£m)</w:t>
            </w:r>
          </w:p>
        </w:tc>
        <w:tc>
          <w:tcPr>
            <w:tcW w:w="1700" w:type="dxa"/>
            <w:shd w:val="clear" w:color="auto" w:fill="auto"/>
            <w:tcMar>
              <w:top w:w="80" w:type="dxa"/>
              <w:left w:w="100" w:type="dxa"/>
              <w:bottom w:w="80" w:type="dxa"/>
              <w:right w:w="100" w:type="dxa"/>
            </w:tcMar>
            <w:vAlign w:val="center"/>
          </w:tcPr>
          <w:p w14:paraId="61936F71"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DF @ 10%</w:t>
            </w:r>
          </w:p>
        </w:tc>
        <w:tc>
          <w:tcPr>
            <w:tcW w:w="1700" w:type="dxa"/>
            <w:shd w:val="clear" w:color="auto" w:fill="auto"/>
            <w:tcMar>
              <w:top w:w="80" w:type="dxa"/>
              <w:left w:w="100" w:type="dxa"/>
              <w:bottom w:w="80" w:type="dxa"/>
              <w:right w:w="100" w:type="dxa"/>
            </w:tcMar>
            <w:vAlign w:val="center"/>
          </w:tcPr>
          <w:p w14:paraId="70271C56"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PV (£m)</w:t>
            </w:r>
          </w:p>
        </w:tc>
        <w:tc>
          <w:tcPr>
            <w:tcW w:w="3060" w:type="dxa"/>
            <w:shd w:val="clear" w:color="auto" w:fill="auto"/>
            <w:tcMar>
              <w:top w:w="80" w:type="dxa"/>
              <w:left w:w="100" w:type="dxa"/>
              <w:bottom w:w="80" w:type="dxa"/>
              <w:right w:w="100" w:type="dxa"/>
            </w:tcMar>
            <w:vAlign w:val="center"/>
          </w:tcPr>
          <w:p w14:paraId="27770ABA"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Cumulative PV (£m)</w:t>
            </w:r>
          </w:p>
        </w:tc>
      </w:tr>
      <w:tr w:rsidR="00986428" w:rsidRPr="00EE1DBE" w14:paraId="569FF18C" w14:textId="77777777" w:rsidTr="00EE1DBE">
        <w:tc>
          <w:tcPr>
            <w:tcW w:w="1200" w:type="dxa"/>
            <w:shd w:val="clear" w:color="auto" w:fill="auto"/>
            <w:tcMar>
              <w:top w:w="60" w:type="dxa"/>
              <w:left w:w="100" w:type="dxa"/>
              <w:bottom w:w="60" w:type="dxa"/>
              <w:right w:w="100" w:type="dxa"/>
            </w:tcMar>
            <w:vAlign w:val="center"/>
          </w:tcPr>
          <w:p w14:paraId="5570C845"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0</w:t>
            </w:r>
          </w:p>
        </w:tc>
        <w:tc>
          <w:tcPr>
            <w:tcW w:w="1700" w:type="dxa"/>
            <w:shd w:val="clear" w:color="auto" w:fill="auto"/>
            <w:tcMar>
              <w:top w:w="60" w:type="dxa"/>
              <w:left w:w="100" w:type="dxa"/>
              <w:bottom w:w="60" w:type="dxa"/>
              <w:right w:w="100" w:type="dxa"/>
            </w:tcMar>
            <w:vAlign w:val="center"/>
          </w:tcPr>
          <w:p w14:paraId="62BFDC0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(£50.00)</w:t>
            </w:r>
          </w:p>
        </w:tc>
        <w:tc>
          <w:tcPr>
            <w:tcW w:w="1700" w:type="dxa"/>
            <w:shd w:val="clear" w:color="auto" w:fill="auto"/>
            <w:tcMar>
              <w:top w:w="60" w:type="dxa"/>
              <w:left w:w="100" w:type="dxa"/>
              <w:bottom w:w="60" w:type="dxa"/>
              <w:right w:w="100" w:type="dxa"/>
            </w:tcMar>
            <w:vAlign w:val="center"/>
          </w:tcPr>
          <w:p w14:paraId="7569C885"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1.0000</w:t>
            </w:r>
          </w:p>
        </w:tc>
        <w:tc>
          <w:tcPr>
            <w:tcW w:w="1700" w:type="dxa"/>
            <w:shd w:val="clear" w:color="auto" w:fill="auto"/>
            <w:tcMar>
              <w:top w:w="60" w:type="dxa"/>
              <w:left w:w="100" w:type="dxa"/>
              <w:bottom w:w="60" w:type="dxa"/>
              <w:right w:w="100" w:type="dxa"/>
            </w:tcMar>
            <w:vAlign w:val="center"/>
          </w:tcPr>
          <w:p w14:paraId="763E826F"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(£50.00)</w:t>
            </w:r>
          </w:p>
        </w:tc>
        <w:tc>
          <w:tcPr>
            <w:tcW w:w="3060" w:type="dxa"/>
            <w:shd w:val="clear" w:color="auto" w:fill="auto"/>
            <w:tcMar>
              <w:top w:w="60" w:type="dxa"/>
              <w:left w:w="100" w:type="dxa"/>
              <w:bottom w:w="60" w:type="dxa"/>
              <w:right w:w="100" w:type="dxa"/>
            </w:tcMar>
            <w:vAlign w:val="center"/>
          </w:tcPr>
          <w:p w14:paraId="571EE0B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(£50.00)</w:t>
            </w:r>
          </w:p>
        </w:tc>
      </w:tr>
      <w:tr w:rsidR="00986428" w:rsidRPr="00EE1DBE" w14:paraId="4E888154" w14:textId="77777777" w:rsidTr="00EE1DBE">
        <w:tc>
          <w:tcPr>
            <w:tcW w:w="1200" w:type="dxa"/>
            <w:shd w:val="clear" w:color="auto" w:fill="auto"/>
            <w:tcMar>
              <w:top w:w="60" w:type="dxa"/>
              <w:left w:w="100" w:type="dxa"/>
              <w:bottom w:w="60" w:type="dxa"/>
              <w:right w:w="100" w:type="dxa"/>
            </w:tcMar>
            <w:vAlign w:val="center"/>
          </w:tcPr>
          <w:p w14:paraId="5102679E"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1</w:t>
            </w:r>
          </w:p>
        </w:tc>
        <w:tc>
          <w:tcPr>
            <w:tcW w:w="1700" w:type="dxa"/>
            <w:shd w:val="clear" w:color="auto" w:fill="auto"/>
            <w:tcMar>
              <w:top w:w="60" w:type="dxa"/>
              <w:left w:w="100" w:type="dxa"/>
              <w:bottom w:w="60" w:type="dxa"/>
              <w:right w:w="100" w:type="dxa"/>
            </w:tcMar>
            <w:vAlign w:val="center"/>
          </w:tcPr>
          <w:p w14:paraId="644DF77B"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w:t>
            </w:r>
          </w:p>
        </w:tc>
        <w:tc>
          <w:tcPr>
            <w:tcW w:w="1700" w:type="dxa"/>
            <w:shd w:val="clear" w:color="auto" w:fill="auto"/>
            <w:tcMar>
              <w:top w:w="60" w:type="dxa"/>
              <w:left w:w="100" w:type="dxa"/>
              <w:bottom w:w="60" w:type="dxa"/>
              <w:right w:w="100" w:type="dxa"/>
            </w:tcMar>
            <w:vAlign w:val="center"/>
          </w:tcPr>
          <w:p w14:paraId="1E1C16C8"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0.9091</w:t>
            </w:r>
          </w:p>
        </w:tc>
        <w:tc>
          <w:tcPr>
            <w:tcW w:w="1700" w:type="dxa"/>
            <w:shd w:val="clear" w:color="auto" w:fill="auto"/>
            <w:tcMar>
              <w:top w:w="60" w:type="dxa"/>
              <w:left w:w="100" w:type="dxa"/>
              <w:bottom w:w="60" w:type="dxa"/>
              <w:right w:w="100" w:type="dxa"/>
            </w:tcMar>
            <w:vAlign w:val="center"/>
          </w:tcPr>
          <w:p w14:paraId="36A2BC1E"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£4.55</w:t>
            </w:r>
          </w:p>
        </w:tc>
        <w:tc>
          <w:tcPr>
            <w:tcW w:w="3060" w:type="dxa"/>
            <w:shd w:val="clear" w:color="auto" w:fill="auto"/>
            <w:tcMar>
              <w:top w:w="60" w:type="dxa"/>
              <w:left w:w="100" w:type="dxa"/>
              <w:bottom w:w="60" w:type="dxa"/>
              <w:right w:w="100" w:type="dxa"/>
            </w:tcMar>
            <w:vAlign w:val="center"/>
          </w:tcPr>
          <w:p w14:paraId="1C178CF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(£45.45)</w:t>
            </w:r>
          </w:p>
        </w:tc>
      </w:tr>
      <w:tr w:rsidR="00986428" w:rsidRPr="00EE1DBE" w14:paraId="24CDE34A" w14:textId="77777777" w:rsidTr="00EE1DBE">
        <w:tc>
          <w:tcPr>
            <w:tcW w:w="1200" w:type="dxa"/>
            <w:shd w:val="clear" w:color="auto" w:fill="auto"/>
            <w:tcMar>
              <w:top w:w="60" w:type="dxa"/>
              <w:left w:w="100" w:type="dxa"/>
              <w:bottom w:w="60" w:type="dxa"/>
              <w:right w:w="100" w:type="dxa"/>
            </w:tcMar>
            <w:vAlign w:val="center"/>
          </w:tcPr>
          <w:p w14:paraId="65D64EED"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2</w:t>
            </w:r>
          </w:p>
        </w:tc>
        <w:tc>
          <w:tcPr>
            <w:tcW w:w="1700" w:type="dxa"/>
            <w:shd w:val="clear" w:color="auto" w:fill="auto"/>
            <w:tcMar>
              <w:top w:w="60" w:type="dxa"/>
              <w:left w:w="100" w:type="dxa"/>
              <w:bottom w:w="60" w:type="dxa"/>
              <w:right w:w="100" w:type="dxa"/>
            </w:tcMar>
            <w:vAlign w:val="center"/>
          </w:tcPr>
          <w:p w14:paraId="699ECB03"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£10.00</w:t>
            </w:r>
          </w:p>
        </w:tc>
        <w:tc>
          <w:tcPr>
            <w:tcW w:w="1700" w:type="dxa"/>
            <w:shd w:val="clear" w:color="auto" w:fill="auto"/>
            <w:tcMar>
              <w:top w:w="60" w:type="dxa"/>
              <w:left w:w="100" w:type="dxa"/>
              <w:bottom w:w="60" w:type="dxa"/>
              <w:right w:w="100" w:type="dxa"/>
            </w:tcMar>
            <w:vAlign w:val="center"/>
          </w:tcPr>
          <w:p w14:paraId="0BDF2808"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0.8264</w:t>
            </w:r>
          </w:p>
        </w:tc>
        <w:tc>
          <w:tcPr>
            <w:tcW w:w="1700" w:type="dxa"/>
            <w:shd w:val="clear" w:color="auto" w:fill="auto"/>
            <w:tcMar>
              <w:top w:w="60" w:type="dxa"/>
              <w:left w:w="100" w:type="dxa"/>
              <w:bottom w:w="60" w:type="dxa"/>
              <w:right w:w="100" w:type="dxa"/>
            </w:tcMar>
            <w:vAlign w:val="center"/>
          </w:tcPr>
          <w:p w14:paraId="0B0F6AA4"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£8.26</w:t>
            </w:r>
          </w:p>
        </w:tc>
        <w:tc>
          <w:tcPr>
            <w:tcW w:w="3060" w:type="dxa"/>
            <w:shd w:val="clear" w:color="auto" w:fill="auto"/>
            <w:tcMar>
              <w:top w:w="60" w:type="dxa"/>
              <w:left w:w="100" w:type="dxa"/>
              <w:bottom w:w="60" w:type="dxa"/>
              <w:right w:w="100" w:type="dxa"/>
            </w:tcMar>
            <w:vAlign w:val="center"/>
          </w:tcPr>
          <w:p w14:paraId="697ABDB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(£37.19)</w:t>
            </w:r>
          </w:p>
        </w:tc>
      </w:tr>
      <w:tr w:rsidR="00986428" w:rsidRPr="00EE1DBE" w14:paraId="63CEFE2A" w14:textId="77777777" w:rsidTr="00EE1DBE">
        <w:tc>
          <w:tcPr>
            <w:tcW w:w="1200" w:type="dxa"/>
            <w:shd w:val="clear" w:color="auto" w:fill="auto"/>
            <w:tcMar>
              <w:top w:w="60" w:type="dxa"/>
              <w:left w:w="100" w:type="dxa"/>
              <w:bottom w:w="60" w:type="dxa"/>
              <w:right w:w="100" w:type="dxa"/>
            </w:tcMar>
            <w:vAlign w:val="center"/>
          </w:tcPr>
          <w:p w14:paraId="09954961"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3</w:t>
            </w:r>
          </w:p>
        </w:tc>
        <w:tc>
          <w:tcPr>
            <w:tcW w:w="1700" w:type="dxa"/>
            <w:shd w:val="clear" w:color="auto" w:fill="auto"/>
            <w:tcMar>
              <w:top w:w="60" w:type="dxa"/>
              <w:left w:w="100" w:type="dxa"/>
              <w:bottom w:w="60" w:type="dxa"/>
              <w:right w:w="100" w:type="dxa"/>
            </w:tcMar>
            <w:vAlign w:val="center"/>
          </w:tcPr>
          <w:p w14:paraId="3F2CCA42"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£20.00</w:t>
            </w:r>
          </w:p>
        </w:tc>
        <w:tc>
          <w:tcPr>
            <w:tcW w:w="1700" w:type="dxa"/>
            <w:shd w:val="clear" w:color="auto" w:fill="auto"/>
            <w:tcMar>
              <w:top w:w="60" w:type="dxa"/>
              <w:left w:w="100" w:type="dxa"/>
              <w:bottom w:w="60" w:type="dxa"/>
              <w:right w:w="100" w:type="dxa"/>
            </w:tcMar>
            <w:vAlign w:val="center"/>
          </w:tcPr>
          <w:p w14:paraId="34580C6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0.7513</w:t>
            </w:r>
          </w:p>
        </w:tc>
        <w:tc>
          <w:tcPr>
            <w:tcW w:w="1700" w:type="dxa"/>
            <w:shd w:val="clear" w:color="auto" w:fill="auto"/>
            <w:tcMar>
              <w:top w:w="60" w:type="dxa"/>
              <w:left w:w="100" w:type="dxa"/>
              <w:bottom w:w="60" w:type="dxa"/>
              <w:right w:w="100" w:type="dxa"/>
            </w:tcMar>
            <w:vAlign w:val="center"/>
          </w:tcPr>
          <w:p w14:paraId="30E0E818"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£15.03</w:t>
            </w:r>
          </w:p>
        </w:tc>
        <w:tc>
          <w:tcPr>
            <w:tcW w:w="3060" w:type="dxa"/>
            <w:shd w:val="clear" w:color="auto" w:fill="auto"/>
            <w:tcMar>
              <w:top w:w="60" w:type="dxa"/>
              <w:left w:w="100" w:type="dxa"/>
              <w:bottom w:w="60" w:type="dxa"/>
              <w:right w:w="100" w:type="dxa"/>
            </w:tcMar>
            <w:vAlign w:val="center"/>
          </w:tcPr>
          <w:p w14:paraId="3F34B34A"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(£22.16)</w:t>
            </w:r>
          </w:p>
        </w:tc>
      </w:tr>
      <w:tr w:rsidR="00986428" w:rsidRPr="00EE1DBE" w14:paraId="68F4CA3F" w14:textId="77777777" w:rsidTr="00EE1DBE">
        <w:tc>
          <w:tcPr>
            <w:tcW w:w="1200" w:type="dxa"/>
            <w:shd w:val="clear" w:color="auto" w:fill="auto"/>
            <w:tcMar>
              <w:top w:w="60" w:type="dxa"/>
              <w:left w:w="100" w:type="dxa"/>
              <w:bottom w:w="60" w:type="dxa"/>
              <w:right w:w="100" w:type="dxa"/>
            </w:tcMar>
            <w:vAlign w:val="center"/>
          </w:tcPr>
          <w:p w14:paraId="16F97AC2"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4</w:t>
            </w:r>
          </w:p>
        </w:tc>
        <w:tc>
          <w:tcPr>
            <w:tcW w:w="1700" w:type="dxa"/>
            <w:shd w:val="clear" w:color="auto" w:fill="auto"/>
            <w:tcMar>
              <w:top w:w="60" w:type="dxa"/>
              <w:left w:w="100" w:type="dxa"/>
              <w:bottom w:w="60" w:type="dxa"/>
              <w:right w:w="100" w:type="dxa"/>
            </w:tcMar>
            <w:vAlign w:val="center"/>
          </w:tcPr>
          <w:p w14:paraId="7BE734B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£25.00</w:t>
            </w:r>
          </w:p>
        </w:tc>
        <w:tc>
          <w:tcPr>
            <w:tcW w:w="1700" w:type="dxa"/>
            <w:shd w:val="clear" w:color="auto" w:fill="auto"/>
            <w:tcMar>
              <w:top w:w="60" w:type="dxa"/>
              <w:left w:w="100" w:type="dxa"/>
              <w:bottom w:w="60" w:type="dxa"/>
              <w:right w:w="100" w:type="dxa"/>
            </w:tcMar>
            <w:vAlign w:val="center"/>
          </w:tcPr>
          <w:p w14:paraId="6FDE8BA6"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0.6830</w:t>
            </w:r>
          </w:p>
        </w:tc>
        <w:tc>
          <w:tcPr>
            <w:tcW w:w="1700" w:type="dxa"/>
            <w:shd w:val="clear" w:color="auto" w:fill="auto"/>
            <w:tcMar>
              <w:top w:w="60" w:type="dxa"/>
              <w:left w:w="100" w:type="dxa"/>
              <w:bottom w:w="60" w:type="dxa"/>
              <w:right w:w="100" w:type="dxa"/>
            </w:tcMar>
            <w:vAlign w:val="center"/>
          </w:tcPr>
          <w:p w14:paraId="47A0559E"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£17.08</w:t>
            </w:r>
          </w:p>
        </w:tc>
        <w:tc>
          <w:tcPr>
            <w:tcW w:w="3060" w:type="dxa"/>
            <w:shd w:val="clear" w:color="auto" w:fill="auto"/>
            <w:tcMar>
              <w:top w:w="60" w:type="dxa"/>
              <w:left w:w="100" w:type="dxa"/>
              <w:bottom w:w="60" w:type="dxa"/>
              <w:right w:w="100" w:type="dxa"/>
            </w:tcMar>
            <w:vAlign w:val="center"/>
          </w:tcPr>
          <w:p w14:paraId="6D01610B"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(£5.08)</w:t>
            </w:r>
          </w:p>
        </w:tc>
      </w:tr>
      <w:tr w:rsidR="00986428" w:rsidRPr="00EE1DBE" w14:paraId="08A43A9C" w14:textId="77777777" w:rsidTr="00EE1DBE">
        <w:tc>
          <w:tcPr>
            <w:tcW w:w="1200" w:type="dxa"/>
            <w:shd w:val="clear" w:color="auto" w:fill="auto"/>
            <w:tcMar>
              <w:top w:w="60" w:type="dxa"/>
              <w:left w:w="100" w:type="dxa"/>
              <w:bottom w:w="60" w:type="dxa"/>
              <w:right w:w="100" w:type="dxa"/>
            </w:tcMar>
            <w:vAlign w:val="center"/>
          </w:tcPr>
          <w:p w14:paraId="11FFB86B"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5</w:t>
            </w:r>
          </w:p>
        </w:tc>
        <w:tc>
          <w:tcPr>
            <w:tcW w:w="1700" w:type="dxa"/>
            <w:shd w:val="clear" w:color="auto" w:fill="auto"/>
            <w:tcMar>
              <w:top w:w="60" w:type="dxa"/>
              <w:left w:w="100" w:type="dxa"/>
              <w:bottom w:w="60" w:type="dxa"/>
              <w:right w:w="100" w:type="dxa"/>
            </w:tcMar>
            <w:vAlign w:val="center"/>
          </w:tcPr>
          <w:p w14:paraId="1A529912"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w:t>
            </w:r>
          </w:p>
        </w:tc>
        <w:tc>
          <w:tcPr>
            <w:tcW w:w="1700" w:type="dxa"/>
            <w:shd w:val="clear" w:color="auto" w:fill="auto"/>
            <w:tcMar>
              <w:top w:w="60" w:type="dxa"/>
              <w:left w:w="100" w:type="dxa"/>
              <w:bottom w:w="60" w:type="dxa"/>
              <w:right w:w="100" w:type="dxa"/>
            </w:tcMar>
            <w:vAlign w:val="center"/>
          </w:tcPr>
          <w:p w14:paraId="6DC703DB"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0.6209</w:t>
            </w:r>
          </w:p>
        </w:tc>
        <w:tc>
          <w:tcPr>
            <w:tcW w:w="1700" w:type="dxa"/>
            <w:shd w:val="clear" w:color="auto" w:fill="auto"/>
            <w:tcMar>
              <w:top w:w="60" w:type="dxa"/>
              <w:left w:w="100" w:type="dxa"/>
              <w:bottom w:w="60" w:type="dxa"/>
              <w:right w:w="100" w:type="dxa"/>
            </w:tcMar>
            <w:vAlign w:val="center"/>
          </w:tcPr>
          <w:p w14:paraId="06EBCADE"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£3.10</w:t>
            </w:r>
          </w:p>
        </w:tc>
        <w:tc>
          <w:tcPr>
            <w:tcW w:w="3060" w:type="dxa"/>
            <w:shd w:val="clear" w:color="auto" w:fill="auto"/>
            <w:tcMar>
              <w:top w:w="60" w:type="dxa"/>
              <w:left w:w="100" w:type="dxa"/>
              <w:bottom w:w="60" w:type="dxa"/>
              <w:right w:w="100" w:type="dxa"/>
            </w:tcMar>
            <w:vAlign w:val="center"/>
          </w:tcPr>
          <w:p w14:paraId="1ED2661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(£1.98)</w:t>
            </w:r>
          </w:p>
        </w:tc>
      </w:tr>
      <w:tr w:rsidR="00986428" w:rsidRPr="00EE1DBE" w14:paraId="64CD85BA" w14:textId="77777777" w:rsidTr="00EE1DBE">
        <w:tc>
          <w:tcPr>
            <w:tcW w:w="1200" w:type="dxa"/>
            <w:shd w:val="clear" w:color="auto" w:fill="auto"/>
            <w:tcMar>
              <w:top w:w="60" w:type="dxa"/>
              <w:left w:w="100" w:type="dxa"/>
              <w:bottom w:w="60" w:type="dxa"/>
              <w:right w:w="100" w:type="dxa"/>
            </w:tcMar>
            <w:vAlign w:val="center"/>
          </w:tcPr>
          <w:p w14:paraId="1F691E82"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NPV</w:t>
            </w:r>
          </w:p>
        </w:tc>
        <w:tc>
          <w:tcPr>
            <w:tcW w:w="1700" w:type="dxa"/>
            <w:shd w:val="clear" w:color="auto" w:fill="auto"/>
            <w:tcMar>
              <w:top w:w="60" w:type="dxa"/>
              <w:left w:w="100" w:type="dxa"/>
              <w:bottom w:w="60" w:type="dxa"/>
              <w:right w:w="100" w:type="dxa"/>
            </w:tcMar>
            <w:vAlign w:val="center"/>
          </w:tcPr>
          <w:p w14:paraId="1EC41EAC" w14:textId="77777777" w:rsidR="00986428" w:rsidRPr="00EE1DBE" w:rsidRDefault="00986428" w:rsidP="00EE1DBE">
            <w:pPr>
              <w:rPr>
                <w:rFonts w:ascii="Arial" w:hAnsi="Arial" w:cs="Arial"/>
                <w:sz w:val="24"/>
                <w:szCs w:val="24"/>
              </w:rPr>
            </w:pPr>
          </w:p>
        </w:tc>
        <w:tc>
          <w:tcPr>
            <w:tcW w:w="1700" w:type="dxa"/>
            <w:shd w:val="clear" w:color="auto" w:fill="auto"/>
            <w:tcMar>
              <w:top w:w="60" w:type="dxa"/>
              <w:left w:w="100" w:type="dxa"/>
              <w:bottom w:w="60" w:type="dxa"/>
              <w:right w:w="100" w:type="dxa"/>
            </w:tcMar>
            <w:vAlign w:val="center"/>
          </w:tcPr>
          <w:p w14:paraId="64D95DDC" w14:textId="77777777" w:rsidR="00986428" w:rsidRPr="00EE1DBE" w:rsidRDefault="00986428" w:rsidP="00EE1DBE">
            <w:pPr>
              <w:rPr>
                <w:rFonts w:ascii="Arial" w:hAnsi="Arial" w:cs="Arial"/>
                <w:sz w:val="24"/>
                <w:szCs w:val="24"/>
              </w:rPr>
            </w:pPr>
          </w:p>
        </w:tc>
        <w:tc>
          <w:tcPr>
            <w:tcW w:w="1700" w:type="dxa"/>
            <w:shd w:val="clear" w:color="auto" w:fill="auto"/>
            <w:tcMar>
              <w:top w:w="60" w:type="dxa"/>
              <w:left w:w="100" w:type="dxa"/>
              <w:bottom w:w="60" w:type="dxa"/>
              <w:right w:w="100" w:type="dxa"/>
            </w:tcMar>
            <w:vAlign w:val="center"/>
          </w:tcPr>
          <w:p w14:paraId="01F2B5AA"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−£1.98m</w:t>
            </w:r>
          </w:p>
        </w:tc>
        <w:tc>
          <w:tcPr>
            <w:tcW w:w="3060" w:type="dxa"/>
            <w:shd w:val="clear" w:color="auto" w:fill="auto"/>
            <w:tcMar>
              <w:top w:w="60" w:type="dxa"/>
              <w:left w:w="100" w:type="dxa"/>
              <w:bottom w:w="60" w:type="dxa"/>
              <w:right w:w="100" w:type="dxa"/>
            </w:tcMar>
            <w:vAlign w:val="center"/>
          </w:tcPr>
          <w:p w14:paraId="572FEE15" w14:textId="77777777" w:rsidR="00986428" w:rsidRPr="00EE1DBE" w:rsidRDefault="00986428" w:rsidP="00215885">
            <w:pPr>
              <w:keepNext/>
              <w:rPr>
                <w:rFonts w:ascii="Arial" w:hAnsi="Arial" w:cs="Arial"/>
                <w:sz w:val="24"/>
                <w:szCs w:val="24"/>
              </w:rPr>
            </w:pPr>
          </w:p>
        </w:tc>
      </w:tr>
    </w:tbl>
    <w:p w14:paraId="24899AAA" w14:textId="3EE22138" w:rsidR="00986428" w:rsidRPr="00EE1DBE" w:rsidRDefault="00215885" w:rsidP="00215885">
      <w:pPr>
        <w:pStyle w:val="Caption"/>
      </w:pPr>
      <w:r>
        <w:t xml:space="preserve">Table </w:t>
      </w:r>
      <w:r w:rsidRPr="00D25F9C">
        <w:t>Source: Author's calculations; Brealey, Myers and Allen (2023)</w:t>
      </w:r>
    </w:p>
    <w:p w14:paraId="4DFF3F61" w14:textId="77777777" w:rsidR="00986428" w:rsidRPr="00EE1DBE" w:rsidRDefault="00986428" w:rsidP="00EE1DBE">
      <w:pPr>
        <w:pStyle w:val="Heading3"/>
        <w:spacing w:line="360" w:lineRule="auto"/>
      </w:pPr>
      <w:bookmarkStart w:id="73" w:name="_Toc227660535"/>
      <w:r w:rsidRPr="00EE1DBE">
        <w:rPr>
          <w:rFonts w:ascii="Arial" w:eastAsia="Arial" w:hAnsi="Arial" w:cs="Arial"/>
          <w:b/>
          <w:bCs/>
          <w:color w:val="404040"/>
          <w:u w:color="2E75B6"/>
        </w:rPr>
        <w:t>Table B.7 – IRR Interpolation: Full Workings</w:t>
      </w:r>
      <w:bookmarkEnd w:id="73"/>
    </w:p>
    <w:tbl>
      <w:tblPr>
        <w:tblW w:w="8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14"/>
        <w:gridCol w:w="670"/>
        <w:gridCol w:w="1268"/>
        <w:gridCol w:w="670"/>
        <w:gridCol w:w="1268"/>
        <w:gridCol w:w="2349"/>
        <w:gridCol w:w="1021"/>
      </w:tblGrid>
      <w:tr w:rsidR="00EE1DBE" w:rsidRPr="00EE1DBE" w14:paraId="3161206E" w14:textId="77777777" w:rsidTr="00A47DC2">
        <w:tc>
          <w:tcPr>
            <w:tcW w:w="1014" w:type="dxa"/>
            <w:shd w:val="clear" w:color="auto" w:fill="auto"/>
            <w:tcMar>
              <w:top w:w="80" w:type="dxa"/>
              <w:left w:w="100" w:type="dxa"/>
              <w:bottom w:w="80" w:type="dxa"/>
              <w:right w:w="100" w:type="dxa"/>
            </w:tcMar>
            <w:vAlign w:val="center"/>
          </w:tcPr>
          <w:p w14:paraId="542F3AFD"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Project</w:t>
            </w:r>
          </w:p>
        </w:tc>
        <w:tc>
          <w:tcPr>
            <w:tcW w:w="670" w:type="dxa"/>
            <w:shd w:val="clear" w:color="auto" w:fill="auto"/>
            <w:tcMar>
              <w:top w:w="80" w:type="dxa"/>
              <w:left w:w="100" w:type="dxa"/>
              <w:bottom w:w="80" w:type="dxa"/>
              <w:right w:w="100" w:type="dxa"/>
            </w:tcMar>
            <w:vAlign w:val="center"/>
          </w:tcPr>
          <w:p w14:paraId="32F6D214"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r1</w:t>
            </w:r>
          </w:p>
        </w:tc>
        <w:tc>
          <w:tcPr>
            <w:tcW w:w="1268" w:type="dxa"/>
            <w:shd w:val="clear" w:color="auto" w:fill="auto"/>
            <w:tcMar>
              <w:top w:w="80" w:type="dxa"/>
              <w:left w:w="100" w:type="dxa"/>
              <w:bottom w:w="80" w:type="dxa"/>
              <w:right w:w="100" w:type="dxa"/>
            </w:tcMar>
            <w:vAlign w:val="center"/>
          </w:tcPr>
          <w:p w14:paraId="41E61EC2"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NPV @ r1 (£m)</w:t>
            </w:r>
          </w:p>
        </w:tc>
        <w:tc>
          <w:tcPr>
            <w:tcW w:w="670" w:type="dxa"/>
            <w:shd w:val="clear" w:color="auto" w:fill="auto"/>
            <w:tcMar>
              <w:top w:w="80" w:type="dxa"/>
              <w:left w:w="100" w:type="dxa"/>
              <w:bottom w:w="80" w:type="dxa"/>
              <w:right w:w="100" w:type="dxa"/>
            </w:tcMar>
            <w:vAlign w:val="center"/>
          </w:tcPr>
          <w:p w14:paraId="3436DBFB"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r2</w:t>
            </w:r>
          </w:p>
        </w:tc>
        <w:tc>
          <w:tcPr>
            <w:tcW w:w="1268" w:type="dxa"/>
            <w:shd w:val="clear" w:color="auto" w:fill="auto"/>
            <w:tcMar>
              <w:top w:w="80" w:type="dxa"/>
              <w:left w:w="100" w:type="dxa"/>
              <w:bottom w:w="80" w:type="dxa"/>
              <w:right w:w="100" w:type="dxa"/>
            </w:tcMar>
            <w:vAlign w:val="center"/>
          </w:tcPr>
          <w:p w14:paraId="37A20E6A"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NPV @ r2 (£m)</w:t>
            </w:r>
          </w:p>
        </w:tc>
        <w:tc>
          <w:tcPr>
            <w:tcW w:w="2349" w:type="dxa"/>
            <w:shd w:val="clear" w:color="auto" w:fill="auto"/>
            <w:tcMar>
              <w:top w:w="80" w:type="dxa"/>
              <w:left w:w="100" w:type="dxa"/>
              <w:bottom w:w="80" w:type="dxa"/>
              <w:right w:w="100" w:type="dxa"/>
            </w:tcMar>
            <w:vAlign w:val="center"/>
          </w:tcPr>
          <w:p w14:paraId="5F0FD75E"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Calculation</w:t>
            </w:r>
          </w:p>
        </w:tc>
        <w:tc>
          <w:tcPr>
            <w:tcW w:w="1021" w:type="dxa"/>
            <w:shd w:val="clear" w:color="auto" w:fill="auto"/>
            <w:tcMar>
              <w:top w:w="80" w:type="dxa"/>
              <w:left w:w="100" w:type="dxa"/>
              <w:bottom w:w="80" w:type="dxa"/>
              <w:right w:w="100" w:type="dxa"/>
            </w:tcMar>
            <w:vAlign w:val="center"/>
          </w:tcPr>
          <w:p w14:paraId="7DC60956" w14:textId="77777777" w:rsidR="00986428" w:rsidRPr="00EE1DBE" w:rsidRDefault="00986428" w:rsidP="00EE1DBE">
            <w:pPr>
              <w:jc w:val="center"/>
              <w:rPr>
                <w:rFonts w:ascii="Arial" w:hAnsi="Arial" w:cs="Arial"/>
                <w:b/>
                <w:bCs/>
                <w:sz w:val="24"/>
                <w:szCs w:val="24"/>
              </w:rPr>
            </w:pPr>
            <w:r w:rsidRPr="00EE1DBE">
              <w:rPr>
                <w:rFonts w:ascii="Arial" w:hAnsi="Arial" w:cs="Arial"/>
                <w:b/>
                <w:bCs/>
                <w:sz w:val="24"/>
                <w:szCs w:val="24"/>
              </w:rPr>
              <w:t>IRR</w:t>
            </w:r>
          </w:p>
        </w:tc>
      </w:tr>
      <w:tr w:rsidR="00EE1DBE" w:rsidRPr="00EE1DBE" w14:paraId="7453B9DE" w14:textId="77777777" w:rsidTr="00A47DC2">
        <w:tc>
          <w:tcPr>
            <w:tcW w:w="1014" w:type="dxa"/>
            <w:shd w:val="clear" w:color="auto" w:fill="auto"/>
            <w:tcMar>
              <w:top w:w="60" w:type="dxa"/>
              <w:left w:w="100" w:type="dxa"/>
              <w:bottom w:w="60" w:type="dxa"/>
              <w:right w:w="100" w:type="dxa"/>
            </w:tcMar>
            <w:vAlign w:val="center"/>
          </w:tcPr>
          <w:p w14:paraId="7625DCEC"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A</w:t>
            </w:r>
          </w:p>
        </w:tc>
        <w:tc>
          <w:tcPr>
            <w:tcW w:w="670" w:type="dxa"/>
            <w:shd w:val="clear" w:color="auto" w:fill="auto"/>
            <w:tcMar>
              <w:top w:w="60" w:type="dxa"/>
              <w:left w:w="100" w:type="dxa"/>
              <w:bottom w:w="60" w:type="dxa"/>
              <w:right w:w="100" w:type="dxa"/>
            </w:tcMar>
            <w:vAlign w:val="center"/>
          </w:tcPr>
          <w:p w14:paraId="25993615"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w:t>
            </w:r>
          </w:p>
        </w:tc>
        <w:tc>
          <w:tcPr>
            <w:tcW w:w="1268" w:type="dxa"/>
            <w:shd w:val="clear" w:color="auto" w:fill="auto"/>
            <w:tcMar>
              <w:top w:w="60" w:type="dxa"/>
              <w:left w:w="100" w:type="dxa"/>
              <w:bottom w:w="60" w:type="dxa"/>
              <w:right w:w="100" w:type="dxa"/>
            </w:tcMar>
            <w:vAlign w:val="center"/>
          </w:tcPr>
          <w:p w14:paraId="01BC904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+£4.00m</w:t>
            </w:r>
          </w:p>
        </w:tc>
        <w:tc>
          <w:tcPr>
            <w:tcW w:w="670" w:type="dxa"/>
            <w:shd w:val="clear" w:color="auto" w:fill="auto"/>
            <w:tcMar>
              <w:top w:w="60" w:type="dxa"/>
              <w:left w:w="100" w:type="dxa"/>
              <w:bottom w:w="60" w:type="dxa"/>
              <w:right w:w="100" w:type="dxa"/>
            </w:tcMar>
            <w:vAlign w:val="center"/>
          </w:tcPr>
          <w:p w14:paraId="39F7ED07"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w:t>
            </w:r>
          </w:p>
        </w:tc>
        <w:tc>
          <w:tcPr>
            <w:tcW w:w="1268" w:type="dxa"/>
            <w:shd w:val="clear" w:color="auto" w:fill="auto"/>
            <w:tcMar>
              <w:top w:w="60" w:type="dxa"/>
              <w:left w:w="100" w:type="dxa"/>
              <w:bottom w:w="60" w:type="dxa"/>
              <w:right w:w="100" w:type="dxa"/>
            </w:tcMar>
            <w:vAlign w:val="center"/>
          </w:tcPr>
          <w:p w14:paraId="774CFB56"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−£3.02m</w:t>
            </w:r>
          </w:p>
        </w:tc>
        <w:tc>
          <w:tcPr>
            <w:tcW w:w="2349" w:type="dxa"/>
            <w:shd w:val="clear" w:color="auto" w:fill="auto"/>
            <w:tcMar>
              <w:top w:w="60" w:type="dxa"/>
              <w:left w:w="100" w:type="dxa"/>
              <w:bottom w:w="60" w:type="dxa"/>
              <w:right w:w="100" w:type="dxa"/>
            </w:tcMar>
            <w:vAlign w:val="center"/>
          </w:tcPr>
          <w:p w14:paraId="5F530242"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 + [4.00 ÷ 7.02] × 5</w:t>
            </w:r>
          </w:p>
        </w:tc>
        <w:tc>
          <w:tcPr>
            <w:tcW w:w="1021" w:type="dxa"/>
            <w:shd w:val="clear" w:color="auto" w:fill="auto"/>
            <w:tcMar>
              <w:top w:w="60" w:type="dxa"/>
              <w:left w:w="100" w:type="dxa"/>
              <w:bottom w:w="60" w:type="dxa"/>
              <w:right w:w="100" w:type="dxa"/>
            </w:tcMar>
            <w:vAlign w:val="center"/>
          </w:tcPr>
          <w:p w14:paraId="0E8A8D1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~2.86%</w:t>
            </w:r>
          </w:p>
        </w:tc>
      </w:tr>
      <w:tr w:rsidR="00EE1DBE" w:rsidRPr="00EE1DBE" w14:paraId="4845C17D" w14:textId="77777777" w:rsidTr="00A47DC2">
        <w:tc>
          <w:tcPr>
            <w:tcW w:w="1014" w:type="dxa"/>
            <w:shd w:val="clear" w:color="auto" w:fill="auto"/>
            <w:tcMar>
              <w:top w:w="60" w:type="dxa"/>
              <w:left w:w="100" w:type="dxa"/>
              <w:bottom w:w="60" w:type="dxa"/>
              <w:right w:w="100" w:type="dxa"/>
            </w:tcMar>
            <w:vAlign w:val="center"/>
          </w:tcPr>
          <w:p w14:paraId="4B0E65EB"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B</w:t>
            </w:r>
          </w:p>
        </w:tc>
        <w:tc>
          <w:tcPr>
            <w:tcW w:w="670" w:type="dxa"/>
            <w:shd w:val="clear" w:color="auto" w:fill="auto"/>
            <w:tcMar>
              <w:top w:w="60" w:type="dxa"/>
              <w:left w:w="100" w:type="dxa"/>
              <w:bottom w:w="60" w:type="dxa"/>
              <w:right w:w="100" w:type="dxa"/>
            </w:tcMar>
            <w:vAlign w:val="center"/>
          </w:tcPr>
          <w:p w14:paraId="0268D459"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w:t>
            </w:r>
          </w:p>
        </w:tc>
        <w:tc>
          <w:tcPr>
            <w:tcW w:w="1268" w:type="dxa"/>
            <w:shd w:val="clear" w:color="auto" w:fill="auto"/>
            <w:tcMar>
              <w:top w:w="60" w:type="dxa"/>
              <w:left w:w="100" w:type="dxa"/>
              <w:bottom w:w="60" w:type="dxa"/>
              <w:right w:w="100" w:type="dxa"/>
            </w:tcMar>
            <w:vAlign w:val="center"/>
          </w:tcPr>
          <w:p w14:paraId="0AA703FF"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+£5.00m</w:t>
            </w:r>
          </w:p>
        </w:tc>
        <w:tc>
          <w:tcPr>
            <w:tcW w:w="670" w:type="dxa"/>
            <w:shd w:val="clear" w:color="auto" w:fill="auto"/>
            <w:tcMar>
              <w:top w:w="60" w:type="dxa"/>
              <w:left w:w="100" w:type="dxa"/>
              <w:bottom w:w="60" w:type="dxa"/>
              <w:right w:w="100" w:type="dxa"/>
            </w:tcMar>
            <w:vAlign w:val="center"/>
          </w:tcPr>
          <w:p w14:paraId="445100D1"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5%</w:t>
            </w:r>
          </w:p>
        </w:tc>
        <w:tc>
          <w:tcPr>
            <w:tcW w:w="1268" w:type="dxa"/>
            <w:shd w:val="clear" w:color="auto" w:fill="auto"/>
            <w:tcMar>
              <w:top w:w="60" w:type="dxa"/>
              <w:left w:w="100" w:type="dxa"/>
              <w:bottom w:w="60" w:type="dxa"/>
              <w:right w:w="100" w:type="dxa"/>
            </w:tcMar>
            <w:vAlign w:val="center"/>
          </w:tcPr>
          <w:p w14:paraId="72991EB7"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−£2.37m</w:t>
            </w:r>
          </w:p>
        </w:tc>
        <w:tc>
          <w:tcPr>
            <w:tcW w:w="2349" w:type="dxa"/>
            <w:shd w:val="clear" w:color="auto" w:fill="auto"/>
            <w:tcMar>
              <w:top w:w="60" w:type="dxa"/>
              <w:left w:w="100" w:type="dxa"/>
              <w:bottom w:w="60" w:type="dxa"/>
              <w:right w:w="100" w:type="dxa"/>
            </w:tcMar>
            <w:vAlign w:val="center"/>
          </w:tcPr>
          <w:p w14:paraId="773C4A5D"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 + [5.00 ÷ 7.37] × 5</w:t>
            </w:r>
          </w:p>
        </w:tc>
        <w:tc>
          <w:tcPr>
            <w:tcW w:w="1021" w:type="dxa"/>
            <w:shd w:val="clear" w:color="auto" w:fill="auto"/>
            <w:tcMar>
              <w:top w:w="60" w:type="dxa"/>
              <w:left w:w="100" w:type="dxa"/>
              <w:bottom w:w="60" w:type="dxa"/>
              <w:right w:w="100" w:type="dxa"/>
            </w:tcMar>
            <w:vAlign w:val="center"/>
          </w:tcPr>
          <w:p w14:paraId="5EFDC39A"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~3.39%</w:t>
            </w:r>
          </w:p>
        </w:tc>
      </w:tr>
      <w:tr w:rsidR="00EE1DBE" w:rsidRPr="00EE1DBE" w14:paraId="50DE9FBB" w14:textId="77777777" w:rsidTr="00A47DC2">
        <w:tc>
          <w:tcPr>
            <w:tcW w:w="1014" w:type="dxa"/>
            <w:shd w:val="clear" w:color="auto" w:fill="auto"/>
            <w:tcMar>
              <w:top w:w="60" w:type="dxa"/>
              <w:left w:w="100" w:type="dxa"/>
              <w:bottom w:w="60" w:type="dxa"/>
              <w:right w:w="100" w:type="dxa"/>
            </w:tcMar>
            <w:vAlign w:val="center"/>
          </w:tcPr>
          <w:p w14:paraId="371CAA62" w14:textId="77777777" w:rsidR="00986428" w:rsidRPr="00EE1DBE" w:rsidRDefault="00986428" w:rsidP="00EE1DBE">
            <w:pPr>
              <w:jc w:val="center"/>
              <w:rPr>
                <w:rFonts w:ascii="Arial" w:hAnsi="Arial" w:cs="Arial"/>
                <w:b/>
                <w:bCs/>
                <w:sz w:val="24"/>
                <w:szCs w:val="24"/>
              </w:rPr>
            </w:pPr>
            <w:r w:rsidRPr="00EE1DBE">
              <w:rPr>
                <w:rFonts w:ascii="Arial" w:hAnsi="Arial" w:cs="Arial"/>
                <w:b/>
                <w:bCs/>
                <w:color w:val="404040"/>
                <w:sz w:val="24"/>
                <w:szCs w:val="24"/>
              </w:rPr>
              <w:t>C</w:t>
            </w:r>
          </w:p>
        </w:tc>
        <w:tc>
          <w:tcPr>
            <w:tcW w:w="670" w:type="dxa"/>
            <w:shd w:val="clear" w:color="auto" w:fill="auto"/>
            <w:tcMar>
              <w:top w:w="60" w:type="dxa"/>
              <w:left w:w="100" w:type="dxa"/>
              <w:bottom w:w="60" w:type="dxa"/>
              <w:right w:w="100" w:type="dxa"/>
            </w:tcMar>
            <w:vAlign w:val="center"/>
          </w:tcPr>
          <w:p w14:paraId="61C14080"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8%</w:t>
            </w:r>
          </w:p>
        </w:tc>
        <w:tc>
          <w:tcPr>
            <w:tcW w:w="1268" w:type="dxa"/>
            <w:shd w:val="clear" w:color="auto" w:fill="auto"/>
            <w:tcMar>
              <w:top w:w="60" w:type="dxa"/>
              <w:left w:w="100" w:type="dxa"/>
              <w:bottom w:w="60" w:type="dxa"/>
              <w:right w:w="100" w:type="dxa"/>
            </w:tcMar>
            <w:vAlign w:val="center"/>
          </w:tcPr>
          <w:p w14:paraId="4DD4529B"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+£0.86m</w:t>
            </w:r>
          </w:p>
        </w:tc>
        <w:tc>
          <w:tcPr>
            <w:tcW w:w="670" w:type="dxa"/>
            <w:shd w:val="clear" w:color="auto" w:fill="auto"/>
            <w:tcMar>
              <w:top w:w="60" w:type="dxa"/>
              <w:left w:w="100" w:type="dxa"/>
              <w:bottom w:w="60" w:type="dxa"/>
              <w:right w:w="100" w:type="dxa"/>
            </w:tcMar>
            <w:vAlign w:val="center"/>
          </w:tcPr>
          <w:p w14:paraId="6571D18F"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9%</w:t>
            </w:r>
          </w:p>
        </w:tc>
        <w:tc>
          <w:tcPr>
            <w:tcW w:w="1268" w:type="dxa"/>
            <w:shd w:val="clear" w:color="auto" w:fill="auto"/>
            <w:tcMar>
              <w:top w:w="60" w:type="dxa"/>
              <w:left w:w="100" w:type="dxa"/>
              <w:bottom w:w="60" w:type="dxa"/>
              <w:right w:w="100" w:type="dxa"/>
            </w:tcMar>
            <w:vAlign w:val="center"/>
          </w:tcPr>
          <w:p w14:paraId="5A813F34"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−£0.59m</w:t>
            </w:r>
          </w:p>
        </w:tc>
        <w:tc>
          <w:tcPr>
            <w:tcW w:w="2349" w:type="dxa"/>
            <w:shd w:val="clear" w:color="auto" w:fill="auto"/>
            <w:tcMar>
              <w:top w:w="60" w:type="dxa"/>
              <w:left w:w="100" w:type="dxa"/>
              <w:bottom w:w="60" w:type="dxa"/>
              <w:right w:w="100" w:type="dxa"/>
            </w:tcMar>
            <w:vAlign w:val="center"/>
          </w:tcPr>
          <w:p w14:paraId="2B628914" w14:textId="77777777" w:rsidR="00986428" w:rsidRPr="00EE1DBE" w:rsidRDefault="00986428" w:rsidP="00EE1DBE">
            <w:pPr>
              <w:rPr>
                <w:rFonts w:ascii="Arial" w:hAnsi="Arial" w:cs="Arial"/>
                <w:sz w:val="24"/>
                <w:szCs w:val="24"/>
              </w:rPr>
            </w:pPr>
            <w:r w:rsidRPr="00EE1DBE">
              <w:rPr>
                <w:rFonts w:ascii="Arial" w:hAnsi="Arial" w:cs="Arial"/>
                <w:color w:val="404040"/>
                <w:sz w:val="24"/>
                <w:szCs w:val="24"/>
              </w:rPr>
              <w:t>8 + [0.86 ÷ 1.45] × 1</w:t>
            </w:r>
          </w:p>
        </w:tc>
        <w:tc>
          <w:tcPr>
            <w:tcW w:w="1021" w:type="dxa"/>
            <w:shd w:val="clear" w:color="auto" w:fill="auto"/>
            <w:tcMar>
              <w:top w:w="60" w:type="dxa"/>
              <w:left w:w="100" w:type="dxa"/>
              <w:bottom w:w="60" w:type="dxa"/>
              <w:right w:w="100" w:type="dxa"/>
            </w:tcMar>
            <w:vAlign w:val="center"/>
          </w:tcPr>
          <w:p w14:paraId="7E31A046" w14:textId="77777777" w:rsidR="00986428" w:rsidRPr="00EE1DBE" w:rsidRDefault="00986428" w:rsidP="00215885">
            <w:pPr>
              <w:keepNext/>
              <w:rPr>
                <w:rFonts w:ascii="Arial" w:hAnsi="Arial" w:cs="Arial"/>
                <w:sz w:val="24"/>
                <w:szCs w:val="24"/>
              </w:rPr>
            </w:pPr>
            <w:r w:rsidRPr="00EE1DBE">
              <w:rPr>
                <w:rFonts w:ascii="Arial" w:hAnsi="Arial" w:cs="Arial"/>
                <w:color w:val="404040"/>
                <w:sz w:val="24"/>
                <w:szCs w:val="24"/>
              </w:rPr>
              <w:t>~8.59%</w:t>
            </w:r>
          </w:p>
        </w:tc>
      </w:tr>
    </w:tbl>
    <w:p w14:paraId="57C47988" w14:textId="27352611" w:rsidR="00215885" w:rsidRDefault="00215885">
      <w:pPr>
        <w:pStyle w:val="Caption"/>
      </w:pPr>
      <w:r>
        <w:t xml:space="preserve">Table </w:t>
      </w:r>
      <w:r w:rsidRPr="000B5761">
        <w:t>Source: Author's calculations; Atrill and McLaney (2021)</w:t>
      </w:r>
    </w:p>
    <w:p w14:paraId="24D20F56" w14:textId="77777777" w:rsidR="00986428" w:rsidRDefault="00986428" w:rsidP="00986428">
      <w:pPr>
        <w:pStyle w:val="Heading2"/>
      </w:pPr>
      <w:bookmarkStart w:id="74" w:name="_Toc227660536"/>
      <w:r>
        <w:rPr>
          <w:rFonts w:ascii="Arial" w:eastAsia="Arial" w:hAnsi="Arial" w:cs="Arial"/>
          <w:b/>
          <w:bCs/>
          <w:color w:val="2E75B6"/>
        </w:rPr>
        <w:t>Appendix C: Calculation Rationale for Selected Ratios</w:t>
      </w:r>
      <w:bookmarkEnd w:id="74"/>
    </w:p>
    <w:p w14:paraId="29A30C7E" w14:textId="77777777" w:rsidR="00986428" w:rsidRDefault="00986428" w:rsidP="00986428"/>
    <w:p w14:paraId="6F2304BA" w14:textId="77777777" w:rsidR="00986428" w:rsidRPr="00D13F67" w:rsidRDefault="00986428" w:rsidP="00D13F67">
      <w:pPr>
        <w:pStyle w:val="ListParagraph"/>
        <w:numPr>
          <w:ilvl w:val="0"/>
          <w:numId w:val="1"/>
        </w:numPr>
        <w:spacing w:before="40" w:after="40" w:line="360" w:lineRule="auto"/>
        <w:rPr>
          <w:sz w:val="24"/>
          <w:szCs w:val="24"/>
        </w:rPr>
      </w:pPr>
      <w:r w:rsidRPr="00D13F67">
        <w:rPr>
          <w:sz w:val="24"/>
          <w:szCs w:val="24"/>
        </w:rPr>
        <w:t>Gross Profit Margin = Gross Profit ÷ Revenue × 100</w:t>
      </w:r>
    </w:p>
    <w:p w14:paraId="2D79544C" w14:textId="77777777" w:rsidR="00986428" w:rsidRPr="00D13F67" w:rsidRDefault="00986428" w:rsidP="00D13F67">
      <w:pPr>
        <w:pStyle w:val="ListParagraph"/>
        <w:numPr>
          <w:ilvl w:val="0"/>
          <w:numId w:val="1"/>
        </w:numPr>
        <w:spacing w:before="40" w:after="40" w:line="360" w:lineRule="auto"/>
        <w:rPr>
          <w:sz w:val="24"/>
          <w:szCs w:val="24"/>
        </w:rPr>
      </w:pPr>
      <w:r w:rsidRPr="00D13F67">
        <w:rPr>
          <w:sz w:val="24"/>
          <w:szCs w:val="24"/>
        </w:rPr>
        <w:t>Operating Profit Margin = Operating Profit ÷ Revenue × 100</w:t>
      </w:r>
    </w:p>
    <w:p w14:paraId="71337FD7"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Net Profit Margin = Net Profit after Tax ÷ Revenue × 100</w:t>
      </w:r>
    </w:p>
    <w:p w14:paraId="5FBC5AEE"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ROE = Net Profit ÷ Total Equity × 100</w:t>
      </w:r>
    </w:p>
    <w:p w14:paraId="57F9582B"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lastRenderedPageBreak/>
        <w:t>ROA = Net Profit ÷ Total Assets × 100</w:t>
      </w:r>
    </w:p>
    <w:p w14:paraId="13B83F31"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Current Ratio = Current Assets ÷ Current Liabilities</w:t>
      </w:r>
    </w:p>
    <w:p w14:paraId="1E5CFEEA"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Quick Ratio = (Current Assets − Inventories) ÷ Current Liabilities</w:t>
      </w:r>
    </w:p>
    <w:p w14:paraId="70AC0EC0"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Cash Ratio = Cash &amp; Equivalents ÷ Current Liabilities</w:t>
      </w:r>
    </w:p>
    <w:p w14:paraId="13BEE15A"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Inventory Days = (Inventories ÷ COGS) × 365</w:t>
      </w:r>
    </w:p>
    <w:p w14:paraId="1CD7E814"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Receivables Days = (Trade Receivables ÷ Revenue) × 365</w:t>
      </w:r>
    </w:p>
    <w:p w14:paraId="21EF0B74"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Payables Days = (Trade Payables ÷ COGS) × 365</w:t>
      </w:r>
    </w:p>
    <w:p w14:paraId="6A971FDA"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Cash Operating Cycle = Inventory Days + Receivables Days − Payables Days</w:t>
      </w:r>
    </w:p>
    <w:p w14:paraId="42ADEFAC"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Asset Turnover = Revenue ÷ Total Assets</w:t>
      </w:r>
    </w:p>
    <w:p w14:paraId="25D06E88"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Debt-to-Equity = Total Liabilities ÷ Total Equity</w:t>
      </w:r>
    </w:p>
    <w:p w14:paraId="482D111A"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Interest Coverage = Operating Profit ÷ Net Finance Charges</w:t>
      </w:r>
    </w:p>
    <w:p w14:paraId="03F5E70B"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EPS = Net Profit ÷ Weighted Average Shares in Issue</w:t>
      </w:r>
    </w:p>
    <w:p w14:paraId="0BAD473F"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Dividend Payout = DPS ÷ EPS × 100</w:t>
      </w:r>
    </w:p>
    <w:p w14:paraId="119302D9"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ARR = Average Annual Accounting Profit ÷ Initial (or Average) Investment × 100</w:t>
      </w:r>
    </w:p>
    <w:p w14:paraId="4FE0F2D5"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NPV = Sum of [CF_t ÷ (1+r)^t] − Initial Investment</w:t>
      </w:r>
    </w:p>
    <w:p w14:paraId="03D0B178"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PI = Sum of PV of Future Inflows ÷ Initial Investment</w:t>
      </w:r>
    </w:p>
    <w:p w14:paraId="78350522" w14:textId="77777777" w:rsidR="002553FA" w:rsidRPr="00D13F67" w:rsidRDefault="002553FA" w:rsidP="00D13F67">
      <w:pPr>
        <w:pStyle w:val="ListParagraph"/>
        <w:numPr>
          <w:ilvl w:val="0"/>
          <w:numId w:val="1"/>
        </w:numPr>
        <w:spacing w:before="40" w:after="40" w:line="360" w:lineRule="auto"/>
        <w:rPr>
          <w:sz w:val="24"/>
          <w:szCs w:val="24"/>
        </w:rPr>
      </w:pPr>
      <w:r w:rsidRPr="00D13F67">
        <w:rPr>
          <w:sz w:val="24"/>
          <w:szCs w:val="24"/>
        </w:rPr>
        <w:t>IRR estimated by linear interpolation between two rates bracketing NPV = 0</w:t>
      </w:r>
    </w:p>
    <w:p w14:paraId="2512E090" w14:textId="77777777" w:rsidR="002553FA" w:rsidRDefault="002553FA" w:rsidP="002553FA"/>
    <w:p w14:paraId="603DCDDA" w14:textId="77777777" w:rsidR="002553FA" w:rsidRDefault="002553FA" w:rsidP="002553FA">
      <w:pPr>
        <w:pStyle w:val="Heading2"/>
      </w:pPr>
      <w:bookmarkStart w:id="75" w:name="_Toc227660537"/>
      <w:r>
        <w:rPr>
          <w:rFonts w:ascii="Arial" w:eastAsia="Arial" w:hAnsi="Arial" w:cs="Arial"/>
          <w:b/>
          <w:bCs/>
          <w:color w:val="2E75B6"/>
        </w:rPr>
        <w:t>Appendix D: Key Assumptions and Data Sources</w:t>
      </w:r>
      <w:bookmarkEnd w:id="75"/>
    </w:p>
    <w:p w14:paraId="3E0F005C"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All KRW-denominated figures are sourced from Hyundai Motor Company Consolidated Annual Reports 2020–2024 (IFRS basis), accessible at https://www.hyundai.com/worldwide/en/company/ir/ir-resources/annual-report</w:t>
      </w:r>
    </w:p>
    <w:p w14:paraId="608D8CEE" w14:textId="79E11E91"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2024 figures are estimates (marked '2024') based on Hyundai's Q1–Q3 2024 interim disclosures and Bloomberg consensus analyst projections as of Q4 2024.</w:t>
      </w:r>
    </w:p>
    <w:p w14:paraId="3164798D"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Investment appraisal uses GBP millions; discount rate of 10% per Board instruction.</w:t>
      </w:r>
    </w:p>
    <w:p w14:paraId="7697F00F"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Straight-line depreciation to zero residual value: £10m per annum per project over 5 years.</w:t>
      </w:r>
    </w:p>
    <w:p w14:paraId="3DE1677C"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lastRenderedPageBreak/>
        <w:t>ARR computed on both initial investment (£50m) and average investment (£25m) bases.</w:t>
      </w:r>
    </w:p>
    <w:p w14:paraId="0B4BD997"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IRR estimated via linear interpolation; actual IRR from numerical solver may vary marginally.</w:t>
      </w:r>
    </w:p>
    <w:p w14:paraId="77E72BA7"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Post-restructuring projections in Section 3 are management CFO estimates for illustrative purposes and do not constitute financial forecasts or profit guidance.</w:t>
      </w:r>
    </w:p>
    <w:p w14:paraId="7A828F8A" w14:textId="77777777" w:rsidR="002553FA" w:rsidRPr="00D13F67" w:rsidRDefault="002553FA" w:rsidP="00D13F67">
      <w:pPr>
        <w:pStyle w:val="ListParagraph"/>
        <w:numPr>
          <w:ilvl w:val="0"/>
          <w:numId w:val="1"/>
        </w:numPr>
        <w:spacing w:before="40" w:after="40" w:line="360" w:lineRule="auto"/>
        <w:jc w:val="both"/>
        <w:rPr>
          <w:sz w:val="24"/>
          <w:szCs w:val="24"/>
        </w:rPr>
      </w:pPr>
      <w:r w:rsidRPr="00D13F67">
        <w:rPr>
          <w:sz w:val="24"/>
          <w:szCs w:val="24"/>
        </w:rPr>
        <w:t>P/E and P/B ratios are approximate market-based estimates and may differ from contemporaneous reported figures depending on share price at measurement date.</w:t>
      </w:r>
    </w:p>
    <w:p w14:paraId="7FEFB185" w14:textId="0AB07CD0" w:rsidR="00797DC7" w:rsidRDefault="00797DC7" w:rsidP="00870FA9">
      <w:pPr>
        <w:spacing w:before="60" w:after="60" w:line="276" w:lineRule="auto"/>
        <w:jc w:val="both"/>
      </w:pPr>
    </w:p>
    <w:p w14:paraId="0DDA7227" w14:textId="77777777" w:rsidR="00285A62" w:rsidRDefault="00285A62" w:rsidP="00870FA9">
      <w:pPr>
        <w:spacing w:before="60" w:after="60" w:line="276" w:lineRule="auto"/>
        <w:jc w:val="both"/>
      </w:pPr>
    </w:p>
    <w:p w14:paraId="673720D8" w14:textId="77777777" w:rsidR="00285A62" w:rsidRDefault="00285A62" w:rsidP="00870FA9">
      <w:pPr>
        <w:spacing w:before="60" w:after="60" w:line="276" w:lineRule="auto"/>
        <w:jc w:val="both"/>
      </w:pPr>
    </w:p>
    <w:p w14:paraId="4EF77246" w14:textId="77777777" w:rsidR="00285A62" w:rsidRDefault="00285A62" w:rsidP="00870FA9">
      <w:pPr>
        <w:spacing w:before="60" w:after="60" w:line="276" w:lineRule="auto"/>
        <w:jc w:val="both"/>
      </w:pPr>
    </w:p>
    <w:p w14:paraId="2889533F" w14:textId="77777777" w:rsidR="00285A62" w:rsidRDefault="00285A62" w:rsidP="00870FA9">
      <w:pPr>
        <w:spacing w:before="60" w:after="60" w:line="276" w:lineRule="auto"/>
        <w:jc w:val="both"/>
      </w:pPr>
    </w:p>
    <w:p w14:paraId="6231B6F1" w14:textId="77777777" w:rsidR="00285A62" w:rsidRDefault="00285A62" w:rsidP="00870FA9">
      <w:pPr>
        <w:spacing w:before="60" w:after="60" w:line="276" w:lineRule="auto"/>
        <w:jc w:val="both"/>
      </w:pPr>
    </w:p>
    <w:p w14:paraId="59DDED81" w14:textId="77777777" w:rsidR="00285A62" w:rsidRDefault="00285A62" w:rsidP="00870FA9">
      <w:pPr>
        <w:spacing w:before="60" w:after="60" w:line="276" w:lineRule="auto"/>
        <w:jc w:val="both"/>
      </w:pPr>
    </w:p>
    <w:p w14:paraId="5C7E631A" w14:textId="77777777" w:rsidR="00285A62" w:rsidRDefault="00285A62" w:rsidP="00870FA9">
      <w:pPr>
        <w:spacing w:before="60" w:after="60" w:line="276" w:lineRule="auto"/>
        <w:jc w:val="both"/>
      </w:pPr>
    </w:p>
    <w:p w14:paraId="780F19FE" w14:textId="77777777" w:rsidR="002A515D" w:rsidRDefault="002A515D" w:rsidP="00870FA9">
      <w:pPr>
        <w:spacing w:before="60" w:after="60" w:line="276" w:lineRule="auto"/>
        <w:jc w:val="both"/>
      </w:pPr>
    </w:p>
    <w:p w14:paraId="623183C4" w14:textId="77777777" w:rsidR="002A515D" w:rsidRDefault="002A515D" w:rsidP="00870FA9">
      <w:pPr>
        <w:spacing w:before="60" w:after="60" w:line="276" w:lineRule="auto"/>
        <w:jc w:val="both"/>
      </w:pPr>
    </w:p>
    <w:p w14:paraId="23CDAC83" w14:textId="77777777" w:rsidR="002A515D" w:rsidRDefault="002A515D" w:rsidP="00870FA9">
      <w:pPr>
        <w:spacing w:before="60" w:after="60" w:line="276" w:lineRule="auto"/>
        <w:jc w:val="both"/>
      </w:pPr>
    </w:p>
    <w:p w14:paraId="0D5CAE66" w14:textId="77777777" w:rsidR="002A515D" w:rsidRDefault="002A515D" w:rsidP="00870FA9">
      <w:pPr>
        <w:spacing w:before="60" w:after="60" w:line="276" w:lineRule="auto"/>
        <w:jc w:val="both"/>
      </w:pPr>
    </w:p>
    <w:p w14:paraId="59F9858A" w14:textId="77777777" w:rsidR="002A515D" w:rsidRDefault="002A515D" w:rsidP="00870FA9">
      <w:pPr>
        <w:spacing w:before="60" w:after="60" w:line="276" w:lineRule="auto"/>
        <w:jc w:val="both"/>
      </w:pPr>
    </w:p>
    <w:p w14:paraId="0A087D2A" w14:textId="77777777" w:rsidR="002A515D" w:rsidRDefault="002A515D" w:rsidP="00870FA9">
      <w:pPr>
        <w:spacing w:before="60" w:after="60" w:line="276" w:lineRule="auto"/>
        <w:jc w:val="both"/>
      </w:pPr>
    </w:p>
    <w:p w14:paraId="2A492DE2" w14:textId="77777777" w:rsidR="002A515D" w:rsidRDefault="002A515D" w:rsidP="00870FA9">
      <w:pPr>
        <w:spacing w:before="60" w:after="60" w:line="276" w:lineRule="auto"/>
        <w:jc w:val="both"/>
      </w:pPr>
    </w:p>
    <w:p w14:paraId="37685192" w14:textId="77777777" w:rsidR="002A515D" w:rsidRDefault="002A515D" w:rsidP="00870FA9">
      <w:pPr>
        <w:spacing w:before="60" w:after="60" w:line="276" w:lineRule="auto"/>
        <w:jc w:val="both"/>
      </w:pPr>
    </w:p>
    <w:p w14:paraId="11731C0B" w14:textId="77777777" w:rsidR="002A515D" w:rsidRDefault="002A515D" w:rsidP="00870FA9">
      <w:pPr>
        <w:spacing w:before="60" w:after="60" w:line="276" w:lineRule="auto"/>
        <w:jc w:val="both"/>
      </w:pPr>
    </w:p>
    <w:p w14:paraId="25784F09" w14:textId="77777777" w:rsidR="002A515D" w:rsidRDefault="002A515D" w:rsidP="00870FA9">
      <w:pPr>
        <w:spacing w:before="60" w:after="60" w:line="276" w:lineRule="auto"/>
        <w:jc w:val="both"/>
      </w:pPr>
    </w:p>
    <w:p w14:paraId="341CB0D4" w14:textId="77777777" w:rsidR="002A515D" w:rsidRDefault="002A515D" w:rsidP="00870FA9">
      <w:pPr>
        <w:spacing w:before="60" w:after="60" w:line="276" w:lineRule="auto"/>
        <w:jc w:val="both"/>
      </w:pPr>
    </w:p>
    <w:p w14:paraId="7E4B0765" w14:textId="77777777" w:rsidR="002A515D" w:rsidRDefault="002A515D" w:rsidP="00870FA9">
      <w:pPr>
        <w:spacing w:before="60" w:after="60" w:line="276" w:lineRule="auto"/>
        <w:jc w:val="both"/>
      </w:pPr>
    </w:p>
    <w:p w14:paraId="6978457D" w14:textId="77777777" w:rsidR="002A515D" w:rsidRDefault="002A515D" w:rsidP="00870FA9">
      <w:pPr>
        <w:spacing w:before="60" w:after="60" w:line="276" w:lineRule="auto"/>
        <w:jc w:val="both"/>
      </w:pPr>
    </w:p>
    <w:p w14:paraId="3D5FBC27" w14:textId="77777777" w:rsidR="002A515D" w:rsidRDefault="002A515D" w:rsidP="00870FA9">
      <w:pPr>
        <w:spacing w:before="60" w:after="60" w:line="276" w:lineRule="auto"/>
        <w:jc w:val="both"/>
      </w:pPr>
    </w:p>
    <w:p w14:paraId="589D0415" w14:textId="77777777" w:rsidR="00817C96" w:rsidRDefault="00817C96" w:rsidP="00870FA9">
      <w:pPr>
        <w:spacing w:before="60" w:after="60" w:line="276" w:lineRule="auto"/>
        <w:jc w:val="both"/>
      </w:pPr>
    </w:p>
    <w:p w14:paraId="5B58586D" w14:textId="77777777" w:rsidR="00285A62" w:rsidRPr="00A17141" w:rsidRDefault="00285A62" w:rsidP="00817C96">
      <w:pPr>
        <w:pStyle w:val="Heading1"/>
      </w:pPr>
      <w:bookmarkStart w:id="76" w:name="_Toc227660538"/>
      <w:r w:rsidRPr="00A17141">
        <w:lastRenderedPageBreak/>
        <w:t>Basic Acknowledgement format of AI tool use</w:t>
      </w:r>
      <w:bookmarkEnd w:id="76"/>
      <w:r w:rsidRPr="00A17141">
        <w:t xml:space="preserve"> </w:t>
      </w:r>
    </w:p>
    <w:p w14:paraId="6745372B" w14:textId="0FE9EA89" w:rsidR="00285A62" w:rsidRPr="00E3204B" w:rsidRDefault="00FC0FF3" w:rsidP="00E3204B">
      <w:pPr>
        <w:spacing w:line="360" w:lineRule="auto"/>
        <w:jc w:val="both"/>
        <w:rPr>
          <w:rFonts w:ascii="Arial" w:hAnsi="Arial" w:cs="Arial"/>
          <w:sz w:val="24"/>
          <w:szCs w:val="24"/>
        </w:rPr>
      </w:pPr>
      <w:r w:rsidRPr="00E3204B">
        <w:rPr>
          <w:rFonts w:ascii="Arial" w:hAnsi="Arial" w:cs="Arial"/>
          <w:b/>
          <w:bCs/>
          <w:sz w:val="24"/>
          <w:szCs w:val="24"/>
        </w:rPr>
        <w:t>1.</w:t>
      </w:r>
      <w:r w:rsidRPr="00E3204B">
        <w:rPr>
          <w:rFonts w:ascii="Arial" w:hAnsi="Arial" w:cs="Arial"/>
          <w:sz w:val="24"/>
          <w:szCs w:val="24"/>
        </w:rPr>
        <w:t xml:space="preserve"> </w:t>
      </w:r>
      <w:r w:rsidR="00285A62" w:rsidRPr="00E3204B">
        <w:rPr>
          <w:rFonts w:ascii="Arial" w:hAnsi="Arial" w:cs="Arial"/>
          <w:sz w:val="24"/>
          <w:szCs w:val="24"/>
        </w:rPr>
        <w:t xml:space="preserve">I acknowledge the use of </w:t>
      </w:r>
      <w:r w:rsidR="00B71B59" w:rsidRPr="00E3204B">
        <w:rPr>
          <w:rFonts w:ascii="Arial" w:hAnsi="Arial" w:cs="Arial"/>
          <w:sz w:val="24"/>
          <w:szCs w:val="24"/>
        </w:rPr>
        <w:t>Qwen</w:t>
      </w:r>
      <w:r w:rsidR="00285A62" w:rsidRPr="00E3204B">
        <w:rPr>
          <w:rFonts w:ascii="Arial" w:hAnsi="Arial" w:cs="Arial"/>
          <w:sz w:val="24"/>
          <w:szCs w:val="24"/>
        </w:rPr>
        <w:t xml:space="preserve"> (</w:t>
      </w:r>
      <w:r w:rsidR="00DE06F7" w:rsidRPr="00E3204B">
        <w:rPr>
          <w:rFonts w:ascii="Arial" w:hAnsi="Arial" w:cs="Arial"/>
          <w:sz w:val="24"/>
          <w:szCs w:val="24"/>
        </w:rPr>
        <w:t>https://chat.qwen.ai</w:t>
      </w:r>
      <w:r w:rsidR="004B3F0C" w:rsidRPr="00E3204B">
        <w:rPr>
          <w:rFonts w:ascii="Arial" w:hAnsi="Arial" w:cs="Arial"/>
          <w:sz w:val="24"/>
          <w:szCs w:val="24"/>
        </w:rPr>
        <w:t>)</w:t>
      </w:r>
      <w:r w:rsidR="00285A62" w:rsidRPr="00E3204B">
        <w:rPr>
          <w:rFonts w:ascii="Arial" w:hAnsi="Arial" w:cs="Arial"/>
          <w:sz w:val="24"/>
          <w:szCs w:val="24"/>
        </w:rPr>
        <w:t xml:space="preserve"> on </w:t>
      </w:r>
      <w:r w:rsidR="003752ED" w:rsidRPr="00E3204B">
        <w:rPr>
          <w:rFonts w:ascii="Arial" w:hAnsi="Arial" w:cs="Arial"/>
          <w:sz w:val="24"/>
          <w:szCs w:val="24"/>
        </w:rPr>
        <w:t>March</w:t>
      </w:r>
      <w:r w:rsidR="00285A62" w:rsidRPr="00E3204B">
        <w:rPr>
          <w:rFonts w:ascii="Arial" w:hAnsi="Arial" w:cs="Arial"/>
          <w:sz w:val="24"/>
          <w:szCs w:val="24"/>
        </w:rPr>
        <w:t xml:space="preserve"> to </w:t>
      </w:r>
      <w:r w:rsidR="00DB15FE" w:rsidRPr="00E3204B">
        <w:rPr>
          <w:rFonts w:ascii="Arial" w:hAnsi="Arial" w:cs="Arial"/>
          <w:sz w:val="24"/>
          <w:szCs w:val="24"/>
        </w:rPr>
        <w:t>generate Table data for my Assignment</w:t>
      </w:r>
      <w:r w:rsidR="00285A62" w:rsidRPr="00E3204B">
        <w:rPr>
          <w:rFonts w:ascii="Arial" w:hAnsi="Arial" w:cs="Arial"/>
          <w:sz w:val="24"/>
          <w:szCs w:val="24"/>
        </w:rPr>
        <w:t xml:space="preserve">. I used the prompt(s): </w:t>
      </w:r>
    </w:p>
    <w:p w14:paraId="65626A33" w14:textId="6C82F547" w:rsidR="00285A62" w:rsidRPr="00E3204B" w:rsidRDefault="00EF6B61" w:rsidP="00E3204B">
      <w:pPr>
        <w:pStyle w:val="ListParagraph"/>
        <w:numPr>
          <w:ilvl w:val="0"/>
          <w:numId w:val="24"/>
        </w:numPr>
        <w:spacing w:line="360" w:lineRule="auto"/>
        <w:jc w:val="both"/>
        <w:rPr>
          <w:sz w:val="24"/>
          <w:szCs w:val="24"/>
        </w:rPr>
      </w:pPr>
      <w:r w:rsidRPr="00E3204B">
        <w:rPr>
          <w:sz w:val="24"/>
          <w:szCs w:val="24"/>
        </w:rPr>
        <w:t>last 5 annual report of EV manufacturing company Hyundai motor</w:t>
      </w:r>
      <w:r w:rsidR="00285A62" w:rsidRPr="00E3204B">
        <w:rPr>
          <w:sz w:val="24"/>
          <w:szCs w:val="24"/>
        </w:rPr>
        <w:t xml:space="preserve"> </w:t>
      </w:r>
    </w:p>
    <w:p w14:paraId="0B9110DB" w14:textId="3C24A7C6" w:rsidR="00285A62" w:rsidRPr="00E3204B" w:rsidRDefault="00415427" w:rsidP="00E3204B">
      <w:pPr>
        <w:pStyle w:val="ListParagraph"/>
        <w:numPr>
          <w:ilvl w:val="0"/>
          <w:numId w:val="24"/>
        </w:numPr>
        <w:spacing w:line="360" w:lineRule="auto"/>
        <w:jc w:val="both"/>
        <w:rPr>
          <w:sz w:val="24"/>
          <w:szCs w:val="24"/>
        </w:rPr>
      </w:pPr>
      <w:r w:rsidRPr="00E3204B">
        <w:rPr>
          <w:sz w:val="24"/>
          <w:szCs w:val="24"/>
        </w:rPr>
        <w:t xml:space="preserve">extract </w:t>
      </w:r>
      <w:r w:rsidR="004D1640" w:rsidRPr="00E3204B">
        <w:rPr>
          <w:sz w:val="24"/>
          <w:szCs w:val="24"/>
        </w:rPr>
        <w:t>5-year</w:t>
      </w:r>
      <w:r w:rsidRPr="00E3204B">
        <w:rPr>
          <w:sz w:val="24"/>
          <w:szCs w:val="24"/>
        </w:rPr>
        <w:t xml:space="preserve"> data of income statement</w:t>
      </w:r>
    </w:p>
    <w:p w14:paraId="57404B5E" w14:textId="483E129A" w:rsidR="00285A62" w:rsidRPr="00E3204B" w:rsidRDefault="004D1640" w:rsidP="00E3204B">
      <w:pPr>
        <w:pStyle w:val="ListParagraph"/>
        <w:numPr>
          <w:ilvl w:val="0"/>
          <w:numId w:val="24"/>
        </w:numPr>
        <w:spacing w:line="360" w:lineRule="auto"/>
        <w:jc w:val="both"/>
        <w:rPr>
          <w:sz w:val="24"/>
          <w:szCs w:val="24"/>
        </w:rPr>
      </w:pPr>
      <w:r w:rsidRPr="00E3204B">
        <w:rPr>
          <w:sz w:val="24"/>
          <w:szCs w:val="24"/>
        </w:rPr>
        <w:t>extract 5-year data of balance sheet</w:t>
      </w:r>
    </w:p>
    <w:p w14:paraId="0E44DF51" w14:textId="29C6DEF4" w:rsidR="004D1640" w:rsidRPr="00E3204B" w:rsidRDefault="0090273F" w:rsidP="00E3204B">
      <w:pPr>
        <w:pStyle w:val="ListParagraph"/>
        <w:numPr>
          <w:ilvl w:val="0"/>
          <w:numId w:val="24"/>
        </w:numPr>
        <w:spacing w:line="360" w:lineRule="auto"/>
        <w:jc w:val="both"/>
        <w:rPr>
          <w:sz w:val="24"/>
          <w:szCs w:val="24"/>
        </w:rPr>
      </w:pPr>
      <w:r w:rsidRPr="00E3204B">
        <w:rPr>
          <w:sz w:val="24"/>
          <w:szCs w:val="24"/>
        </w:rPr>
        <w:t>extract 5-year data of cash flow</w:t>
      </w:r>
    </w:p>
    <w:p w14:paraId="58983CA0" w14:textId="74FFF9E7" w:rsidR="00285A62" w:rsidRPr="00E3204B" w:rsidRDefault="00381400" w:rsidP="00E3204B">
      <w:pPr>
        <w:pStyle w:val="ListParagraph"/>
        <w:numPr>
          <w:ilvl w:val="0"/>
          <w:numId w:val="24"/>
        </w:numPr>
        <w:spacing w:line="360" w:lineRule="auto"/>
        <w:jc w:val="both"/>
        <w:rPr>
          <w:sz w:val="24"/>
          <w:szCs w:val="24"/>
        </w:rPr>
      </w:pPr>
      <w:r w:rsidRPr="00E3204B">
        <w:rPr>
          <w:sz w:val="24"/>
          <w:szCs w:val="24"/>
        </w:rPr>
        <w:t>give me gearing and gearing ratio table</w:t>
      </w:r>
    </w:p>
    <w:p w14:paraId="635A9A0B" w14:textId="77777777" w:rsidR="00285A62" w:rsidRPr="00E3204B" w:rsidRDefault="00285A62" w:rsidP="00E3204B">
      <w:pPr>
        <w:spacing w:line="360" w:lineRule="auto"/>
        <w:jc w:val="both"/>
        <w:rPr>
          <w:rFonts w:ascii="Arial" w:hAnsi="Arial" w:cs="Arial"/>
          <w:sz w:val="23"/>
          <w:szCs w:val="23"/>
        </w:rPr>
      </w:pPr>
      <w:r w:rsidRPr="00E3204B">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r w:rsidRPr="00E3204B">
        <w:rPr>
          <w:rFonts w:ascii="Arial" w:hAnsi="Arial" w:cs="Arial"/>
          <w:sz w:val="23"/>
          <w:szCs w:val="23"/>
        </w:rPr>
        <w:t xml:space="preserve"> </w:t>
      </w:r>
    </w:p>
    <w:p w14:paraId="64A3D371" w14:textId="529B80BC" w:rsidR="00285A62" w:rsidRPr="00E3204B" w:rsidRDefault="00FC0FF3" w:rsidP="00E3204B">
      <w:pPr>
        <w:spacing w:line="360" w:lineRule="auto"/>
        <w:jc w:val="both"/>
        <w:rPr>
          <w:rFonts w:ascii="Arial" w:hAnsi="Arial" w:cs="Arial"/>
          <w:sz w:val="24"/>
          <w:szCs w:val="24"/>
        </w:rPr>
      </w:pPr>
      <w:r w:rsidRPr="00E3204B">
        <w:rPr>
          <w:rFonts w:ascii="Arial" w:hAnsi="Arial" w:cs="Arial"/>
          <w:b/>
          <w:bCs/>
          <w:sz w:val="23"/>
          <w:szCs w:val="23"/>
        </w:rPr>
        <w:t xml:space="preserve">2. </w:t>
      </w:r>
      <w:r w:rsidR="00285A62" w:rsidRPr="00E3204B">
        <w:rPr>
          <w:rFonts w:ascii="Arial" w:hAnsi="Arial" w:cs="Arial"/>
          <w:sz w:val="24"/>
          <w:szCs w:val="24"/>
        </w:rPr>
        <w:t xml:space="preserve">I acknowledge the use of </w:t>
      </w:r>
      <w:r w:rsidR="000F0D75" w:rsidRPr="00E3204B">
        <w:rPr>
          <w:rFonts w:ascii="Arial" w:hAnsi="Arial" w:cs="Arial"/>
          <w:sz w:val="24"/>
          <w:szCs w:val="24"/>
        </w:rPr>
        <w:t>Gemini</w:t>
      </w:r>
      <w:r w:rsidR="00285A62" w:rsidRPr="00E3204B">
        <w:rPr>
          <w:rFonts w:ascii="Arial" w:hAnsi="Arial" w:cs="Arial"/>
          <w:sz w:val="24"/>
          <w:szCs w:val="24"/>
        </w:rPr>
        <w:t xml:space="preserve"> (</w:t>
      </w:r>
      <w:r w:rsidR="00494BA7" w:rsidRPr="00E3204B">
        <w:rPr>
          <w:rFonts w:ascii="Arial" w:hAnsi="Arial" w:cs="Arial"/>
          <w:sz w:val="24"/>
          <w:szCs w:val="24"/>
        </w:rPr>
        <w:t>https://gemini.google.com/app</w:t>
      </w:r>
      <w:r w:rsidR="00285A62" w:rsidRPr="00E3204B">
        <w:rPr>
          <w:rFonts w:ascii="Arial" w:hAnsi="Arial" w:cs="Arial"/>
          <w:sz w:val="24"/>
          <w:szCs w:val="24"/>
        </w:rPr>
        <w:t xml:space="preserve">) on </w:t>
      </w:r>
      <w:r w:rsidR="00494BA7" w:rsidRPr="00E3204B">
        <w:rPr>
          <w:rFonts w:ascii="Arial" w:hAnsi="Arial" w:cs="Arial"/>
          <w:sz w:val="24"/>
          <w:szCs w:val="24"/>
        </w:rPr>
        <w:t xml:space="preserve">April </w:t>
      </w:r>
      <w:r w:rsidR="00285A62" w:rsidRPr="00E3204B">
        <w:rPr>
          <w:rFonts w:ascii="Arial" w:hAnsi="Arial" w:cs="Arial"/>
          <w:sz w:val="24"/>
          <w:szCs w:val="24"/>
        </w:rPr>
        <w:t xml:space="preserve">to </w:t>
      </w:r>
      <w:r w:rsidR="00494BA7" w:rsidRPr="00E3204B">
        <w:rPr>
          <w:rFonts w:ascii="Arial" w:hAnsi="Arial" w:cs="Arial"/>
          <w:sz w:val="24"/>
          <w:szCs w:val="24"/>
        </w:rPr>
        <w:t xml:space="preserve">Generate Graph for </w:t>
      </w:r>
      <w:r w:rsidR="0007550D" w:rsidRPr="00E3204B">
        <w:rPr>
          <w:rFonts w:ascii="Arial" w:hAnsi="Arial" w:cs="Arial"/>
          <w:sz w:val="24"/>
          <w:szCs w:val="24"/>
        </w:rPr>
        <w:t>the Ratios. T</w:t>
      </w:r>
      <w:r w:rsidR="00285A62" w:rsidRPr="00E3204B">
        <w:rPr>
          <w:rFonts w:ascii="Arial" w:hAnsi="Arial" w:cs="Arial"/>
          <w:sz w:val="24"/>
          <w:szCs w:val="24"/>
        </w:rPr>
        <w:t xml:space="preserve">he prompt(s): </w:t>
      </w:r>
    </w:p>
    <w:p w14:paraId="4A6AD233" w14:textId="6988C0EE" w:rsidR="00285A62" w:rsidRPr="00E3204B" w:rsidRDefault="00461180" w:rsidP="00E3204B">
      <w:pPr>
        <w:pStyle w:val="ListParagraph"/>
        <w:numPr>
          <w:ilvl w:val="0"/>
          <w:numId w:val="23"/>
        </w:numPr>
        <w:spacing w:line="360" w:lineRule="auto"/>
        <w:jc w:val="both"/>
        <w:rPr>
          <w:sz w:val="24"/>
          <w:szCs w:val="24"/>
        </w:rPr>
      </w:pPr>
      <w:r w:rsidRPr="00E3204B">
        <w:rPr>
          <w:sz w:val="24"/>
          <w:szCs w:val="24"/>
        </w:rPr>
        <w:t>create a line chart from th</w:t>
      </w:r>
      <w:r w:rsidR="00AA35C5" w:rsidRPr="00E3204B">
        <w:rPr>
          <w:sz w:val="24"/>
          <w:szCs w:val="24"/>
        </w:rPr>
        <w:t>e profitability ratios,</w:t>
      </w:r>
      <w:r w:rsidR="00565482" w:rsidRPr="00E3204B">
        <w:rPr>
          <w:sz w:val="24"/>
          <w:szCs w:val="24"/>
        </w:rPr>
        <w:t xml:space="preserve"> liquidity ratios, efficiency ratios,</w:t>
      </w:r>
      <w:r w:rsidR="00151716" w:rsidRPr="00E3204B">
        <w:rPr>
          <w:sz w:val="24"/>
          <w:szCs w:val="24"/>
        </w:rPr>
        <w:t xml:space="preserve"> gearing and leverage ratios,</w:t>
      </w:r>
      <w:r w:rsidR="00B21FBD" w:rsidRPr="00E3204B">
        <w:rPr>
          <w:sz w:val="24"/>
          <w:szCs w:val="24"/>
        </w:rPr>
        <w:t xml:space="preserve"> investment ratios cash flow summary.</w:t>
      </w:r>
      <w:r w:rsidR="00285A62" w:rsidRPr="00E3204B">
        <w:rPr>
          <w:sz w:val="24"/>
          <w:szCs w:val="24"/>
        </w:rPr>
        <w:t xml:space="preserve"> </w:t>
      </w:r>
    </w:p>
    <w:p w14:paraId="3B7F90AF" w14:textId="2E56A438" w:rsidR="00285A62" w:rsidRPr="00E3204B" w:rsidRDefault="00285A62" w:rsidP="00E3204B">
      <w:pPr>
        <w:spacing w:line="360" w:lineRule="auto"/>
        <w:jc w:val="both"/>
        <w:rPr>
          <w:rFonts w:ascii="Arial" w:hAnsi="Arial" w:cs="Arial"/>
          <w:sz w:val="24"/>
          <w:szCs w:val="24"/>
        </w:rPr>
      </w:pPr>
      <w:r w:rsidRPr="00E3204B">
        <w:rPr>
          <w:rFonts w:ascii="Arial" w:hAnsi="Arial" w:cs="Arial"/>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r w:rsidRPr="00E3204B">
        <w:rPr>
          <w:rFonts w:ascii="Arial" w:hAnsi="Arial" w:cs="Arial"/>
          <w:sz w:val="23"/>
          <w:szCs w:val="23"/>
        </w:rPr>
        <w:t xml:space="preserve"> </w:t>
      </w:r>
    </w:p>
    <w:p w14:paraId="6D684109" w14:textId="5D909EE8" w:rsidR="00285A62" w:rsidRPr="00285A62" w:rsidRDefault="00285A62" w:rsidP="00285A62">
      <w:pPr>
        <w:rPr>
          <w:rFonts w:ascii="Arial" w:hAnsi="Arial" w:cs="Arial"/>
        </w:rPr>
      </w:pPr>
    </w:p>
    <w:sectPr w:rsidR="00285A62" w:rsidRPr="00285A62" w:rsidSect="0037225D">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5FE22" w14:textId="77777777" w:rsidR="00553D26" w:rsidRDefault="00553D26" w:rsidP="00DE16E1">
      <w:pPr>
        <w:spacing w:after="0" w:line="240" w:lineRule="auto"/>
      </w:pPr>
      <w:r>
        <w:separator/>
      </w:r>
    </w:p>
  </w:endnote>
  <w:endnote w:type="continuationSeparator" w:id="0">
    <w:p w14:paraId="3F9A7E6D" w14:textId="77777777" w:rsidR="00553D26" w:rsidRDefault="00553D26" w:rsidP="00DE1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329569"/>
      <w:docPartObj>
        <w:docPartGallery w:val="Page Numbers (Bottom of Page)"/>
        <w:docPartUnique/>
      </w:docPartObj>
    </w:sdtPr>
    <w:sdtEndPr>
      <w:rPr>
        <w:noProof/>
      </w:rPr>
    </w:sdtEndPr>
    <w:sdtContent>
      <w:p w14:paraId="4991AD26" w14:textId="12DD73CB" w:rsidR="00B67377" w:rsidRDefault="00B673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6937A9" w14:textId="77777777" w:rsidR="00B67377" w:rsidRDefault="00B67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8A78F" w14:textId="77777777" w:rsidR="00553D26" w:rsidRDefault="00553D26" w:rsidP="00DE16E1">
      <w:pPr>
        <w:spacing w:after="0" w:line="240" w:lineRule="auto"/>
      </w:pPr>
      <w:r>
        <w:separator/>
      </w:r>
    </w:p>
  </w:footnote>
  <w:footnote w:type="continuationSeparator" w:id="0">
    <w:p w14:paraId="2FF4C6F3" w14:textId="77777777" w:rsidR="00553D26" w:rsidRDefault="00553D26" w:rsidP="00DE1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6444C"/>
    <w:multiLevelType w:val="hybridMultilevel"/>
    <w:tmpl w:val="88AC97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4C5490"/>
    <w:multiLevelType w:val="hybridMultilevel"/>
    <w:tmpl w:val="AEA21A62"/>
    <w:lvl w:ilvl="0" w:tplc="F9E09A8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AF276F"/>
    <w:multiLevelType w:val="hybridMultilevel"/>
    <w:tmpl w:val="1EEA6C14"/>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3" w15:restartNumberingAfterBreak="0">
    <w:nsid w:val="1A851B75"/>
    <w:multiLevelType w:val="hybridMultilevel"/>
    <w:tmpl w:val="299237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5D3657"/>
    <w:multiLevelType w:val="hybridMultilevel"/>
    <w:tmpl w:val="AECC6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9F6C7F"/>
    <w:multiLevelType w:val="hybridMultilevel"/>
    <w:tmpl w:val="4094ED6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A983976"/>
    <w:multiLevelType w:val="hybridMultilevel"/>
    <w:tmpl w:val="53DC7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DF37F6"/>
    <w:multiLevelType w:val="hybridMultilevel"/>
    <w:tmpl w:val="41222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2A0BB8"/>
    <w:multiLevelType w:val="hybridMultilevel"/>
    <w:tmpl w:val="A6DCC0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4BD71AC"/>
    <w:multiLevelType w:val="hybridMultilevel"/>
    <w:tmpl w:val="32A42144"/>
    <w:lvl w:ilvl="0" w:tplc="FFFFFFFF">
      <w:start w:val="1"/>
      <w:numFmt w:val="bullet"/>
      <w:lvlText w:val="•"/>
      <w:lvlJc w:val="left"/>
      <w:pPr>
        <w:ind w:left="680" w:hanging="34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3CF94EDA"/>
    <w:multiLevelType w:val="hybridMultilevel"/>
    <w:tmpl w:val="E45C41C4"/>
    <w:lvl w:ilvl="0" w:tplc="F9E09A8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8E33C6"/>
    <w:multiLevelType w:val="hybridMultilevel"/>
    <w:tmpl w:val="DEA053C0"/>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453C479D"/>
    <w:multiLevelType w:val="hybridMultilevel"/>
    <w:tmpl w:val="16540802"/>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487A391F"/>
    <w:multiLevelType w:val="hybridMultilevel"/>
    <w:tmpl w:val="1084ECFE"/>
    <w:lvl w:ilvl="0" w:tplc="04090001">
      <w:start w:val="1"/>
      <w:numFmt w:val="bullet"/>
      <w:lvlText w:val=""/>
      <w:lvlJc w:val="left"/>
      <w:pPr>
        <w:ind w:left="432" w:hanging="360"/>
      </w:pPr>
      <w:rPr>
        <w:rFonts w:ascii="Symbol" w:hAnsi="Symbol" w:hint="default"/>
      </w:rPr>
    </w:lvl>
    <w:lvl w:ilvl="1" w:tplc="FFFFFFFF" w:tentative="1">
      <w:start w:val="1"/>
      <w:numFmt w:val="lowerLetter"/>
      <w:lvlText w:val="%2."/>
      <w:lvlJc w:val="left"/>
      <w:pPr>
        <w:ind w:left="1152" w:hanging="360"/>
      </w:pPr>
    </w:lvl>
    <w:lvl w:ilvl="2" w:tplc="FFFFFFFF" w:tentative="1">
      <w:start w:val="1"/>
      <w:numFmt w:val="lowerRoman"/>
      <w:lvlText w:val="%3."/>
      <w:lvlJc w:val="right"/>
      <w:pPr>
        <w:ind w:left="1872" w:hanging="180"/>
      </w:pPr>
    </w:lvl>
    <w:lvl w:ilvl="3" w:tplc="FFFFFFFF" w:tentative="1">
      <w:start w:val="1"/>
      <w:numFmt w:val="decimal"/>
      <w:lvlText w:val="%4."/>
      <w:lvlJc w:val="left"/>
      <w:pPr>
        <w:ind w:left="2592" w:hanging="360"/>
      </w:pPr>
    </w:lvl>
    <w:lvl w:ilvl="4" w:tplc="FFFFFFFF" w:tentative="1">
      <w:start w:val="1"/>
      <w:numFmt w:val="lowerLetter"/>
      <w:lvlText w:val="%5."/>
      <w:lvlJc w:val="left"/>
      <w:pPr>
        <w:ind w:left="3312" w:hanging="360"/>
      </w:pPr>
    </w:lvl>
    <w:lvl w:ilvl="5" w:tplc="FFFFFFFF" w:tentative="1">
      <w:start w:val="1"/>
      <w:numFmt w:val="lowerRoman"/>
      <w:lvlText w:val="%6."/>
      <w:lvlJc w:val="right"/>
      <w:pPr>
        <w:ind w:left="4032" w:hanging="180"/>
      </w:pPr>
    </w:lvl>
    <w:lvl w:ilvl="6" w:tplc="FFFFFFFF" w:tentative="1">
      <w:start w:val="1"/>
      <w:numFmt w:val="decimal"/>
      <w:lvlText w:val="%7."/>
      <w:lvlJc w:val="left"/>
      <w:pPr>
        <w:ind w:left="4752" w:hanging="360"/>
      </w:pPr>
    </w:lvl>
    <w:lvl w:ilvl="7" w:tplc="FFFFFFFF" w:tentative="1">
      <w:start w:val="1"/>
      <w:numFmt w:val="lowerLetter"/>
      <w:lvlText w:val="%8."/>
      <w:lvlJc w:val="left"/>
      <w:pPr>
        <w:ind w:left="5472" w:hanging="360"/>
      </w:pPr>
    </w:lvl>
    <w:lvl w:ilvl="8" w:tplc="FFFFFFFF" w:tentative="1">
      <w:start w:val="1"/>
      <w:numFmt w:val="lowerRoman"/>
      <w:lvlText w:val="%9."/>
      <w:lvlJc w:val="right"/>
      <w:pPr>
        <w:ind w:left="6192" w:hanging="180"/>
      </w:pPr>
    </w:lvl>
  </w:abstractNum>
  <w:abstractNum w:abstractNumId="14" w15:restartNumberingAfterBreak="0">
    <w:nsid w:val="491867CD"/>
    <w:multiLevelType w:val="hybridMultilevel"/>
    <w:tmpl w:val="F9E20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CD0945"/>
    <w:multiLevelType w:val="hybridMultilevel"/>
    <w:tmpl w:val="ED1618EC"/>
    <w:lvl w:ilvl="0" w:tplc="F9F6DDA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CE7F32"/>
    <w:multiLevelType w:val="hybridMultilevel"/>
    <w:tmpl w:val="F0D839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F5729E"/>
    <w:multiLevelType w:val="hybridMultilevel"/>
    <w:tmpl w:val="54281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700367D"/>
    <w:multiLevelType w:val="hybridMultilevel"/>
    <w:tmpl w:val="363E6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FB545B"/>
    <w:multiLevelType w:val="hybridMultilevel"/>
    <w:tmpl w:val="F24C00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69C755DB"/>
    <w:multiLevelType w:val="hybridMultilevel"/>
    <w:tmpl w:val="DD5ED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071EB1"/>
    <w:multiLevelType w:val="hybridMultilevel"/>
    <w:tmpl w:val="5358C880"/>
    <w:lvl w:ilvl="0" w:tplc="BD2E3B0A">
      <w:start w:val="1"/>
      <w:numFmt w:val="decimal"/>
      <w:lvlText w:val="%1."/>
      <w:lvlJc w:val="left"/>
      <w:pPr>
        <w:ind w:left="432" w:hanging="360"/>
      </w:pPr>
      <w:rPr>
        <w:rFonts w:hint="default"/>
      </w:rPr>
    </w:lvl>
    <w:lvl w:ilvl="1" w:tplc="04090019" w:tentative="1">
      <w:start w:val="1"/>
      <w:numFmt w:val="lowerLetter"/>
      <w:lvlText w:val="%2."/>
      <w:lvlJc w:val="left"/>
      <w:pPr>
        <w:ind w:left="1152" w:hanging="360"/>
      </w:pPr>
    </w:lvl>
    <w:lvl w:ilvl="2" w:tplc="0409001B" w:tentative="1">
      <w:start w:val="1"/>
      <w:numFmt w:val="lowerRoman"/>
      <w:lvlText w:val="%3."/>
      <w:lvlJc w:val="right"/>
      <w:pPr>
        <w:ind w:left="1872" w:hanging="180"/>
      </w:pPr>
    </w:lvl>
    <w:lvl w:ilvl="3" w:tplc="0409000F" w:tentative="1">
      <w:start w:val="1"/>
      <w:numFmt w:val="decimal"/>
      <w:lvlText w:val="%4."/>
      <w:lvlJc w:val="left"/>
      <w:pPr>
        <w:ind w:left="2592" w:hanging="360"/>
      </w:pPr>
    </w:lvl>
    <w:lvl w:ilvl="4" w:tplc="04090019" w:tentative="1">
      <w:start w:val="1"/>
      <w:numFmt w:val="lowerLetter"/>
      <w:lvlText w:val="%5."/>
      <w:lvlJc w:val="left"/>
      <w:pPr>
        <w:ind w:left="3312" w:hanging="360"/>
      </w:pPr>
    </w:lvl>
    <w:lvl w:ilvl="5" w:tplc="0409001B" w:tentative="1">
      <w:start w:val="1"/>
      <w:numFmt w:val="lowerRoman"/>
      <w:lvlText w:val="%6."/>
      <w:lvlJc w:val="right"/>
      <w:pPr>
        <w:ind w:left="4032" w:hanging="180"/>
      </w:pPr>
    </w:lvl>
    <w:lvl w:ilvl="6" w:tplc="0409000F" w:tentative="1">
      <w:start w:val="1"/>
      <w:numFmt w:val="decimal"/>
      <w:lvlText w:val="%7."/>
      <w:lvlJc w:val="left"/>
      <w:pPr>
        <w:ind w:left="4752" w:hanging="360"/>
      </w:pPr>
    </w:lvl>
    <w:lvl w:ilvl="7" w:tplc="04090019" w:tentative="1">
      <w:start w:val="1"/>
      <w:numFmt w:val="lowerLetter"/>
      <w:lvlText w:val="%8."/>
      <w:lvlJc w:val="left"/>
      <w:pPr>
        <w:ind w:left="5472" w:hanging="360"/>
      </w:pPr>
    </w:lvl>
    <w:lvl w:ilvl="8" w:tplc="0409001B" w:tentative="1">
      <w:start w:val="1"/>
      <w:numFmt w:val="lowerRoman"/>
      <w:lvlText w:val="%9."/>
      <w:lvlJc w:val="right"/>
      <w:pPr>
        <w:ind w:left="6192" w:hanging="180"/>
      </w:pPr>
    </w:lvl>
  </w:abstractNum>
  <w:abstractNum w:abstractNumId="22" w15:restartNumberingAfterBreak="0">
    <w:nsid w:val="7C3003EB"/>
    <w:multiLevelType w:val="hybridMultilevel"/>
    <w:tmpl w:val="AB5C66BA"/>
    <w:lvl w:ilvl="0" w:tplc="0D803EA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CAB7697"/>
    <w:multiLevelType w:val="hybridMultilevel"/>
    <w:tmpl w:val="C79E7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lvlOverride w:ilvl="0">
      <w:startOverride w:val="1"/>
    </w:lvlOverride>
  </w:num>
  <w:num w:numId="2">
    <w:abstractNumId w:val="11"/>
    <w:lvlOverride w:ilvl="0">
      <w:startOverride w:val="1"/>
    </w:lvlOverride>
  </w:num>
  <w:num w:numId="3">
    <w:abstractNumId w:val="6"/>
  </w:num>
  <w:num w:numId="4">
    <w:abstractNumId w:val="16"/>
  </w:num>
  <w:num w:numId="5">
    <w:abstractNumId w:val="0"/>
  </w:num>
  <w:num w:numId="6">
    <w:abstractNumId w:val="8"/>
  </w:num>
  <w:num w:numId="7">
    <w:abstractNumId w:val="21"/>
  </w:num>
  <w:num w:numId="8">
    <w:abstractNumId w:val="13"/>
  </w:num>
  <w:num w:numId="9">
    <w:abstractNumId w:val="15"/>
  </w:num>
  <w:num w:numId="10">
    <w:abstractNumId w:val="4"/>
  </w:num>
  <w:num w:numId="11">
    <w:abstractNumId w:val="10"/>
  </w:num>
  <w:num w:numId="12">
    <w:abstractNumId w:val="1"/>
  </w:num>
  <w:num w:numId="13">
    <w:abstractNumId w:val="22"/>
  </w:num>
  <w:num w:numId="14">
    <w:abstractNumId w:val="19"/>
  </w:num>
  <w:num w:numId="15">
    <w:abstractNumId w:val="23"/>
  </w:num>
  <w:num w:numId="16">
    <w:abstractNumId w:val="9"/>
    <w:lvlOverride w:ilvl="0">
      <w:startOverride w:val="1"/>
    </w:lvlOverride>
  </w:num>
  <w:num w:numId="17">
    <w:abstractNumId w:val="5"/>
  </w:num>
  <w:num w:numId="18">
    <w:abstractNumId w:val="14"/>
  </w:num>
  <w:num w:numId="19">
    <w:abstractNumId w:val="3"/>
  </w:num>
  <w:num w:numId="20">
    <w:abstractNumId w:val="17"/>
  </w:num>
  <w:num w:numId="21">
    <w:abstractNumId w:val="18"/>
  </w:num>
  <w:num w:numId="22">
    <w:abstractNumId w:val="7"/>
  </w:num>
  <w:num w:numId="23">
    <w:abstractNumId w:val="20"/>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AB8"/>
    <w:rsid w:val="00000CD8"/>
    <w:rsid w:val="000034A6"/>
    <w:rsid w:val="000050C9"/>
    <w:rsid w:val="00017555"/>
    <w:rsid w:val="000179EE"/>
    <w:rsid w:val="00025153"/>
    <w:rsid w:val="00061934"/>
    <w:rsid w:val="00070E75"/>
    <w:rsid w:val="0007550D"/>
    <w:rsid w:val="00097D31"/>
    <w:rsid w:val="000A50E7"/>
    <w:rsid w:val="000B5AA6"/>
    <w:rsid w:val="000C461F"/>
    <w:rsid w:val="000C5129"/>
    <w:rsid w:val="000C70C1"/>
    <w:rsid w:val="000C7EC8"/>
    <w:rsid w:val="000D76D3"/>
    <w:rsid w:val="000D7C3E"/>
    <w:rsid w:val="000E28E7"/>
    <w:rsid w:val="000F0D75"/>
    <w:rsid w:val="001015CC"/>
    <w:rsid w:val="00102908"/>
    <w:rsid w:val="00113EFE"/>
    <w:rsid w:val="00124796"/>
    <w:rsid w:val="00124BB4"/>
    <w:rsid w:val="00124C6B"/>
    <w:rsid w:val="00134213"/>
    <w:rsid w:val="001353C0"/>
    <w:rsid w:val="001372CD"/>
    <w:rsid w:val="0014657E"/>
    <w:rsid w:val="00151716"/>
    <w:rsid w:val="0017034F"/>
    <w:rsid w:val="00172353"/>
    <w:rsid w:val="00173FA7"/>
    <w:rsid w:val="00176013"/>
    <w:rsid w:val="00176DDE"/>
    <w:rsid w:val="00177350"/>
    <w:rsid w:val="0018446E"/>
    <w:rsid w:val="00197A90"/>
    <w:rsid w:val="001C67E3"/>
    <w:rsid w:val="001D0FA3"/>
    <w:rsid w:val="001D7B72"/>
    <w:rsid w:val="001E1E66"/>
    <w:rsid w:val="00215885"/>
    <w:rsid w:val="00215FCE"/>
    <w:rsid w:val="00217E7E"/>
    <w:rsid w:val="00231BD1"/>
    <w:rsid w:val="00232C84"/>
    <w:rsid w:val="00240041"/>
    <w:rsid w:val="00247001"/>
    <w:rsid w:val="002553FA"/>
    <w:rsid w:val="002569AB"/>
    <w:rsid w:val="00265486"/>
    <w:rsid w:val="00280B1F"/>
    <w:rsid w:val="002835E4"/>
    <w:rsid w:val="00285A62"/>
    <w:rsid w:val="002942C6"/>
    <w:rsid w:val="00297324"/>
    <w:rsid w:val="002A1DF4"/>
    <w:rsid w:val="002A4AF6"/>
    <w:rsid w:val="002A515D"/>
    <w:rsid w:val="002D1A8C"/>
    <w:rsid w:val="002E7675"/>
    <w:rsid w:val="002E79F4"/>
    <w:rsid w:val="00313046"/>
    <w:rsid w:val="00320484"/>
    <w:rsid w:val="00321BBC"/>
    <w:rsid w:val="00324F65"/>
    <w:rsid w:val="00335D9B"/>
    <w:rsid w:val="003376AB"/>
    <w:rsid w:val="0037225D"/>
    <w:rsid w:val="003752ED"/>
    <w:rsid w:val="00381400"/>
    <w:rsid w:val="00394C05"/>
    <w:rsid w:val="0039771A"/>
    <w:rsid w:val="003B05CB"/>
    <w:rsid w:val="003C532A"/>
    <w:rsid w:val="003E12E5"/>
    <w:rsid w:val="003E5920"/>
    <w:rsid w:val="003F4647"/>
    <w:rsid w:val="004135C2"/>
    <w:rsid w:val="00415129"/>
    <w:rsid w:val="00415427"/>
    <w:rsid w:val="00441BB4"/>
    <w:rsid w:val="00451E57"/>
    <w:rsid w:val="00461180"/>
    <w:rsid w:val="0047333E"/>
    <w:rsid w:val="00476FB5"/>
    <w:rsid w:val="00480482"/>
    <w:rsid w:val="00482BE6"/>
    <w:rsid w:val="00494BA7"/>
    <w:rsid w:val="004A032F"/>
    <w:rsid w:val="004A1AD2"/>
    <w:rsid w:val="004A1E02"/>
    <w:rsid w:val="004A4BBB"/>
    <w:rsid w:val="004A7097"/>
    <w:rsid w:val="004B0357"/>
    <w:rsid w:val="004B17A5"/>
    <w:rsid w:val="004B3F0C"/>
    <w:rsid w:val="004B55C7"/>
    <w:rsid w:val="004C3624"/>
    <w:rsid w:val="004D1640"/>
    <w:rsid w:val="004D3819"/>
    <w:rsid w:val="004D47C8"/>
    <w:rsid w:val="004E1AFF"/>
    <w:rsid w:val="004E7F78"/>
    <w:rsid w:val="004F5605"/>
    <w:rsid w:val="004F68D7"/>
    <w:rsid w:val="00514635"/>
    <w:rsid w:val="00530009"/>
    <w:rsid w:val="00536736"/>
    <w:rsid w:val="00541655"/>
    <w:rsid w:val="00553D26"/>
    <w:rsid w:val="0055674B"/>
    <w:rsid w:val="00565482"/>
    <w:rsid w:val="00566809"/>
    <w:rsid w:val="00571075"/>
    <w:rsid w:val="00575D8E"/>
    <w:rsid w:val="00581918"/>
    <w:rsid w:val="00582E46"/>
    <w:rsid w:val="00585886"/>
    <w:rsid w:val="005A0E16"/>
    <w:rsid w:val="005B74C2"/>
    <w:rsid w:val="005E51E1"/>
    <w:rsid w:val="005E7235"/>
    <w:rsid w:val="005F0CBC"/>
    <w:rsid w:val="005F2C5C"/>
    <w:rsid w:val="00603FB5"/>
    <w:rsid w:val="00604B6C"/>
    <w:rsid w:val="00610687"/>
    <w:rsid w:val="00615E6D"/>
    <w:rsid w:val="00621B0E"/>
    <w:rsid w:val="006233A7"/>
    <w:rsid w:val="00635292"/>
    <w:rsid w:val="00635A4A"/>
    <w:rsid w:val="00650693"/>
    <w:rsid w:val="00660447"/>
    <w:rsid w:val="00665FC3"/>
    <w:rsid w:val="00666C9C"/>
    <w:rsid w:val="0068347C"/>
    <w:rsid w:val="0069714B"/>
    <w:rsid w:val="006A35A0"/>
    <w:rsid w:val="006A7340"/>
    <w:rsid w:val="006B1B1D"/>
    <w:rsid w:val="006B7954"/>
    <w:rsid w:val="006C70A9"/>
    <w:rsid w:val="006C7948"/>
    <w:rsid w:val="006D3C37"/>
    <w:rsid w:val="006E1BBA"/>
    <w:rsid w:val="006E7D9A"/>
    <w:rsid w:val="006F70F8"/>
    <w:rsid w:val="006F7CA2"/>
    <w:rsid w:val="00702724"/>
    <w:rsid w:val="00702A9A"/>
    <w:rsid w:val="007170F1"/>
    <w:rsid w:val="00723E90"/>
    <w:rsid w:val="00726AF2"/>
    <w:rsid w:val="00736A92"/>
    <w:rsid w:val="0074765D"/>
    <w:rsid w:val="00747881"/>
    <w:rsid w:val="007978F7"/>
    <w:rsid w:val="00797DC7"/>
    <w:rsid w:val="007A2336"/>
    <w:rsid w:val="007A62BD"/>
    <w:rsid w:val="007B2D63"/>
    <w:rsid w:val="007E7AB8"/>
    <w:rsid w:val="00804EFA"/>
    <w:rsid w:val="0081110C"/>
    <w:rsid w:val="00813AAC"/>
    <w:rsid w:val="00816395"/>
    <w:rsid w:val="00817C96"/>
    <w:rsid w:val="00836713"/>
    <w:rsid w:val="008417F2"/>
    <w:rsid w:val="008511D3"/>
    <w:rsid w:val="0085146A"/>
    <w:rsid w:val="00853F5D"/>
    <w:rsid w:val="00860FF4"/>
    <w:rsid w:val="00865C6F"/>
    <w:rsid w:val="00870125"/>
    <w:rsid w:val="00870B02"/>
    <w:rsid w:val="00870FA9"/>
    <w:rsid w:val="00873C43"/>
    <w:rsid w:val="0088366D"/>
    <w:rsid w:val="00891E4D"/>
    <w:rsid w:val="00896304"/>
    <w:rsid w:val="008B2D9E"/>
    <w:rsid w:val="008C4536"/>
    <w:rsid w:val="008C4BEF"/>
    <w:rsid w:val="008D2561"/>
    <w:rsid w:val="008E2842"/>
    <w:rsid w:val="008F1670"/>
    <w:rsid w:val="008F3757"/>
    <w:rsid w:val="00901762"/>
    <w:rsid w:val="0090273F"/>
    <w:rsid w:val="009030CF"/>
    <w:rsid w:val="0091441E"/>
    <w:rsid w:val="00923740"/>
    <w:rsid w:val="009340CC"/>
    <w:rsid w:val="009373F9"/>
    <w:rsid w:val="00944CE6"/>
    <w:rsid w:val="009544EA"/>
    <w:rsid w:val="00966365"/>
    <w:rsid w:val="00966FF3"/>
    <w:rsid w:val="00967A9E"/>
    <w:rsid w:val="009764D5"/>
    <w:rsid w:val="0097670B"/>
    <w:rsid w:val="009833C7"/>
    <w:rsid w:val="009843EE"/>
    <w:rsid w:val="00986428"/>
    <w:rsid w:val="0099232C"/>
    <w:rsid w:val="009A32C5"/>
    <w:rsid w:val="009B067E"/>
    <w:rsid w:val="009B5FCB"/>
    <w:rsid w:val="009B600B"/>
    <w:rsid w:val="009C2C82"/>
    <w:rsid w:val="009F3DD3"/>
    <w:rsid w:val="009F4CEE"/>
    <w:rsid w:val="00A01DFD"/>
    <w:rsid w:val="00A03485"/>
    <w:rsid w:val="00A050D6"/>
    <w:rsid w:val="00A10506"/>
    <w:rsid w:val="00A14729"/>
    <w:rsid w:val="00A17141"/>
    <w:rsid w:val="00A20BB3"/>
    <w:rsid w:val="00A2427B"/>
    <w:rsid w:val="00A25774"/>
    <w:rsid w:val="00A34470"/>
    <w:rsid w:val="00A353FA"/>
    <w:rsid w:val="00A47DC2"/>
    <w:rsid w:val="00A5117E"/>
    <w:rsid w:val="00A55733"/>
    <w:rsid w:val="00A651E7"/>
    <w:rsid w:val="00A977FF"/>
    <w:rsid w:val="00A97957"/>
    <w:rsid w:val="00AA35C5"/>
    <w:rsid w:val="00AB6087"/>
    <w:rsid w:val="00AC1D41"/>
    <w:rsid w:val="00AC646B"/>
    <w:rsid w:val="00AE08EC"/>
    <w:rsid w:val="00AE100E"/>
    <w:rsid w:val="00AF1AA5"/>
    <w:rsid w:val="00AF7F92"/>
    <w:rsid w:val="00B00897"/>
    <w:rsid w:val="00B010C0"/>
    <w:rsid w:val="00B04DC3"/>
    <w:rsid w:val="00B1768B"/>
    <w:rsid w:val="00B20272"/>
    <w:rsid w:val="00B21FBD"/>
    <w:rsid w:val="00B47E81"/>
    <w:rsid w:val="00B5384F"/>
    <w:rsid w:val="00B5749F"/>
    <w:rsid w:val="00B57CD6"/>
    <w:rsid w:val="00B656EF"/>
    <w:rsid w:val="00B65FD7"/>
    <w:rsid w:val="00B66905"/>
    <w:rsid w:val="00B67377"/>
    <w:rsid w:val="00B6754B"/>
    <w:rsid w:val="00B71B59"/>
    <w:rsid w:val="00B90079"/>
    <w:rsid w:val="00B96BD6"/>
    <w:rsid w:val="00BA3224"/>
    <w:rsid w:val="00BA7E31"/>
    <w:rsid w:val="00BC0E4E"/>
    <w:rsid w:val="00BC1F67"/>
    <w:rsid w:val="00BC6C33"/>
    <w:rsid w:val="00BF7EBA"/>
    <w:rsid w:val="00C23C88"/>
    <w:rsid w:val="00C25A8C"/>
    <w:rsid w:val="00C37C88"/>
    <w:rsid w:val="00C37D47"/>
    <w:rsid w:val="00C40834"/>
    <w:rsid w:val="00C46491"/>
    <w:rsid w:val="00C51358"/>
    <w:rsid w:val="00C51DB7"/>
    <w:rsid w:val="00C55327"/>
    <w:rsid w:val="00C56842"/>
    <w:rsid w:val="00C61A90"/>
    <w:rsid w:val="00C715DD"/>
    <w:rsid w:val="00C82272"/>
    <w:rsid w:val="00C92C88"/>
    <w:rsid w:val="00C9717A"/>
    <w:rsid w:val="00CA0C41"/>
    <w:rsid w:val="00CB5EEC"/>
    <w:rsid w:val="00CC0C7B"/>
    <w:rsid w:val="00CC1CB3"/>
    <w:rsid w:val="00CF1C66"/>
    <w:rsid w:val="00CF2819"/>
    <w:rsid w:val="00CF3578"/>
    <w:rsid w:val="00D02F97"/>
    <w:rsid w:val="00D13A64"/>
    <w:rsid w:val="00D13F67"/>
    <w:rsid w:val="00D168E0"/>
    <w:rsid w:val="00D37C34"/>
    <w:rsid w:val="00D37EF2"/>
    <w:rsid w:val="00D40CBE"/>
    <w:rsid w:val="00D43291"/>
    <w:rsid w:val="00D8224D"/>
    <w:rsid w:val="00D8592B"/>
    <w:rsid w:val="00DA4E9F"/>
    <w:rsid w:val="00DB15FE"/>
    <w:rsid w:val="00DC12EF"/>
    <w:rsid w:val="00DC7BDA"/>
    <w:rsid w:val="00DD0652"/>
    <w:rsid w:val="00DD3136"/>
    <w:rsid w:val="00DD547D"/>
    <w:rsid w:val="00DE06F7"/>
    <w:rsid w:val="00DE16D4"/>
    <w:rsid w:val="00DE16E1"/>
    <w:rsid w:val="00E035BF"/>
    <w:rsid w:val="00E03934"/>
    <w:rsid w:val="00E03ECF"/>
    <w:rsid w:val="00E041B0"/>
    <w:rsid w:val="00E05A04"/>
    <w:rsid w:val="00E069B0"/>
    <w:rsid w:val="00E10B9C"/>
    <w:rsid w:val="00E16D1D"/>
    <w:rsid w:val="00E240DF"/>
    <w:rsid w:val="00E2767F"/>
    <w:rsid w:val="00E3204B"/>
    <w:rsid w:val="00E32800"/>
    <w:rsid w:val="00E36C97"/>
    <w:rsid w:val="00E36FA2"/>
    <w:rsid w:val="00E40A82"/>
    <w:rsid w:val="00E4201A"/>
    <w:rsid w:val="00E5143B"/>
    <w:rsid w:val="00E563EB"/>
    <w:rsid w:val="00E57A4C"/>
    <w:rsid w:val="00E60ADE"/>
    <w:rsid w:val="00E644FD"/>
    <w:rsid w:val="00E6579F"/>
    <w:rsid w:val="00E66CBA"/>
    <w:rsid w:val="00E73E28"/>
    <w:rsid w:val="00E808AE"/>
    <w:rsid w:val="00E8217C"/>
    <w:rsid w:val="00E82512"/>
    <w:rsid w:val="00E83AF6"/>
    <w:rsid w:val="00EA12D4"/>
    <w:rsid w:val="00EA2543"/>
    <w:rsid w:val="00EE1DBE"/>
    <w:rsid w:val="00EE5071"/>
    <w:rsid w:val="00EF6436"/>
    <w:rsid w:val="00EF6B61"/>
    <w:rsid w:val="00F0250A"/>
    <w:rsid w:val="00F07F3B"/>
    <w:rsid w:val="00F129A9"/>
    <w:rsid w:val="00F153B1"/>
    <w:rsid w:val="00F15766"/>
    <w:rsid w:val="00F176FD"/>
    <w:rsid w:val="00F27288"/>
    <w:rsid w:val="00F34613"/>
    <w:rsid w:val="00F34E99"/>
    <w:rsid w:val="00F35A96"/>
    <w:rsid w:val="00F35DB1"/>
    <w:rsid w:val="00F43D2A"/>
    <w:rsid w:val="00F46638"/>
    <w:rsid w:val="00F5180E"/>
    <w:rsid w:val="00F8609B"/>
    <w:rsid w:val="00F87E21"/>
    <w:rsid w:val="00FB544A"/>
    <w:rsid w:val="00FC0FF3"/>
    <w:rsid w:val="00FC4AD0"/>
    <w:rsid w:val="00FC5748"/>
    <w:rsid w:val="00FD676D"/>
    <w:rsid w:val="00FE0F89"/>
    <w:rsid w:val="00FE583A"/>
    <w:rsid w:val="00FF3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02D12"/>
  <w15:chartTrackingRefBased/>
  <w15:docId w15:val="{BCF4FF1D-D2F1-4233-956F-9CA380510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rsid w:val="00DE16E1"/>
    <w:pPr>
      <w:spacing w:before="360" w:after="120" w:line="240" w:lineRule="auto"/>
      <w:outlineLvl w:val="0"/>
    </w:pPr>
    <w:rPr>
      <w:rFonts w:ascii="Arial" w:eastAsia="Arial" w:hAnsi="Arial" w:cs="Arial"/>
      <w:b/>
      <w:bCs/>
      <w:color w:val="1F3864"/>
      <w:sz w:val="36"/>
      <w:szCs w:val="36"/>
    </w:rPr>
  </w:style>
  <w:style w:type="paragraph" w:styleId="Heading2">
    <w:name w:val="heading 2"/>
    <w:basedOn w:val="Normal"/>
    <w:next w:val="Normal"/>
    <w:link w:val="Heading2Char"/>
    <w:uiPriority w:val="9"/>
    <w:unhideWhenUsed/>
    <w:qFormat/>
    <w:rsid w:val="001723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23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6E1"/>
    <w:rPr>
      <w:rFonts w:ascii="Arial" w:eastAsia="Arial" w:hAnsi="Arial" w:cs="Arial"/>
      <w:b/>
      <w:bCs/>
      <w:color w:val="1F3864"/>
      <w:sz w:val="36"/>
      <w:szCs w:val="36"/>
    </w:rPr>
  </w:style>
  <w:style w:type="character" w:customStyle="1" w:styleId="Heading2Char">
    <w:name w:val="Heading 2 Char"/>
    <w:basedOn w:val="DefaultParagraphFont"/>
    <w:link w:val="Heading2"/>
    <w:uiPriority w:val="9"/>
    <w:rsid w:val="001723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2353"/>
    <w:rPr>
      <w:rFonts w:asciiTheme="majorHAnsi" w:eastAsiaTheme="majorEastAsia" w:hAnsiTheme="majorHAnsi" w:cstheme="majorBidi"/>
      <w:color w:val="1F3763" w:themeColor="accent1" w:themeShade="7F"/>
      <w:sz w:val="24"/>
      <w:szCs w:val="24"/>
    </w:rPr>
  </w:style>
  <w:style w:type="paragraph" w:styleId="ListParagraph">
    <w:name w:val="List Paragraph"/>
    <w:qFormat/>
    <w:rsid w:val="00C56842"/>
    <w:pPr>
      <w:spacing w:after="0" w:line="240" w:lineRule="auto"/>
    </w:pPr>
    <w:rPr>
      <w:rFonts w:ascii="Arial" w:eastAsia="Arial" w:hAnsi="Arial" w:cs="Arial"/>
      <w:color w:val="404040"/>
    </w:rPr>
  </w:style>
  <w:style w:type="paragraph" w:styleId="TOCHeading">
    <w:name w:val="TOC Heading"/>
    <w:basedOn w:val="Heading1"/>
    <w:next w:val="Normal"/>
    <w:uiPriority w:val="39"/>
    <w:unhideWhenUsed/>
    <w:qFormat/>
    <w:rsid w:val="00B67377"/>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67377"/>
    <w:pPr>
      <w:spacing w:after="100"/>
    </w:pPr>
  </w:style>
  <w:style w:type="paragraph" w:styleId="TOC2">
    <w:name w:val="toc 2"/>
    <w:basedOn w:val="Normal"/>
    <w:next w:val="Normal"/>
    <w:autoRedefine/>
    <w:uiPriority w:val="39"/>
    <w:unhideWhenUsed/>
    <w:rsid w:val="00B67377"/>
    <w:pPr>
      <w:spacing w:after="100"/>
      <w:ind w:left="220"/>
    </w:pPr>
  </w:style>
  <w:style w:type="paragraph" w:styleId="TOC3">
    <w:name w:val="toc 3"/>
    <w:basedOn w:val="Normal"/>
    <w:next w:val="Normal"/>
    <w:autoRedefine/>
    <w:uiPriority w:val="39"/>
    <w:unhideWhenUsed/>
    <w:rsid w:val="00B67377"/>
    <w:pPr>
      <w:spacing w:after="100"/>
      <w:ind w:left="440"/>
    </w:pPr>
  </w:style>
  <w:style w:type="character" w:styleId="Hyperlink">
    <w:name w:val="Hyperlink"/>
    <w:basedOn w:val="DefaultParagraphFont"/>
    <w:uiPriority w:val="99"/>
    <w:unhideWhenUsed/>
    <w:rsid w:val="00B67377"/>
    <w:rPr>
      <w:color w:val="0563C1" w:themeColor="hyperlink"/>
      <w:u w:val="single"/>
    </w:rPr>
  </w:style>
  <w:style w:type="paragraph" w:styleId="Header">
    <w:name w:val="header"/>
    <w:basedOn w:val="Normal"/>
    <w:link w:val="HeaderChar"/>
    <w:uiPriority w:val="99"/>
    <w:unhideWhenUsed/>
    <w:rsid w:val="00B673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7377"/>
  </w:style>
  <w:style w:type="paragraph" w:styleId="Footer">
    <w:name w:val="footer"/>
    <w:basedOn w:val="Normal"/>
    <w:link w:val="FooterChar"/>
    <w:uiPriority w:val="99"/>
    <w:unhideWhenUsed/>
    <w:rsid w:val="00B673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7377"/>
  </w:style>
  <w:style w:type="character" w:styleId="Emphasis">
    <w:name w:val="Emphasis"/>
    <w:basedOn w:val="DefaultParagraphFont"/>
    <w:uiPriority w:val="20"/>
    <w:qFormat/>
    <w:rsid w:val="000179EE"/>
    <w:rPr>
      <w:i/>
      <w:iCs/>
    </w:rPr>
  </w:style>
  <w:style w:type="paragraph" w:styleId="Caption">
    <w:name w:val="caption"/>
    <w:basedOn w:val="Normal"/>
    <w:next w:val="Normal"/>
    <w:uiPriority w:val="35"/>
    <w:unhideWhenUsed/>
    <w:qFormat/>
    <w:rsid w:val="00CF3578"/>
    <w:pPr>
      <w:spacing w:after="200" w:line="240" w:lineRule="auto"/>
    </w:pPr>
    <w:rPr>
      <w:i/>
      <w:iCs/>
      <w:color w:val="44546A" w:themeColor="text2"/>
      <w:sz w:val="18"/>
      <w:szCs w:val="18"/>
    </w:rPr>
  </w:style>
  <w:style w:type="paragraph" w:customStyle="1" w:styleId="Default">
    <w:name w:val="Default"/>
    <w:rsid w:val="00285A62"/>
    <w:pPr>
      <w:autoSpaceDE w:val="0"/>
      <w:autoSpaceDN w:val="0"/>
      <w:adjustRightInd w:val="0"/>
      <w:spacing w:after="0" w:line="240" w:lineRule="auto"/>
    </w:pPr>
    <w:rPr>
      <w:rFonts w:ascii="Aptos Display" w:hAnsi="Aptos Display" w:cs="Aptos Display"/>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AC9D5-16D3-411C-985A-98473C262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TotalTime>
  <Pages>43</Pages>
  <Words>8614</Words>
  <Characters>49100</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355</cp:revision>
  <dcterms:created xsi:type="dcterms:W3CDTF">2026-04-10T19:38:00Z</dcterms:created>
  <dcterms:modified xsi:type="dcterms:W3CDTF">2026-04-21T10:17:00Z</dcterms:modified>
</cp:coreProperties>
</file>