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9657C2" w14:textId="44B9011E" w:rsidR="007E7184" w:rsidRPr="00347B89" w:rsidRDefault="00DB2C0B">
      <w:pPr>
        <w:rPr>
          <w:b/>
          <w:u w:val="single"/>
        </w:rPr>
      </w:pPr>
      <w:r w:rsidRPr="00347B89">
        <w:rPr>
          <w:b/>
          <w:u w:val="single"/>
        </w:rPr>
        <w:t>How important was the concept of spiritual reward in motivating people to go on crusade?</w:t>
      </w:r>
    </w:p>
    <w:p w14:paraId="1C870288" w14:textId="104C4E2F" w:rsidR="00DB2C0B" w:rsidRDefault="00347B89">
      <w:r>
        <w:t xml:space="preserve">     </w:t>
      </w:r>
      <w:r w:rsidR="00B2567C">
        <w:t xml:space="preserve"> </w:t>
      </w:r>
      <w:r w:rsidR="00DB2C0B">
        <w:t xml:space="preserve">In 1095 Pope Urban II sanctioned under papal authority what is today considered the First Crusade. Historians for several centuries have disputed </w:t>
      </w:r>
      <w:r w:rsidR="00AF60C0">
        <w:t>over what defines a crusade and what the motives were for calling</w:t>
      </w:r>
      <w:r w:rsidR="007D1E8A">
        <w:t xml:space="preserve"> but also going on</w:t>
      </w:r>
      <w:r w:rsidR="00AF60C0">
        <w:t xml:space="preserve"> a crusade. Crusade historians such as Johnathon Riley-Smith and Christopher Tyerman have both examined and </w:t>
      </w:r>
      <w:r w:rsidR="007D1E8A">
        <w:t>attempted</w:t>
      </w:r>
      <w:r w:rsidR="00AF60C0">
        <w:t xml:space="preserve"> to explain what a crusade is, but also what were the key motives for people crusading as will be explored in this assignment. This essay will explore four main possible motivations behind individuals going on a crusade</w:t>
      </w:r>
      <w:r w:rsidR="0062540F">
        <w:t xml:space="preserve">: </w:t>
      </w:r>
      <w:r w:rsidR="00DC62A3">
        <w:t>s</w:t>
      </w:r>
      <w:r w:rsidR="0062540F">
        <w:t xml:space="preserve">piritual reward, economic reward, political reward and social reward. To analyse some of these motives primary sources that will be examined are Robert de Nogents version of Pope Urban II speech and </w:t>
      </w:r>
      <w:r w:rsidR="00204051">
        <w:t>chronicler Fulcher of Chartres translation of Pope Urban II speech at Clermont. Secondary sources that will be examined to help conclude the argument on how important the concept of spiritual reward was in motivating people to go on a crusade</w:t>
      </w:r>
      <w:r w:rsidR="00983F3B">
        <w:t xml:space="preserve"> </w:t>
      </w:r>
      <w:r w:rsidR="00204051">
        <w:t>is, Jonathon Riley-Smith and Christopher Tyerman</w:t>
      </w:r>
      <w:r w:rsidR="00DC62A3">
        <w:t>.</w:t>
      </w:r>
      <w:r w:rsidR="00204051">
        <w:t xml:space="preserve"> </w:t>
      </w:r>
      <w:r w:rsidR="00983F3B">
        <w:t>To begin, the concept of what is a crusade will be briefly explained</w:t>
      </w:r>
      <w:r w:rsidR="00DC62A3">
        <w:t>, alongside a summary to the First Crusade.</w:t>
      </w:r>
    </w:p>
    <w:p w14:paraId="0A36C6D9" w14:textId="2129D0D0" w:rsidR="00A300C7" w:rsidRDefault="00005A11">
      <w:r>
        <w:t xml:space="preserve">  </w:t>
      </w:r>
      <w:r w:rsidR="00B2567C">
        <w:t xml:space="preserve">  </w:t>
      </w:r>
      <w:r>
        <w:t xml:space="preserve"> </w:t>
      </w:r>
      <w:r w:rsidR="00665141">
        <w:t>For centuries defining what is a crusade</w:t>
      </w:r>
      <w:r w:rsidR="00B2567C">
        <w:t xml:space="preserve"> and crusade historiography</w:t>
      </w:r>
      <w:r w:rsidR="00665141">
        <w:t xml:space="preserve"> has bewildered history scholars and four main </w:t>
      </w:r>
      <w:r w:rsidR="00C64EF9">
        <w:t>scholarly camps</w:t>
      </w:r>
      <w:r w:rsidR="00665141">
        <w:t xml:space="preserve"> have been identified: Traditionalist, Pluralist, Popularist and Generalist. </w:t>
      </w:r>
      <w:r>
        <w:t xml:space="preserve">Crusade historian Johnathon Riley-Smith in brief outlines what each interpretation defines a crusade as, but as a crusade </w:t>
      </w:r>
      <w:r w:rsidR="00C64EF9">
        <w:t>historian</w:t>
      </w:r>
      <w:r>
        <w:t xml:space="preserve"> himself falls under the pluralist interpretation. </w:t>
      </w:r>
      <w:r w:rsidR="00C64EF9">
        <w:t>The pluralist interpretation of the crusades believes that ‘an array of campaigns preached as crusades, which took place in multiple arenas’ were indeed crusades.</w:t>
      </w:r>
      <w:r w:rsidR="00C86937">
        <w:rPr>
          <w:rStyle w:val="FootnoteReference"/>
        </w:rPr>
        <w:footnoteReference w:id="1"/>
      </w:r>
      <w:r w:rsidR="00C64EF9">
        <w:t xml:space="preserve"> The traditionalist approach </w:t>
      </w:r>
      <w:r w:rsidR="0063193B">
        <w:t xml:space="preserve">to </w:t>
      </w:r>
      <w:r w:rsidR="00C64EF9">
        <w:t xml:space="preserve">defining the crusades would contradict the pluralist definition </w:t>
      </w:r>
      <w:r w:rsidR="0063193B">
        <w:t xml:space="preserve">of the crusades </w:t>
      </w:r>
      <w:r w:rsidR="00C64EF9">
        <w:t xml:space="preserve">and believes only the nine papal sanctioned crusades are in theory crusades. </w:t>
      </w:r>
      <w:r w:rsidR="0063193B">
        <w:t xml:space="preserve">They believe crusades set out to recover Jerusalem or in defence of Christendom are certified crusades. Riley-Smith categorises Christopher Tyerman as straddling the pluralist and generalist camps, overall favouring the generalist approach as </w:t>
      </w:r>
      <w:r w:rsidR="00FF1DC7">
        <w:t>stated in his secondary works bibliography. To define what a crusade is, i</w:t>
      </w:r>
      <w:r w:rsidR="00DC62A3">
        <w:t>t is</w:t>
      </w:r>
      <w:r w:rsidR="00FF1DC7">
        <w:t xml:space="preserve"> down to individual interpretation, were the crusades justified and necessary to defend Christendom or were they a justification for all out war against the other, genocide and ethnic cleansing. </w:t>
      </w:r>
    </w:p>
    <w:p w14:paraId="58571E0E" w14:textId="57CE813D" w:rsidR="00B2567C" w:rsidRDefault="00B2567C" w:rsidP="004621F3">
      <w:r>
        <w:t xml:space="preserve">     The year 1095 Pope Urban II, under papal sanction called for the first official holy war, the First Crusade. </w:t>
      </w:r>
      <w:r w:rsidR="004621F3">
        <w:t>It is understood that the First Crusade was called by Urban II in order to defend the holy lands, but mainly to ‘promote their religion’ the one and only Christianity</w:t>
      </w:r>
      <w:r w:rsidR="00751A33">
        <w:t xml:space="preserve"> as Christopher Tyerman explains</w:t>
      </w:r>
      <w:r w:rsidR="004621F3">
        <w:t xml:space="preserve">. Early calls from the Byzantine emperor, Alexius I Comnenus, </w:t>
      </w:r>
      <w:r w:rsidR="00751A33">
        <w:t>regarding</w:t>
      </w:r>
      <w:r w:rsidR="004621F3">
        <w:t xml:space="preserve"> the</w:t>
      </w:r>
      <w:r w:rsidR="004621F3" w:rsidRPr="004621F3">
        <w:t xml:space="preserve"> pressure</w:t>
      </w:r>
      <w:r w:rsidR="00751A33">
        <w:t xml:space="preserve"> being forced</w:t>
      </w:r>
      <w:r w:rsidR="004621F3" w:rsidRPr="004621F3">
        <w:t xml:space="preserve"> </w:t>
      </w:r>
      <w:r w:rsidR="00751A33">
        <w:t xml:space="preserve">upon </w:t>
      </w:r>
      <w:r w:rsidR="004621F3" w:rsidRPr="004621F3">
        <w:t>Constantinople</w:t>
      </w:r>
      <w:r w:rsidR="00751A33">
        <w:t xml:space="preserve"> </w:t>
      </w:r>
      <w:r w:rsidR="004621F3">
        <w:t>from the Islamic territories in the East</w:t>
      </w:r>
      <w:r w:rsidR="00751A33">
        <w:t>, went unanswered from Pope Urban II until 1095. Pope Urban II saw a</w:t>
      </w:r>
      <w:r w:rsidR="00313F39">
        <w:t>n</w:t>
      </w:r>
      <w:r w:rsidR="00751A33">
        <w:t xml:space="preserve"> unmissable public relations opportunity to spread ‘papal ideology, leadership and power’ </w:t>
      </w:r>
      <w:r w:rsidR="00313F39">
        <w:t>across the East, but also the doctrine of the Catholic Church.</w:t>
      </w:r>
      <w:r w:rsidR="00313F39">
        <w:rPr>
          <w:rStyle w:val="FootnoteReference"/>
        </w:rPr>
        <w:footnoteReference w:id="2"/>
      </w:r>
      <w:r w:rsidR="00313F39">
        <w:t xml:space="preserve"> Pope Urban II being highly influential, especially in France his home country, made a speech at the Council of Clermont in 1095, calling on the faithful to band together in order to defend their faith and reclaim their holy lands, all under Gods will, while offering little incentives </w:t>
      </w:r>
      <w:r w:rsidR="001257D3">
        <w:t xml:space="preserve">to motivate the people of Christendom. </w:t>
      </w:r>
      <w:r w:rsidR="009B576D">
        <w:t xml:space="preserve">The first wave of the crusade known as the Peasants Crusade was rounded up by charismatic priest Peter of Amiens, known as Peter the Hermit. Leading men, woman and children across land down to Constantinople, </w:t>
      </w:r>
      <w:r w:rsidR="00DC62A3">
        <w:t>but throughout</w:t>
      </w:r>
      <w:r w:rsidR="009B576D">
        <w:t xml:space="preserve"> this journey they pillaged many villages and killed many, notably the Jewish community in ‘Rhineland in May and June’ but also many of their own, other Christian communities out of hunger and desperation.</w:t>
      </w:r>
      <w:r w:rsidR="009B576D">
        <w:rPr>
          <w:rStyle w:val="FootnoteReference"/>
        </w:rPr>
        <w:footnoteReference w:id="3"/>
      </w:r>
      <w:r w:rsidR="00477C92">
        <w:t xml:space="preserve"> The second wave of the crusade, </w:t>
      </w:r>
      <w:r w:rsidR="00477C92">
        <w:lastRenderedPageBreak/>
        <w:t xml:space="preserve">the Princes Crusade launched in 1096, under official papal sanction. The </w:t>
      </w:r>
      <w:r w:rsidR="00C846EF">
        <w:t>pope’s</w:t>
      </w:r>
      <w:r w:rsidR="00477C92">
        <w:t xml:space="preserve"> </w:t>
      </w:r>
      <w:r w:rsidR="00C846EF">
        <w:t>official</w:t>
      </w:r>
      <w:r w:rsidR="00477C92">
        <w:t xml:space="preserve"> representative Bishop Adhemar of Le Puy</w:t>
      </w:r>
      <w:r w:rsidR="00C846EF">
        <w:t xml:space="preserve"> and </w:t>
      </w:r>
      <w:r w:rsidR="00477C92">
        <w:t>Raymond Count of Toulouse,</w:t>
      </w:r>
      <w:r w:rsidR="00C846EF">
        <w:t xml:space="preserve"> headed the army, alongside:</w:t>
      </w:r>
      <w:r w:rsidR="00477C92">
        <w:t xml:space="preserve"> Bohemund of Taranto</w:t>
      </w:r>
      <w:r w:rsidR="00C846EF">
        <w:t>, Godfrey of Bouillon and Baldwin of Boulogne. This second wave of crusaders finally recaptured the holy land of Jerusalem, but on the way many of them showed their clear motives for joining the crusading movement. The First Crusade brings to light several motives for joining the crusading operation, many motives differing amongst the people involved in the crusade, from: spiritual, economic, political and socia</w:t>
      </w:r>
      <w:r w:rsidR="00DC62A3">
        <w:t>l</w:t>
      </w:r>
      <w:r w:rsidR="00C846EF">
        <w:t xml:space="preserve"> rewards. </w:t>
      </w:r>
    </w:p>
    <w:p w14:paraId="04D59687" w14:textId="6A8ECF88" w:rsidR="00460C44" w:rsidRDefault="00C846EF" w:rsidP="004621F3">
      <w:r>
        <w:t xml:space="preserve">     </w:t>
      </w:r>
      <w:r w:rsidR="00F4351C">
        <w:t xml:space="preserve">One motive that would have certainly been more favourable during the crusading movement was the economical reward offered to those who took the cross. </w:t>
      </w:r>
      <w:r w:rsidR="00FA7605">
        <w:t xml:space="preserve">Certain privileges </w:t>
      </w:r>
      <w:r w:rsidR="009F18BF">
        <w:t>were offered not only to the men and woman who went on crusades but also clerics who joined the crusades as Jonathon Riley-Smith explores. The church granted many exemptions and privileges to those who went on crusades, notably ‘protection of possessions, hospitality, tolls and taxes, immunity, suspension of legal proceedings.</w:t>
      </w:r>
      <w:r w:rsidR="009F18BF">
        <w:rPr>
          <w:rStyle w:val="FootnoteReference"/>
        </w:rPr>
        <w:footnoteReference w:id="4"/>
      </w:r>
      <w:r w:rsidR="009F18BF">
        <w:t xml:space="preserve"> Protection of possessions assured those who went on crusades that their home and lands if taken while they were crusading would be returned to them upon their arrival home. Crusaders were granted the right to demand hospitality from churches, free food, care and medical attention. Exemption from tolls and taxes if they completed </w:t>
      </w:r>
      <w:r w:rsidR="00514657">
        <w:t xml:space="preserve">a successful crusade would have motivated people from all social backgrounds, especially those poverty stricken, the peasantry. </w:t>
      </w:r>
      <w:r w:rsidR="00235D9F">
        <w:t xml:space="preserve">Crusaders were immune from arrest, giving a relief on the expenses that </w:t>
      </w:r>
      <w:r w:rsidR="00DC62A3">
        <w:t>coincide with</w:t>
      </w:r>
      <w:r w:rsidR="00235D9F">
        <w:t xml:space="preserve"> arrest, this also links with suspension of legal proceedings, giving a crusader temporary financial relief. Crusaders are famously represented as looters, Riley-Smith writes ‘loot gained, would have been dissipated’ meaning lost on the journey home, due to exhaustion of having to carry it all back.</w:t>
      </w:r>
      <w:r w:rsidR="00235D9F">
        <w:rPr>
          <w:rStyle w:val="FootnoteReference"/>
        </w:rPr>
        <w:footnoteReference w:id="5"/>
      </w:r>
      <w:r w:rsidR="00443B37">
        <w:t xml:space="preserve"> Christopher Tyerman agrees with Riley-Smith that economic rewards such as ‘church protection, immunity from interests, debts and law suits’ became a motivation for crusading.</w:t>
      </w:r>
      <w:r w:rsidR="00443B37">
        <w:rPr>
          <w:rStyle w:val="FootnoteReference"/>
        </w:rPr>
        <w:footnoteReference w:id="6"/>
      </w:r>
      <w:r w:rsidR="00443B37">
        <w:t xml:space="preserve"> </w:t>
      </w:r>
    </w:p>
    <w:p w14:paraId="25B9A610" w14:textId="2355AC4C" w:rsidR="00443B37" w:rsidRDefault="00460C44" w:rsidP="004621F3">
      <w:r>
        <w:t xml:space="preserve">     However,</w:t>
      </w:r>
      <w:r w:rsidR="00443B37">
        <w:t xml:space="preserve"> both historians agree that </w:t>
      </w:r>
      <w:r w:rsidR="00397015">
        <w:t xml:space="preserve">financial gain as a motivator, lacks evidence. </w:t>
      </w:r>
      <w:r>
        <w:t xml:space="preserve">Early historical writings such as the, </w:t>
      </w:r>
      <w:r w:rsidRPr="00460C44">
        <w:rPr>
          <w:i/>
        </w:rPr>
        <w:t>Gesta Francorum</w:t>
      </w:r>
      <w:r>
        <w:t xml:space="preserve"> and Pope Urban II: letter of instruction to the crusaders 1095, both lack financial motivation as do the latter accounts and interpretations of Pope Urban II speeches such as, chronicler Fulcher of Chartres: </w:t>
      </w:r>
      <w:r w:rsidRPr="00460C44">
        <w:rPr>
          <w:i/>
        </w:rPr>
        <w:t>Gesta Francorum</w:t>
      </w:r>
      <w:r>
        <w:t xml:space="preserve"> translation and Guibert de Nogents version of events. </w:t>
      </w:r>
      <w:r w:rsidR="00397015">
        <w:t>Tyerman writes ‘Piety and religious energy’ are the key motives of the crusaders.</w:t>
      </w:r>
      <w:r w:rsidR="00397015">
        <w:rPr>
          <w:rStyle w:val="FootnoteReference"/>
        </w:rPr>
        <w:footnoteReference w:id="7"/>
      </w:r>
      <w:r w:rsidR="00397015">
        <w:t xml:space="preserve"> Riley-Smith writes ‘the profit motive looks less and less convincing’.</w:t>
      </w:r>
      <w:r w:rsidR="00397015">
        <w:rPr>
          <w:rStyle w:val="FootnoteReference"/>
        </w:rPr>
        <w:footnoteReference w:id="8"/>
      </w:r>
      <w:r w:rsidR="00397015">
        <w:t xml:space="preserve"> Both historians believe that the evidence highly supports spiritual reward as the key motive. </w:t>
      </w:r>
    </w:p>
    <w:p w14:paraId="3C3A73E4" w14:textId="25E93C31" w:rsidR="00D926C2" w:rsidRDefault="005B210A" w:rsidP="004621F3">
      <w:r>
        <w:t xml:space="preserve">     Another potential motive causing people to go on a crusade is political reward. Political ambition is more prominent </w:t>
      </w:r>
      <w:r w:rsidR="00EF10CE">
        <w:t xml:space="preserve">motive behind the rich noble individuals who took the cross, but also the motivation for the Catholic church calling the Crusades in the first place. Tyerman believes recruitment of the significant people, such as, ‘princes, lords, knights and </w:t>
      </w:r>
      <w:r w:rsidR="00BE13A8">
        <w:t>urban</w:t>
      </w:r>
      <w:r w:rsidR="00EF10CE">
        <w:t xml:space="preserve"> elites’ was </w:t>
      </w:r>
      <w:r w:rsidR="00BE13A8">
        <w:t>vital in allowing the papacy ultimate control over the ruling elite and the outcome of the war, or crusade.</w:t>
      </w:r>
      <w:r w:rsidR="00BE13A8">
        <w:rPr>
          <w:rStyle w:val="FootnoteReference"/>
        </w:rPr>
        <w:footnoteReference w:id="9"/>
      </w:r>
      <w:r w:rsidR="00BE13A8">
        <w:t xml:space="preserve"> Riley-Smith calls the crusading armies ‘papal instruments’ under the control of a ‘Papal Monarchy’ </w:t>
      </w:r>
      <w:r w:rsidR="00E4144C">
        <w:t>giving the Catholic church a sense of ecclesiastical authority</w:t>
      </w:r>
      <w:r w:rsidR="00D926C2">
        <w:t xml:space="preserve"> in temporal affairs</w:t>
      </w:r>
      <w:r w:rsidR="00E4144C">
        <w:t>.</w:t>
      </w:r>
      <w:r w:rsidR="00E4144C">
        <w:rPr>
          <w:rStyle w:val="FootnoteReference"/>
        </w:rPr>
        <w:footnoteReference w:id="10"/>
      </w:r>
      <w:r w:rsidR="00E4144C">
        <w:t xml:space="preserve"> Members of the Catholic church under no circumstances were not allowed to take up arms against, nor wield a sword against another. By calling on the people of Christendom, the Catholic church gained a substantial </w:t>
      </w:r>
      <w:r w:rsidR="00E4144C">
        <w:lastRenderedPageBreak/>
        <w:t xml:space="preserve">force. Many contemporary historians believe the Catholic church had self-interest in mind and used the devoted disciples of God in order to execute </w:t>
      </w:r>
      <w:r w:rsidR="002C2BD7">
        <w:t>a war. Tyerman writes ‘political and social radicalism were articulated in religious terms’ by doing this the Catholic church was able to use religion, which at the time was the centre of individuals li</w:t>
      </w:r>
      <w:r w:rsidR="00FE6E00">
        <w:t>ves</w:t>
      </w:r>
      <w:r w:rsidR="002C2BD7">
        <w:t>, to their advantage, to commit genocide, ethnic cleansing and expand Christian territories for control and financial gain.</w:t>
      </w:r>
      <w:r w:rsidR="002C2BD7">
        <w:rPr>
          <w:rStyle w:val="FootnoteReference"/>
        </w:rPr>
        <w:footnoteReference w:id="11"/>
      </w:r>
      <w:r w:rsidR="00D926C2">
        <w:t xml:space="preserve"> Individuals such as Bohemond of Taranto during the first crusade gained territory, becoming the Prince of Antioch, and refused to continue to Jerusalem to reclaim the Holy Land, this leaves him open to critique, was he crusading on behalf or his religion or other motivational factors. </w:t>
      </w:r>
    </w:p>
    <w:p w14:paraId="1FB095EE" w14:textId="69DDFE8E" w:rsidR="00D926C2" w:rsidRDefault="00D926C2" w:rsidP="004621F3">
      <w:r>
        <w:t xml:space="preserve">     Nonetheless political reward may have been a motivational factor for some individuals to go crusading but possibly the core reasoning behind the Catholic church calling on the faithful to </w:t>
      </w:r>
      <w:r w:rsidR="004E4AE5">
        <w:t xml:space="preserve">subconsciously </w:t>
      </w:r>
      <w:r>
        <w:t xml:space="preserve">become their puppets for expansion, in territory and doctrine. </w:t>
      </w:r>
    </w:p>
    <w:p w14:paraId="047B8098" w14:textId="3552E171" w:rsidR="004E4AE5" w:rsidRDefault="004E4AE5" w:rsidP="004621F3">
      <w:r>
        <w:t xml:space="preserve">     Another probable motive for people going on a crusade may have been the social reward. Riley-Smith explains that crusaders upon returning home experienced ‘enhanced prestige’ a true man or woman of the </w:t>
      </w:r>
      <w:r w:rsidR="00E8226F">
        <w:t>Christian</w:t>
      </w:r>
      <w:r>
        <w:t xml:space="preserve"> faith, </w:t>
      </w:r>
      <w:r w:rsidR="00E8226F">
        <w:t>alongside their indulgences.</w:t>
      </w:r>
      <w:r w:rsidR="00E8226F">
        <w:rPr>
          <w:rStyle w:val="FootnoteReference"/>
        </w:rPr>
        <w:footnoteReference w:id="12"/>
      </w:r>
      <w:r w:rsidR="00E8226F">
        <w:t xml:space="preserve"> By the late thirteenth century crusading was a ‘social obligation of chivalric culture’ meaning crusading became embedded into noble life, fighting for what is moral and right in the eyes of God. Tyerman takes a more extremist view towards </w:t>
      </w:r>
      <w:r w:rsidR="00974F57">
        <w:t xml:space="preserve">the </w:t>
      </w:r>
      <w:r w:rsidR="00E8226F">
        <w:t>enhance</w:t>
      </w:r>
      <w:r w:rsidR="00974F57">
        <w:t>d</w:t>
      </w:r>
      <w:r w:rsidR="00E8226F">
        <w:t xml:space="preserve"> social status given to the crusaders</w:t>
      </w:r>
      <w:r w:rsidR="00974F57">
        <w:t xml:space="preserve"> ‘using their status as licence to commit theft, murder and rape’. Here Tyerman expresses that crusaders felt immune to common law after receiving special privileges on behalf of papacy. In Fulcher of Chartres version of Pope Urban II speech, there is reference to reinventing social status ‘robber, now become knights’ meaning there is a chance for a </w:t>
      </w:r>
      <w:r w:rsidR="00347B89">
        <w:t>‘bad’ Christian to redeem their social status and the phrase ‘double honour’ is stated, once again enhancement of social status.</w:t>
      </w:r>
      <w:r w:rsidR="00347B89">
        <w:rPr>
          <w:rStyle w:val="FootnoteReference"/>
        </w:rPr>
        <w:footnoteReference w:id="13"/>
      </w:r>
      <w:r w:rsidR="00347B89">
        <w:t xml:space="preserve"> </w:t>
      </w:r>
    </w:p>
    <w:p w14:paraId="758AF552" w14:textId="4699D91A" w:rsidR="00347B89" w:rsidRDefault="00347B89" w:rsidP="004621F3">
      <w:r>
        <w:t xml:space="preserve">     However, both Tyerman and Riley-Smith see social reward as a very minor motivator behind people going on a crusade. </w:t>
      </w:r>
    </w:p>
    <w:p w14:paraId="172AA12D" w14:textId="09803C06" w:rsidR="00347B89" w:rsidRDefault="00347B89" w:rsidP="004621F3">
      <w:r>
        <w:t xml:space="preserve">     Another motive for people going on a crusade was the importance of the concept of spiritual reward, from their Lord and Saviour. Pope Urban II wrote </w:t>
      </w:r>
      <w:r w:rsidR="00173F45">
        <w:t xml:space="preserve">a letter of instruction to the crusaders late 1095, within this letter Urban II writes ‘preparation for the remission of all sins’ this would have been highly significant to those crusaders who believed they had sinned, the pope is proposing to wipe away any outstanding sins </w:t>
      </w:r>
      <w:r w:rsidR="00FE6E00">
        <w:t xml:space="preserve">that </w:t>
      </w:r>
      <w:r w:rsidR="00173F45">
        <w:t>the crusaders may have doting on their faithful minds.</w:t>
      </w:r>
      <w:r w:rsidR="00173F45">
        <w:rPr>
          <w:rStyle w:val="FootnoteReference"/>
        </w:rPr>
        <w:footnoteReference w:id="14"/>
      </w:r>
      <w:r w:rsidR="00173F45">
        <w:t xml:space="preserve"> Riley-Smith emphasises this ‘remission’ of all sins was </w:t>
      </w:r>
      <w:r w:rsidR="003619EA">
        <w:t xml:space="preserve">also </w:t>
      </w:r>
      <w:r w:rsidR="00173F45">
        <w:t>proposed by ‘Pope Alexander II’ before the First Crusa</w:t>
      </w:r>
      <w:r w:rsidR="003619EA">
        <w:t>de.</w:t>
      </w:r>
      <w:r w:rsidR="003619EA">
        <w:rPr>
          <w:rStyle w:val="FootnoteReference"/>
        </w:rPr>
        <w:footnoteReference w:id="15"/>
      </w:r>
      <w:r w:rsidR="00875858">
        <w:t xml:space="preserve"> The </w:t>
      </w:r>
      <w:r w:rsidR="00875858" w:rsidRPr="00875858">
        <w:rPr>
          <w:i/>
        </w:rPr>
        <w:t>Gesta Francorum</w:t>
      </w:r>
      <w:r w:rsidR="00875858">
        <w:t>, which was written anonymously between 1100-1101, places great emphasis on spiritual reward, with phrases ‘save his soul, great is your reward in heaven, redeemed from the hand of hell’ such spiritual promises would motivate people out of fear, fear associated with the afterlife, hell and purgatory.</w:t>
      </w:r>
      <w:r w:rsidR="00875858">
        <w:rPr>
          <w:rStyle w:val="FootnoteReference"/>
        </w:rPr>
        <w:footnoteReference w:id="16"/>
      </w:r>
      <w:r w:rsidR="00991ACB">
        <w:t xml:space="preserve"> Guibert de Nogents </w:t>
      </w:r>
      <w:r w:rsidR="00991ACB" w:rsidRPr="00991ACB">
        <w:rPr>
          <w:i/>
        </w:rPr>
        <w:t>Historia quae dicitur Gesta Dei per Francos</w:t>
      </w:r>
      <w:r w:rsidR="00991ACB">
        <w:t xml:space="preserve">, is his own version of the </w:t>
      </w:r>
      <w:r w:rsidR="00991ACB" w:rsidRPr="00991ACB">
        <w:rPr>
          <w:i/>
        </w:rPr>
        <w:t>Gesta Francorum</w:t>
      </w:r>
      <w:r w:rsidR="00991ACB">
        <w:rPr>
          <w:i/>
        </w:rPr>
        <w:t xml:space="preserve">, </w:t>
      </w:r>
      <w:r w:rsidR="00991ACB">
        <w:t xml:space="preserve">but with a twist, the deeds of God. Throughout Guibert’s interpretation of the </w:t>
      </w:r>
      <w:r w:rsidR="00991ACB" w:rsidRPr="00991ACB">
        <w:rPr>
          <w:i/>
        </w:rPr>
        <w:t>Gesta</w:t>
      </w:r>
      <w:r w:rsidR="00991ACB">
        <w:t>, spiritual reward the main topic of conversation. Phrases in the text such as ‘g</w:t>
      </w:r>
      <w:r w:rsidR="00342653">
        <w:t xml:space="preserve">race of redemption, salvation, reward of martyrdom’ are all rewards from God himself </w:t>
      </w:r>
      <w:r w:rsidR="00342653">
        <w:lastRenderedPageBreak/>
        <w:t>and can only be granted by Gods chosen elective on earth the Pope.</w:t>
      </w:r>
      <w:r w:rsidR="00342653">
        <w:rPr>
          <w:rStyle w:val="FootnoteReference"/>
        </w:rPr>
        <w:footnoteReference w:id="17"/>
      </w:r>
      <w:r w:rsidR="00342653">
        <w:t xml:space="preserve"> Guibert is very intelligent as </w:t>
      </w:r>
      <w:r w:rsidR="00FE6E00">
        <w:t xml:space="preserve">he </w:t>
      </w:r>
      <w:r w:rsidR="00342653">
        <w:t>plays the minds of the faithful by writing their wrongdoings ‘waged unjust wars, deserve eternal death’ but if you go on a crusade you can be cleared of your sins and be given a place in heaven, once again fearmongering.</w:t>
      </w:r>
      <w:r w:rsidR="00342653">
        <w:rPr>
          <w:rStyle w:val="FootnoteReference"/>
        </w:rPr>
        <w:footnoteReference w:id="18"/>
      </w:r>
      <w:r w:rsidR="00342653">
        <w:t xml:space="preserve"> By taking the cross you were a good Christian, by confessing </w:t>
      </w:r>
      <w:r w:rsidR="00153ADD">
        <w:t>your sins, penance and good work, crusading you could earn yourself redemption for the afterlife. Tyerman stated taking the cross could ‘end demonic possession, secure time off purgatory for relatives and cure the sick’ for the faithful devoted Christians this would have motivated them not only to crusade for themselves but for others, a good deed.</w:t>
      </w:r>
      <w:r w:rsidR="00153ADD">
        <w:rPr>
          <w:rStyle w:val="FootnoteReference"/>
        </w:rPr>
        <w:footnoteReference w:id="19"/>
      </w:r>
      <w:r w:rsidR="00153ADD">
        <w:t xml:space="preserve"> Riley-Smith argues faithful crusaders saw crusading as an ‘act of virtue, for the love of God and Christian neighbours’ and taking the vow itself showed an individuals </w:t>
      </w:r>
      <w:r w:rsidR="003170FE">
        <w:t>devotion to their faith.</w:t>
      </w:r>
      <w:r w:rsidR="007A2350">
        <w:t xml:space="preserve"> Riley-Smiths conclusion on the key motiv</w:t>
      </w:r>
      <w:r w:rsidR="00A82F58">
        <w:t>e</w:t>
      </w:r>
      <w:r w:rsidR="007A2350">
        <w:t xml:space="preserve"> be</w:t>
      </w:r>
      <w:r w:rsidR="00FE6E00">
        <w:t xml:space="preserve">hind </w:t>
      </w:r>
      <w:r w:rsidR="007A2350">
        <w:t xml:space="preserve">people going on </w:t>
      </w:r>
      <w:bookmarkStart w:id="0" w:name="_GoBack"/>
      <w:bookmarkEnd w:id="0"/>
      <w:r w:rsidR="007A2350">
        <w:t xml:space="preserve">a crusade, supports the </w:t>
      </w:r>
      <w:r w:rsidR="00A82F58">
        <w:t>concept of spiritual reward ‘crusading was a genuine devotional activity’.</w:t>
      </w:r>
      <w:r w:rsidR="00A82F58">
        <w:rPr>
          <w:rStyle w:val="FootnoteReference"/>
        </w:rPr>
        <w:footnoteReference w:id="20"/>
      </w:r>
    </w:p>
    <w:p w14:paraId="04B054F3" w14:textId="0F0406A1" w:rsidR="00A82F58" w:rsidRDefault="00A82F58" w:rsidP="004621F3">
      <w:r>
        <w:t xml:space="preserve">     To conclude the argument on how important the concept of spiritual reward was in motivating people to go on a crusade, </w:t>
      </w:r>
      <w:r w:rsidR="007D1E8A">
        <w:t>it defiantly has the most supporting evidence to suggest it was the more important</w:t>
      </w:r>
      <w:r w:rsidR="00FE6E00">
        <w:t xml:space="preserve"> than other motives.</w:t>
      </w:r>
      <w:r w:rsidR="007D1E8A">
        <w:t xml:space="preserve"> Primary sources such as chronicler Fulcher of Chartres, Guibert de Nogent and the </w:t>
      </w:r>
      <w:r w:rsidR="007D1E8A" w:rsidRPr="007D1E8A">
        <w:rPr>
          <w:i/>
        </w:rPr>
        <w:t>Gesta Francorum</w:t>
      </w:r>
      <w:r w:rsidR="007D1E8A">
        <w:t xml:space="preserve">, all highlight spiritual reward, such as remission of sins, salvation and a chance to prove your devotion to the name of Christ. Crusader historians Johnathon Riley-Smith and Christopher Tyerman revise these old sources and the historiography of the crusades to explore deeper in to how to define a crusade but also to prove that the concept of spiritual reward was the overall main motive for crusading in the middle ages. </w:t>
      </w:r>
    </w:p>
    <w:p w14:paraId="287EFD8C" w14:textId="2AD19A09" w:rsidR="00824310" w:rsidRDefault="00824310" w:rsidP="004621F3"/>
    <w:p w14:paraId="460F0B42" w14:textId="4A2FC176" w:rsidR="00824310" w:rsidRDefault="00824310" w:rsidP="004621F3"/>
    <w:p w14:paraId="251DA795" w14:textId="7DB2BF30" w:rsidR="00824310" w:rsidRDefault="00824310" w:rsidP="004621F3"/>
    <w:p w14:paraId="4D5DA041" w14:textId="1BD9B55B" w:rsidR="00824310" w:rsidRDefault="00824310" w:rsidP="004621F3"/>
    <w:p w14:paraId="0A0F3270" w14:textId="040EA604" w:rsidR="00824310" w:rsidRDefault="00824310" w:rsidP="004621F3"/>
    <w:p w14:paraId="4103AB30" w14:textId="44CB3212" w:rsidR="00824310" w:rsidRDefault="00824310" w:rsidP="004621F3"/>
    <w:p w14:paraId="424CAA04" w14:textId="12232E41" w:rsidR="00824310" w:rsidRDefault="00824310" w:rsidP="004621F3"/>
    <w:p w14:paraId="6AB21C13" w14:textId="4DEBE20A" w:rsidR="00824310" w:rsidRDefault="00824310" w:rsidP="004621F3"/>
    <w:p w14:paraId="6D4B6B01" w14:textId="0154E93F" w:rsidR="00824310" w:rsidRDefault="00824310" w:rsidP="004621F3"/>
    <w:p w14:paraId="3184CE4F" w14:textId="4EEB7DEC" w:rsidR="00824310" w:rsidRDefault="00824310" w:rsidP="004621F3"/>
    <w:p w14:paraId="3B4AA82E" w14:textId="3A22BBFC" w:rsidR="00824310" w:rsidRDefault="00824310" w:rsidP="004621F3"/>
    <w:p w14:paraId="61929321" w14:textId="4F2337FF" w:rsidR="00824310" w:rsidRDefault="00824310" w:rsidP="004621F3"/>
    <w:p w14:paraId="152817C4" w14:textId="3E2483C8" w:rsidR="00824310" w:rsidRDefault="00824310" w:rsidP="004621F3"/>
    <w:p w14:paraId="19E077BC" w14:textId="535E263C" w:rsidR="00824310" w:rsidRDefault="00824310" w:rsidP="004621F3"/>
    <w:p w14:paraId="3049D2E2" w14:textId="133353DB" w:rsidR="00824310" w:rsidRDefault="00824310" w:rsidP="004621F3">
      <w:pPr>
        <w:rPr>
          <w:b/>
          <w:sz w:val="36"/>
          <w:szCs w:val="36"/>
          <w:u w:val="single"/>
        </w:rPr>
      </w:pPr>
      <w:r w:rsidRPr="00824310">
        <w:rPr>
          <w:b/>
          <w:sz w:val="36"/>
          <w:szCs w:val="36"/>
          <w:u w:val="single"/>
        </w:rPr>
        <w:lastRenderedPageBreak/>
        <w:t xml:space="preserve">Bibliography </w:t>
      </w:r>
    </w:p>
    <w:p w14:paraId="3324B0D5" w14:textId="5A206EFB" w:rsidR="00824310" w:rsidRDefault="00824310" w:rsidP="004621F3">
      <w:pPr>
        <w:rPr>
          <w:b/>
          <w:sz w:val="24"/>
          <w:szCs w:val="24"/>
          <w:u w:val="single"/>
        </w:rPr>
      </w:pPr>
      <w:r>
        <w:rPr>
          <w:b/>
          <w:sz w:val="24"/>
          <w:szCs w:val="24"/>
          <w:u w:val="single"/>
        </w:rPr>
        <w:t>Primary Sources</w:t>
      </w:r>
    </w:p>
    <w:p w14:paraId="294E87B3" w14:textId="1D860544" w:rsidR="00824310" w:rsidRDefault="00333383" w:rsidP="004621F3">
      <w:r w:rsidRPr="00333383">
        <w:t>Fulcher of Chartres</w:t>
      </w:r>
      <w:r>
        <w:t>,</w:t>
      </w:r>
      <w:r w:rsidRPr="00333383">
        <w:rPr>
          <w:i/>
        </w:rPr>
        <w:t xml:space="preserve"> Gesta Francorum Jerusalem Expugnantium</w:t>
      </w:r>
      <w:r w:rsidRPr="00333383">
        <w:t xml:space="preserve">, </w:t>
      </w:r>
      <w:hyperlink r:id="rId7" w:history="1">
        <w:r w:rsidRPr="008E4FBF">
          <w:rPr>
            <w:rStyle w:val="Hyperlink"/>
          </w:rPr>
          <w:t>https://sourcebooks.fordham.edu/source/urban2-5vers.asp#Fulcher</w:t>
        </w:r>
      </w:hyperlink>
    </w:p>
    <w:p w14:paraId="257051FB" w14:textId="276A7051" w:rsidR="00333383" w:rsidRDefault="00333383" w:rsidP="004621F3">
      <w:r w:rsidRPr="00333383">
        <w:t xml:space="preserve">Guibert de Nogent, </w:t>
      </w:r>
      <w:r w:rsidRPr="00333383">
        <w:rPr>
          <w:i/>
        </w:rPr>
        <w:t>Historia quae dicitur Gesta Dei per Francos</w:t>
      </w:r>
      <w:r w:rsidRPr="00333383">
        <w:t xml:space="preserve">, </w:t>
      </w:r>
      <w:hyperlink r:id="rId8" w:history="1">
        <w:r w:rsidRPr="008E4FBF">
          <w:rPr>
            <w:rStyle w:val="Hyperlink"/>
          </w:rPr>
          <w:t>https://sourcebooks.fordham.edu/source/urban2-5vers.asp#guibert</w:t>
        </w:r>
      </w:hyperlink>
    </w:p>
    <w:p w14:paraId="780DF0E8" w14:textId="462D7EBF" w:rsidR="00333383" w:rsidRDefault="00333383" w:rsidP="004621F3">
      <w:r w:rsidRPr="00333383">
        <w:t xml:space="preserve">The </w:t>
      </w:r>
      <w:r w:rsidRPr="00333383">
        <w:rPr>
          <w:i/>
        </w:rPr>
        <w:t>Gesta</w:t>
      </w:r>
      <w:r w:rsidRPr="00333383">
        <w:t xml:space="preserve"> Version, </w:t>
      </w:r>
      <w:hyperlink r:id="rId9" w:history="1">
        <w:r w:rsidRPr="008E4FBF">
          <w:rPr>
            <w:rStyle w:val="Hyperlink"/>
          </w:rPr>
          <w:t>https://sourcebooks.fordham.edu/source/urban2-5vers.asp#gesta</w:t>
        </w:r>
      </w:hyperlink>
    </w:p>
    <w:p w14:paraId="6F0C2742" w14:textId="5A643F86" w:rsidR="00333383" w:rsidRDefault="00333383" w:rsidP="004621F3">
      <w:r w:rsidRPr="00333383">
        <w:t>Urban II</w:t>
      </w:r>
      <w:r>
        <w:t>,</w:t>
      </w:r>
      <w:r w:rsidRPr="00333383">
        <w:t xml:space="preserve"> </w:t>
      </w:r>
      <w:r w:rsidRPr="00333383">
        <w:rPr>
          <w:i/>
        </w:rPr>
        <w:t>Letter of Instruction to the Crusaders</w:t>
      </w:r>
      <w:r w:rsidRPr="00333383">
        <w:t xml:space="preserve">, </w:t>
      </w:r>
      <w:hyperlink r:id="rId10" w:history="1">
        <w:r w:rsidRPr="008E4FBF">
          <w:rPr>
            <w:rStyle w:val="Hyperlink"/>
          </w:rPr>
          <w:t>https://sourcebooks.fordham.edu/source/urban2-5vers.asp#urban</w:t>
        </w:r>
      </w:hyperlink>
    </w:p>
    <w:p w14:paraId="1067C359" w14:textId="21B87ED6" w:rsidR="00333383" w:rsidRDefault="00333383" w:rsidP="004621F3">
      <w:pPr>
        <w:rPr>
          <w:b/>
          <w:sz w:val="24"/>
          <w:szCs w:val="24"/>
          <w:u w:val="single"/>
        </w:rPr>
      </w:pPr>
      <w:r w:rsidRPr="00333383">
        <w:rPr>
          <w:b/>
          <w:sz w:val="24"/>
          <w:szCs w:val="24"/>
          <w:u w:val="single"/>
        </w:rPr>
        <w:t>Secondary Sources</w:t>
      </w:r>
    </w:p>
    <w:p w14:paraId="3DE695DC" w14:textId="17C4FFBB" w:rsidR="00333383" w:rsidRDefault="00333383" w:rsidP="004621F3">
      <w:r w:rsidRPr="00333383">
        <w:t>Riley-Smith</w:t>
      </w:r>
      <w:r>
        <w:t>. J</w:t>
      </w:r>
      <w:r w:rsidRPr="00333383">
        <w:t xml:space="preserve">, </w:t>
      </w:r>
      <w:r w:rsidRPr="00333383">
        <w:rPr>
          <w:i/>
        </w:rPr>
        <w:t>What Were the CRUSADES</w:t>
      </w:r>
      <w:r w:rsidRPr="00333383">
        <w:t>, 3rd edn (Hampshire: Palgrave Macmillan, 2002)</w:t>
      </w:r>
      <w:r>
        <w:t>.</w:t>
      </w:r>
    </w:p>
    <w:p w14:paraId="7B935D9B" w14:textId="2E9BC26E" w:rsidR="00333383" w:rsidRDefault="00333383" w:rsidP="004621F3">
      <w:r w:rsidRPr="00333383">
        <w:t>Tyerman</w:t>
      </w:r>
      <w:r>
        <w:t>. C</w:t>
      </w:r>
      <w:r w:rsidRPr="00333383">
        <w:t>, THE Crusades: A Very Short Introduction (United States: Oxford University Press, 2005)</w:t>
      </w:r>
      <w:r>
        <w:t>.</w:t>
      </w:r>
    </w:p>
    <w:p w14:paraId="5E92C209" w14:textId="77777777" w:rsidR="00333383" w:rsidRDefault="00333383" w:rsidP="004621F3"/>
    <w:p w14:paraId="06997C85" w14:textId="77777777" w:rsidR="00333383" w:rsidRDefault="00333383" w:rsidP="004621F3"/>
    <w:p w14:paraId="75253858" w14:textId="77777777" w:rsidR="00333383" w:rsidRDefault="00333383" w:rsidP="004621F3"/>
    <w:p w14:paraId="0BF07008" w14:textId="77777777" w:rsidR="00333383" w:rsidRPr="00333383" w:rsidRDefault="00333383" w:rsidP="004621F3"/>
    <w:p w14:paraId="70E951CA" w14:textId="77777777" w:rsidR="00333383" w:rsidRPr="00333383" w:rsidRDefault="00333383" w:rsidP="004621F3"/>
    <w:p w14:paraId="093436B3" w14:textId="77777777" w:rsidR="00333383" w:rsidRDefault="00333383" w:rsidP="004621F3"/>
    <w:p w14:paraId="3C2EF67B" w14:textId="77777777" w:rsidR="00333383" w:rsidRPr="00824310" w:rsidRDefault="00333383" w:rsidP="004621F3"/>
    <w:p w14:paraId="699FC914" w14:textId="4F356D46" w:rsidR="00347B89" w:rsidRPr="00342653" w:rsidRDefault="00347B89" w:rsidP="004621F3">
      <w:r w:rsidRPr="00991ACB">
        <w:rPr>
          <w:i/>
        </w:rPr>
        <w:t xml:space="preserve">     </w:t>
      </w:r>
    </w:p>
    <w:p w14:paraId="36AA1FE3" w14:textId="77777777" w:rsidR="00347B89" w:rsidRDefault="00347B89" w:rsidP="004621F3"/>
    <w:sectPr w:rsidR="00347B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788945" w14:textId="77777777" w:rsidR="00F07256" w:rsidRDefault="00F07256" w:rsidP="00C86937">
      <w:pPr>
        <w:spacing w:after="0" w:line="240" w:lineRule="auto"/>
      </w:pPr>
      <w:r>
        <w:separator/>
      </w:r>
    </w:p>
  </w:endnote>
  <w:endnote w:type="continuationSeparator" w:id="0">
    <w:p w14:paraId="3833C38E" w14:textId="77777777" w:rsidR="00F07256" w:rsidRDefault="00F07256" w:rsidP="00C869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8FF8A5" w14:textId="77777777" w:rsidR="00F07256" w:rsidRDefault="00F07256" w:rsidP="00C86937">
      <w:pPr>
        <w:spacing w:after="0" w:line="240" w:lineRule="auto"/>
      </w:pPr>
      <w:r>
        <w:separator/>
      </w:r>
    </w:p>
  </w:footnote>
  <w:footnote w:type="continuationSeparator" w:id="0">
    <w:p w14:paraId="480CF19B" w14:textId="77777777" w:rsidR="00F07256" w:rsidRDefault="00F07256" w:rsidP="00C86937">
      <w:pPr>
        <w:spacing w:after="0" w:line="240" w:lineRule="auto"/>
      </w:pPr>
      <w:r>
        <w:continuationSeparator/>
      </w:r>
    </w:p>
  </w:footnote>
  <w:footnote w:id="1">
    <w:p w14:paraId="5A056216" w14:textId="6BD25720" w:rsidR="00991ACB" w:rsidRDefault="00991ACB">
      <w:pPr>
        <w:pStyle w:val="FootnoteText"/>
      </w:pPr>
      <w:r>
        <w:rPr>
          <w:rStyle w:val="FootnoteReference"/>
        </w:rPr>
        <w:footnoteRef/>
      </w:r>
      <w:r>
        <w:t xml:space="preserve"> Jonathon Riley-Smith, </w:t>
      </w:r>
      <w:r w:rsidRPr="00C86937">
        <w:rPr>
          <w:i/>
        </w:rPr>
        <w:t>What Were the CRUSADES</w:t>
      </w:r>
      <w:r>
        <w:rPr>
          <w:i/>
        </w:rPr>
        <w:t>?, 3</w:t>
      </w:r>
      <w:r w:rsidRPr="00C86937">
        <w:rPr>
          <w:i/>
          <w:vertAlign w:val="superscript"/>
        </w:rPr>
        <w:t>rd</w:t>
      </w:r>
      <w:r>
        <w:rPr>
          <w:i/>
        </w:rPr>
        <w:t xml:space="preserve"> </w:t>
      </w:r>
      <w:r w:rsidRPr="00C86937">
        <w:t>edn (Hampshire</w:t>
      </w:r>
      <w:r>
        <w:t>: Palgrave Macmillan, 2002), p. xi.</w:t>
      </w:r>
    </w:p>
  </w:footnote>
  <w:footnote w:id="2">
    <w:p w14:paraId="2A364643" w14:textId="218C79DA" w:rsidR="00991ACB" w:rsidRDefault="00991ACB">
      <w:pPr>
        <w:pStyle w:val="FootnoteText"/>
      </w:pPr>
      <w:r>
        <w:rPr>
          <w:rStyle w:val="FootnoteReference"/>
        </w:rPr>
        <w:footnoteRef/>
      </w:r>
      <w:r>
        <w:t xml:space="preserve"> Christopher Tyerman, </w:t>
      </w:r>
      <w:r w:rsidRPr="00313F39">
        <w:rPr>
          <w:i/>
        </w:rPr>
        <w:t>THE Crusades: A Very Short Introduction</w:t>
      </w:r>
      <w:r>
        <w:t xml:space="preserve"> (United States: Oxford University Press, 2005), p. 21.</w:t>
      </w:r>
    </w:p>
  </w:footnote>
  <w:footnote w:id="3">
    <w:p w14:paraId="687D5096" w14:textId="5569B934" w:rsidR="00991ACB" w:rsidRDefault="00991ACB">
      <w:pPr>
        <w:pStyle w:val="FootnoteText"/>
      </w:pPr>
      <w:r>
        <w:rPr>
          <w:rStyle w:val="FootnoteReference"/>
        </w:rPr>
        <w:footnoteRef/>
      </w:r>
      <w:r>
        <w:t xml:space="preserve"> Tyerman, </w:t>
      </w:r>
      <w:r w:rsidRPr="00477C92">
        <w:rPr>
          <w:i/>
        </w:rPr>
        <w:t>Crusades: Short introduction</w:t>
      </w:r>
      <w:r>
        <w:t>, p. 22.</w:t>
      </w:r>
    </w:p>
  </w:footnote>
  <w:footnote w:id="4">
    <w:p w14:paraId="06B31F4E" w14:textId="23CB155C" w:rsidR="00991ACB" w:rsidRDefault="00991ACB">
      <w:pPr>
        <w:pStyle w:val="FootnoteText"/>
      </w:pPr>
      <w:r>
        <w:rPr>
          <w:rStyle w:val="FootnoteReference"/>
        </w:rPr>
        <w:footnoteRef/>
      </w:r>
      <w:r>
        <w:t xml:space="preserve"> Riley-Smith, </w:t>
      </w:r>
      <w:r w:rsidRPr="00F14FE0">
        <w:rPr>
          <w:i/>
        </w:rPr>
        <w:t>Crusades</w:t>
      </w:r>
      <w:r>
        <w:t>, p. 67.</w:t>
      </w:r>
    </w:p>
  </w:footnote>
  <w:footnote w:id="5">
    <w:p w14:paraId="6B42117D" w14:textId="6EF170AC" w:rsidR="00991ACB" w:rsidRDefault="00991ACB">
      <w:pPr>
        <w:pStyle w:val="FootnoteText"/>
      </w:pPr>
      <w:r>
        <w:rPr>
          <w:rStyle w:val="FootnoteReference"/>
        </w:rPr>
        <w:footnoteRef/>
      </w:r>
      <w:r>
        <w:t xml:space="preserve"> Riley-Smith</w:t>
      </w:r>
      <w:r w:rsidRPr="00F14FE0">
        <w:rPr>
          <w:i/>
        </w:rPr>
        <w:t>, Crusades</w:t>
      </w:r>
      <w:r>
        <w:t>, p. 72.</w:t>
      </w:r>
    </w:p>
  </w:footnote>
  <w:footnote w:id="6">
    <w:p w14:paraId="43B73469" w14:textId="53535F2F" w:rsidR="00991ACB" w:rsidRDefault="00991ACB">
      <w:pPr>
        <w:pStyle w:val="FootnoteText"/>
      </w:pPr>
      <w:r>
        <w:rPr>
          <w:rStyle w:val="FootnoteReference"/>
        </w:rPr>
        <w:footnoteRef/>
      </w:r>
      <w:r>
        <w:t xml:space="preserve"> Tyerman, </w:t>
      </w:r>
      <w:r w:rsidR="00F14FE0" w:rsidRPr="00F14FE0">
        <w:rPr>
          <w:i/>
        </w:rPr>
        <w:t>C</w:t>
      </w:r>
      <w:r w:rsidRPr="00F14FE0">
        <w:rPr>
          <w:i/>
        </w:rPr>
        <w:t xml:space="preserve">rusades: Short </w:t>
      </w:r>
      <w:r w:rsidR="00F14FE0" w:rsidRPr="00F14FE0">
        <w:rPr>
          <w:i/>
        </w:rPr>
        <w:t>I</w:t>
      </w:r>
      <w:r w:rsidRPr="00F14FE0">
        <w:rPr>
          <w:i/>
        </w:rPr>
        <w:t>ntroduction</w:t>
      </w:r>
      <w:r>
        <w:t>, p. 104.</w:t>
      </w:r>
    </w:p>
  </w:footnote>
  <w:footnote w:id="7">
    <w:p w14:paraId="3211F85A" w14:textId="3F9830A8" w:rsidR="00991ACB" w:rsidRDefault="00991ACB">
      <w:pPr>
        <w:pStyle w:val="FootnoteText"/>
      </w:pPr>
      <w:r>
        <w:rPr>
          <w:rStyle w:val="FootnoteReference"/>
        </w:rPr>
        <w:footnoteRef/>
      </w:r>
      <w:r>
        <w:t xml:space="preserve"> Tyerman, </w:t>
      </w:r>
      <w:r w:rsidRPr="00F14FE0">
        <w:rPr>
          <w:i/>
        </w:rPr>
        <w:t xml:space="preserve">Crusades: Short </w:t>
      </w:r>
      <w:r w:rsidR="00F14FE0" w:rsidRPr="00F14FE0">
        <w:rPr>
          <w:i/>
        </w:rPr>
        <w:t>I</w:t>
      </w:r>
      <w:r w:rsidRPr="00F14FE0">
        <w:rPr>
          <w:i/>
        </w:rPr>
        <w:t>ntroduction</w:t>
      </w:r>
      <w:r>
        <w:t>, p. 86.</w:t>
      </w:r>
    </w:p>
  </w:footnote>
  <w:footnote w:id="8">
    <w:p w14:paraId="777D8164" w14:textId="10394001" w:rsidR="00991ACB" w:rsidRDefault="00991ACB">
      <w:pPr>
        <w:pStyle w:val="FootnoteText"/>
      </w:pPr>
      <w:r>
        <w:rPr>
          <w:rStyle w:val="FootnoteReference"/>
        </w:rPr>
        <w:footnoteRef/>
      </w:r>
      <w:r>
        <w:t xml:space="preserve"> Riley-Smith, </w:t>
      </w:r>
      <w:r w:rsidRPr="00F14FE0">
        <w:rPr>
          <w:i/>
        </w:rPr>
        <w:t>Crusades</w:t>
      </w:r>
      <w:r>
        <w:t>, p. 72.</w:t>
      </w:r>
    </w:p>
  </w:footnote>
  <w:footnote w:id="9">
    <w:p w14:paraId="46F27B60" w14:textId="33B3DE82" w:rsidR="00991ACB" w:rsidRDefault="00991ACB">
      <w:pPr>
        <w:pStyle w:val="FootnoteText"/>
      </w:pPr>
      <w:r>
        <w:rPr>
          <w:rStyle w:val="FootnoteReference"/>
        </w:rPr>
        <w:footnoteRef/>
      </w:r>
      <w:r>
        <w:t xml:space="preserve"> Tyerman, </w:t>
      </w:r>
      <w:r w:rsidRPr="00F14FE0">
        <w:rPr>
          <w:i/>
        </w:rPr>
        <w:t xml:space="preserve">Crusades: Short </w:t>
      </w:r>
      <w:r w:rsidR="00F14FE0" w:rsidRPr="00F14FE0">
        <w:rPr>
          <w:i/>
        </w:rPr>
        <w:t>I</w:t>
      </w:r>
      <w:r w:rsidRPr="00F14FE0">
        <w:rPr>
          <w:i/>
        </w:rPr>
        <w:t>ntroduction</w:t>
      </w:r>
      <w:r>
        <w:t>, p. 93.</w:t>
      </w:r>
    </w:p>
  </w:footnote>
  <w:footnote w:id="10">
    <w:p w14:paraId="743B75FC" w14:textId="7EA5F45C" w:rsidR="00991ACB" w:rsidRDefault="00991ACB">
      <w:pPr>
        <w:pStyle w:val="FootnoteText"/>
      </w:pPr>
      <w:r>
        <w:rPr>
          <w:rStyle w:val="FootnoteReference"/>
        </w:rPr>
        <w:footnoteRef/>
      </w:r>
      <w:r>
        <w:t xml:space="preserve"> Riley-Smith, </w:t>
      </w:r>
      <w:r w:rsidRPr="00F14FE0">
        <w:rPr>
          <w:i/>
        </w:rPr>
        <w:t>Crusades</w:t>
      </w:r>
      <w:r>
        <w:t>, p. 50.</w:t>
      </w:r>
    </w:p>
  </w:footnote>
  <w:footnote w:id="11">
    <w:p w14:paraId="0CD0F5AA" w14:textId="4612FDCA" w:rsidR="00991ACB" w:rsidRDefault="00991ACB">
      <w:pPr>
        <w:pStyle w:val="FootnoteText"/>
      </w:pPr>
      <w:r>
        <w:rPr>
          <w:rStyle w:val="FootnoteReference"/>
        </w:rPr>
        <w:footnoteRef/>
      </w:r>
      <w:r>
        <w:t xml:space="preserve"> Tyerman, </w:t>
      </w:r>
      <w:r w:rsidRPr="00F14FE0">
        <w:rPr>
          <w:i/>
        </w:rPr>
        <w:t xml:space="preserve">Crusades: Short </w:t>
      </w:r>
      <w:r w:rsidR="00F14FE0" w:rsidRPr="00F14FE0">
        <w:rPr>
          <w:i/>
        </w:rPr>
        <w:t>I</w:t>
      </w:r>
      <w:r w:rsidRPr="00F14FE0">
        <w:rPr>
          <w:i/>
        </w:rPr>
        <w:t>ntroduction</w:t>
      </w:r>
      <w:r>
        <w:t>, p. 137.</w:t>
      </w:r>
    </w:p>
  </w:footnote>
  <w:footnote w:id="12">
    <w:p w14:paraId="59B9F373" w14:textId="62EC087A" w:rsidR="00991ACB" w:rsidRDefault="00991ACB">
      <w:pPr>
        <w:pStyle w:val="FootnoteText"/>
      </w:pPr>
      <w:r>
        <w:rPr>
          <w:rStyle w:val="FootnoteReference"/>
        </w:rPr>
        <w:footnoteRef/>
      </w:r>
      <w:r>
        <w:t xml:space="preserve"> Riley-Smith</w:t>
      </w:r>
      <w:r w:rsidRPr="00F14FE0">
        <w:rPr>
          <w:i/>
        </w:rPr>
        <w:t>, Crusades</w:t>
      </w:r>
      <w:r>
        <w:t>, p. 72.</w:t>
      </w:r>
    </w:p>
  </w:footnote>
  <w:footnote w:id="13">
    <w:p w14:paraId="479F82AB" w14:textId="70E479B1" w:rsidR="00991ACB" w:rsidRPr="00347B89" w:rsidRDefault="00991ACB">
      <w:pPr>
        <w:pStyle w:val="FootnoteText"/>
      </w:pPr>
      <w:r>
        <w:rPr>
          <w:rStyle w:val="FootnoteReference"/>
        </w:rPr>
        <w:footnoteRef/>
      </w:r>
      <w:r>
        <w:t xml:space="preserve"> </w:t>
      </w:r>
      <w:r w:rsidRPr="00347B89">
        <w:t xml:space="preserve">Fulcher of Chartres: </w:t>
      </w:r>
      <w:r w:rsidRPr="00347B89">
        <w:rPr>
          <w:i/>
        </w:rPr>
        <w:t>Gesta Francorum Jerusalem Expugnantium</w:t>
      </w:r>
      <w:r>
        <w:t xml:space="preserve">, </w:t>
      </w:r>
      <w:hyperlink r:id="rId1" w:history="1">
        <w:r w:rsidRPr="008E4FBF">
          <w:rPr>
            <w:rStyle w:val="Hyperlink"/>
          </w:rPr>
          <w:t>https://sourcebooks.fordham.edu/source/urban2-5vers.asp#Fulcher</w:t>
        </w:r>
      </w:hyperlink>
      <w:r>
        <w:t xml:space="preserve"> [accessed 22 January].</w:t>
      </w:r>
    </w:p>
  </w:footnote>
  <w:footnote w:id="14">
    <w:p w14:paraId="2CE905FB" w14:textId="7ED1E93C" w:rsidR="00991ACB" w:rsidRDefault="00991ACB">
      <w:pPr>
        <w:pStyle w:val="FootnoteText"/>
      </w:pPr>
      <w:r>
        <w:rPr>
          <w:rStyle w:val="FootnoteReference"/>
        </w:rPr>
        <w:footnoteRef/>
      </w:r>
      <w:r>
        <w:t xml:space="preserve"> </w:t>
      </w:r>
      <w:r w:rsidRPr="00173F45">
        <w:t xml:space="preserve">Urban II: </w:t>
      </w:r>
      <w:r w:rsidRPr="00F14FE0">
        <w:rPr>
          <w:i/>
        </w:rPr>
        <w:t>Letter of Instruction to the Crusaders</w:t>
      </w:r>
      <w:r>
        <w:t xml:space="preserve">, </w:t>
      </w:r>
      <w:hyperlink r:id="rId2" w:history="1">
        <w:r w:rsidRPr="008E4FBF">
          <w:rPr>
            <w:rStyle w:val="Hyperlink"/>
          </w:rPr>
          <w:t>https://sourcebooks.fordham.edu/source/urban2-5vers.asp#urban</w:t>
        </w:r>
      </w:hyperlink>
      <w:r>
        <w:t xml:space="preserve"> [accessed 22 January].</w:t>
      </w:r>
    </w:p>
  </w:footnote>
  <w:footnote w:id="15">
    <w:p w14:paraId="7D8C34DF" w14:textId="0BAEDB53" w:rsidR="00991ACB" w:rsidRDefault="00991ACB">
      <w:pPr>
        <w:pStyle w:val="FootnoteText"/>
      </w:pPr>
      <w:r>
        <w:rPr>
          <w:rStyle w:val="FootnoteReference"/>
        </w:rPr>
        <w:footnoteRef/>
      </w:r>
      <w:r>
        <w:t xml:space="preserve"> Riley-Smith, </w:t>
      </w:r>
      <w:r w:rsidRPr="00F14FE0">
        <w:rPr>
          <w:i/>
        </w:rPr>
        <w:t>Crusades</w:t>
      </w:r>
      <w:r>
        <w:t>, p. 56.</w:t>
      </w:r>
    </w:p>
  </w:footnote>
  <w:footnote w:id="16">
    <w:p w14:paraId="17DA693D" w14:textId="76541D4D" w:rsidR="00991ACB" w:rsidRDefault="00991ACB">
      <w:pPr>
        <w:pStyle w:val="FootnoteText"/>
      </w:pPr>
      <w:r>
        <w:rPr>
          <w:rStyle w:val="FootnoteReference"/>
        </w:rPr>
        <w:footnoteRef/>
      </w:r>
      <w:r>
        <w:t xml:space="preserve"> </w:t>
      </w:r>
      <w:r w:rsidRPr="00875858">
        <w:t xml:space="preserve">The </w:t>
      </w:r>
      <w:r w:rsidRPr="00875858">
        <w:rPr>
          <w:i/>
        </w:rPr>
        <w:t>Gesta</w:t>
      </w:r>
      <w:r w:rsidRPr="00875858">
        <w:t xml:space="preserve"> Version</w:t>
      </w:r>
      <w:r>
        <w:t xml:space="preserve">, </w:t>
      </w:r>
      <w:hyperlink r:id="rId3" w:history="1">
        <w:r w:rsidRPr="008E4FBF">
          <w:rPr>
            <w:rStyle w:val="Hyperlink"/>
          </w:rPr>
          <w:t>https://sourcebooks.fordham.edu/source/urban2-5vers.asp#gesta</w:t>
        </w:r>
      </w:hyperlink>
      <w:r>
        <w:t xml:space="preserve"> [accessed 23 January].</w:t>
      </w:r>
    </w:p>
  </w:footnote>
  <w:footnote w:id="17">
    <w:p w14:paraId="11AC3E16" w14:textId="3EB45786" w:rsidR="00342653" w:rsidRPr="00342653" w:rsidRDefault="00342653">
      <w:pPr>
        <w:pStyle w:val="FootnoteText"/>
      </w:pPr>
      <w:r>
        <w:rPr>
          <w:rStyle w:val="FootnoteReference"/>
        </w:rPr>
        <w:footnoteRef/>
      </w:r>
      <w:r>
        <w:t xml:space="preserve"> </w:t>
      </w:r>
      <w:r w:rsidRPr="00342653">
        <w:t>Guibert de Nogent</w:t>
      </w:r>
      <w:r w:rsidRPr="00342653">
        <w:rPr>
          <w:i/>
        </w:rPr>
        <w:t xml:space="preserve">, </w:t>
      </w:r>
      <w:r w:rsidRPr="00342653">
        <w:rPr>
          <w:i/>
        </w:rPr>
        <w:t>Historia quae dicitur Gesta Dei per Francos</w:t>
      </w:r>
      <w:r>
        <w:rPr>
          <w:i/>
        </w:rPr>
        <w:t xml:space="preserve">, </w:t>
      </w:r>
      <w:hyperlink r:id="rId4" w:history="1">
        <w:r w:rsidRPr="008E4FBF">
          <w:rPr>
            <w:rStyle w:val="Hyperlink"/>
            <w:i/>
          </w:rPr>
          <w:t>https://sourcebooks.fordham.edu/source/urban2-5vers.asp#guibert</w:t>
        </w:r>
      </w:hyperlink>
      <w:r>
        <w:rPr>
          <w:i/>
        </w:rPr>
        <w:t xml:space="preserve"> [accessed 23 January].</w:t>
      </w:r>
    </w:p>
  </w:footnote>
  <w:footnote w:id="18">
    <w:p w14:paraId="1CD3D560" w14:textId="62B2E032" w:rsidR="00342653" w:rsidRDefault="00342653">
      <w:pPr>
        <w:pStyle w:val="FootnoteText"/>
      </w:pPr>
      <w:r>
        <w:rPr>
          <w:rStyle w:val="FootnoteReference"/>
        </w:rPr>
        <w:footnoteRef/>
      </w:r>
      <w:r>
        <w:t xml:space="preserve"> Guibert de Nogent, </w:t>
      </w:r>
      <w:hyperlink r:id="rId5" w:history="1">
        <w:r w:rsidRPr="008E4FBF">
          <w:rPr>
            <w:rStyle w:val="Hyperlink"/>
          </w:rPr>
          <w:t>https://sourcebooks.fordham.edu/source/urban2-5vers.asp#guibert</w:t>
        </w:r>
      </w:hyperlink>
      <w:r>
        <w:t xml:space="preserve"> [accessed 23 January].</w:t>
      </w:r>
    </w:p>
  </w:footnote>
  <w:footnote w:id="19">
    <w:p w14:paraId="42749EC0" w14:textId="189308C0" w:rsidR="00153ADD" w:rsidRDefault="00153ADD">
      <w:pPr>
        <w:pStyle w:val="FootnoteText"/>
      </w:pPr>
      <w:r>
        <w:rPr>
          <w:rStyle w:val="FootnoteReference"/>
        </w:rPr>
        <w:footnoteRef/>
      </w:r>
      <w:r>
        <w:t xml:space="preserve"> Tyerman, </w:t>
      </w:r>
      <w:r w:rsidRPr="00F14FE0">
        <w:rPr>
          <w:i/>
        </w:rPr>
        <w:t xml:space="preserve">Crusades: Short </w:t>
      </w:r>
      <w:r w:rsidR="00F14FE0" w:rsidRPr="00F14FE0">
        <w:rPr>
          <w:i/>
        </w:rPr>
        <w:t>I</w:t>
      </w:r>
      <w:r w:rsidRPr="00F14FE0">
        <w:rPr>
          <w:i/>
        </w:rPr>
        <w:t>ntroduction</w:t>
      </w:r>
      <w:r>
        <w:t>, p. 105.</w:t>
      </w:r>
    </w:p>
  </w:footnote>
  <w:footnote w:id="20">
    <w:p w14:paraId="6867696E" w14:textId="01B9E972" w:rsidR="00A82F58" w:rsidRDefault="00A82F58">
      <w:pPr>
        <w:pStyle w:val="FootnoteText"/>
      </w:pPr>
      <w:r>
        <w:rPr>
          <w:rStyle w:val="FootnoteReference"/>
        </w:rPr>
        <w:footnoteRef/>
      </w:r>
      <w:r>
        <w:t xml:space="preserve"> Riley-Smith, </w:t>
      </w:r>
      <w:r w:rsidRPr="00F14FE0">
        <w:rPr>
          <w:i/>
        </w:rPr>
        <w:t>Crusades</w:t>
      </w:r>
      <w:r>
        <w:t>, p. 73.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C0B"/>
    <w:rsid w:val="00005A11"/>
    <w:rsid w:val="00040F62"/>
    <w:rsid w:val="001257D3"/>
    <w:rsid w:val="00153ADD"/>
    <w:rsid w:val="00173F45"/>
    <w:rsid w:val="00204051"/>
    <w:rsid w:val="00226857"/>
    <w:rsid w:val="00235D9F"/>
    <w:rsid w:val="002C2BD7"/>
    <w:rsid w:val="00313F39"/>
    <w:rsid w:val="003170FE"/>
    <w:rsid w:val="00333383"/>
    <w:rsid w:val="00342653"/>
    <w:rsid w:val="00347B89"/>
    <w:rsid w:val="003619EA"/>
    <w:rsid w:val="00397015"/>
    <w:rsid w:val="00405EE9"/>
    <w:rsid w:val="00443B37"/>
    <w:rsid w:val="00460C44"/>
    <w:rsid w:val="004621F3"/>
    <w:rsid w:val="00477C92"/>
    <w:rsid w:val="004E4AE5"/>
    <w:rsid w:val="00514657"/>
    <w:rsid w:val="005B210A"/>
    <w:rsid w:val="0062540F"/>
    <w:rsid w:val="0063193B"/>
    <w:rsid w:val="00665141"/>
    <w:rsid w:val="00751A33"/>
    <w:rsid w:val="007A2350"/>
    <w:rsid w:val="007D1E8A"/>
    <w:rsid w:val="007E7184"/>
    <w:rsid w:val="00810A57"/>
    <w:rsid w:val="00824310"/>
    <w:rsid w:val="00875858"/>
    <w:rsid w:val="0090274D"/>
    <w:rsid w:val="00974F57"/>
    <w:rsid w:val="00983F3B"/>
    <w:rsid w:val="00991ACB"/>
    <w:rsid w:val="009A2F2E"/>
    <w:rsid w:val="009B576D"/>
    <w:rsid w:val="009F18BF"/>
    <w:rsid w:val="00A300C7"/>
    <w:rsid w:val="00A82F58"/>
    <w:rsid w:val="00AC2350"/>
    <w:rsid w:val="00AF60C0"/>
    <w:rsid w:val="00B2567C"/>
    <w:rsid w:val="00BE13A8"/>
    <w:rsid w:val="00C64EF9"/>
    <w:rsid w:val="00C846EF"/>
    <w:rsid w:val="00C86937"/>
    <w:rsid w:val="00D926C2"/>
    <w:rsid w:val="00DB2C0B"/>
    <w:rsid w:val="00DC62A3"/>
    <w:rsid w:val="00E4144C"/>
    <w:rsid w:val="00E8226F"/>
    <w:rsid w:val="00EF10CE"/>
    <w:rsid w:val="00F07256"/>
    <w:rsid w:val="00F14FE0"/>
    <w:rsid w:val="00F4351C"/>
    <w:rsid w:val="00F453D2"/>
    <w:rsid w:val="00FA7605"/>
    <w:rsid w:val="00FB2B6E"/>
    <w:rsid w:val="00FE6E00"/>
    <w:rsid w:val="00FF1D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36D064"/>
  <w15:chartTrackingRefBased/>
  <w15:docId w15:val="{96B2E2BB-6221-4736-A813-A17389720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8693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86937"/>
    <w:rPr>
      <w:sz w:val="20"/>
      <w:szCs w:val="20"/>
    </w:rPr>
  </w:style>
  <w:style w:type="character" w:styleId="FootnoteReference">
    <w:name w:val="footnote reference"/>
    <w:basedOn w:val="DefaultParagraphFont"/>
    <w:uiPriority w:val="99"/>
    <w:semiHidden/>
    <w:unhideWhenUsed/>
    <w:rsid w:val="00C86937"/>
    <w:rPr>
      <w:vertAlign w:val="superscript"/>
    </w:rPr>
  </w:style>
  <w:style w:type="character" w:styleId="Hyperlink">
    <w:name w:val="Hyperlink"/>
    <w:basedOn w:val="DefaultParagraphFont"/>
    <w:uiPriority w:val="99"/>
    <w:unhideWhenUsed/>
    <w:rsid w:val="00347B89"/>
    <w:rPr>
      <w:color w:val="0563C1" w:themeColor="hyperlink"/>
      <w:u w:val="single"/>
    </w:rPr>
  </w:style>
  <w:style w:type="character" w:styleId="UnresolvedMention">
    <w:name w:val="Unresolved Mention"/>
    <w:basedOn w:val="DefaultParagraphFont"/>
    <w:uiPriority w:val="99"/>
    <w:semiHidden/>
    <w:unhideWhenUsed/>
    <w:rsid w:val="00347B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urcebooks.fordham.edu/source/urban2-5vers.asp#guibert" TargetMode="External"/><Relationship Id="rId3" Type="http://schemas.openxmlformats.org/officeDocument/2006/relationships/settings" Target="settings.xml"/><Relationship Id="rId7" Type="http://schemas.openxmlformats.org/officeDocument/2006/relationships/hyperlink" Target="https://sourcebooks.fordham.edu/source/urban2-5vers.asp#Fulcher"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sourcebooks.fordham.edu/source/urban2-5vers.asp#urban" TargetMode="External"/><Relationship Id="rId4" Type="http://schemas.openxmlformats.org/officeDocument/2006/relationships/webSettings" Target="webSettings.xml"/><Relationship Id="rId9" Type="http://schemas.openxmlformats.org/officeDocument/2006/relationships/hyperlink" Target="https://sourcebooks.fordham.edu/source/urban2-5vers.asp#gesta"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sourcebooks.fordham.edu/source/urban2-5vers.asp#gesta" TargetMode="External"/><Relationship Id="rId2" Type="http://schemas.openxmlformats.org/officeDocument/2006/relationships/hyperlink" Target="https://sourcebooks.fordham.edu/source/urban2-5vers.asp#urban" TargetMode="External"/><Relationship Id="rId1" Type="http://schemas.openxmlformats.org/officeDocument/2006/relationships/hyperlink" Target="https://sourcebooks.fordham.edu/source/urban2-5vers.asp#Fulcher" TargetMode="External"/><Relationship Id="rId5" Type="http://schemas.openxmlformats.org/officeDocument/2006/relationships/hyperlink" Target="https://sourcebooks.fordham.edu/source/urban2-5vers.asp#guibert" TargetMode="External"/><Relationship Id="rId4" Type="http://schemas.openxmlformats.org/officeDocument/2006/relationships/hyperlink" Target="https://sourcebooks.fordham.edu/source/urban2-5vers.asp#guibe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B2B1DA-A4E4-4BEF-A848-15FD1AAA15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592</TotalTime>
  <Pages>5</Pages>
  <Words>2185</Words>
  <Characters>11891</Characters>
  <Application>Microsoft Office Word</Application>
  <DocSecurity>0</DocSecurity>
  <Lines>150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dc:creator>
  <cp:keywords/>
  <dc:description/>
  <cp:lastModifiedBy>Jodie</cp:lastModifiedBy>
  <cp:revision>17</cp:revision>
  <dcterms:created xsi:type="dcterms:W3CDTF">2019-01-22T21:50:00Z</dcterms:created>
  <dcterms:modified xsi:type="dcterms:W3CDTF">2019-01-23T17:15:00Z</dcterms:modified>
</cp:coreProperties>
</file>