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rPr>
      </w:pPr>
      <w:r w:rsidDel="00000000" w:rsidR="00000000" w:rsidRPr="00000000">
        <w:rPr>
          <w:b w:val="1"/>
          <w:rtl w:val="0"/>
        </w:rPr>
        <w:t xml:space="preserve">Health and Social Care HND/BSC</w:t>
      </w:r>
    </w:p>
    <w:p w:rsidR="00000000" w:rsidDel="00000000" w:rsidP="00000000" w:rsidRDefault="00000000" w:rsidRPr="00000000" w14:paraId="00000002">
      <w:pPr>
        <w:jc w:val="center"/>
        <w:rPr>
          <w:b w:val="1"/>
        </w:rPr>
      </w:pPr>
      <w:r w:rsidDel="00000000" w:rsidR="00000000" w:rsidRPr="00000000">
        <w:rPr>
          <w:b w:val="1"/>
          <w:rtl w:val="0"/>
        </w:rPr>
        <w:t xml:space="preserve">Children, Young People and Families</w:t>
      </w:r>
    </w:p>
    <w:p w:rsidR="00000000" w:rsidDel="00000000" w:rsidP="00000000" w:rsidRDefault="00000000" w:rsidRPr="00000000" w14:paraId="00000003">
      <w:pPr>
        <w:jc w:val="center"/>
        <w:rPr>
          <w:b w:val="1"/>
        </w:rPr>
      </w:pPr>
      <w:r w:rsidDel="00000000" w:rsidR="00000000" w:rsidRPr="00000000">
        <w:rPr>
          <w:b w:val="1"/>
          <w:rtl w:val="0"/>
        </w:rPr>
        <w:t xml:space="preserve">BMHP5004_BIRM</w:t>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rtl w:val="0"/>
        </w:rPr>
      </w:r>
    </w:p>
    <w:p w:rsidR="00000000" w:rsidDel="00000000" w:rsidP="00000000" w:rsidRDefault="00000000" w:rsidRPr="00000000" w14:paraId="00000008">
      <w:pPr>
        <w:rPr>
          <w:b w:val="1"/>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b w:val="1"/>
          <w:rtl w:val="0"/>
        </w:rPr>
        <w:t xml:space="preserve">Student : Shaid Saleem</w:t>
      </w:r>
    </w:p>
    <w:p w:rsidR="00000000" w:rsidDel="00000000" w:rsidP="00000000" w:rsidRDefault="00000000" w:rsidRPr="00000000" w14:paraId="0000000A">
      <w:pPr>
        <w:rPr>
          <w:b w:val="1"/>
        </w:rPr>
      </w:pPr>
      <w:r w:rsidDel="00000000" w:rsidR="00000000" w:rsidRPr="00000000">
        <w:rPr>
          <w:b w:val="1"/>
          <w:rtl w:val="0"/>
        </w:rPr>
        <w:t xml:space="preserve">lD : 1715440</w:t>
      </w:r>
    </w:p>
    <w:p w:rsidR="00000000" w:rsidDel="00000000" w:rsidP="00000000" w:rsidRDefault="00000000" w:rsidRPr="00000000" w14:paraId="0000000B">
      <w:pPr>
        <w:rPr>
          <w:b w:val="1"/>
        </w:rPr>
      </w:pPr>
      <w:r w:rsidDel="00000000" w:rsidR="00000000" w:rsidRPr="00000000">
        <w:rPr>
          <w:b w:val="1"/>
          <w:rtl w:val="0"/>
        </w:rPr>
        <w:t xml:space="preserve">Lecturer : Dr Crisford Chogugudza</w:t>
      </w:r>
    </w:p>
    <w:p w:rsidR="00000000" w:rsidDel="00000000" w:rsidP="00000000" w:rsidRDefault="00000000" w:rsidRPr="00000000" w14:paraId="0000000C">
      <w:pPr>
        <w:rPr>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Case</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Reasons of Vulnerability</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Circumstances Indicating a Higher Level of Vulnerability</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Risk and Protective Factors</w:t>
              <w:tab/>
              <w:t xml:space="preserve">4</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Health and Social Agencies Support and Actions</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Policy and Roles of Multidisciplinary Services and Their Impact</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Critical Analysis Based on Perspective and Recommendation</w:t>
              <w:tab/>
              <w:t xml:space="preserve">6</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ksv4uv">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1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9">
      <w:pPr>
        <w:spacing w:line="259" w:lineRule="auto"/>
        <w:jc w:val="left"/>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A">
      <w:pPr>
        <w:pStyle w:val="Heading1"/>
        <w:rPr/>
      </w:pPr>
      <w:bookmarkStart w:colFirst="0" w:colLast="0" w:name="_heading=h.30j0zll" w:id="1"/>
      <w:bookmarkEnd w:id="1"/>
      <w:r w:rsidDel="00000000" w:rsidR="00000000" w:rsidRPr="00000000">
        <w:rPr>
          <w:rtl w:val="0"/>
        </w:rPr>
        <w:t xml:space="preserve">Introduction</w:t>
      </w:r>
    </w:p>
    <w:p w:rsidR="00000000" w:rsidDel="00000000" w:rsidP="00000000" w:rsidRDefault="00000000" w:rsidRPr="00000000" w14:paraId="0000001B">
      <w:pPr>
        <w:rPr/>
      </w:pPr>
      <w:bookmarkStart w:colFirst="0" w:colLast="0" w:name="_heading=h.1fob9te" w:id="2"/>
      <w:bookmarkEnd w:id="2"/>
      <w:r w:rsidDel="00000000" w:rsidR="00000000" w:rsidRPr="00000000">
        <w:rPr>
          <w:rtl w:val="0"/>
        </w:rPr>
        <w:t xml:space="preserve">The report will outline a case related to provision and policy for children and families. In this report, a case study will be analysed in the context of the current policies and social care services. The issues behind vulnerability and the victim’s condition will be described. Relevant evidence will be drawn along with risk and protective factors against the case. The point at which victims were contacted by health and social care agencies will also be scrutinised in light of case circumstances. Current policies in the country, the role of multidisciplinary services, and the potential impact of their actions will be justified as well. After analysing all the factors and circumstances, a relevant list will be made to draw the improvements that could have changed the situation and help the victims through the help of health and social care facilities.</w:t>
      </w:r>
    </w:p>
    <w:p w:rsidR="00000000" w:rsidDel="00000000" w:rsidP="00000000" w:rsidRDefault="00000000" w:rsidRPr="00000000" w14:paraId="0000001C">
      <w:pPr>
        <w:pStyle w:val="Heading1"/>
        <w:rPr/>
      </w:pPr>
      <w:bookmarkStart w:colFirst="0" w:colLast="0" w:name="_heading=h.3znysh7" w:id="3"/>
      <w:bookmarkEnd w:id="3"/>
      <w:r w:rsidDel="00000000" w:rsidR="00000000" w:rsidRPr="00000000">
        <w:rPr>
          <w:rtl w:val="0"/>
        </w:rPr>
        <w:t xml:space="preserve">The Case</w:t>
      </w:r>
    </w:p>
    <w:p w:rsidR="00000000" w:rsidDel="00000000" w:rsidP="00000000" w:rsidRDefault="00000000" w:rsidRPr="00000000" w14:paraId="0000001D">
      <w:pPr>
        <w:rPr/>
      </w:pPr>
      <w:bookmarkStart w:colFirst="0" w:colLast="0" w:name="_heading=h.2et92p0" w:id="4"/>
      <w:bookmarkEnd w:id="4"/>
      <w:r w:rsidDel="00000000" w:rsidR="00000000" w:rsidRPr="00000000">
        <w:rPr>
          <w:rtl w:val="0"/>
        </w:rPr>
        <w:t xml:space="preserve">The case study considers an anonymous case named family D that consists of five family members, some of whom experiences vulnerability and later were reported by referrals to overcome the situation. The case consists of several vulnerable factors concerning different scenarios because of different contingent risk factors that resulted in such vulnerability. Five members include a single mother, a working-age son, two secondary-age daughters, and a disabled primary-aged son. The reasons that caused them to be referred by referral were majorly domestic violence, rehousing needs, financial concern, and disability of the primary-aged son. Several vulnerable circumstances took place surrounding the reasons.  </w:t>
      </w:r>
    </w:p>
    <w:p w:rsidR="00000000" w:rsidDel="00000000" w:rsidP="00000000" w:rsidRDefault="00000000" w:rsidRPr="00000000" w14:paraId="0000001E">
      <w:pPr>
        <w:pStyle w:val="Heading1"/>
        <w:rPr/>
      </w:pPr>
      <w:bookmarkStart w:colFirst="0" w:colLast="0" w:name="_heading=h.tyjcwt" w:id="5"/>
      <w:bookmarkEnd w:id="5"/>
      <w:r w:rsidDel="00000000" w:rsidR="00000000" w:rsidRPr="00000000">
        <w:rPr>
          <w:rtl w:val="0"/>
        </w:rPr>
        <w:t xml:space="preserve">Reasons of Vulnerability</w:t>
      </w:r>
    </w:p>
    <w:p w:rsidR="00000000" w:rsidDel="00000000" w:rsidP="00000000" w:rsidRDefault="00000000" w:rsidRPr="00000000" w14:paraId="0000001F">
      <w:pPr>
        <w:rPr/>
      </w:pPr>
      <w:r w:rsidDel="00000000" w:rsidR="00000000" w:rsidRPr="00000000">
        <w:rPr>
          <w:rtl w:val="0"/>
        </w:rPr>
        <w:t xml:space="preserve">As described above, there were several reasons behind the entire situation. The five family members were facing several problems that resulted in such a situation. But first of all vulnerability situations are to be examined </w:t>
      </w:r>
      <w:r w:rsidDel="00000000" w:rsidR="00000000" w:rsidRPr="00000000">
        <w:rPr>
          <w:highlight w:val="white"/>
          <w:rtl w:val="0"/>
        </w:rPr>
        <w:t xml:space="preserve">(Lonne, Parton, Thomson, and Harries, 2008)</w:t>
      </w:r>
      <w:r w:rsidDel="00000000" w:rsidR="00000000" w:rsidRPr="00000000">
        <w:rPr>
          <w:rtl w:val="0"/>
        </w:rPr>
        <w:t xml:space="preserve">. The single mother and her non-resident boyfriend were conducted as experiencing domestic violence. On the other hand, the disabled son was almost out of care. Other family members faced mental problems because of continuous trouble inside the home. But as the case was being analysed, some of the major reasons behind risk were noted as –</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Unemployment</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Wellbeing</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Poor Housing</w:t>
      </w:r>
    </w:p>
    <w:p w:rsidR="00000000" w:rsidDel="00000000" w:rsidP="00000000" w:rsidRDefault="00000000" w:rsidRPr="00000000" w14:paraId="00000023">
      <w:pPr>
        <w:rPr/>
      </w:pPr>
      <w:r w:rsidDel="00000000" w:rsidR="00000000" w:rsidRPr="00000000">
        <w:rPr>
          <w:rtl w:val="0"/>
        </w:rPr>
        <w:t xml:space="preserve">Concerning these issues, members of the family faced many troubles. As members who were eligible for work were yet unemployed. Therefore, the family was already facing trouble in satisfying the financial needs of all five people. Contrarily, poor housing systems can demotivate living standards and force mental instability that results in vulnerable attitudes inside members of the family. Finally, the wellbeing of the people inside the home was questioned as members were troubled out of different concerns.  </w:t>
      </w:r>
    </w:p>
    <w:p w:rsidR="00000000" w:rsidDel="00000000" w:rsidP="00000000" w:rsidRDefault="00000000" w:rsidRPr="00000000" w14:paraId="00000024">
      <w:pPr>
        <w:pStyle w:val="Heading1"/>
        <w:rPr/>
      </w:pPr>
      <w:bookmarkStart w:colFirst="0" w:colLast="0" w:name="_heading=h.3dy6vkm" w:id="6"/>
      <w:bookmarkEnd w:id="6"/>
      <w:r w:rsidDel="00000000" w:rsidR="00000000" w:rsidRPr="00000000">
        <w:rPr>
          <w:rtl w:val="0"/>
        </w:rPr>
        <w:t xml:space="preserve">Circumstances Indicating a Higher Level of Vulnerability</w:t>
      </w:r>
    </w:p>
    <w:p w:rsidR="00000000" w:rsidDel="00000000" w:rsidP="00000000" w:rsidRDefault="00000000" w:rsidRPr="00000000" w14:paraId="00000025">
      <w:pPr>
        <w:rPr/>
      </w:pPr>
      <w:bookmarkStart w:colFirst="0" w:colLast="0" w:name="_heading=h.1t3h5sf" w:id="7"/>
      <w:bookmarkEnd w:id="7"/>
      <w:r w:rsidDel="00000000" w:rsidR="00000000" w:rsidRPr="00000000">
        <w:rPr>
          <w:rtl w:val="0"/>
        </w:rPr>
        <w:t xml:space="preserve">A higher level of vulnerability concerns situations that went out of control. Explaining this kind of circumstances, it is to be noted that the single mother contacted a non-resident boyfriend who was subjected to the vulnerability of domestic violence. The child with disability concerns was the victim of child neglect and out-of-care situation. Moreover, as reported by the surrounding neighbors, the family has a history of violence. Finally, unemployment and financial insufficiencies directed to a higher level of vulnerability when the living head of the family couldn’t satisfy needs and had to depend on an outsider to supply their needs.</w:t>
      </w:r>
    </w:p>
    <w:p w:rsidR="00000000" w:rsidDel="00000000" w:rsidP="00000000" w:rsidRDefault="00000000" w:rsidRPr="00000000" w14:paraId="00000026">
      <w:pPr>
        <w:rPr/>
      </w:pPr>
      <w:r w:rsidDel="00000000" w:rsidR="00000000" w:rsidRPr="00000000">
        <w:rPr>
          <w:rtl w:val="0"/>
        </w:rPr>
        <w:t xml:space="preserve">But as of the record, it might be noticed that all of the reasons together played an important role in the entire vulnerable situation.  </w:t>
      </w:r>
    </w:p>
    <w:p w:rsidR="00000000" w:rsidDel="00000000" w:rsidP="00000000" w:rsidRDefault="00000000" w:rsidRPr="00000000" w14:paraId="00000027">
      <w:pPr>
        <w:pStyle w:val="Heading1"/>
        <w:rPr/>
      </w:pPr>
      <w:bookmarkStart w:colFirst="0" w:colLast="0" w:name="_heading=h.4d34og8" w:id="8"/>
      <w:bookmarkEnd w:id="8"/>
      <w:r w:rsidDel="00000000" w:rsidR="00000000" w:rsidRPr="00000000">
        <w:rPr>
          <w:rtl w:val="0"/>
        </w:rPr>
        <w:t xml:space="preserve">Risk and Protective Factors</w:t>
      </w:r>
    </w:p>
    <w:p w:rsidR="00000000" w:rsidDel="00000000" w:rsidP="00000000" w:rsidRDefault="00000000" w:rsidRPr="00000000" w14:paraId="00000028">
      <w:pPr>
        <w:rPr/>
      </w:pPr>
      <w:bookmarkStart w:colFirst="0" w:colLast="0" w:name="_heading=h.2s8eyo1" w:id="9"/>
      <w:bookmarkEnd w:id="9"/>
      <w:r w:rsidDel="00000000" w:rsidR="00000000" w:rsidRPr="00000000">
        <w:rPr>
          <w:rtl w:val="0"/>
        </w:rPr>
        <w:t xml:space="preserve">Risk and protective factors entail assisting factors that help to prevent child abuse and neglect. Risk factors define situations that increase the probability of risk in the future for the victims (Neil, Gitsels, and Thoburn, 2019). On the other hand, protective factors help to determine development in the family situation to overcome previous criminal circumstances. Limited protective factors might increase the chances of risk factors in the future. In the above scenario, multiple risk factors drove the probability of risk to be higher. Some of the risk factors are given below –</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dependence</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previous record of vulnerability might harm mental health</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Poor housing condition</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 unhealthy environment might be the reason behind unemployment or academic or professional failures</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Mental pressure may lead to temper and mental distortion</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Lower care for a disabled child might lead to the more endangered situations for the child, which might even subject to the death of the child</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Dependence over others for financial supply  </w:t>
      </w:r>
    </w:p>
    <w:p w:rsidR="00000000" w:rsidDel="00000000" w:rsidP="00000000" w:rsidRDefault="00000000" w:rsidRPr="00000000" w14:paraId="00000030">
      <w:pPr>
        <w:rPr/>
      </w:pPr>
      <w:r w:rsidDel="00000000" w:rsidR="00000000" w:rsidRPr="00000000">
        <w:rPr>
          <w:rtl w:val="0"/>
        </w:rPr>
        <w:t xml:space="preserve">Protective factors for improving current mental damage among the children are given below –</w:t>
      </w:r>
    </w:p>
    <w:p w:rsidR="00000000" w:rsidDel="00000000" w:rsidP="00000000" w:rsidRDefault="00000000" w:rsidRPr="00000000" w14:paraId="0000003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Mental support of community, friends, and extended family members</w:t>
      </w:r>
    </w:p>
    <w:p w:rsidR="00000000" w:rsidDel="00000000" w:rsidP="00000000" w:rsidRDefault="00000000" w:rsidRPr="00000000" w14:paraId="000000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Regular check-up by social service organisations</w:t>
      </w:r>
    </w:p>
    <w:p w:rsidR="00000000" w:rsidDel="00000000" w:rsidP="00000000" w:rsidRDefault="00000000" w:rsidRPr="00000000" w14:paraId="0000003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Family connection and healthy communication can help build strong bonding among children and decrease such circumstances</w:t>
      </w:r>
    </w:p>
    <w:p w:rsidR="00000000" w:rsidDel="00000000" w:rsidP="00000000" w:rsidRDefault="00000000" w:rsidRPr="00000000" w14:paraId="000000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Financial and socio-economic support from government</w:t>
      </w:r>
    </w:p>
    <w:p w:rsidR="00000000" w:rsidDel="00000000" w:rsidP="00000000" w:rsidRDefault="00000000" w:rsidRPr="00000000" w14:paraId="000000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Academic, financial, and health services may develop the scenario</w:t>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Foster care must be ensured for the disabled child</w:t>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Members eligible for work must be fostered and be trained to overcome the situation to support the family</w:t>
      </w:r>
    </w:p>
    <w:p w:rsidR="00000000" w:rsidDel="00000000" w:rsidP="00000000" w:rsidRDefault="00000000" w:rsidRPr="00000000" w14:paraId="00000038">
      <w:pPr>
        <w:pStyle w:val="Heading1"/>
        <w:rPr/>
      </w:pPr>
      <w:bookmarkStart w:colFirst="0" w:colLast="0" w:name="_heading=h.17dp8vu" w:id="10"/>
      <w:bookmarkEnd w:id="10"/>
      <w:r w:rsidDel="00000000" w:rsidR="00000000" w:rsidRPr="00000000">
        <w:rPr>
          <w:rtl w:val="0"/>
        </w:rPr>
        <w:t xml:space="preserve">Health and Social Agencies Support and Actions</w:t>
      </w:r>
    </w:p>
    <w:p w:rsidR="00000000" w:rsidDel="00000000" w:rsidP="00000000" w:rsidRDefault="00000000" w:rsidRPr="00000000" w14:paraId="00000039">
      <w:pPr>
        <w:rPr>
          <w:highlight w:val="white"/>
        </w:rPr>
      </w:pPr>
      <w:r w:rsidDel="00000000" w:rsidR="00000000" w:rsidRPr="00000000">
        <w:rPr>
          <w:rtl w:val="0"/>
        </w:rPr>
        <w:t xml:space="preserve">To improve the situation, different health and social services helped came in help improve the situation. Local hospitals helped to improve the vulnerable condition of the child </w:t>
      </w:r>
      <w:r w:rsidDel="00000000" w:rsidR="00000000" w:rsidRPr="00000000">
        <w:rPr>
          <w:highlight w:val="white"/>
          <w:rtl w:val="0"/>
        </w:rPr>
        <w:t xml:space="preserve">(Detels, Beaglehole, Lansang, and Gulliford, 2011)</w:t>
      </w:r>
      <w:r w:rsidDel="00000000" w:rsidR="00000000" w:rsidRPr="00000000">
        <w:rPr>
          <w:rtl w:val="0"/>
        </w:rPr>
        <w:t xml:space="preserve">. Young People’s Team came up to help them improve the current vulnerable condition of young children. Certain neighborhood services came up to inform agencies with legal services. Jobcentre plus came up to help young people improve their job situation and help financially with training and professional development. Connecxions Team reached out to help with family relations. Education Services helped to develop children’s educational condition. Leaving Care Team helped to foster the children later. A continuous watch had been put over the family by assigning a social worker to oversee the children and members of the family. Later the children were assigned to foster care homes for further recovery.   </w:t>
      </w:r>
      <w:r w:rsidDel="00000000" w:rsidR="00000000" w:rsidRPr="00000000">
        <w:rPr>
          <w:rtl w:val="0"/>
        </w:rPr>
      </w:r>
    </w:p>
    <w:p w:rsidR="00000000" w:rsidDel="00000000" w:rsidP="00000000" w:rsidRDefault="00000000" w:rsidRPr="00000000" w14:paraId="0000003A">
      <w:pPr>
        <w:pStyle w:val="Heading1"/>
        <w:rPr/>
      </w:pPr>
      <w:bookmarkStart w:colFirst="0" w:colLast="0" w:name="_heading=h.3rdcrjn" w:id="11"/>
      <w:bookmarkEnd w:id="11"/>
      <w:r w:rsidDel="00000000" w:rsidR="00000000" w:rsidRPr="00000000">
        <w:rPr>
          <w:rtl w:val="0"/>
        </w:rPr>
        <w:t xml:space="preserve">Policy and Roles of Multidisciplinary Services and Their Impact</w:t>
      </w:r>
    </w:p>
    <w:p w:rsidR="00000000" w:rsidDel="00000000" w:rsidP="00000000" w:rsidRDefault="00000000" w:rsidRPr="00000000" w14:paraId="0000003B">
      <w:pPr>
        <w:rPr>
          <w:highlight w:val="white"/>
        </w:rPr>
      </w:pPr>
      <w:bookmarkStart w:colFirst="0" w:colLast="0" w:name="_heading=h.26in1rg" w:id="12"/>
      <w:bookmarkEnd w:id="12"/>
      <w:r w:rsidDel="00000000" w:rsidR="00000000" w:rsidRPr="00000000">
        <w:rPr>
          <w:rtl w:val="0"/>
        </w:rPr>
        <w:t xml:space="preserve">Multidisciplinary services are special services designed and provided customised for personal care and improvement. Multidisciplinary workers are an integrated team providing needed service for patients’ requirements </w:t>
      </w:r>
      <w:r w:rsidDel="00000000" w:rsidR="00000000" w:rsidRPr="00000000">
        <w:rPr>
          <w:highlight w:val="white"/>
          <w:rtl w:val="0"/>
        </w:rPr>
        <w:t xml:space="preserve">(Neufeld, Dunn, Jones, Croudace, and Goodyer, 2017)</w:t>
      </w:r>
      <w:r w:rsidDel="00000000" w:rsidR="00000000" w:rsidRPr="00000000">
        <w:rPr>
          <w:rtl w:val="0"/>
        </w:rPr>
        <w:t xml:space="preserve">. In the above scenario professional social workers, law enforcers, mental health services, educational services, care teams, and foster caretakers played significant roles in the improvement. According to child protection policies, the accused were put to custody and have been charged for alleged offenses against children well-being and mental condition.</w:t>
      </w:r>
      <w:r w:rsidDel="00000000" w:rsidR="00000000" w:rsidRPr="00000000">
        <w:rPr>
          <w:rtl w:val="0"/>
        </w:rPr>
      </w:r>
    </w:p>
    <w:p w:rsidR="00000000" w:rsidDel="00000000" w:rsidP="00000000" w:rsidRDefault="00000000" w:rsidRPr="00000000" w14:paraId="0000003C">
      <w:pPr>
        <w:pStyle w:val="Heading1"/>
        <w:rPr/>
      </w:pPr>
      <w:bookmarkStart w:colFirst="0" w:colLast="0" w:name="_heading=h.lnxbz9" w:id="13"/>
      <w:bookmarkEnd w:id="13"/>
      <w:r w:rsidDel="00000000" w:rsidR="00000000" w:rsidRPr="00000000">
        <w:rPr>
          <w:rtl w:val="0"/>
        </w:rPr>
        <w:t xml:space="preserve">Critical Analysis Based on Perspective and Recommendation</w:t>
      </w:r>
    </w:p>
    <w:p w:rsidR="00000000" w:rsidDel="00000000" w:rsidP="00000000" w:rsidRDefault="00000000" w:rsidRPr="00000000" w14:paraId="0000003D">
      <w:pPr>
        <w:rPr>
          <w:highlight w:val="white"/>
        </w:rPr>
      </w:pPr>
      <w:r w:rsidDel="00000000" w:rsidR="00000000" w:rsidRPr="00000000">
        <w:rPr>
          <w:rtl w:val="0"/>
        </w:rPr>
        <w:t xml:space="preserve">Based on the previewed analysis of the case the continuous vulnerable situation and member’s condition were at stake. Moreover, the disabled child fought to regain his previous condition. According to my analysis and other guidance available, there could be some improvements in the entire scenario and how the organisations came up to help the situation. Multidisciplinary teams help in collaboration to help improve the vulnerable situation </w:t>
      </w:r>
      <w:r w:rsidDel="00000000" w:rsidR="00000000" w:rsidRPr="00000000">
        <w:rPr>
          <w:highlight w:val="white"/>
          <w:rtl w:val="0"/>
        </w:rPr>
        <w:t xml:space="preserve">(McGorry, Bates, and Birchwood, 2013)</w:t>
      </w:r>
      <w:r w:rsidDel="00000000" w:rsidR="00000000" w:rsidRPr="00000000">
        <w:rPr>
          <w:rtl w:val="0"/>
        </w:rPr>
        <w:t xml:space="preserve">. One on one consultation for the young boy, single mother, and non-resident boyfriend could have been arranged to help them deal with situations around them. Moreover, the disabled son should be kept under proper observation for further help. Proper consultation must be provided for the members of the family so that the family does not engage in such behavior any further. As a result, they will be able to develop the current situation. Young members eligible for the job should also be guided so that they can regain their lost motivation for academic and professional success.  </w:t>
      </w:r>
      <w:r w:rsidDel="00000000" w:rsidR="00000000" w:rsidRPr="00000000">
        <w:rPr>
          <w:rtl w:val="0"/>
        </w:rPr>
      </w:r>
    </w:p>
    <w:p w:rsidR="00000000" w:rsidDel="00000000" w:rsidP="00000000" w:rsidRDefault="00000000" w:rsidRPr="00000000" w14:paraId="0000003E">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F">
      <w:pPr>
        <w:pStyle w:val="Heading1"/>
        <w:rPr/>
      </w:pPr>
      <w:bookmarkStart w:colFirst="0" w:colLast="0" w:name="_heading=h.35nkun2" w:id="14"/>
      <w:bookmarkEnd w:id="14"/>
      <w:r w:rsidDel="00000000" w:rsidR="00000000" w:rsidRPr="00000000">
        <w:rPr>
          <w:rtl w:val="0"/>
        </w:rPr>
        <w:t xml:space="preserve">Conclusion</w:t>
      </w:r>
    </w:p>
    <w:p w:rsidR="00000000" w:rsidDel="00000000" w:rsidP="00000000" w:rsidRDefault="00000000" w:rsidRPr="00000000" w14:paraId="00000040">
      <w:pPr>
        <w:rPr/>
      </w:pPr>
      <w:r w:rsidDel="00000000" w:rsidR="00000000" w:rsidRPr="00000000">
        <w:rPr>
          <w:rtl w:val="0"/>
        </w:rPr>
        <w:t xml:space="preserve">As of the records of the case, though the entire scenario was tackled with great concern, and children and victims were reached out later to improve their condition. But it is to be assured that the country should no more suffer from abusiveness and vulnerability. Hence the government has constituted child protection practices and policies. The policies are to be informed to general people. Moreover, parents are to be carefully nurtured before parenthood if they are fitting for the upcoming life. Therefore, concerning every possible outcome and scenario, it is to be assured that governing bodies must give their best effort for the healthy mental and physical growth of the citizens of the country.</w:t>
      </w:r>
    </w:p>
    <w:p w:rsidR="00000000" w:rsidDel="00000000" w:rsidP="00000000" w:rsidRDefault="00000000" w:rsidRPr="00000000" w14:paraId="00000041">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2">
      <w:pPr>
        <w:pStyle w:val="Heading1"/>
        <w:rPr/>
      </w:pPr>
      <w:bookmarkStart w:colFirst="0" w:colLast="0" w:name="_heading=h.1ksv4uv" w:id="15"/>
      <w:bookmarkEnd w:id="15"/>
      <w:r w:rsidDel="00000000" w:rsidR="00000000" w:rsidRPr="00000000">
        <w:rPr>
          <w:rtl w:val="0"/>
        </w:rPr>
        <w:t xml:space="preserve">References</w:t>
      </w:r>
    </w:p>
    <w:p w:rsidR="00000000" w:rsidDel="00000000" w:rsidP="00000000" w:rsidRDefault="00000000" w:rsidRPr="00000000" w14:paraId="00000043">
      <w:pPr>
        <w:rPr/>
      </w:pPr>
      <w:r w:rsidDel="00000000" w:rsidR="00000000" w:rsidRPr="00000000">
        <w:rPr>
          <w:rtl w:val="0"/>
        </w:rPr>
        <w:t xml:space="preserve">NHS England (2015), Special education needs, </w:t>
      </w:r>
      <w:hyperlink r:id="rId7">
        <w:r w:rsidDel="00000000" w:rsidR="00000000" w:rsidRPr="00000000">
          <w:rPr>
            <w:color w:val="0563c1"/>
            <w:u w:val="single"/>
            <w:rtl w:val="0"/>
          </w:rPr>
          <w:t xml:space="preserve">www.england.nhs.uk</w:t>
        </w:r>
      </w:hyperlink>
      <w:r w:rsidDel="00000000" w:rsidR="00000000" w:rsidRPr="00000000">
        <w:rPr>
          <w:rtl w:val="0"/>
        </w:rPr>
        <w:t xml:space="preserve">, (Accessed: 16 November 2021)</w:t>
      </w:r>
    </w:p>
    <w:p w:rsidR="00000000" w:rsidDel="00000000" w:rsidP="00000000" w:rsidRDefault="00000000" w:rsidRPr="00000000" w14:paraId="00000044">
      <w:pPr>
        <w:rPr/>
      </w:pPr>
      <w:r w:rsidDel="00000000" w:rsidR="00000000" w:rsidRPr="00000000">
        <w:rPr>
          <w:rtl w:val="0"/>
        </w:rPr>
        <w:t xml:space="preserve">NHS (2020), Children and young people's services, </w:t>
      </w:r>
      <w:hyperlink r:id="rId8">
        <w:r w:rsidDel="00000000" w:rsidR="00000000" w:rsidRPr="00000000">
          <w:rPr>
            <w:color w:val="0563c1"/>
            <w:u w:val="single"/>
            <w:rtl w:val="0"/>
          </w:rPr>
          <w:t xml:space="preserve">www.nhs.uk</w:t>
        </w:r>
      </w:hyperlink>
      <w:r w:rsidDel="00000000" w:rsidR="00000000" w:rsidRPr="00000000">
        <w:rPr>
          <w:rtl w:val="0"/>
        </w:rPr>
        <w:t xml:space="preserve">, (Accessed: 16 November 2021)</w:t>
      </w:r>
    </w:p>
    <w:p w:rsidR="00000000" w:rsidDel="00000000" w:rsidP="00000000" w:rsidRDefault="00000000" w:rsidRPr="00000000" w14:paraId="00000045">
      <w:pPr>
        <w:rPr/>
      </w:pPr>
      <w:r w:rsidDel="00000000" w:rsidR="00000000" w:rsidRPr="00000000">
        <w:rPr>
          <w:rtl w:val="0"/>
        </w:rPr>
        <w:t xml:space="preserve">Epping Forest Council (2021), Decorating and improvements to your council home, </w:t>
      </w:r>
      <w:hyperlink r:id="rId9">
        <w:r w:rsidDel="00000000" w:rsidR="00000000" w:rsidRPr="00000000">
          <w:rPr>
            <w:color w:val="0563c1"/>
            <w:u w:val="single"/>
            <w:rtl w:val="0"/>
          </w:rPr>
          <w:t xml:space="preserve">www.eppingforestdc.gov.uk</w:t>
        </w:r>
      </w:hyperlink>
      <w:r w:rsidDel="00000000" w:rsidR="00000000" w:rsidRPr="00000000">
        <w:rPr>
          <w:rtl w:val="0"/>
        </w:rPr>
        <w:t xml:space="preserve">, (Accessed: 16 November 2021)</w:t>
      </w:r>
    </w:p>
    <w:p w:rsidR="00000000" w:rsidDel="00000000" w:rsidP="00000000" w:rsidRDefault="00000000" w:rsidRPr="00000000" w14:paraId="00000046">
      <w:pPr>
        <w:rPr/>
      </w:pPr>
      <w:r w:rsidDel="00000000" w:rsidR="00000000" w:rsidRPr="00000000">
        <w:rPr>
          <w:rtl w:val="0"/>
        </w:rPr>
        <w:t xml:space="preserve">Service to schools (2020), Services to schools – Conexxions, </w:t>
      </w:r>
      <w:hyperlink r:id="rId10">
        <w:r w:rsidDel="00000000" w:rsidR="00000000" w:rsidRPr="00000000">
          <w:rPr>
            <w:color w:val="0563c1"/>
            <w:u w:val="single"/>
            <w:rtl w:val="0"/>
          </w:rPr>
          <w:t xml:space="preserve">www.servicetoschools.org.uk</w:t>
        </w:r>
      </w:hyperlink>
      <w:r w:rsidDel="00000000" w:rsidR="00000000" w:rsidRPr="00000000">
        <w:rPr>
          <w:rtl w:val="0"/>
        </w:rPr>
        <w:t xml:space="preserve">, (Accessed: 16 November 2021)</w:t>
      </w:r>
    </w:p>
    <w:p w:rsidR="00000000" w:rsidDel="00000000" w:rsidP="00000000" w:rsidRDefault="00000000" w:rsidRPr="00000000" w14:paraId="00000047">
      <w:pPr>
        <w:rPr/>
      </w:pPr>
      <w:r w:rsidDel="00000000" w:rsidR="00000000" w:rsidRPr="00000000">
        <w:rPr>
          <w:rtl w:val="0"/>
        </w:rPr>
        <w:t xml:space="preserve">Birmigham childrens trust (2018), Support for 18 to 21 year olds who have been in care, </w:t>
      </w:r>
      <w:hyperlink r:id="rId11">
        <w:r w:rsidDel="00000000" w:rsidR="00000000" w:rsidRPr="00000000">
          <w:rPr>
            <w:color w:val="0563c1"/>
            <w:u w:val="single"/>
            <w:rtl w:val="0"/>
          </w:rPr>
          <w:t xml:space="preserve">www.birminghamchildrenstrust.co.uk</w:t>
        </w:r>
      </w:hyperlink>
      <w:r w:rsidDel="00000000" w:rsidR="00000000" w:rsidRPr="00000000">
        <w:rPr>
          <w:rtl w:val="0"/>
        </w:rPr>
        <w:t xml:space="preserve">, (Accessed: 16 November 2021)</w:t>
      </w:r>
    </w:p>
    <w:p w:rsidR="00000000" w:rsidDel="00000000" w:rsidP="00000000" w:rsidRDefault="00000000" w:rsidRPr="00000000" w14:paraId="00000048">
      <w:pPr>
        <w:rPr/>
      </w:pPr>
      <w:r w:rsidDel="00000000" w:rsidR="00000000" w:rsidRPr="00000000">
        <w:rPr>
          <w:rtl w:val="0"/>
        </w:rPr>
        <w:t xml:space="preserve">Gov uk (2020), Department for education services and information, </w:t>
      </w:r>
      <w:hyperlink r:id="rId12">
        <w:r w:rsidDel="00000000" w:rsidR="00000000" w:rsidRPr="00000000">
          <w:rPr>
            <w:color w:val="0563c1"/>
            <w:u w:val="single"/>
            <w:rtl w:val="0"/>
          </w:rPr>
          <w:t xml:space="preserve">www.gov.uk</w:t>
        </w:r>
      </w:hyperlink>
      <w:r w:rsidDel="00000000" w:rsidR="00000000" w:rsidRPr="00000000">
        <w:rPr>
          <w:rtl w:val="0"/>
        </w:rPr>
        <w:t xml:space="preserve">, (Accessed: 16 November 2021)</w:t>
      </w:r>
    </w:p>
    <w:p w:rsidR="00000000" w:rsidDel="00000000" w:rsidP="00000000" w:rsidRDefault="00000000" w:rsidRPr="00000000" w14:paraId="00000049">
      <w:pPr>
        <w:rPr/>
      </w:pPr>
      <w:r w:rsidDel="00000000" w:rsidR="00000000" w:rsidRPr="00000000">
        <w:rPr>
          <w:rtl w:val="0"/>
        </w:rPr>
        <w:t xml:space="preserve">Gingerbread (2018), Jobseekers allowance – special rules for single parents, </w:t>
      </w:r>
      <w:hyperlink r:id="rId13">
        <w:r w:rsidDel="00000000" w:rsidR="00000000" w:rsidRPr="00000000">
          <w:rPr>
            <w:color w:val="0563c1"/>
            <w:u w:val="single"/>
            <w:rtl w:val="0"/>
          </w:rPr>
          <w:t xml:space="preserve">www.gingerbread.org.uk</w:t>
        </w:r>
      </w:hyperlink>
      <w:r w:rsidDel="00000000" w:rsidR="00000000" w:rsidRPr="00000000">
        <w:rPr>
          <w:rtl w:val="0"/>
        </w:rPr>
        <w:t xml:space="preserve">, (Accessed: 16 November 2021)</w:t>
      </w:r>
    </w:p>
    <w:p w:rsidR="00000000" w:rsidDel="00000000" w:rsidP="00000000" w:rsidRDefault="00000000" w:rsidRPr="00000000" w14:paraId="0000004A">
      <w:pPr>
        <w:rPr/>
      </w:pPr>
      <w:r w:rsidDel="00000000" w:rsidR="00000000" w:rsidRPr="00000000">
        <w:rPr>
          <w:rtl w:val="0"/>
        </w:rPr>
        <w:t xml:space="preserve">Foster, D. (2015) ‘How are children affected by poor housing?’, </w:t>
      </w:r>
      <w:r w:rsidDel="00000000" w:rsidR="00000000" w:rsidRPr="00000000">
        <w:rPr>
          <w:i w:val="1"/>
          <w:rtl w:val="0"/>
        </w:rPr>
        <w:t xml:space="preserve">The Guardian</w:t>
      </w:r>
      <w:r w:rsidDel="00000000" w:rsidR="00000000" w:rsidRPr="00000000">
        <w:rPr>
          <w:rtl w:val="0"/>
        </w:rPr>
        <w:t xml:space="preserve">, 11th November.</w:t>
      </w:r>
    </w:p>
    <w:p w:rsidR="00000000" w:rsidDel="00000000" w:rsidP="00000000" w:rsidRDefault="00000000" w:rsidRPr="00000000" w14:paraId="0000004B">
      <w:pPr>
        <w:rPr/>
      </w:pPr>
      <w:r w:rsidDel="00000000" w:rsidR="00000000" w:rsidRPr="00000000">
        <w:rPr>
          <w:rtl w:val="0"/>
        </w:rPr>
        <w:t xml:space="preserve">Harker, L. (2006) </w:t>
      </w:r>
      <w:r w:rsidDel="00000000" w:rsidR="00000000" w:rsidRPr="00000000">
        <w:rPr>
          <w:i w:val="1"/>
          <w:rtl w:val="0"/>
        </w:rPr>
        <w:t xml:space="preserve">The impact of bad housing on children’s lives</w:t>
      </w:r>
      <w:r w:rsidDel="00000000" w:rsidR="00000000" w:rsidRPr="00000000">
        <w:rPr>
          <w:rtl w:val="0"/>
        </w:rPr>
        <w:t xml:space="preserve">. Available at: </w:t>
      </w:r>
      <w:hyperlink r:id="rId14">
        <w:r w:rsidDel="00000000" w:rsidR="00000000" w:rsidRPr="00000000">
          <w:rPr>
            <w:color w:val="0563c1"/>
            <w:u w:val="single"/>
            <w:rtl w:val="0"/>
          </w:rPr>
          <w:t xml:space="preserve">https://assets.ctfassets.net/6sxvmndnpn0s/4LTXp3mya7IigRmNG8x9KK/6922b5a4c6ea756ea94da71ebdc001a5/Chance_of_a_Lifetime.pdf</w:t>
        </w:r>
      </w:hyperlink>
      <w:r w:rsidDel="00000000" w:rsidR="00000000" w:rsidRPr="00000000">
        <w:rPr>
          <w:rtl w:val="0"/>
        </w:rPr>
        <w:t xml:space="preserve"> (Accessed: 05 November 2021).</w:t>
      </w:r>
    </w:p>
    <w:p w:rsidR="00000000" w:rsidDel="00000000" w:rsidP="00000000" w:rsidRDefault="00000000" w:rsidRPr="00000000" w14:paraId="0000004C">
      <w:pPr>
        <w:rPr/>
      </w:pPr>
      <w:r w:rsidDel="00000000" w:rsidR="00000000" w:rsidRPr="00000000">
        <w:rPr>
          <w:rtl w:val="0"/>
        </w:rPr>
        <w:t xml:space="preserve">Neil, E., Gitsels, L. and Thoburn, J. (2019) ‘Returning children home from care: What can be learned from local authority data?’ </w:t>
      </w:r>
      <w:r w:rsidDel="00000000" w:rsidR="00000000" w:rsidRPr="00000000">
        <w:rPr>
          <w:i w:val="1"/>
          <w:rtl w:val="0"/>
        </w:rPr>
        <w:t xml:space="preserve">Child &amp; Family Social Work</w:t>
      </w:r>
      <w:r w:rsidDel="00000000" w:rsidR="00000000" w:rsidRPr="00000000">
        <w:rPr>
          <w:rtl w:val="0"/>
        </w:rPr>
        <w:t xml:space="preserve">, 25(3), pp. 548-556. (Accessed: 06 November 2021).  </w:t>
      </w:r>
      <w:hyperlink r:id="rId15">
        <w:r w:rsidDel="00000000" w:rsidR="00000000" w:rsidRPr="00000000">
          <w:rPr>
            <w:color w:val="0563c1"/>
            <w:u w:val="single"/>
            <w:rtl w:val="0"/>
          </w:rPr>
          <w:t xml:space="preserve">https://doi.org/10.1111/cfs.12724</w:t>
        </w:r>
      </w:hyperlink>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Public Health England (2019) </w:t>
      </w:r>
      <w:r w:rsidDel="00000000" w:rsidR="00000000" w:rsidRPr="00000000">
        <w:rPr>
          <w:i w:val="1"/>
          <w:rtl w:val="0"/>
        </w:rPr>
        <w:t xml:space="preserve">Health Matters: health and work. Available at</w:t>
      </w:r>
      <w:r w:rsidDel="00000000" w:rsidR="00000000" w:rsidRPr="00000000">
        <w:rPr>
          <w:rtl w:val="0"/>
        </w:rPr>
        <w:t xml:space="preserve">: </w:t>
      </w:r>
      <w:hyperlink r:id="rId16">
        <w:r w:rsidDel="00000000" w:rsidR="00000000" w:rsidRPr="00000000">
          <w:rPr>
            <w:color w:val="0563c1"/>
            <w:u w:val="single"/>
            <w:rtl w:val="0"/>
          </w:rPr>
          <w:t xml:space="preserve">https://www.gov.uk/government/publications/health-matters-health-and-work/health-matters-health-and-work</w:t>
        </w:r>
      </w:hyperlink>
      <w:r w:rsidDel="00000000" w:rsidR="00000000" w:rsidRPr="00000000">
        <w:rPr>
          <w:rtl w:val="0"/>
        </w:rPr>
        <w:t xml:space="preserve"> (Accessed: 05 November 2021).</w:t>
      </w:r>
    </w:p>
    <w:p w:rsidR="00000000" w:rsidDel="00000000" w:rsidP="00000000" w:rsidRDefault="00000000" w:rsidRPr="00000000" w14:paraId="0000004E">
      <w:pPr>
        <w:rPr/>
      </w:pPr>
      <w:r w:rsidDel="00000000" w:rsidR="00000000" w:rsidRPr="00000000">
        <w:rPr>
          <w:rtl w:val="0"/>
        </w:rPr>
        <w:t xml:space="preserve">Rivera, F. et al. (2019) ‘The Effects Of Violence On Health’ </w:t>
      </w:r>
      <w:r w:rsidDel="00000000" w:rsidR="00000000" w:rsidRPr="00000000">
        <w:rPr>
          <w:i w:val="1"/>
          <w:rtl w:val="0"/>
        </w:rPr>
        <w:t xml:space="preserve">Health Affairs</w:t>
      </w:r>
      <w:r w:rsidDel="00000000" w:rsidR="00000000" w:rsidRPr="00000000">
        <w:rPr>
          <w:rtl w:val="0"/>
        </w:rPr>
        <w:t xml:space="preserve">, 38(10). (Accessed: 06 November 2021). DOI: </w:t>
      </w:r>
      <w:hyperlink r:id="rId17">
        <w:r w:rsidDel="00000000" w:rsidR="00000000" w:rsidRPr="00000000">
          <w:rPr>
            <w:color w:val="0563c1"/>
            <w:u w:val="single"/>
            <w:rtl w:val="0"/>
          </w:rPr>
          <w:t xml:space="preserve">https://doi.org/10.1377/hlthaff.2019.00480</w:t>
        </w:r>
      </w:hyperlink>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Study.com (2021) </w:t>
      </w:r>
      <w:r w:rsidDel="00000000" w:rsidR="00000000" w:rsidRPr="00000000">
        <w:rPr>
          <w:i w:val="1"/>
          <w:rtl w:val="0"/>
        </w:rPr>
        <w:t xml:space="preserve">How Family Conflicts Affect Health</w:t>
      </w:r>
      <w:r w:rsidDel="00000000" w:rsidR="00000000" w:rsidRPr="00000000">
        <w:rPr>
          <w:rtl w:val="0"/>
        </w:rPr>
        <w:t xml:space="preserve">. Available at: </w:t>
      </w:r>
      <w:hyperlink r:id="rId18">
        <w:r w:rsidDel="00000000" w:rsidR="00000000" w:rsidRPr="00000000">
          <w:rPr>
            <w:color w:val="0563c1"/>
            <w:u w:val="single"/>
            <w:rtl w:val="0"/>
          </w:rPr>
          <w:t xml:space="preserve">https://study.com/academy/lesson/how-family-conflict-affects-health.html</w:t>
        </w:r>
      </w:hyperlink>
      <w:r w:rsidDel="00000000" w:rsidR="00000000" w:rsidRPr="00000000">
        <w:rPr>
          <w:rtl w:val="0"/>
        </w:rPr>
        <w:t xml:space="preserve"> (Accessed: 05 November 2021).</w:t>
      </w:r>
    </w:p>
    <w:p w:rsidR="00000000" w:rsidDel="00000000" w:rsidP="00000000" w:rsidRDefault="00000000" w:rsidRPr="00000000" w14:paraId="00000050">
      <w:pPr>
        <w:rPr/>
      </w:pPr>
      <w:r w:rsidDel="00000000" w:rsidR="00000000" w:rsidRPr="00000000">
        <w:rPr>
          <w:rtl w:val="0"/>
        </w:rPr>
        <w:t xml:space="preserve">The World Bank (2021) </w:t>
      </w:r>
      <w:r w:rsidDel="00000000" w:rsidR="00000000" w:rsidRPr="00000000">
        <w:rPr>
          <w:i w:val="1"/>
          <w:rtl w:val="0"/>
        </w:rPr>
        <w:t xml:space="preserve">Disability Inclusion</w:t>
      </w:r>
      <w:r w:rsidDel="00000000" w:rsidR="00000000" w:rsidRPr="00000000">
        <w:rPr>
          <w:rtl w:val="0"/>
        </w:rPr>
        <w:t xml:space="preserve">. Available at: </w:t>
      </w:r>
      <w:hyperlink r:id="rId19">
        <w:r w:rsidDel="00000000" w:rsidR="00000000" w:rsidRPr="00000000">
          <w:rPr>
            <w:color w:val="0563c1"/>
            <w:u w:val="single"/>
            <w:rtl w:val="0"/>
          </w:rPr>
          <w:t xml:space="preserve">https://www.worldbank.org/en/topic/disability#1</w:t>
        </w:r>
      </w:hyperlink>
      <w:r w:rsidDel="00000000" w:rsidR="00000000" w:rsidRPr="00000000">
        <w:rPr>
          <w:rtl w:val="0"/>
        </w:rPr>
        <w:t xml:space="preserve"> (Accessed; 07 November 2021).</w:t>
      </w:r>
    </w:p>
    <w:p w:rsidR="00000000" w:rsidDel="00000000" w:rsidP="00000000" w:rsidRDefault="00000000" w:rsidRPr="00000000" w14:paraId="00000051">
      <w:pPr>
        <w:rPr>
          <w:highlight w:val="white"/>
        </w:rPr>
      </w:pPr>
      <w:r w:rsidDel="00000000" w:rsidR="00000000" w:rsidRPr="00000000">
        <w:rPr>
          <w:highlight w:val="white"/>
          <w:rtl w:val="0"/>
        </w:rPr>
        <w:t xml:space="preserve">Charman, T., Baird, G., Simonoff, E., Chandler, S., Davison‐Jenkins, A., Sharma, A., O'Sullivan, T. and Pickles, A., 2016. Testing two screening instruments for autism spectrum disorder in UK community child health services. </w:t>
      </w:r>
      <w:r w:rsidDel="00000000" w:rsidR="00000000" w:rsidRPr="00000000">
        <w:rPr>
          <w:i w:val="1"/>
          <w:highlight w:val="white"/>
          <w:rtl w:val="0"/>
        </w:rPr>
        <w:t xml:space="preserve">Developmental Medicine &amp; Child Neurology</w:t>
      </w:r>
      <w:r w:rsidDel="00000000" w:rsidR="00000000" w:rsidRPr="00000000">
        <w:rPr>
          <w:highlight w:val="white"/>
          <w:rtl w:val="0"/>
        </w:rPr>
        <w:t xml:space="preserve">, </w:t>
      </w:r>
      <w:r w:rsidDel="00000000" w:rsidR="00000000" w:rsidRPr="00000000">
        <w:rPr>
          <w:i w:val="1"/>
          <w:highlight w:val="white"/>
          <w:rtl w:val="0"/>
        </w:rPr>
        <w:t xml:space="preserve">58</w:t>
      </w:r>
      <w:r w:rsidDel="00000000" w:rsidR="00000000" w:rsidRPr="00000000">
        <w:rPr>
          <w:highlight w:val="white"/>
          <w:rtl w:val="0"/>
        </w:rPr>
        <w:t xml:space="preserve">(4), pp.369-375.</w:t>
      </w:r>
    </w:p>
    <w:p w:rsidR="00000000" w:rsidDel="00000000" w:rsidP="00000000" w:rsidRDefault="00000000" w:rsidRPr="00000000" w14:paraId="00000052">
      <w:pPr>
        <w:rPr>
          <w:highlight w:val="white"/>
        </w:rPr>
      </w:pPr>
      <w:r w:rsidDel="00000000" w:rsidR="00000000" w:rsidRPr="00000000">
        <w:rPr>
          <w:highlight w:val="white"/>
          <w:rtl w:val="0"/>
        </w:rPr>
        <w:t xml:space="preserve">Detels, R., Beaglehole, R., Lansang, M.A. and Gulliford, M., 2011. </w:t>
      </w:r>
      <w:r w:rsidDel="00000000" w:rsidR="00000000" w:rsidRPr="00000000">
        <w:rPr>
          <w:i w:val="1"/>
          <w:highlight w:val="white"/>
          <w:rtl w:val="0"/>
        </w:rPr>
        <w:t xml:space="preserve">Oxford textbook of public health</w:t>
      </w:r>
      <w:r w:rsidDel="00000000" w:rsidR="00000000" w:rsidRPr="00000000">
        <w:rPr>
          <w:highlight w:val="white"/>
          <w:rtl w:val="0"/>
        </w:rPr>
        <w:t xml:space="preserve">. Oxford University Press.</w:t>
      </w:r>
    </w:p>
    <w:p w:rsidR="00000000" w:rsidDel="00000000" w:rsidP="00000000" w:rsidRDefault="00000000" w:rsidRPr="00000000" w14:paraId="00000053">
      <w:pPr>
        <w:rPr/>
      </w:pPr>
      <w:r w:rsidDel="00000000" w:rsidR="00000000" w:rsidRPr="00000000">
        <w:rPr>
          <w:highlight w:val="white"/>
          <w:rtl w:val="0"/>
        </w:rPr>
        <w:t xml:space="preserve">Falch-Eriksen, A. and Backe-Hansen, E., 2018. Human Rights in Child Protection: Implications for Professional Practice and Policy (p. 258). Springer Nature.</w:t>
      </w:r>
      <w:r w:rsidDel="00000000" w:rsidR="00000000" w:rsidRPr="00000000">
        <w:rPr>
          <w:rtl w:val="0"/>
        </w:rPr>
      </w:r>
    </w:p>
    <w:p w:rsidR="00000000" w:rsidDel="00000000" w:rsidP="00000000" w:rsidRDefault="00000000" w:rsidRPr="00000000" w14:paraId="00000054">
      <w:pPr>
        <w:rPr>
          <w:highlight w:val="white"/>
        </w:rPr>
      </w:pPr>
      <w:r w:rsidDel="00000000" w:rsidR="00000000" w:rsidRPr="00000000">
        <w:rPr>
          <w:highlight w:val="white"/>
          <w:rtl w:val="0"/>
        </w:rPr>
        <w:t xml:space="preserve">Lazoritz, S. and Palusci, V.J., 2001. </w:t>
      </w:r>
      <w:r w:rsidDel="00000000" w:rsidR="00000000" w:rsidRPr="00000000">
        <w:rPr>
          <w:i w:val="1"/>
          <w:highlight w:val="white"/>
          <w:rtl w:val="0"/>
        </w:rPr>
        <w:t xml:space="preserve">The shaken baby syndrome: a multidisciplinary approach</w:t>
      </w:r>
      <w:r w:rsidDel="00000000" w:rsidR="00000000" w:rsidRPr="00000000">
        <w:rPr>
          <w:highlight w:val="white"/>
          <w:rtl w:val="0"/>
        </w:rPr>
        <w:t xml:space="preserve">. Psychology Press.</w:t>
      </w:r>
    </w:p>
    <w:p w:rsidR="00000000" w:rsidDel="00000000" w:rsidP="00000000" w:rsidRDefault="00000000" w:rsidRPr="00000000" w14:paraId="00000055">
      <w:pPr>
        <w:rPr>
          <w:highlight w:val="white"/>
        </w:rPr>
      </w:pPr>
      <w:r w:rsidDel="00000000" w:rsidR="00000000" w:rsidRPr="00000000">
        <w:rPr>
          <w:highlight w:val="white"/>
          <w:rtl w:val="0"/>
        </w:rPr>
        <w:t xml:space="preserve">Lonne, B., Parton, N., Thomson, J. and Harries, M., 2008. </w:t>
      </w:r>
      <w:r w:rsidDel="00000000" w:rsidR="00000000" w:rsidRPr="00000000">
        <w:rPr>
          <w:i w:val="1"/>
          <w:highlight w:val="white"/>
          <w:rtl w:val="0"/>
        </w:rPr>
        <w:t xml:space="preserve">Reforming child protection</w:t>
      </w:r>
      <w:r w:rsidDel="00000000" w:rsidR="00000000" w:rsidRPr="00000000">
        <w:rPr>
          <w:highlight w:val="white"/>
          <w:rtl w:val="0"/>
        </w:rPr>
        <w:t xml:space="preserve">. Routledge.</w:t>
      </w:r>
    </w:p>
    <w:p w:rsidR="00000000" w:rsidDel="00000000" w:rsidP="00000000" w:rsidRDefault="00000000" w:rsidRPr="00000000" w14:paraId="00000056">
      <w:pPr>
        <w:rPr>
          <w:highlight w:val="white"/>
        </w:rPr>
      </w:pPr>
      <w:r w:rsidDel="00000000" w:rsidR="00000000" w:rsidRPr="00000000">
        <w:rPr>
          <w:highlight w:val="white"/>
          <w:rtl w:val="0"/>
        </w:rPr>
        <w:t xml:space="preserve">McGorry, P., Bates, T. and Birchwood, M., 2013. Designing youth mental health services for the 21st century: examples from Australia, Ireland and the UK. </w:t>
      </w:r>
      <w:r w:rsidDel="00000000" w:rsidR="00000000" w:rsidRPr="00000000">
        <w:rPr>
          <w:i w:val="1"/>
          <w:highlight w:val="white"/>
          <w:rtl w:val="0"/>
        </w:rPr>
        <w:t xml:space="preserve">The British Journal of Psychiatry</w:t>
      </w:r>
      <w:r w:rsidDel="00000000" w:rsidR="00000000" w:rsidRPr="00000000">
        <w:rPr>
          <w:highlight w:val="white"/>
          <w:rtl w:val="0"/>
        </w:rPr>
        <w:t xml:space="preserve">, </w:t>
      </w:r>
      <w:r w:rsidDel="00000000" w:rsidR="00000000" w:rsidRPr="00000000">
        <w:rPr>
          <w:i w:val="1"/>
          <w:highlight w:val="white"/>
          <w:rtl w:val="0"/>
        </w:rPr>
        <w:t xml:space="preserve">202</w:t>
      </w:r>
      <w:r w:rsidDel="00000000" w:rsidR="00000000" w:rsidRPr="00000000">
        <w:rPr>
          <w:highlight w:val="white"/>
          <w:rtl w:val="0"/>
        </w:rPr>
        <w:t xml:space="preserve">(s54), pp.s30-s35.</w:t>
      </w:r>
    </w:p>
    <w:p w:rsidR="00000000" w:rsidDel="00000000" w:rsidP="00000000" w:rsidRDefault="00000000" w:rsidRPr="00000000" w14:paraId="00000057">
      <w:pPr>
        <w:rPr/>
      </w:pPr>
      <w:r w:rsidDel="00000000" w:rsidR="00000000" w:rsidRPr="00000000">
        <w:rPr>
          <w:highlight w:val="white"/>
          <w:rtl w:val="0"/>
        </w:rPr>
        <w:t xml:space="preserve">Nelson, G.K., NELSON, G., Lexington Books and United States of America, 1978. </w:t>
      </w:r>
      <w:r w:rsidDel="00000000" w:rsidR="00000000" w:rsidRPr="00000000">
        <w:rPr>
          <w:i w:val="1"/>
          <w:highlight w:val="white"/>
          <w:rtl w:val="0"/>
        </w:rPr>
        <w:t xml:space="preserve">Child abuse and neglect: Legislation, reporting, and prevention</w:t>
      </w:r>
      <w:r w:rsidDel="00000000" w:rsidR="00000000" w:rsidRPr="00000000">
        <w:rPr>
          <w:highlight w:val="white"/>
          <w:rtl w:val="0"/>
        </w:rPr>
        <w:t xml:space="preserve">. Lexington, Mass.: Lexington Books.</w:t>
      </w:r>
      <w:r w:rsidDel="00000000" w:rsidR="00000000" w:rsidRPr="00000000">
        <w:rPr>
          <w:rtl w:val="0"/>
        </w:rPr>
      </w:r>
    </w:p>
    <w:p w:rsidR="00000000" w:rsidDel="00000000" w:rsidP="00000000" w:rsidRDefault="00000000" w:rsidRPr="00000000" w14:paraId="00000058">
      <w:pPr>
        <w:rPr>
          <w:highlight w:val="white"/>
        </w:rPr>
      </w:pPr>
      <w:r w:rsidDel="00000000" w:rsidR="00000000" w:rsidRPr="00000000">
        <w:rPr>
          <w:highlight w:val="white"/>
          <w:rtl w:val="0"/>
        </w:rPr>
        <w:t xml:space="preserve">Neufeld, S.A., Dunn, V.J., Jones, P.B., Croudace, T.J. and Goodyer, I.M., 2017. Reduction in adolescent depression after contact with mental health services: a longitudinal cohort study in the UK. </w:t>
      </w:r>
      <w:r w:rsidDel="00000000" w:rsidR="00000000" w:rsidRPr="00000000">
        <w:rPr>
          <w:i w:val="1"/>
          <w:highlight w:val="white"/>
          <w:rtl w:val="0"/>
        </w:rPr>
        <w:t xml:space="preserve">The Lancet Psychiatry</w:t>
      </w:r>
      <w:r w:rsidDel="00000000" w:rsidR="00000000" w:rsidRPr="00000000">
        <w:rPr>
          <w:highlight w:val="white"/>
          <w:rtl w:val="0"/>
        </w:rPr>
        <w:t xml:space="preserve">, </w:t>
      </w:r>
      <w:r w:rsidDel="00000000" w:rsidR="00000000" w:rsidRPr="00000000">
        <w:rPr>
          <w:i w:val="1"/>
          <w:highlight w:val="white"/>
          <w:rtl w:val="0"/>
        </w:rPr>
        <w:t xml:space="preserve">4</w:t>
      </w:r>
      <w:r w:rsidDel="00000000" w:rsidR="00000000" w:rsidRPr="00000000">
        <w:rPr>
          <w:highlight w:val="white"/>
          <w:rtl w:val="0"/>
        </w:rPr>
        <w:t xml:space="preserve">(2), pp.120-127.</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sectPr>
      <w:footerReference r:id="rId2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sz w:val="32"/>
      <w:szCs w:val="32"/>
    </w:rPr>
  </w:style>
  <w:style w:type="paragraph" w:styleId="Heading2">
    <w:name w:val="heading 2"/>
    <w:basedOn w:val="Normal"/>
    <w:next w:val="Normal"/>
    <w:pPr>
      <w:keepNext w:val="1"/>
      <w:keepLines w:val="1"/>
      <w:spacing w:after="0" w:before="40" w:lineRule="auto"/>
    </w:pPr>
    <w:rPr>
      <w:b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9467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val="1"/>
    <w:rsid w:val="00C9467E"/>
    <w:pPr>
      <w:keepNext w:val="1"/>
      <w:keepLines w:val="1"/>
      <w:spacing w:after="0" w:before="240"/>
      <w:outlineLvl w:val="0"/>
    </w:pPr>
    <w:rPr>
      <w:rFonts w:cstheme="majorBidi" w:eastAsiaTheme="majorEastAsia"/>
      <w:b w:val="1"/>
      <w:sz w:val="32"/>
      <w:szCs w:val="32"/>
    </w:rPr>
  </w:style>
  <w:style w:type="paragraph" w:styleId="Heading2">
    <w:name w:val="heading 2"/>
    <w:basedOn w:val="Normal"/>
    <w:next w:val="Normal"/>
    <w:link w:val="Heading2Char"/>
    <w:uiPriority w:val="9"/>
    <w:semiHidden w:val="1"/>
    <w:unhideWhenUsed w:val="1"/>
    <w:qFormat w:val="1"/>
    <w:rsid w:val="00C9467E"/>
    <w:pPr>
      <w:keepNext w:val="1"/>
      <w:keepLines w:val="1"/>
      <w:spacing w:after="0" w:before="40"/>
      <w:outlineLvl w:val="1"/>
    </w:pPr>
    <w:rPr>
      <w:rFonts w:cstheme="majorBidi" w:eastAsiaTheme="majorEastAsia"/>
      <w:b w:val="1"/>
      <w:sz w:val="28"/>
      <w:szCs w:val="26"/>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C9467E"/>
    <w:rPr>
      <w:rFonts w:ascii="Times New Roman" w:hAnsi="Times New Roman" w:cstheme="majorBidi" w:eastAsiaTheme="majorEastAsia"/>
      <w:b w:val="1"/>
      <w:sz w:val="32"/>
      <w:szCs w:val="32"/>
    </w:rPr>
  </w:style>
  <w:style w:type="character" w:styleId="Heading2Char" w:customStyle="1">
    <w:name w:val="Heading 2 Char"/>
    <w:basedOn w:val="DefaultParagraphFont"/>
    <w:link w:val="Heading2"/>
    <w:uiPriority w:val="9"/>
    <w:semiHidden w:val="1"/>
    <w:rsid w:val="00C9467E"/>
    <w:rPr>
      <w:rFonts w:ascii="Times New Roman" w:hAnsi="Times New Roman" w:cstheme="majorBidi" w:eastAsiaTheme="majorEastAsia"/>
      <w:b w:val="1"/>
      <w:sz w:val="28"/>
      <w:szCs w:val="26"/>
    </w:rPr>
  </w:style>
  <w:style w:type="paragraph" w:styleId="ListParagraph">
    <w:name w:val="List Paragraph"/>
    <w:basedOn w:val="Normal"/>
    <w:uiPriority w:val="34"/>
    <w:qFormat w:val="1"/>
    <w:rsid w:val="00C9467E"/>
    <w:pPr>
      <w:ind w:left="720"/>
      <w:contextualSpacing w:val="1"/>
    </w:pPr>
  </w:style>
  <w:style w:type="paragraph" w:styleId="NormalWeb">
    <w:name w:val="Normal (Web)"/>
    <w:basedOn w:val="Normal"/>
    <w:uiPriority w:val="99"/>
    <w:semiHidden w:val="1"/>
    <w:unhideWhenUsed w:val="1"/>
    <w:rsid w:val="00A15446"/>
    <w:pPr>
      <w:spacing w:after="100" w:afterAutospacing="1" w:before="100" w:beforeAutospacing="1" w:line="240" w:lineRule="auto"/>
      <w:jc w:val="left"/>
    </w:pPr>
    <w:rPr>
      <w:rFonts w:cs="Times New Roman" w:eastAsia="Times New Roman"/>
      <w:szCs w:val="24"/>
    </w:rPr>
  </w:style>
  <w:style w:type="paragraph" w:styleId="TOCHeading">
    <w:name w:val="TOC Heading"/>
    <w:basedOn w:val="Heading1"/>
    <w:next w:val="Normal"/>
    <w:uiPriority w:val="39"/>
    <w:unhideWhenUsed w:val="1"/>
    <w:qFormat w:val="1"/>
    <w:rsid w:val="00A15446"/>
    <w:pPr>
      <w:spacing w:line="259" w:lineRule="auto"/>
      <w:jc w:val="left"/>
      <w:outlineLvl w:val="9"/>
    </w:pPr>
    <w:rPr>
      <w:rFonts w:asciiTheme="majorHAnsi" w:hAnsiTheme="majorHAnsi"/>
      <w:b w:val="0"/>
      <w:color w:val="2e74b5" w:themeColor="accent1" w:themeShade="0000BF"/>
    </w:rPr>
  </w:style>
  <w:style w:type="paragraph" w:styleId="TOC1">
    <w:name w:val="toc 1"/>
    <w:basedOn w:val="Normal"/>
    <w:next w:val="Normal"/>
    <w:autoRedefine w:val="1"/>
    <w:uiPriority w:val="39"/>
    <w:unhideWhenUsed w:val="1"/>
    <w:rsid w:val="00A15446"/>
    <w:pPr>
      <w:spacing w:after="100"/>
    </w:pPr>
  </w:style>
  <w:style w:type="character" w:styleId="Hyperlink">
    <w:name w:val="Hyperlink"/>
    <w:basedOn w:val="DefaultParagraphFont"/>
    <w:uiPriority w:val="99"/>
    <w:unhideWhenUsed w:val="1"/>
    <w:rsid w:val="00A15446"/>
    <w:rPr>
      <w:color w:val="0563c1" w:themeColor="hyperlink"/>
      <w:u w:val="single"/>
    </w:rPr>
  </w:style>
  <w:style w:type="paragraph" w:styleId="Header">
    <w:name w:val="header"/>
    <w:basedOn w:val="Normal"/>
    <w:link w:val="HeaderChar"/>
    <w:uiPriority w:val="99"/>
    <w:unhideWhenUsed w:val="1"/>
    <w:rsid w:val="00A0485D"/>
    <w:pPr>
      <w:tabs>
        <w:tab w:val="center" w:pos="4680"/>
        <w:tab w:val="right" w:pos="9360"/>
      </w:tabs>
      <w:spacing w:after="0" w:line="240" w:lineRule="auto"/>
    </w:pPr>
  </w:style>
  <w:style w:type="character" w:styleId="HeaderChar" w:customStyle="1">
    <w:name w:val="Header Char"/>
    <w:basedOn w:val="DefaultParagraphFont"/>
    <w:link w:val="Header"/>
    <w:uiPriority w:val="99"/>
    <w:rsid w:val="00A0485D"/>
    <w:rPr>
      <w:rFonts w:ascii="Times New Roman" w:hAnsi="Times New Roman"/>
      <w:sz w:val="24"/>
    </w:rPr>
  </w:style>
  <w:style w:type="paragraph" w:styleId="Footer">
    <w:name w:val="footer"/>
    <w:basedOn w:val="Normal"/>
    <w:link w:val="FooterChar"/>
    <w:uiPriority w:val="99"/>
    <w:unhideWhenUsed w:val="1"/>
    <w:rsid w:val="00A0485D"/>
    <w:pPr>
      <w:tabs>
        <w:tab w:val="center" w:pos="4680"/>
        <w:tab w:val="right" w:pos="9360"/>
      </w:tabs>
      <w:spacing w:after="0" w:line="240" w:lineRule="auto"/>
    </w:pPr>
  </w:style>
  <w:style w:type="character" w:styleId="FooterChar" w:customStyle="1">
    <w:name w:val="Footer Char"/>
    <w:basedOn w:val="DefaultParagraphFont"/>
    <w:link w:val="Footer"/>
    <w:uiPriority w:val="99"/>
    <w:rsid w:val="00A0485D"/>
    <w:rPr>
      <w:rFonts w:ascii="Times New Roman" w:hAnsi="Times New Roman"/>
      <w:sz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www.birminghamchildrenstrust.co.uk" TargetMode="External"/><Relationship Id="rId10" Type="http://schemas.openxmlformats.org/officeDocument/2006/relationships/hyperlink" Target="http://www.servicetoschools.org.uk" TargetMode="External"/><Relationship Id="rId13" Type="http://schemas.openxmlformats.org/officeDocument/2006/relationships/hyperlink" Target="http://www.gingerbread.org.uk" TargetMode="External"/><Relationship Id="rId12" Type="http://schemas.openxmlformats.org/officeDocument/2006/relationships/hyperlink" Target="http://www.gov.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eppingforestdc.gov.uk" TargetMode="External"/><Relationship Id="rId15" Type="http://schemas.openxmlformats.org/officeDocument/2006/relationships/hyperlink" Target="https://doi.org/10.1111/cfs.12724" TargetMode="External"/><Relationship Id="rId14" Type="http://schemas.openxmlformats.org/officeDocument/2006/relationships/hyperlink" Target="https://assets.ctfassets.net/6sxvmndnpn0s/4LTXp3mya7IigRmNG8x9KK/6922b5a4c6ea756ea94da71ebdc001a5/Chance_of_a_Lifetime.pdf" TargetMode="External"/><Relationship Id="rId17" Type="http://schemas.openxmlformats.org/officeDocument/2006/relationships/hyperlink" Target="https://doi.org/10.1377/hlthaff.2019.00480" TargetMode="External"/><Relationship Id="rId16" Type="http://schemas.openxmlformats.org/officeDocument/2006/relationships/hyperlink" Target="https://www.gov.uk/government/publications/health-matters-health-and-work/health-matters-health-and-work" TargetMode="External"/><Relationship Id="rId5" Type="http://schemas.openxmlformats.org/officeDocument/2006/relationships/styles" Target="styles.xml"/><Relationship Id="rId19" Type="http://schemas.openxmlformats.org/officeDocument/2006/relationships/hyperlink" Target="https://www.worldbank.org/en/topic/disability" TargetMode="External"/><Relationship Id="rId6" Type="http://schemas.openxmlformats.org/officeDocument/2006/relationships/customXml" Target="../customXML/item1.xml"/><Relationship Id="rId18" Type="http://schemas.openxmlformats.org/officeDocument/2006/relationships/hyperlink" Target="https://study.com/academy/lesson/how-family-conflict-affects-health.html" TargetMode="External"/><Relationship Id="rId7" Type="http://schemas.openxmlformats.org/officeDocument/2006/relationships/hyperlink" Target="http://www.england.nhs.uk" TargetMode="External"/><Relationship Id="rId8" Type="http://schemas.openxmlformats.org/officeDocument/2006/relationships/hyperlink" Target="http://www.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slgPaijJLyLlOSIjOMliCcuxrQ==">AMUW2mXuXVpWyx0KhduIyq6ScbtvYE/xX6+Ar6BpymsAK0UjpVm6Qs0mCkPqqQGxBsUPPynkZdMv8/2DCL2w5bX9rr6IieXHhn2TiRQzXBt6jKoNpbZP9j67UrvGH8Efil/zILnP1maBCs2SEY89eQlx75Z/kYmmwVuNM2zDMMXPfxpsn5tNbKteMXkuI0StD9H41ro42nLPDZb67//pFP3iyigPsWzXKRxx3mJtW2NzsbtDSb4M6fTmqB6W1j0BXPGKBVdCzcgTGOlWFD+DmxvyPLUW3JN9RrkZZN22agYfZAdE8N+iJVGFx/qW2MUhlijdZb0OHCcUDABoqf8tXZu968/I/dEYa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2021-11-25T15:34:00Z</dcterms:created>
  <dc:creator>TEAM</dc:creator>
</cp:coreProperties>
</file>