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C4703" w14:textId="4AB57875" w:rsidR="00B85BDF" w:rsidRDefault="00B85BDF" w:rsidP="00B85BDF">
      <w:pPr>
        <w:jc w:val="center"/>
      </w:pPr>
      <w:r>
        <w:t xml:space="preserve">Property law assignment 1 </w:t>
      </w:r>
    </w:p>
    <w:p w14:paraId="16FB1415" w14:textId="3A44921E" w:rsidR="00B132D0" w:rsidRDefault="00B132D0" w:rsidP="002A0AEF">
      <w:pPr>
        <w:spacing w:line="480" w:lineRule="auto"/>
      </w:pPr>
      <w:bookmarkStart w:id="0" w:name="_Hlk86870520"/>
      <w:r>
        <w:t xml:space="preserve">Within this essay I will be looking at the characteristics of easements and how they restrict the types of rights which a landowners can grant or reserve. Easements are the right of the dominant tenement to perform an action on the land of the servient tenement. Easements can exist both in law and equity. </w:t>
      </w:r>
      <w:r w:rsidR="00B37A17">
        <w:t>For</w:t>
      </w:r>
      <w:r>
        <w:t xml:space="preserve"> an easement to exist in law it must fall under the guidelines set out in the Law of Property Act 1925 sections 2 (a)</w:t>
      </w:r>
      <w:r w:rsidR="00545DE3">
        <w:t xml:space="preserve"> (</w:t>
      </w:r>
      <w:r w:rsidR="005A2DAD">
        <w:t>Thomas</w:t>
      </w:r>
      <w:r w:rsidR="002F161E">
        <w:t>, 202</w:t>
      </w:r>
      <w:r w:rsidR="008027ED">
        <w:t>1</w:t>
      </w:r>
      <w:r w:rsidR="002F161E">
        <w:t>)</w:t>
      </w:r>
      <w:r>
        <w:t xml:space="preserve">. This states that easement must be over land that is fee simple absolute in possession or a term of years </w:t>
      </w:r>
      <w:r w:rsidR="00C53D12">
        <w:t>absolute,</w:t>
      </w:r>
      <w:r>
        <w:t xml:space="preserve"> Furthermore, formalities are required to ensure that the easement is legal</w:t>
      </w:r>
      <w:r w:rsidR="00C53D12">
        <w:t>, this can only exist in grants and deeds</w:t>
      </w:r>
      <w:r w:rsidR="00940F5F">
        <w:t xml:space="preserve"> (Dixon, 20</w:t>
      </w:r>
      <w:r w:rsidR="005A2DAD">
        <w:t>16</w:t>
      </w:r>
      <w:r w:rsidR="00940F5F">
        <w:t>)</w:t>
      </w:r>
      <w:r>
        <w:t>. Such as the presents or implication of a deed this comes from section 52 (1) LPA 1925 and Sections 1 LPMPA 1989. An easement created for an uncertain period therefore will be considered to only be recognised in equity as per section 3 of the Law of Property act 1925</w:t>
      </w:r>
      <w:r w:rsidR="005D14C2">
        <w:t xml:space="preserve"> (</w:t>
      </w:r>
      <w:r w:rsidR="008027ED">
        <w:t>Thomas</w:t>
      </w:r>
      <w:r w:rsidR="005D14C2">
        <w:t>, 202</w:t>
      </w:r>
      <w:r w:rsidR="008027ED">
        <w:t>1</w:t>
      </w:r>
      <w:r w:rsidR="005D14C2">
        <w:t>)</w:t>
      </w:r>
      <w:r>
        <w:t xml:space="preserve">. There is no real definition of what </w:t>
      </w:r>
      <w:r w:rsidR="00B37A17">
        <w:t>constitutes</w:t>
      </w:r>
      <w:r>
        <w:t xml:space="preserve"> to a specific right under an easement. Easements tend to change forms as society’s needs expand this is explained in Dyce v Lady James Hay (1852). In the case of Dyce it is suggested that the categories of servitude and easement must alter and expand with the changes that take place in the circumstances of mankind</w:t>
      </w:r>
      <w:r w:rsidR="00932984">
        <w:t xml:space="preserve"> (McFarland,</w:t>
      </w:r>
      <w:r w:rsidR="005638F4">
        <w:t xml:space="preserve"> 2021)</w:t>
      </w:r>
      <w:r w:rsidR="00B7611C">
        <w:t xml:space="preserve"> </w:t>
      </w:r>
      <w:r w:rsidR="005638F4">
        <w:t>(Smith,</w:t>
      </w:r>
      <w:r w:rsidR="00EE5554">
        <w:t xml:space="preserve"> 2020</w:t>
      </w:r>
      <w:proofErr w:type="gramStart"/>
      <w:r w:rsidR="00EE5554">
        <w:t>)</w:t>
      </w:r>
      <w:r w:rsidR="00932984">
        <w:t xml:space="preserve"> </w:t>
      </w:r>
      <w:r>
        <w:t>.</w:t>
      </w:r>
      <w:proofErr w:type="gramEnd"/>
      <w:r>
        <w:t xml:space="preserve"> </w:t>
      </w:r>
    </w:p>
    <w:p w14:paraId="6AA77D3D" w14:textId="2F02F244" w:rsidR="00B132D0" w:rsidRDefault="00B132D0" w:rsidP="002A0AEF">
      <w:pPr>
        <w:spacing w:line="480" w:lineRule="auto"/>
      </w:pPr>
      <w:r>
        <w:t xml:space="preserve">It is clear from the outset that the law surrounding easements requires for very specific criteria set out in RE Ellenborough Park by master of the roles </w:t>
      </w:r>
      <w:proofErr w:type="spellStart"/>
      <w:r>
        <w:t>Evershed</w:t>
      </w:r>
      <w:proofErr w:type="spellEnd"/>
      <w:r>
        <w:t>. Re Ellenborough acts as the benchmark for the characteristics of easements. There must be a dominant and a servient tenement. the easement must accommodate the dominant tenement</w:t>
      </w:r>
      <w:r w:rsidR="007711CC">
        <w:t xml:space="preserve"> (Dixon, 2002)</w:t>
      </w:r>
      <w:r>
        <w:t>. this refers to the dominant tenements having the ability to exercise a their right to perform specific actions relating to easement</w:t>
      </w:r>
      <w:r w:rsidR="004222DA">
        <w:t xml:space="preserve"> (Smith, 2020)</w:t>
      </w:r>
      <w:r>
        <w:t xml:space="preserve">. The dominant and servient tenement must not be owned by the same person. If the dominant and servient land comes under the same ownership, then the easement will be extinguished. However, if the two lands are owned by separate parties, then it is possible that the easement could resurface. This can place restrictions on landowners more specifically property owners previously could not form easements over plots of land. However, this has been rectified by the law commission has found it necessary to grant separate registered titles. By doing this it eases </w:t>
      </w:r>
      <w:r>
        <w:lastRenderedPageBreak/>
        <w:t>the restrictions placed on landowners</w:t>
      </w:r>
      <w:r w:rsidR="004222DA">
        <w:t xml:space="preserve"> (McFarland, 2021)</w:t>
      </w:r>
      <w:r>
        <w:t>. The final characteristic is that the right must be capable of forming a subject matter of the grant.</w:t>
      </w:r>
      <w:r w:rsidR="00BA707E">
        <w:t xml:space="preserve"> Easements </w:t>
      </w:r>
      <w:r w:rsidR="006053E2">
        <w:t>can be present as either positive or negative. Positive easement refer</w:t>
      </w:r>
      <w:r w:rsidR="00E037A7">
        <w:t xml:space="preserve">s to the </w:t>
      </w:r>
      <w:r w:rsidR="002B0119">
        <w:t xml:space="preserve">dominant tenement being able to carry out an action on the land of the servient tenement. This right can range from right of </w:t>
      </w:r>
      <w:r w:rsidR="00EB67F5">
        <w:t xml:space="preserve">way to the right to extend a road. Negative easements on the other hand restrict the servient tenements </w:t>
      </w:r>
      <w:r w:rsidR="0020048B">
        <w:t xml:space="preserve">access or use of their own property. </w:t>
      </w:r>
      <w:r w:rsidR="007711CC">
        <w:t>For example,</w:t>
      </w:r>
      <w:r w:rsidR="0020048B">
        <w:t xml:space="preserve"> denying the right to light or </w:t>
      </w:r>
      <w:r w:rsidR="008C5C5B">
        <w:t>a parking space</w:t>
      </w:r>
      <w:r w:rsidR="007711CC">
        <w:t xml:space="preserve"> (</w:t>
      </w:r>
      <w:proofErr w:type="spellStart"/>
      <w:r w:rsidR="007711CC">
        <w:t>Duddington</w:t>
      </w:r>
      <w:proofErr w:type="spellEnd"/>
      <w:r w:rsidR="007711CC">
        <w:t>, 2011)</w:t>
      </w:r>
      <w:r w:rsidR="00563A94">
        <w:t xml:space="preserve"> </w:t>
      </w:r>
      <w:r w:rsidR="004222DA">
        <w:t>(</w:t>
      </w:r>
      <w:r w:rsidR="00563A94">
        <w:t>Waite, 1985)</w:t>
      </w:r>
      <w:r w:rsidR="008C5C5B">
        <w:t xml:space="preserve">. </w:t>
      </w:r>
      <w:r w:rsidR="00EB67F5">
        <w:t xml:space="preserve"> </w:t>
      </w:r>
      <w:r w:rsidR="006053E2">
        <w:t xml:space="preserve"> </w:t>
      </w:r>
      <w:r>
        <w:t xml:space="preserve"> </w:t>
      </w:r>
    </w:p>
    <w:p w14:paraId="5D9D4788" w14:textId="4DB34404" w:rsidR="005A0B1E" w:rsidRDefault="00E027AC" w:rsidP="002A0AEF">
      <w:pPr>
        <w:spacing w:line="480" w:lineRule="auto"/>
      </w:pPr>
      <w:r>
        <w:t xml:space="preserve">Bailey v Stephens (1862) deals with the servient owner </w:t>
      </w:r>
      <w:r w:rsidR="00FF3F4E">
        <w:t xml:space="preserve">expressly </w:t>
      </w:r>
      <w:r>
        <w:t xml:space="preserve">granting </w:t>
      </w:r>
      <w:r w:rsidR="008D3700">
        <w:t xml:space="preserve">of </w:t>
      </w:r>
      <w:r>
        <w:t xml:space="preserve">rights to a dominant tenement where the land is not at all within the proximity of falling under the definition of adjacent. </w:t>
      </w:r>
      <w:r w:rsidR="00563A94">
        <w:t>T</w:t>
      </w:r>
      <w:r>
        <w:t>he issue with this case is that land granted to the dominant tenement was sufficiently far away to produce any sort of easement</w:t>
      </w:r>
      <w:r w:rsidR="009C22DB">
        <w:t xml:space="preserve">. The courts and more specifically justice Byles suggested that </w:t>
      </w:r>
      <w:r w:rsidR="004B5D95">
        <w:t>for</w:t>
      </w:r>
      <w:r w:rsidR="009C22DB">
        <w:t xml:space="preserve"> the dominant tenement to be accommodated then there must be a significant proximity between the two tenements</w:t>
      </w:r>
      <w:r w:rsidR="005A2DAD">
        <w:t xml:space="preserve"> (Dixon, 2016)</w:t>
      </w:r>
      <w:r w:rsidR="009C22DB">
        <w:t>. This does not necessarily suggest that the two lands must border each other</w:t>
      </w:r>
      <w:r w:rsidR="00A1034F">
        <w:t>,</w:t>
      </w:r>
      <w:r w:rsidR="009C22DB">
        <w:t xml:space="preserve"> there must a limit on how far away the dominant tenement </w:t>
      </w:r>
      <w:r w:rsidR="00044E9F">
        <w:t>can be</w:t>
      </w:r>
      <w:r w:rsidR="005A2DAD">
        <w:t xml:space="preserve"> (McFarland, 2021)</w:t>
      </w:r>
      <w:r w:rsidR="00044E9F">
        <w:t xml:space="preserve">. Justice Byles states that “you cannot have a right of way over land in Kent appurtenant to an estate in </w:t>
      </w:r>
      <w:r w:rsidR="008D3700">
        <w:t>Northumberland”.</w:t>
      </w:r>
      <w:r w:rsidR="004B5D95">
        <w:t xml:space="preserve"> This case coneys that easements </w:t>
      </w:r>
      <w:r w:rsidR="00394E84">
        <w:t>restrict</w:t>
      </w:r>
      <w:r w:rsidR="004B5D95">
        <w:t xml:space="preserve"> </w:t>
      </w:r>
      <w:r w:rsidR="00394E84">
        <w:t>the</w:t>
      </w:r>
      <w:r w:rsidR="004B5D95">
        <w:t xml:space="preserve"> </w:t>
      </w:r>
      <w:r w:rsidR="00F63D16">
        <w:t>landowners</w:t>
      </w:r>
      <w:r w:rsidR="004B5D95">
        <w:t xml:space="preserve"> right to grant </w:t>
      </w:r>
      <w:r w:rsidR="00F63D16">
        <w:t>or reserve a right of way if the distance between the two parcels of land is sufficient as there is not practical benefit to the servient land</w:t>
      </w:r>
      <w:r w:rsidR="00563A94">
        <w:t xml:space="preserve"> even if the easement in question </w:t>
      </w:r>
      <w:r w:rsidR="001020BA">
        <w:t>is</w:t>
      </w:r>
      <w:r w:rsidR="00563A94">
        <w:t xml:space="preserve"> positive in nature</w:t>
      </w:r>
      <w:r w:rsidR="00E17A94">
        <w:t xml:space="preserve"> (Dixon, 2002)</w:t>
      </w:r>
      <w:r w:rsidR="008D3700">
        <w:t>.</w:t>
      </w:r>
      <w:bookmarkEnd w:id="0"/>
      <w:r w:rsidR="00EF0E0E">
        <w:t xml:space="preserve"> Furthermore, </w:t>
      </w:r>
      <w:r w:rsidR="00C037DD">
        <w:t>Justice Keating</w:t>
      </w:r>
      <w:r w:rsidR="00393CAA">
        <w:t xml:space="preserve"> </w:t>
      </w:r>
      <w:r w:rsidR="007A5CA4">
        <w:t xml:space="preserve">suggested that </w:t>
      </w:r>
      <w:r w:rsidR="00563A94">
        <w:t>the</w:t>
      </w:r>
      <w:r w:rsidR="007A5CA4">
        <w:t xml:space="preserve"> attempt of the dominant owner to exert that </w:t>
      </w:r>
      <w:r w:rsidR="00563A94">
        <w:t>burden</w:t>
      </w:r>
      <w:r w:rsidR="007A5CA4">
        <w:t xml:space="preserve"> on the servient land </w:t>
      </w:r>
      <w:r w:rsidR="009F6130">
        <w:t xml:space="preserve">cannot </w:t>
      </w:r>
      <w:r w:rsidR="00563A94">
        <w:t>be</w:t>
      </w:r>
      <w:r w:rsidR="009F6130">
        <w:t xml:space="preserve"> legal in terms of easements as the </w:t>
      </w:r>
      <w:r w:rsidR="00613453">
        <w:t>sought rights attached to that property were contradictory</w:t>
      </w:r>
      <w:r w:rsidR="00C037DD">
        <w:t xml:space="preserve"> </w:t>
      </w:r>
      <w:r w:rsidR="007F5F2E">
        <w:t xml:space="preserve">and were not supported by any authority. </w:t>
      </w:r>
      <w:r w:rsidR="00A63C74">
        <w:t xml:space="preserve">The explanation for this can be found </w:t>
      </w:r>
      <w:bookmarkStart w:id="1" w:name="_Hlk86870883"/>
      <w:r w:rsidR="00A63C74">
        <w:t xml:space="preserve">in Pugh v Savage [1970] </w:t>
      </w:r>
      <w:bookmarkEnd w:id="1"/>
      <w:r w:rsidR="00A63C74">
        <w:t xml:space="preserve">this case deals with </w:t>
      </w:r>
      <w:r w:rsidR="00632D31">
        <w:t>granting</w:t>
      </w:r>
      <w:r w:rsidR="00A63C74">
        <w:t xml:space="preserve"> o</w:t>
      </w:r>
      <w:r w:rsidR="00632D31">
        <w:t>f</w:t>
      </w:r>
      <w:r w:rsidR="00A63C74">
        <w:t xml:space="preserve"> </w:t>
      </w:r>
      <w:r w:rsidR="00563A94">
        <w:t xml:space="preserve">a positive </w:t>
      </w:r>
      <w:r w:rsidR="00A63C74">
        <w:t>easement</w:t>
      </w:r>
      <w:r w:rsidR="00632D31">
        <w:t>s</w:t>
      </w:r>
      <w:r w:rsidR="00A63C74">
        <w:t xml:space="preserve"> to</w:t>
      </w:r>
      <w:r w:rsidR="002400CC">
        <w:t xml:space="preserve"> leased land. The buyer of the land Savage was informed that he would have a right of way over Pugh’s land. After an injunction was applied for by the claimant the court held that even if the </w:t>
      </w:r>
      <w:r w:rsidR="00BE6AE9">
        <w:t>servient</w:t>
      </w:r>
      <w:r w:rsidR="002400CC">
        <w:t xml:space="preserve"> </w:t>
      </w:r>
      <w:r w:rsidR="008D3700">
        <w:t>owner</w:t>
      </w:r>
      <w:r w:rsidR="002400CC">
        <w:t xml:space="preserve"> had no knowledge that the tenancy had changed the easement would still be recognised as it is not attached to the individual </w:t>
      </w:r>
      <w:r w:rsidR="00977EAC">
        <w:t>itself</w:t>
      </w:r>
      <w:r w:rsidR="002400CC">
        <w:t xml:space="preserve"> but the land</w:t>
      </w:r>
      <w:r w:rsidR="001020BA">
        <w:t xml:space="preserve"> (McFarlane, 2021)</w:t>
      </w:r>
      <w:r w:rsidR="002400CC">
        <w:t xml:space="preserve">. </w:t>
      </w:r>
      <w:r w:rsidR="00563A94">
        <w:t>T</w:t>
      </w:r>
      <w:r w:rsidR="00273A2D">
        <w:t>herefore,</w:t>
      </w:r>
      <w:r w:rsidR="00977EAC">
        <w:t xml:space="preserve"> with use of the </w:t>
      </w:r>
      <w:r w:rsidR="00977EAC">
        <w:lastRenderedPageBreak/>
        <w:t>prescriptions act 1832 the position of the new owner would not ruin the presumption that an easement was granted to the previous owner</w:t>
      </w:r>
      <w:r w:rsidR="00563A94">
        <w:t xml:space="preserve"> (</w:t>
      </w:r>
      <w:r w:rsidR="005A2DAD">
        <w:t>Thomas</w:t>
      </w:r>
      <w:r w:rsidR="00563A94">
        <w:t>, 202</w:t>
      </w:r>
      <w:r w:rsidR="005A2DAD">
        <w:t>1</w:t>
      </w:r>
      <w:r w:rsidR="00563A94">
        <w:t>) (Gov, 2021)</w:t>
      </w:r>
      <w:r w:rsidR="00977EAC">
        <w:t xml:space="preserve">. This satisfies one of the key aspects of </w:t>
      </w:r>
      <w:r w:rsidR="00FE7B13">
        <w:t>prescriptive</w:t>
      </w:r>
      <w:r w:rsidR="00BB0451">
        <w:t xml:space="preserve"> </w:t>
      </w:r>
      <w:r w:rsidR="00977EAC">
        <w:t xml:space="preserve">easements which suggests that the buyer of a property </w:t>
      </w:r>
      <w:r w:rsidR="00BB0451">
        <w:t xml:space="preserve">(or in this case leaser) </w:t>
      </w:r>
      <w:r w:rsidR="00977EAC">
        <w:t xml:space="preserve">with an attached easement will get full value for the land that has been purchased this includes any rights granted to the </w:t>
      </w:r>
      <w:r w:rsidR="005A0B1E">
        <w:t>land.</w:t>
      </w:r>
      <w:r w:rsidR="00820B8D">
        <w:t xml:space="preserve"> </w:t>
      </w:r>
      <w:r w:rsidR="009178AF">
        <w:t>This limits the landowner as the use of the</w:t>
      </w:r>
      <w:r w:rsidR="00F713C0">
        <w:t>ir land</w:t>
      </w:r>
      <w:r w:rsidR="009178AF">
        <w:t xml:space="preserve"> has been reserved for future tenement as well as the current tenement</w:t>
      </w:r>
      <w:r w:rsidR="00F713C0">
        <w:t>.</w:t>
      </w:r>
      <w:r w:rsidR="009178AF">
        <w:t xml:space="preserve"> </w:t>
      </w:r>
      <w:r w:rsidR="00F713C0">
        <w:t>M</w:t>
      </w:r>
      <w:r w:rsidR="009178AF">
        <w:t xml:space="preserve">eaning that the servient tenement cannot do anything that may </w:t>
      </w:r>
      <w:r w:rsidR="00BE6AE9">
        <w:t>prohibit</w:t>
      </w:r>
      <w:r w:rsidR="009178AF">
        <w:t xml:space="preserve"> the dominant tenements right of way</w:t>
      </w:r>
      <w:r w:rsidR="00632D31">
        <w:t xml:space="preserve"> this a by virtue of an easement set out in section 62 Law of Property Act 1925</w:t>
      </w:r>
      <w:r w:rsidR="00F713C0">
        <w:t xml:space="preserve"> (</w:t>
      </w:r>
      <w:r w:rsidR="005A2DAD">
        <w:t>Thomas</w:t>
      </w:r>
      <w:r w:rsidR="00F713C0">
        <w:t>, 2021)</w:t>
      </w:r>
      <w:r w:rsidR="009178AF">
        <w:t>.</w:t>
      </w:r>
      <w:r w:rsidR="00A1034F">
        <w:t xml:space="preserve"> </w:t>
      </w:r>
      <w:r w:rsidR="00F713C0">
        <w:t>Also, as a cure for common law prescriptions as the act suggests there is a need for the dominant tenement to have been making use of the land for significant period (</w:t>
      </w:r>
      <w:r w:rsidR="00517E88">
        <w:t>Smith, 2020)</w:t>
      </w:r>
      <w:r w:rsidR="00F713C0">
        <w:t xml:space="preserve">. </w:t>
      </w:r>
      <w:r w:rsidR="00A1034F">
        <w:t>Furthermore,</w:t>
      </w:r>
      <w:r w:rsidR="00AA2BC8">
        <w:t xml:space="preserve"> </w:t>
      </w:r>
      <w:r w:rsidR="00F44796">
        <w:t>the courts dismissed that there was a lost grant by the servient owner</w:t>
      </w:r>
      <w:r w:rsidR="00E11DDD">
        <w:t xml:space="preserve">. </w:t>
      </w:r>
      <w:r w:rsidR="00632D31">
        <w:t>To</w:t>
      </w:r>
      <w:r w:rsidR="00E11DDD">
        <w:t xml:space="preserve"> claim for a lost grant as can be seen in Dalton v Angus [1882] there </w:t>
      </w:r>
      <w:r w:rsidR="00632D31">
        <w:t>must</w:t>
      </w:r>
      <w:r w:rsidR="00E11DDD">
        <w:t xml:space="preserve"> be proof of</w:t>
      </w:r>
      <w:r w:rsidR="00FF3F4E">
        <w:t xml:space="preserve"> at least</w:t>
      </w:r>
      <w:r w:rsidR="00E11DDD">
        <w:t xml:space="preserve"> twenty years of using the servient tenement to prove that there is an implied easement.</w:t>
      </w:r>
      <w:r w:rsidR="003B23B0">
        <w:t xml:space="preserve"> The doctrine of implied </w:t>
      </w:r>
      <w:r w:rsidR="0097373E">
        <w:t>easement</w:t>
      </w:r>
      <w:r w:rsidR="003B23B0">
        <w:t xml:space="preserve"> </w:t>
      </w:r>
      <w:r w:rsidR="0097373E">
        <w:t>comes</w:t>
      </w:r>
      <w:r w:rsidR="003B23B0">
        <w:t xml:space="preserve"> from Wheeldon v Burrows (1889) for this authority to apply it is important to recognise the fact that </w:t>
      </w:r>
      <w:r w:rsidR="0097373E">
        <w:t>Wheeldon</w:t>
      </w:r>
      <w:r w:rsidR="003B23B0">
        <w:t xml:space="preserve"> relies upon the fact that </w:t>
      </w:r>
      <w:r w:rsidR="0097373E">
        <w:t>if the right to perform an action is continuous and apparent then it is often a quasi-easement</w:t>
      </w:r>
      <w:r w:rsidR="0046695E">
        <w:t xml:space="preserve">. </w:t>
      </w:r>
      <w:r w:rsidR="0097373E">
        <w:t>This arises when it is necessary of the reasonable enjoyment of the land or have been enjoyed when under the unity of ownership for the benefit of the part grant</w:t>
      </w:r>
      <w:r w:rsidR="005006BE">
        <w:t xml:space="preserve"> (K. K. L, 1931)</w:t>
      </w:r>
      <w:r w:rsidR="0097373E">
        <w:t>.</w:t>
      </w:r>
      <w:r w:rsidR="00E854D8">
        <w:t xml:space="preserve"> Holms v Goring suggests that if an alternative point of access to the land </w:t>
      </w:r>
      <w:r w:rsidR="00172B01">
        <w:t>can</w:t>
      </w:r>
      <w:r w:rsidR="00E854D8">
        <w:t xml:space="preserve"> </w:t>
      </w:r>
      <w:r w:rsidR="00172B01">
        <w:t>terminate the right of way</w:t>
      </w:r>
      <w:r w:rsidR="0097373E">
        <w:t xml:space="preserve"> granted by an easement</w:t>
      </w:r>
      <w:r w:rsidR="00172B01">
        <w:t>.</w:t>
      </w:r>
      <w:r w:rsidR="0097373E">
        <w:t xml:space="preserve"> This can </w:t>
      </w:r>
      <w:proofErr w:type="gramStart"/>
      <w:r w:rsidR="0097373E">
        <w:t>effect</w:t>
      </w:r>
      <w:proofErr w:type="gramEnd"/>
      <w:r w:rsidR="0097373E">
        <w:t xml:space="preserve"> ones rights to reserve a </w:t>
      </w:r>
      <w:r w:rsidR="001D1C82">
        <w:t xml:space="preserve">land as if there is a point access that is more </w:t>
      </w:r>
      <w:r w:rsidR="00A1743E">
        <w:t>convenient</w:t>
      </w:r>
      <w:r w:rsidR="001D1C82">
        <w:t xml:space="preserve"> then it cannot exist as an easement. This can be seen in Borman v </w:t>
      </w:r>
      <w:r w:rsidR="002B518F">
        <w:t>Griffith</w:t>
      </w:r>
      <w:r w:rsidR="001D1C82">
        <w:t xml:space="preserve"> </w:t>
      </w:r>
      <w:r w:rsidR="002B518F">
        <w:t xml:space="preserve">(1930) </w:t>
      </w:r>
      <w:r w:rsidR="001D1C82">
        <w:t xml:space="preserve">that reinforces that the granting secondary rights out of mere </w:t>
      </w:r>
      <w:r w:rsidR="00A1743E">
        <w:t>convenience</w:t>
      </w:r>
      <w:r w:rsidR="001D1C82">
        <w:t xml:space="preserve"> cannot </w:t>
      </w:r>
      <w:r w:rsidR="00A1743E">
        <w:t>then become an easement</w:t>
      </w:r>
      <w:r w:rsidR="00FC2765">
        <w:t xml:space="preserve"> </w:t>
      </w:r>
      <w:r w:rsidR="00D110A5">
        <w:t xml:space="preserve">(Smith, </w:t>
      </w:r>
      <w:proofErr w:type="gramStart"/>
      <w:r w:rsidR="00D110A5">
        <w:t>2011)</w:t>
      </w:r>
      <w:r w:rsidR="00FC2765">
        <w:t>(</w:t>
      </w:r>
      <w:proofErr w:type="gramEnd"/>
      <w:r w:rsidR="00FC2765">
        <w:t>McFarland, 2021)</w:t>
      </w:r>
      <w:r w:rsidR="00A1743E">
        <w:t xml:space="preserve">. </w:t>
      </w:r>
      <w:r w:rsidR="000142CB">
        <w:t xml:space="preserve">In the case </w:t>
      </w:r>
      <w:r w:rsidR="00FE7B13">
        <w:t xml:space="preserve">Pugh v Savage </w:t>
      </w:r>
      <w:r w:rsidR="000142CB">
        <w:t xml:space="preserve">an easement allowed the dominant </w:t>
      </w:r>
      <w:r w:rsidR="00BE4A55">
        <w:t xml:space="preserve">tenement access </w:t>
      </w:r>
      <w:r w:rsidR="001B7285">
        <w:t xml:space="preserve">through the servient </w:t>
      </w:r>
      <w:r w:rsidR="00632D31">
        <w:t>owner’s</w:t>
      </w:r>
      <w:r w:rsidR="001B7285">
        <w:t xml:space="preserve"> land as a right of way. However, the easement place upon the servient owner prohibits the reservation of the pocket of land in question.</w:t>
      </w:r>
    </w:p>
    <w:p w14:paraId="6478A4A5" w14:textId="125B3129" w:rsidR="005A0B1E" w:rsidRDefault="00D92661" w:rsidP="002A0AEF">
      <w:pPr>
        <w:spacing w:line="480" w:lineRule="auto"/>
      </w:pPr>
      <w:r>
        <w:lastRenderedPageBreak/>
        <w:t>Hill v Tupper</w:t>
      </w:r>
      <w:r w:rsidR="00D7244C">
        <w:t xml:space="preserve"> (1863)</w:t>
      </w:r>
      <w:r>
        <w:t xml:space="preserve"> presented difficulties </w:t>
      </w:r>
      <w:r w:rsidR="00DE2AA3">
        <w:t xml:space="preserve">as the rights </w:t>
      </w:r>
      <w:r w:rsidR="00E322B3">
        <w:t>granted</w:t>
      </w:r>
      <w:r w:rsidR="00DE2AA3">
        <w:t xml:space="preserve"> to put boats in a canal was recognised in both </w:t>
      </w:r>
      <w:r w:rsidR="004805E8">
        <w:t xml:space="preserve">Hill v </w:t>
      </w:r>
      <w:r w:rsidR="00DE2AA3">
        <w:t xml:space="preserve">Tupper </w:t>
      </w:r>
      <w:r w:rsidR="004805E8">
        <w:t>and the similar case of Regency Villas. Hill v Tupper d</w:t>
      </w:r>
      <w:r w:rsidR="00CE6885">
        <w:t xml:space="preserve">oes not </w:t>
      </w:r>
      <w:r w:rsidR="0065669D">
        <w:t>parallel</w:t>
      </w:r>
      <w:r w:rsidR="004805E8">
        <w:t xml:space="preserve"> the decision made in Regency Villas</w:t>
      </w:r>
      <w:r w:rsidR="003933C6">
        <w:t xml:space="preserve"> or Platt v Crouch [2003]</w:t>
      </w:r>
      <w:r w:rsidR="004805E8">
        <w:t xml:space="preserve"> as an easement was not recognised</w:t>
      </w:r>
      <w:r w:rsidR="00A246EF">
        <w:t xml:space="preserve"> (Smith, 2020)</w:t>
      </w:r>
      <w:r w:rsidR="003933C6">
        <w:t xml:space="preserve"> (Dixson, 2016)</w:t>
      </w:r>
      <w:r w:rsidR="004805E8">
        <w:t xml:space="preserve">. The courts justified this by suggesting that the reason for putting boats in the water in Hill v Tupper was exclusively for business purposes. </w:t>
      </w:r>
      <w:r w:rsidR="00CD4BF5">
        <w:t>The court stated that the right to use the land for this purpose is not recognised in law and thus were not permitted to create novel forms of interest</w:t>
      </w:r>
      <w:r w:rsidR="00E17A94">
        <w:t xml:space="preserve"> (Dixson, 2002)</w:t>
      </w:r>
      <w:r w:rsidR="00CD4BF5">
        <w:t>. The courts uphold the n</w:t>
      </w:r>
      <w:r w:rsidR="00F16B48">
        <w:t xml:space="preserve">otion that an easement cannot be granted to land if </w:t>
      </w:r>
      <w:r w:rsidR="008C5284">
        <w:t>its</w:t>
      </w:r>
      <w:r w:rsidR="00F16B48">
        <w:t xml:space="preserve"> primary function is to form a profit in gross. This would make it a profit rather than an easement therefore it will be rejected as part of the easement</w:t>
      </w:r>
      <w:r w:rsidR="00CF067C">
        <w:t xml:space="preserve"> (Gray, 2011)</w:t>
      </w:r>
      <w:r w:rsidR="00F16B48">
        <w:t>.</w:t>
      </w:r>
      <w:r w:rsidR="008C5284">
        <w:t xml:space="preserve"> Furthermore, the party must be capable of forming a subject matter of the grant</w:t>
      </w:r>
      <w:r w:rsidR="009827FD">
        <w:t xml:space="preserve"> as the courts suggests that it was not purely for amusement and did not show any connections with the dominant tenements normal use of land</w:t>
      </w:r>
      <w:r w:rsidR="00E322B3">
        <w:t xml:space="preserve"> (</w:t>
      </w:r>
      <w:proofErr w:type="spellStart"/>
      <w:r w:rsidR="00E322B3">
        <w:t>Gooderson</w:t>
      </w:r>
      <w:proofErr w:type="spellEnd"/>
      <w:r w:rsidR="00E322B3">
        <w:t>, 1956)</w:t>
      </w:r>
      <w:r w:rsidR="00FC2765">
        <w:t xml:space="preserve"> (</w:t>
      </w:r>
      <w:proofErr w:type="spellStart"/>
      <w:r w:rsidR="00FC2765">
        <w:t>Duddgington</w:t>
      </w:r>
      <w:proofErr w:type="spellEnd"/>
      <w:r w:rsidR="00FC2765">
        <w:t>, 2011)</w:t>
      </w:r>
      <w:r w:rsidR="008C5284">
        <w:t xml:space="preserve">. This </w:t>
      </w:r>
      <w:r w:rsidR="00753CF9">
        <w:t>restricts</w:t>
      </w:r>
      <w:r w:rsidR="008C5284">
        <w:t xml:space="preserve"> the servient </w:t>
      </w:r>
      <w:r w:rsidR="004961A9">
        <w:t>tenement’s</w:t>
      </w:r>
      <w:r w:rsidR="00062395">
        <w:t xml:space="preserve"> ability to grant</w:t>
      </w:r>
      <w:r w:rsidR="008C5284">
        <w:t xml:space="preserve"> rights as </w:t>
      </w:r>
      <w:r w:rsidR="00062395">
        <w:t xml:space="preserve">the principles of easements do not extend to business rights. </w:t>
      </w:r>
      <w:r w:rsidR="005C3669">
        <w:t>T</w:t>
      </w:r>
      <w:r w:rsidR="008C5284">
        <w:t xml:space="preserve">he need to </w:t>
      </w:r>
      <w:r w:rsidR="00EE03B2">
        <w:t xml:space="preserve">benefit the land and </w:t>
      </w:r>
      <w:r w:rsidR="001B7285">
        <w:t>dominant tenements</w:t>
      </w:r>
      <w:r w:rsidR="00EE03B2">
        <w:t xml:space="preserve"> using that land must be satisfied before the in interests of the servient tenement.</w:t>
      </w:r>
      <w:r w:rsidR="00955685">
        <w:t xml:space="preserve"> In section 62 (5) Law of Property suggests </w:t>
      </w:r>
      <w:r w:rsidR="00A757C4">
        <w:t>that any</w:t>
      </w:r>
      <w:r w:rsidR="00955685">
        <w:t xml:space="preserve"> conveyancing of land must ensure that the grantee does not gain a better title the land or attain more than what was </w:t>
      </w:r>
      <w:r w:rsidR="00A757C4">
        <w:t>promised</w:t>
      </w:r>
      <w:r w:rsidR="00D7244C">
        <w:t xml:space="preserve"> (Blackstone, 2020)</w:t>
      </w:r>
      <w:r w:rsidR="00A757C4">
        <w:t xml:space="preserve">. </w:t>
      </w:r>
      <w:r w:rsidR="009C04C5">
        <w:t xml:space="preserve">On the flip side of this is Moody v </w:t>
      </w:r>
      <w:proofErr w:type="spellStart"/>
      <w:r w:rsidR="009C04C5">
        <w:t>Steggles</w:t>
      </w:r>
      <w:proofErr w:type="spellEnd"/>
      <w:r w:rsidR="001E4C95">
        <w:t xml:space="preserve"> (1879)</w:t>
      </w:r>
      <w:r w:rsidR="009C04C5">
        <w:t xml:space="preserve"> which highlights that business purposes are often con</w:t>
      </w:r>
      <w:r w:rsidR="008243A6">
        <w:t>si</w:t>
      </w:r>
      <w:r w:rsidR="009C04C5">
        <w:t xml:space="preserve">dered to be easements under the right conditions. The </w:t>
      </w:r>
      <w:r w:rsidR="008243A6">
        <w:t xml:space="preserve">dominant tenement was permitted to place advertising for their public house on the servient land. </w:t>
      </w:r>
      <w:r w:rsidR="00A757C4">
        <w:t>T</w:t>
      </w:r>
      <w:r w:rsidR="008243A6">
        <w:t>he courts suggested that this was not purely for business purposes but for the benefit of the land as the dominant tenement was located behind the servient land</w:t>
      </w:r>
      <w:r w:rsidR="000B60BA">
        <w:t xml:space="preserve"> (Smith, 2020)</w:t>
      </w:r>
      <w:r w:rsidR="008243A6">
        <w:t xml:space="preserve">. </w:t>
      </w:r>
      <w:r w:rsidR="00AA2EF6">
        <w:t>T</w:t>
      </w:r>
      <w:r w:rsidR="008243A6">
        <w:t>he courts held that the advertisement was not located miles away from the public house and not in an unreasonable location. The advertisement was necessary to inform the public of the existence of the dominant tenement</w:t>
      </w:r>
      <w:r w:rsidR="0065669D">
        <w:t xml:space="preserve"> (H. G.D, 1952)</w:t>
      </w:r>
      <w:r w:rsidR="008243A6">
        <w:t xml:space="preserve">. </w:t>
      </w:r>
      <w:r w:rsidR="00EE03B2">
        <w:t>This was permitted by the courts as it was unclear of whether the right existed whilst there was common ownership of the property</w:t>
      </w:r>
      <w:r w:rsidR="00753CF9">
        <w:t>.</w:t>
      </w:r>
      <w:r w:rsidR="00FA67F8">
        <w:t xml:space="preserve"> The application of section 62 of the property law act will not support the reserved right when a diversity in ownership. If there is no </w:t>
      </w:r>
      <w:r w:rsidR="00FA67F8">
        <w:lastRenderedPageBreak/>
        <w:t>diversity then the ruling of Wheeldon will apply which like in the case of Kent v Kavanagh [2006] (Smith, 2011).</w:t>
      </w:r>
      <w:r w:rsidR="00753CF9">
        <w:t xml:space="preserve"> </w:t>
      </w:r>
      <w:r w:rsidR="00BB1F69">
        <w:t>This could have caused a significant problem as the dominant and servient land must have separate owners which can be seen in</w:t>
      </w:r>
      <w:r w:rsidR="00632D31" w:rsidRPr="00632D31">
        <w:t xml:space="preserve"> Metropolitan Railway Co v Fowler (1893)</w:t>
      </w:r>
      <w:r w:rsidR="001C55DD">
        <w:t xml:space="preserve"> (McFarland, 2021)</w:t>
      </w:r>
      <w:r w:rsidR="00632D31">
        <w:t>.</w:t>
      </w:r>
      <w:r w:rsidR="00805CB1">
        <w:t xml:space="preserve"> Furthermore, the </w:t>
      </w:r>
      <w:r w:rsidR="00F82D3C">
        <w:t>same ownership of two tenants can create quasi-easements that when both tenements become separate can lead</w:t>
      </w:r>
      <w:r w:rsidR="00C2079B">
        <w:t xml:space="preserve"> to </w:t>
      </w:r>
      <w:r w:rsidR="0055500E">
        <w:t>full easement</w:t>
      </w:r>
      <w:r w:rsidR="00C97779">
        <w:t>s as seen in Roe v Siddons (1888)</w:t>
      </w:r>
      <w:r w:rsidR="00FA67F8">
        <w:t xml:space="preserve">. </w:t>
      </w:r>
      <w:r w:rsidR="00D87255">
        <w:t>Controversially, recreational rights to easements can be enjoyed but it is difficult to establish whether they genuinely benefit the dominant tenement</w:t>
      </w:r>
      <w:r w:rsidR="001C55DD">
        <w:t xml:space="preserve"> </w:t>
      </w:r>
      <w:r w:rsidR="00E936AC">
        <w:t>(Dixon, 2016)</w:t>
      </w:r>
      <w:r w:rsidR="00D87255">
        <w:t xml:space="preserve">. </w:t>
      </w:r>
      <w:r w:rsidR="000A4039">
        <w:t xml:space="preserve">This can be seen in Re </w:t>
      </w:r>
      <w:r w:rsidR="00C97779">
        <w:t>Ellenborough Park</w:t>
      </w:r>
      <w:r w:rsidR="000A4039">
        <w:t xml:space="preserve"> where the rights granted to property owners suggest that the park </w:t>
      </w:r>
      <w:r w:rsidR="00D7244C">
        <w:t>was</w:t>
      </w:r>
      <w:r w:rsidR="000A4039">
        <w:t xml:space="preserve"> a garden substitute. This puts the rights of a vendor under question as the right to sell parts of land may result in easements being put in place that cover the entirety of the servient land. the case of Regency Villas is a testament to the fact that recreational easement </w:t>
      </w:r>
      <w:r w:rsidR="00516BC3">
        <w:t>has</w:t>
      </w:r>
      <w:r w:rsidR="000A4039">
        <w:t xml:space="preserve"> very little in the way of boundaries. </w:t>
      </w:r>
      <w:r w:rsidR="00E936AC">
        <w:t>T</w:t>
      </w:r>
      <w:r w:rsidR="005E5721">
        <w:t xml:space="preserve">his is because in the courts attempt to become more modern and accommodating of recreational and sporting activities it leaves easements in this area </w:t>
      </w:r>
      <w:r w:rsidR="00B67B44">
        <w:t>uncertain</w:t>
      </w:r>
      <w:r w:rsidR="002A4DFB" w:rsidRPr="002A4DFB">
        <w:t xml:space="preserve"> </w:t>
      </w:r>
      <w:r w:rsidR="002A4DFB">
        <w:t>(</w:t>
      </w:r>
      <w:r w:rsidR="002A4DFB" w:rsidRPr="002A4DFB">
        <w:t>C</w:t>
      </w:r>
      <w:r w:rsidR="002A4DFB">
        <w:t>ardwell, 2019)</w:t>
      </w:r>
      <w:r w:rsidR="00B67B44">
        <w:t xml:space="preserve">. </w:t>
      </w:r>
      <w:r w:rsidR="002311F1">
        <w:t>Furthermore, the servient tenement is expected to accommodate the dominant tenement. As in the purchase of the land there was an express right to use the facilities. This amounted to an easement to great controversy, as the subject matter of the grant appeared to be heavily in favour of the dominant tenement. The hearing in Ellenborough Park suggests that</w:t>
      </w:r>
      <w:r w:rsidR="00A00203">
        <w:t xml:space="preserve"> for the subject matter of the grant to be satisfied the servient tenement cannot exceed the expected expenditure of accommodating the dominant tenement. Furthermore, the ouster principle was considered as </w:t>
      </w:r>
      <w:r w:rsidR="003E4B84">
        <w:t>removing the servient tenement’s ability to grant or reserve rights to the facilities as without the means of maintaining the facilities</w:t>
      </w:r>
      <w:r w:rsidR="00E936AC">
        <w:t xml:space="preserve"> (Smith, 2020)</w:t>
      </w:r>
      <w:r w:rsidR="003E4B84">
        <w:t>. This takes possession away from the servient tenement and grants it to the dominant tenement on the condition that the dominant tenement can themselves manage the upkeep of the facility.</w:t>
      </w:r>
      <w:r w:rsidR="006903CC">
        <w:t xml:space="preserve"> </w:t>
      </w:r>
    </w:p>
    <w:p w14:paraId="022BF719" w14:textId="097241BD" w:rsidR="007A0730" w:rsidRDefault="00AD6F5B" w:rsidP="002A0AEF">
      <w:pPr>
        <w:spacing w:line="480" w:lineRule="auto"/>
      </w:pPr>
      <w:bookmarkStart w:id="2" w:name="_Hlk86887865"/>
      <w:r>
        <w:t>Wright v Macadam</w:t>
      </w:r>
      <w:r w:rsidR="001E4C95">
        <w:t xml:space="preserve"> [1949]</w:t>
      </w:r>
      <w:r>
        <w:t xml:space="preserve"> deals with the purchase of land that the dominant tenement has a reserved right to utilise. The case of Wright v Macadam the dominant owner exerting their rights to gain exclusive possession of the </w:t>
      </w:r>
      <w:r w:rsidR="00CB20FE">
        <w:t>servient</w:t>
      </w:r>
      <w:r>
        <w:t xml:space="preserve"> tenements coal shed.</w:t>
      </w:r>
      <w:r w:rsidR="00CB20FE">
        <w:t xml:space="preserve"> The right to exclusive possession was </w:t>
      </w:r>
      <w:r w:rsidR="00CB20FE">
        <w:lastRenderedPageBreak/>
        <w:t xml:space="preserve">turned down. However, </w:t>
      </w:r>
      <w:r w:rsidR="00D110A5">
        <w:t>the</w:t>
      </w:r>
      <w:r w:rsidR="00CB20FE">
        <w:t xml:space="preserve"> courts held that there was a </w:t>
      </w:r>
      <w:proofErr w:type="gramStart"/>
      <w:r w:rsidR="00CB20FE">
        <w:t>legal</w:t>
      </w:r>
      <w:proofErr w:type="gramEnd"/>
      <w:r w:rsidR="00CB20FE">
        <w:t xml:space="preserve"> enforceable right to the coal shed via section 62 of the Law of Property Act 1925.</w:t>
      </w:r>
      <w:r>
        <w:t xml:space="preserve"> </w:t>
      </w:r>
      <w:bookmarkEnd w:id="2"/>
      <w:r w:rsidR="002C2D2F">
        <w:t xml:space="preserve">If the dominant tenement is claiming the right to use </w:t>
      </w:r>
      <w:r w:rsidR="003B7F72">
        <w:t>an</w:t>
      </w:r>
      <w:r w:rsidR="002C2D2F">
        <w:t xml:space="preserve"> uncommonly utilised part of the </w:t>
      </w:r>
      <w:r w:rsidR="003B7F72">
        <w:t>property,</w:t>
      </w:r>
      <w:r w:rsidR="002C2D2F">
        <w:t xml:space="preserve"> then then courts tend to be more lenient when granting a</w:t>
      </w:r>
      <w:r w:rsidR="003B7F72">
        <w:t xml:space="preserve"> right to store via an easement</w:t>
      </w:r>
      <w:r w:rsidR="002C2D2F">
        <w:t>.</w:t>
      </w:r>
      <w:r w:rsidR="003B7F72">
        <w:t xml:space="preserve"> The key issue for landowners in this circumstance is that the servient tenement seems to be disregarded</w:t>
      </w:r>
      <w:r w:rsidR="003D6C49">
        <w:t>.</w:t>
      </w:r>
      <w:r w:rsidR="002C2D2F">
        <w:t xml:space="preserve"> This</w:t>
      </w:r>
      <w:r w:rsidR="00D16089">
        <w:t xml:space="preserve"> therefore</w:t>
      </w:r>
      <w:r w:rsidR="002C2D2F">
        <w:t xml:space="preserve"> would not be a practical use of</w:t>
      </w:r>
      <w:r w:rsidR="00D16089">
        <w:t xml:space="preserve"> </w:t>
      </w:r>
      <w:r w:rsidR="003D6C49">
        <w:t xml:space="preserve">easements </w:t>
      </w:r>
      <w:r w:rsidR="00D16089">
        <w:t>as the limitation put on landowners is profound</w:t>
      </w:r>
      <w:r w:rsidR="002C2D2F">
        <w:t>.</w:t>
      </w:r>
      <w:r w:rsidR="00F27B26">
        <w:t xml:space="preserve"> Taking this point further is easement restrict the servient tenement in Phi</w:t>
      </w:r>
      <w:r w:rsidR="00304F5A">
        <w:t>p</w:t>
      </w:r>
      <w:r w:rsidR="00F27B26">
        <w:t>ps v Pears</w:t>
      </w:r>
      <w:r w:rsidR="00304F5A">
        <w:t xml:space="preserve"> [1965]</w:t>
      </w:r>
      <w:r w:rsidR="00F27B26">
        <w:t xml:space="preserve"> negatively </w:t>
      </w:r>
      <w:r w:rsidR="008943D1">
        <w:t>implied</w:t>
      </w:r>
      <w:r w:rsidR="00F27B26">
        <w:t xml:space="preserve"> easements are difficult to obtain as the right to possess </w:t>
      </w:r>
      <w:r w:rsidR="008943D1">
        <w:t>another’s</w:t>
      </w:r>
      <w:r w:rsidR="00F27B26">
        <w:t xml:space="preserve"> land requires the right circumstance. It was held in Phi</w:t>
      </w:r>
      <w:r w:rsidR="00304F5A">
        <w:t>p</w:t>
      </w:r>
      <w:r w:rsidR="00F27B26">
        <w:t>ps v Pears</w:t>
      </w:r>
      <w:r w:rsidR="00304F5A">
        <w:t xml:space="preserve"> [1965]</w:t>
      </w:r>
      <w:r w:rsidR="00F27B26">
        <w:t xml:space="preserve"> that landowners cannot use easement as a right to protect their house from weather</w:t>
      </w:r>
      <w:r w:rsidR="00304F5A">
        <w:t xml:space="preserve"> (McFarland, 2021)</w:t>
      </w:r>
      <w:r w:rsidR="00F27B26">
        <w:t>.</w:t>
      </w:r>
      <w:r w:rsidR="00FD2854">
        <w:t xml:space="preserve"> </w:t>
      </w:r>
      <w:r w:rsidR="008943D1">
        <w:t>Due to this it is possible to claim that a landowner’s right to ensure the protection for their property is being limited as the courts do not consider that the demolition of an adjoining house does not impede the rights of the owner</w:t>
      </w:r>
      <w:r w:rsidR="00FC34FD">
        <w:t xml:space="preserve"> (Scott, 1964)</w:t>
      </w:r>
      <w:r w:rsidR="008943D1">
        <w:t xml:space="preserve">. </w:t>
      </w:r>
      <w:r w:rsidR="0018351C">
        <w:t>However, over the course of time it appears in Wright v Macadams that a favour from one party to allow the use of the storage shed has become an easement.</w:t>
      </w:r>
      <w:r w:rsidR="00DD36BD">
        <w:t xml:space="preserve"> Copeland v </w:t>
      </w:r>
      <w:proofErr w:type="spellStart"/>
      <w:r w:rsidR="00DD36BD">
        <w:t>Greenhalf</w:t>
      </w:r>
      <w:proofErr w:type="spellEnd"/>
      <w:r w:rsidR="00DD36BD">
        <w:t xml:space="preserve"> [1952] follows wright v Macadams as a claim was made to use the land of the servient tenement indefinitely. </w:t>
      </w:r>
      <w:r w:rsidR="00C161A4">
        <w:t xml:space="preserve">The claimant suggested that a </w:t>
      </w:r>
      <w:r w:rsidR="00C74B58">
        <w:t>prescriptive</w:t>
      </w:r>
      <w:r w:rsidR="00C161A4">
        <w:t xml:space="preserve"> easement should apply under the </w:t>
      </w:r>
      <w:r w:rsidR="00C74B58">
        <w:t xml:space="preserve">section 2 of the </w:t>
      </w:r>
      <w:r w:rsidR="00C161A4">
        <w:t>prescriptions act 18</w:t>
      </w:r>
      <w:r w:rsidR="00C74B58">
        <w:t>32. The criteria for being granted an easement was in many facets met as the claimant had been using the land for a substantial amount of time.</w:t>
      </w:r>
      <w:r w:rsidR="0018351C">
        <w:t xml:space="preserve"> </w:t>
      </w:r>
      <w:r w:rsidR="00C74B58">
        <w:t xml:space="preserve">However, it </w:t>
      </w:r>
      <w:r w:rsidR="00361D5C">
        <w:t xml:space="preserve">can be argued in this case that by granting an easement it could have escalated to absolute possession thus ousting the servient tenement. This raises question marks over Wright v Macadams as the courts ruled in favour of the defendant. It is possible however, that in Wright v Macadams that the portion of the land granted to the claimant was so insignificant that an easement could have applied. </w:t>
      </w:r>
      <w:r w:rsidR="00FD2854">
        <w:t>Like Wright v Macadams, Moncrieff v Jamieson</w:t>
      </w:r>
      <w:r w:rsidR="00AC1580">
        <w:t xml:space="preserve"> [2007]</w:t>
      </w:r>
      <w:r w:rsidR="00FD2854">
        <w:t xml:space="preserve"> highlights the courts attempts to limit the power given to the dominant tenement </w:t>
      </w:r>
      <w:r w:rsidR="004E5E22">
        <w:t>wishing to have exclusive possession of another’s land.</w:t>
      </w:r>
      <w:r w:rsidR="003830D9">
        <w:t xml:space="preserve"> </w:t>
      </w:r>
      <w:r w:rsidR="00AC1580">
        <w:t>T</w:t>
      </w:r>
      <w:r w:rsidR="003830D9">
        <w:t xml:space="preserve">he application of an easement in this case would not be </w:t>
      </w:r>
      <w:r w:rsidR="00EC6F20">
        <w:t>legitimate</w:t>
      </w:r>
      <w:r w:rsidR="003830D9">
        <w:t xml:space="preserve"> if the servient landowner had no control or possession over the </w:t>
      </w:r>
      <w:r w:rsidR="00EC6F20">
        <w:t>land in question.</w:t>
      </w:r>
      <w:r w:rsidR="004E5E22">
        <w:t xml:space="preserve"> Despite this there are some forms of reservations, for example the ability to park cars</w:t>
      </w:r>
      <w:r w:rsidR="000E57CA">
        <w:t xml:space="preserve"> on the servient tenements land</w:t>
      </w:r>
      <w:r w:rsidR="00F27B26">
        <w:t xml:space="preserve"> </w:t>
      </w:r>
      <w:r w:rsidR="00F27B26">
        <w:lastRenderedPageBreak/>
        <w:t xml:space="preserve">unlike what is seen in Wright v </w:t>
      </w:r>
      <w:proofErr w:type="spellStart"/>
      <w:r w:rsidR="00F27B26">
        <w:t>MacAdams</w:t>
      </w:r>
      <w:proofErr w:type="spellEnd"/>
      <w:r w:rsidR="00E71E64">
        <w:t>.</w:t>
      </w:r>
      <w:r w:rsidR="00463459">
        <w:t xml:space="preserve"> </w:t>
      </w:r>
      <w:r w:rsidR="00964B3D">
        <w:t>This calls into question the ruling of</w:t>
      </w:r>
      <w:r w:rsidR="00964B3D" w:rsidRPr="00964B3D">
        <w:t xml:space="preserve"> Batchelor v. Marlowe</w:t>
      </w:r>
      <w:r w:rsidR="00964B3D">
        <w:t xml:space="preserve"> [2001] which denied the servient owners right to the land as Lord Justice Tuckey suggested that ownership of that land was now “illusory”. </w:t>
      </w:r>
      <w:r w:rsidR="00463459">
        <w:t xml:space="preserve">An aspect that was touch upon by Lord </w:t>
      </w:r>
      <w:r w:rsidR="003830D9">
        <w:t>Neuberger</w:t>
      </w:r>
      <w:r w:rsidR="00463459">
        <w:t xml:space="preserve"> within Moncrieff was that easements can manifest in many different forms. Lord N</w:t>
      </w:r>
      <w:r w:rsidR="00615C29">
        <w:t>euberger suggests that if an easement to park a car in specific place is granted then it would be inconsistent to suggest that goods cannot be stored in the space that the car would occupy as part of the same easement</w:t>
      </w:r>
      <w:r w:rsidR="00AC1580">
        <w:t xml:space="preserve"> (Smith 2016)</w:t>
      </w:r>
      <w:r w:rsidR="00615C29">
        <w:t xml:space="preserve">. This suggests that there are limitations placed upon the landowner due to easements as the subject matter of the grant is to have a right to use the land. </w:t>
      </w:r>
      <w:r w:rsidR="00A55776">
        <w:t xml:space="preserve">This is </w:t>
      </w:r>
      <w:r w:rsidR="005C3669">
        <w:t>reinforced</w:t>
      </w:r>
      <w:r w:rsidR="00A55776">
        <w:t xml:space="preserve"> by Wheeldon v Burrows which </w:t>
      </w:r>
      <w:r w:rsidR="0011403B">
        <w:t>emphasis</w:t>
      </w:r>
      <w:r w:rsidR="00A55776">
        <w:t xml:space="preserve"> the need for the grantee to receive the value for the land that they were promise. The three rules set out in Wheeldon v burrows that allow the operation of an implied grant. This is a quasi-easement which has been continuous and apparent. The use of the parking space is being enjoyed by the grantee </w:t>
      </w:r>
      <w:r w:rsidR="003D6C49">
        <w:t>and</w:t>
      </w:r>
      <w:r w:rsidR="00A55776">
        <w:t xml:space="preserve"> the grantor. T</w:t>
      </w:r>
      <w:r w:rsidR="00A94EA8">
        <w:t xml:space="preserve">he servient </w:t>
      </w:r>
      <w:r w:rsidR="0088396E">
        <w:t>landowner</w:t>
      </w:r>
      <w:r w:rsidR="00A94EA8">
        <w:t xml:space="preserve"> in Moncrieff v Jamieson still enjoys the rights to the land that he has granted. However, it cannot be denied that the characteristics of easements </w:t>
      </w:r>
      <w:r w:rsidR="003D1E20">
        <w:t>provide limitations</w:t>
      </w:r>
      <w:r w:rsidR="00A94EA8">
        <w:t xml:space="preserve"> in sense that the land granted must be for the benefit of the grantee.</w:t>
      </w:r>
      <w:r w:rsidR="00F22842">
        <w:t xml:space="preserve"> The servient owner must </w:t>
      </w:r>
      <w:r w:rsidR="0088396E">
        <w:t>consider</w:t>
      </w:r>
      <w:r w:rsidR="00F22842">
        <w:t xml:space="preserve"> that a right to drive and stop on the land may also extend to parking. The question is whether th</w:t>
      </w:r>
      <w:r w:rsidR="003D1E20">
        <w:t xml:space="preserve">is exceeds </w:t>
      </w:r>
      <w:r w:rsidR="00A46D52">
        <w:t>the initial intention of the easement which would heavily favour the grantee</w:t>
      </w:r>
      <w:r w:rsidR="008A06FF">
        <w:t xml:space="preserve"> (</w:t>
      </w:r>
      <w:proofErr w:type="spellStart"/>
      <w:r w:rsidR="008A06FF">
        <w:t>Goymour</w:t>
      </w:r>
      <w:proofErr w:type="spellEnd"/>
      <w:r w:rsidR="008A06FF">
        <w:t>, 2008)</w:t>
      </w:r>
      <w:r w:rsidR="00F22842">
        <w:t>.</w:t>
      </w:r>
      <w:r w:rsidR="00A94EA8">
        <w:t xml:space="preserve"> </w:t>
      </w:r>
      <w:r w:rsidR="006914B8">
        <w:t>Grigsby</w:t>
      </w:r>
      <w:r w:rsidR="00BD2D48">
        <w:t xml:space="preserve"> v Melville [1972] deals with the courts reluctancy to deprive the </w:t>
      </w:r>
      <w:r w:rsidR="00050D2E">
        <w:t>dominant</w:t>
      </w:r>
      <w:r w:rsidR="00BD2D48">
        <w:t xml:space="preserve"> owner of the right </w:t>
      </w:r>
      <w:r w:rsidR="006914B8">
        <w:t>reserve</w:t>
      </w:r>
      <w:r w:rsidR="00BD2D48">
        <w:t xml:space="preserve"> the land. </w:t>
      </w:r>
      <w:r w:rsidR="004911E8">
        <w:t xml:space="preserve">the courts held that the basement of the house was part of the property therefore the ability to reserve the right to maintain access to the basement and deny the new owners right to the basement cannot </w:t>
      </w:r>
      <w:r w:rsidR="005C3669">
        <w:t>be</w:t>
      </w:r>
      <w:r w:rsidR="004911E8">
        <w:t xml:space="preserve"> an easement</w:t>
      </w:r>
      <w:r w:rsidR="00050D2E">
        <w:t xml:space="preserve"> (fairest, 1969)</w:t>
      </w:r>
      <w:r w:rsidR="004911E8">
        <w:t>.</w:t>
      </w:r>
      <w:r w:rsidR="005C3669">
        <w:t xml:space="preserve"> T</w:t>
      </w:r>
      <w:r w:rsidR="004911E8">
        <w:t xml:space="preserve">he fact that in the deed the term “all that dwelling” meant that the landowner could not </w:t>
      </w:r>
      <w:r w:rsidR="007475F2">
        <w:t xml:space="preserve">restrict access to the new tenants despite the two properties adjoining. Furthermore, the fixtures and fittings of a property is taken into consideration as the basement was supporting the servient tenements property then this was included in the value of the house. </w:t>
      </w:r>
      <w:r w:rsidR="007A0730">
        <w:t>Th</w:t>
      </w:r>
      <w:r w:rsidR="00FF3B0A">
        <w:t>erefore,</w:t>
      </w:r>
      <w:r w:rsidR="007A0730">
        <w:t xml:space="preserve"> exclusive possession and easements are of an opposite nature. Easements attempt to give the dominant tenement a right to use the land </w:t>
      </w:r>
      <w:r w:rsidR="00092918">
        <w:t>along with</w:t>
      </w:r>
      <w:r w:rsidR="007A0730">
        <w:t xml:space="preserve"> the servient tenement</w:t>
      </w:r>
      <w:r w:rsidR="00092918">
        <w:t xml:space="preserve"> on the </w:t>
      </w:r>
      <w:r w:rsidR="00092918">
        <w:lastRenderedPageBreak/>
        <w:t>condition that neither party gains complete control over the land</w:t>
      </w:r>
      <w:r w:rsidR="0010349E">
        <w:t>, if one party gains or attempts to gain complete control then an easement cannot be formed</w:t>
      </w:r>
      <w:r w:rsidR="00D532CE">
        <w:t xml:space="preserve"> (Spencer, 1974)</w:t>
      </w:r>
      <w:r w:rsidR="00092918">
        <w:t>.</w:t>
      </w:r>
      <w:r w:rsidR="0010349E">
        <w:t xml:space="preserve"> </w:t>
      </w:r>
      <w:r w:rsidR="007A0730">
        <w:t xml:space="preserve"> </w:t>
      </w:r>
    </w:p>
    <w:p w14:paraId="2D9DAEF5" w14:textId="2B0CA201" w:rsidR="00B705BB" w:rsidRDefault="00B705BB" w:rsidP="002A0AEF">
      <w:pPr>
        <w:spacing w:line="480" w:lineRule="auto"/>
      </w:pPr>
      <w:r>
        <w:t xml:space="preserve">Overall, I believe that the rights of Landowners to grant rights are </w:t>
      </w:r>
      <w:r w:rsidR="00E604F8">
        <w:t>impeded</w:t>
      </w:r>
      <w:r>
        <w:t xml:space="preserve"> by the </w:t>
      </w:r>
      <w:r w:rsidR="00E604F8">
        <w:t xml:space="preserve">characteristics of </w:t>
      </w:r>
      <w:r>
        <w:t xml:space="preserve">easement for example in </w:t>
      </w:r>
      <w:r w:rsidR="00E604F8">
        <w:t xml:space="preserve">Hill v Tupper the claimant </w:t>
      </w:r>
      <w:r w:rsidR="00DC3A12">
        <w:t xml:space="preserve">the servient owner of the land could not grant the exclusive right to use the canal </w:t>
      </w:r>
      <w:r w:rsidR="007B6F10">
        <w:t>for any purpose even if that purpose was to set up a personal business enterprise</w:t>
      </w:r>
      <w:r>
        <w:t xml:space="preserve">. The existence of </w:t>
      </w:r>
      <w:r w:rsidR="00E604F8">
        <w:t>an</w:t>
      </w:r>
      <w:r>
        <w:t xml:space="preserve"> easement can prevent </w:t>
      </w:r>
      <w:r w:rsidR="00E604F8">
        <w:t>a</w:t>
      </w:r>
      <w:r>
        <w:t xml:space="preserve"> landowner from denying a right of way or even granting a right of way if the lands are not considered to be adjoining. </w:t>
      </w:r>
      <w:r w:rsidR="00E604F8">
        <w:t xml:space="preserve">This </w:t>
      </w:r>
      <w:r w:rsidR="007B6F10">
        <w:t>protects</w:t>
      </w:r>
      <w:r w:rsidR="00E604F8">
        <w:t xml:space="preserve"> the rights of </w:t>
      </w:r>
      <w:r w:rsidR="007B6F10">
        <w:t xml:space="preserve">the servient owner </w:t>
      </w:r>
      <w:r w:rsidR="003E140A">
        <w:t xml:space="preserve">as it does not impose an extra burden upon their land without a valid justification. </w:t>
      </w:r>
      <w:r w:rsidR="0042054E">
        <w:t>Furthermore,</w:t>
      </w:r>
      <w:r w:rsidR="003F4D3D">
        <w:t xml:space="preserve"> a</w:t>
      </w:r>
      <w:r w:rsidR="00711575">
        <w:t xml:space="preserve">n implied easement can put limitations on the servient owners as the rights granted may not benefit the servient owner. This can be seen in Wright v Macadams where the servient tenement asked for payment for the use of the land. </w:t>
      </w:r>
      <w:r w:rsidR="0042054E">
        <w:t xml:space="preserve">However, this was denied as the grant to land was already implied with the upgrade of tenancy. Reserved rights negatively effect the liberty to retain parts of the servient tenements land. This is </w:t>
      </w:r>
      <w:r w:rsidR="00AC1580">
        <w:t>because</w:t>
      </w:r>
      <w:r w:rsidR="0042054E">
        <w:t xml:space="preserve"> easement require very specific criteria for them to be valid. If any of the reservations are not in keeping with the four primary concepts of easements it will reject the </w:t>
      </w:r>
      <w:r w:rsidR="00AC1580">
        <w:t>landowner’s</w:t>
      </w:r>
      <w:r w:rsidR="0042054E">
        <w:t xml:space="preserve"> ability to impose rights such as right of way, right to light, and the ability to maintain a property. </w:t>
      </w:r>
    </w:p>
    <w:p w14:paraId="04EEF2A4" w14:textId="5DDF26DD" w:rsidR="00E322B3" w:rsidRDefault="00E322B3" w:rsidP="00B85BDF"/>
    <w:p w14:paraId="54E2C958" w14:textId="1B5325BD" w:rsidR="00E322B3" w:rsidRDefault="00E322B3" w:rsidP="00B85BDF"/>
    <w:p w14:paraId="5FDB854C" w14:textId="039592F3" w:rsidR="00E322B3" w:rsidRDefault="00E322B3" w:rsidP="00B85BDF"/>
    <w:p w14:paraId="1C331BB1" w14:textId="6FBA1D9B" w:rsidR="00E322B3" w:rsidRDefault="00E322B3" w:rsidP="00B85BDF"/>
    <w:p w14:paraId="01FD09A2" w14:textId="77777777" w:rsidR="00C51DBD" w:rsidRDefault="00C51DBD" w:rsidP="00B85BDF"/>
    <w:p w14:paraId="0C3FDC52" w14:textId="77777777" w:rsidR="00C51DBD" w:rsidRDefault="00C51DBD" w:rsidP="00B85BDF"/>
    <w:p w14:paraId="11A197DC" w14:textId="77777777" w:rsidR="00C51DBD" w:rsidRDefault="00C51DBD" w:rsidP="00B85BDF"/>
    <w:p w14:paraId="0FFF8243" w14:textId="77777777" w:rsidR="00C51DBD" w:rsidRDefault="00C51DBD" w:rsidP="00B85BDF"/>
    <w:p w14:paraId="06A035BC" w14:textId="77777777" w:rsidR="00C51DBD" w:rsidRDefault="00C51DBD" w:rsidP="00B85BDF"/>
    <w:p w14:paraId="6CBCF7D7" w14:textId="77777777" w:rsidR="00155260" w:rsidRDefault="00155260" w:rsidP="00B85BDF"/>
    <w:p w14:paraId="0847D4E9" w14:textId="77777777" w:rsidR="002A0AEF" w:rsidRDefault="002A0AEF" w:rsidP="00B85BDF"/>
    <w:p w14:paraId="520EA803" w14:textId="0D6C2158" w:rsidR="00E322B3" w:rsidRDefault="00E322B3" w:rsidP="00B85BDF">
      <w:r>
        <w:lastRenderedPageBreak/>
        <w:t xml:space="preserve">Bibliography </w:t>
      </w:r>
    </w:p>
    <w:p w14:paraId="1E815AE7" w14:textId="1883B082" w:rsidR="00C53D12" w:rsidRDefault="00C53D12" w:rsidP="00B85BDF">
      <w:r>
        <w:t>Dixon, M. (2002). Land Law. Fourth Edition. Cavendish Publishing Limited. Pp 44-269</w:t>
      </w:r>
    </w:p>
    <w:p w14:paraId="42F7E5FF" w14:textId="3CF36895" w:rsidR="003933C6" w:rsidRDefault="003933C6" w:rsidP="00B85BDF">
      <w:r>
        <w:t>Dixon, M. (2016). Modern Land Law. Fourth Edition. Routledge</w:t>
      </w:r>
      <w:r w:rsidR="003274A9">
        <w:t>. Pp 453-513</w:t>
      </w:r>
    </w:p>
    <w:p w14:paraId="2F1116C6" w14:textId="5C4FB726" w:rsidR="000A23C3" w:rsidRDefault="000A23C3" w:rsidP="00B85BDF">
      <w:proofErr w:type="spellStart"/>
      <w:r>
        <w:t>Duddington</w:t>
      </w:r>
      <w:proofErr w:type="spellEnd"/>
      <w:r>
        <w:t xml:space="preserve">, J. (2011). Land Law. Third Edition. Pearson. Pp </w:t>
      </w:r>
      <w:r w:rsidR="00D83162">
        <w:t>31-38</w:t>
      </w:r>
    </w:p>
    <w:p w14:paraId="3D88EBB4" w14:textId="291894CC" w:rsidR="00050D2E" w:rsidRDefault="00050D2E" w:rsidP="00B85BDF">
      <w:r w:rsidRPr="00050D2E">
        <w:t>Fairest, P. B. (1969) “Reservation of Easements,” The Cambridge Law Journal. Cambridge University Press, 27(1), pp. 25–27</w:t>
      </w:r>
      <w:r>
        <w:t xml:space="preserve"> </w:t>
      </w:r>
    </w:p>
    <w:p w14:paraId="6119056E" w14:textId="2A8EA627" w:rsidR="00E322B3" w:rsidRDefault="00E322B3" w:rsidP="00B85BDF">
      <w:proofErr w:type="spellStart"/>
      <w:r w:rsidRPr="00E322B3">
        <w:t>Gooderson</w:t>
      </w:r>
      <w:proofErr w:type="spellEnd"/>
      <w:r w:rsidRPr="00E322B3">
        <w:t xml:space="preserve">, R. (1956). Easement—Jus </w:t>
      </w:r>
      <w:proofErr w:type="spellStart"/>
      <w:r w:rsidRPr="00E322B3">
        <w:t>Spatiandi</w:t>
      </w:r>
      <w:proofErr w:type="spellEnd"/>
      <w:r w:rsidRPr="00E322B3">
        <w:t>. The Cambridge Law Journal, 14(1)</w:t>
      </w:r>
      <w:r>
        <w:t xml:space="preserve"> </w:t>
      </w:r>
    </w:p>
    <w:p w14:paraId="43A3E910" w14:textId="09FED0AC" w:rsidR="008A06FF" w:rsidRDefault="008A06FF" w:rsidP="00B85BDF">
      <w:proofErr w:type="spellStart"/>
      <w:r w:rsidRPr="008A06FF">
        <w:t>Goymour</w:t>
      </w:r>
      <w:proofErr w:type="spellEnd"/>
      <w:r w:rsidRPr="008A06FF">
        <w:t>, A. (2008). EASEMENTS, SERVITUDES AND THE RIGHT TO PARK. The Cambridge Law Journal, 67(1), 20-23</w:t>
      </w:r>
      <w:r w:rsidR="00D532CE">
        <w:t xml:space="preserve"> </w:t>
      </w:r>
    </w:p>
    <w:p w14:paraId="296391FD" w14:textId="1960AD45" w:rsidR="000B60BA" w:rsidRDefault="00CF067C" w:rsidP="00B85BDF">
      <w:r>
        <w:t xml:space="preserve">Gray, K. (2011). Land Law. Seventh edition. Oxford University Press. Pp. </w:t>
      </w:r>
      <w:r w:rsidRPr="00CF067C">
        <w:t>234</w:t>
      </w:r>
      <w:r>
        <w:t>-</w:t>
      </w:r>
      <w:r w:rsidRPr="00CF067C">
        <w:t>261</w:t>
      </w:r>
    </w:p>
    <w:p w14:paraId="46677A27" w14:textId="5AF2A2FC" w:rsidR="0065669D" w:rsidRDefault="0065669D" w:rsidP="00B85BDF">
      <w:r w:rsidRPr="0065669D">
        <w:t>H. G. D. (1952) “Easement or Licence—Whether Lessor Entitled to Maintain Existing Advertisements on Premises Demised—No Implied Reservation,” The Cambridge Law Journal. Cambridge University Press, 11(2), pp. 294–294</w:t>
      </w:r>
      <w:r>
        <w:t xml:space="preserve"> </w:t>
      </w:r>
    </w:p>
    <w:p w14:paraId="4099A0C8" w14:textId="02926F40" w:rsidR="005006BE" w:rsidRDefault="005006BE" w:rsidP="00B85BDF">
      <w:r w:rsidRPr="005006BE">
        <w:t>K. K. L. (1931) “Real Property—Easement—Implied Right of Way—Agreement for Lease—Conveyance—General Words—Law of Property Act, 1925, ss. 62, 205,” The Cambridge Law Journal. Cambridge University Press, 4(2), pp. 219–220</w:t>
      </w:r>
      <w:r>
        <w:t xml:space="preserve"> </w:t>
      </w:r>
    </w:p>
    <w:p w14:paraId="1C10C75C" w14:textId="0FCA69CE" w:rsidR="00EA5DF3" w:rsidRDefault="00EA5DF3" w:rsidP="00B85BDF">
      <w:r>
        <w:t>Legislation.gov. (2021). Law of Properties act 1925</w:t>
      </w:r>
      <w:r w:rsidR="00CE38A9">
        <w:t xml:space="preserve">. Available at: </w:t>
      </w:r>
      <w:hyperlink r:id="rId4" w:history="1">
        <w:r w:rsidR="00CE38A9" w:rsidRPr="00A23183">
          <w:rPr>
            <w:rStyle w:val="Hyperlink"/>
          </w:rPr>
          <w:t>https://www.legislation.gov.uk/ukpga/Geo5/15-16/20/contents</w:t>
        </w:r>
      </w:hyperlink>
      <w:r w:rsidR="00CE38A9">
        <w:t xml:space="preserve">&gt; [online] Accessed [1/11/2021] </w:t>
      </w:r>
    </w:p>
    <w:p w14:paraId="1B556985" w14:textId="7A0BA1BC" w:rsidR="00C53D12" w:rsidRDefault="00EA5DF3" w:rsidP="00B85BDF">
      <w:r>
        <w:t>Legislation.gov. 2021. Prescriptions Act</w:t>
      </w:r>
      <w:r w:rsidR="00CE38A9">
        <w:t>.</w:t>
      </w:r>
      <w:r>
        <w:t xml:space="preserve"> Available at: </w:t>
      </w:r>
      <w:hyperlink r:id="rId5" w:history="1">
        <w:r w:rsidRPr="00A23183">
          <w:rPr>
            <w:rStyle w:val="Hyperlink"/>
          </w:rPr>
          <w:t>https://www.legislation.gov.uk/ukpga/Will4/2-3/71/section/2</w:t>
        </w:r>
      </w:hyperlink>
      <w:r>
        <w:t>&gt; Accessed [1/11/2021]</w:t>
      </w:r>
    </w:p>
    <w:p w14:paraId="10475AC2" w14:textId="1E7C22F2" w:rsidR="00C51DBD" w:rsidRDefault="00C51DBD" w:rsidP="00B85BDF">
      <w:r w:rsidRPr="00C51DBD">
        <w:t xml:space="preserve">McFarlane, B., Hopkins, N. and </w:t>
      </w:r>
      <w:proofErr w:type="spellStart"/>
      <w:r w:rsidRPr="00C51DBD">
        <w:t>Nield</w:t>
      </w:r>
      <w:proofErr w:type="spellEnd"/>
      <w:r w:rsidRPr="00C51DBD">
        <w:t>, S. (2021). Land Law. 5th Edition</w:t>
      </w:r>
      <w:r w:rsidR="00BB7D5B">
        <w:t>.</w:t>
      </w:r>
      <w:r w:rsidRPr="00C51DBD">
        <w:t xml:space="preserve"> Oxford University Press Academic UK</w:t>
      </w:r>
      <w:r w:rsidR="00BB7D5B">
        <w:t xml:space="preserve">. </w:t>
      </w:r>
      <w:proofErr w:type="spellStart"/>
      <w:r w:rsidR="00BB7D5B">
        <w:t>Pg</w:t>
      </w:r>
      <w:proofErr w:type="spellEnd"/>
      <w:r w:rsidR="00BB7D5B">
        <w:t xml:space="preserve"> </w:t>
      </w:r>
      <w:r w:rsidR="00637971">
        <w:t>827-</w:t>
      </w:r>
      <w:r w:rsidR="00716600">
        <w:t>889</w:t>
      </w:r>
    </w:p>
    <w:p w14:paraId="35096017" w14:textId="67FC29D2" w:rsidR="00FC34FD" w:rsidRDefault="00FC34FD" w:rsidP="00B85BDF">
      <w:r w:rsidRPr="00FC34FD">
        <w:t>Scott, K. (1964) “Land Law—Implied Negative Easements—Law of Property Act, 1925, s. 62,” The Cambridge Law Journal. Cambridge University Press, 22(2), pp. 203–204</w:t>
      </w:r>
      <w:r>
        <w:t xml:space="preserve"> </w:t>
      </w:r>
    </w:p>
    <w:p w14:paraId="11692045" w14:textId="1D9E19B0" w:rsidR="00D83162" w:rsidRDefault="00D83162" w:rsidP="00B85BDF">
      <w:r>
        <w:t>Smith, R. (2011). Introduction to Land Law.</w:t>
      </w:r>
      <w:r w:rsidR="00D110A5">
        <w:t xml:space="preserve"> Second edition. Pearson.</w:t>
      </w:r>
      <w:r>
        <w:t xml:space="preserve"> </w:t>
      </w:r>
      <w:r w:rsidR="00D110A5">
        <w:t>Pp 234-254</w:t>
      </w:r>
    </w:p>
    <w:p w14:paraId="735FA378" w14:textId="43C29AE1" w:rsidR="00EE5554" w:rsidRDefault="00EE5554" w:rsidP="00B85BDF">
      <w:r>
        <w:t xml:space="preserve">Smith, </w:t>
      </w:r>
      <w:r w:rsidR="00D83162">
        <w:t>R</w:t>
      </w:r>
      <w:r w:rsidR="00514687">
        <w:t xml:space="preserve">. (2020) Property Law. </w:t>
      </w:r>
      <w:r w:rsidR="0050198C">
        <w:t>10</w:t>
      </w:r>
      <w:r w:rsidR="0050198C" w:rsidRPr="0050198C">
        <w:rPr>
          <w:vertAlign w:val="superscript"/>
        </w:rPr>
        <w:t>th</w:t>
      </w:r>
      <w:r w:rsidR="0050198C">
        <w:t xml:space="preserve"> Edition. Pearson. P</w:t>
      </w:r>
      <w:r w:rsidR="00E96E2E">
        <w:t>p</w:t>
      </w:r>
      <w:r w:rsidR="00B7611C">
        <w:t xml:space="preserve"> 512-546</w:t>
      </w:r>
    </w:p>
    <w:p w14:paraId="0F981C8C" w14:textId="09A6F9C8" w:rsidR="00D532CE" w:rsidRDefault="00D532CE" w:rsidP="00B85BDF">
      <w:r w:rsidRPr="00D532CE">
        <w:t>Spencer, J. R. (1974) “Easement to Occupy a Cellar,” The Cambridge Law Journal. Cambridge University Press, 33(1)</w:t>
      </w:r>
      <w:r w:rsidR="00563A94">
        <w:t xml:space="preserve"> </w:t>
      </w:r>
    </w:p>
    <w:p w14:paraId="25F8F700" w14:textId="5C3BF0D1" w:rsidR="00243EE0" w:rsidRDefault="00243EE0" w:rsidP="00B85BDF">
      <w:r w:rsidRPr="00243EE0">
        <w:t>Thomas, M. (2021). Blackstone’s Statutes on Property Law 2021-2022. Oxford University press. Pp. 1-45</w:t>
      </w:r>
      <w:r>
        <w:t xml:space="preserve"> </w:t>
      </w:r>
    </w:p>
    <w:p w14:paraId="6A73B341" w14:textId="77777777" w:rsidR="00AC1580" w:rsidRDefault="00563A94" w:rsidP="00B85BDF">
      <w:r w:rsidRPr="00563A94">
        <w:t xml:space="preserve">Waite, A. J. (1985) “Easements: Positive Duties on the Servient </w:t>
      </w:r>
      <w:proofErr w:type="gramStart"/>
      <w:r w:rsidRPr="00563A94">
        <w:t>Owner?,</w:t>
      </w:r>
      <w:proofErr w:type="gramEnd"/>
      <w:r w:rsidRPr="00563A94">
        <w:t>” The Cambridge Law Journal. Cambridge University Press, 44(3), pp. 458–476</w:t>
      </w:r>
      <w:r>
        <w:t xml:space="preserve"> </w:t>
      </w:r>
    </w:p>
    <w:p w14:paraId="540B6B05" w14:textId="77777777" w:rsidR="00D44E43" w:rsidRDefault="00D44E43" w:rsidP="00B85BDF"/>
    <w:p w14:paraId="335B1B5C" w14:textId="77777777" w:rsidR="00D44E43" w:rsidRDefault="00D44E43" w:rsidP="00B85BDF"/>
    <w:p w14:paraId="21988F95" w14:textId="77777777" w:rsidR="00D44E43" w:rsidRDefault="00D44E43" w:rsidP="00B85BDF"/>
    <w:p w14:paraId="3625FBBF" w14:textId="49356CB7" w:rsidR="003C64CA" w:rsidRDefault="003C64CA" w:rsidP="00B85BDF">
      <w:r>
        <w:t>Case List</w:t>
      </w:r>
    </w:p>
    <w:p w14:paraId="3DBA5A8F" w14:textId="30410E19" w:rsidR="003C64CA" w:rsidRDefault="003C64CA" w:rsidP="00B85BDF">
      <w:r w:rsidRPr="003C64CA">
        <w:lastRenderedPageBreak/>
        <w:t>Bailey v Stephens (1862) 12 CBNS 91</w:t>
      </w:r>
    </w:p>
    <w:p w14:paraId="15BA25BA" w14:textId="58F088E5" w:rsidR="00D7244C" w:rsidRDefault="00D7244C" w:rsidP="00B85BDF">
      <w:r w:rsidRPr="00D7244C">
        <w:t>Borman v Griffith [1930] 1 Ch 493</w:t>
      </w:r>
    </w:p>
    <w:p w14:paraId="456FA3CE" w14:textId="3D4B954E" w:rsidR="00AC1580" w:rsidRDefault="00AC1580" w:rsidP="00B85BDF">
      <w:r w:rsidRPr="00AC1580">
        <w:t xml:space="preserve">Copeland v </w:t>
      </w:r>
      <w:proofErr w:type="spellStart"/>
      <w:r w:rsidRPr="00AC1580">
        <w:t>Greenhalf</w:t>
      </w:r>
      <w:proofErr w:type="spellEnd"/>
      <w:r w:rsidRPr="00AC1580">
        <w:t xml:space="preserve"> [1952] Ch 488, </w:t>
      </w:r>
      <w:proofErr w:type="spellStart"/>
      <w:r w:rsidRPr="00AC1580">
        <w:t>ChD</w:t>
      </w:r>
      <w:proofErr w:type="spellEnd"/>
      <w:r>
        <w:t xml:space="preserve"> </w:t>
      </w:r>
    </w:p>
    <w:p w14:paraId="3580C70A" w14:textId="0C30C12D" w:rsidR="002B518F" w:rsidRDefault="002B518F" w:rsidP="00B85BDF">
      <w:r w:rsidRPr="002B518F">
        <w:t>Dalton v Henry Angus and Co</w:t>
      </w:r>
      <w:r w:rsidR="005B70A6">
        <w:t xml:space="preserve"> [1881]</w:t>
      </w:r>
      <w:r w:rsidRPr="002B518F">
        <w:t xml:space="preserve"> HL 14</w:t>
      </w:r>
      <w:r>
        <w:t xml:space="preserve"> </w:t>
      </w:r>
    </w:p>
    <w:p w14:paraId="731CE6BC" w14:textId="42317D04" w:rsidR="003C64CA" w:rsidRDefault="003C64CA" w:rsidP="00B85BDF">
      <w:r w:rsidRPr="003C64CA">
        <w:t>Dyce v Lady James Hay</w:t>
      </w:r>
      <w:r w:rsidR="005B70A6">
        <w:t xml:space="preserve"> [1852] </w:t>
      </w:r>
      <w:r w:rsidRPr="003C64CA">
        <w:t>HL</w:t>
      </w:r>
      <w:r>
        <w:t xml:space="preserve"> </w:t>
      </w:r>
    </w:p>
    <w:p w14:paraId="2DF5A4AC" w14:textId="4F308BAE" w:rsidR="00FF3B0A" w:rsidRDefault="00FF3B0A" w:rsidP="00B85BDF">
      <w:r w:rsidRPr="00FF3B0A">
        <w:t>Grigsby v Melville and Another</w:t>
      </w:r>
      <w:r w:rsidR="005B70A6">
        <w:t xml:space="preserve"> [1972]</w:t>
      </w:r>
      <w:r w:rsidRPr="00FF3B0A">
        <w:t xml:space="preserve"> </w:t>
      </w:r>
      <w:proofErr w:type="spellStart"/>
      <w:r w:rsidRPr="00FF3B0A">
        <w:t>ChD</w:t>
      </w:r>
      <w:proofErr w:type="spellEnd"/>
      <w:r w:rsidRPr="00FF3B0A">
        <w:t xml:space="preserve"> </w:t>
      </w:r>
    </w:p>
    <w:p w14:paraId="2EA2F5DF" w14:textId="488B6A05" w:rsidR="00D7244C" w:rsidRDefault="00D7244C" w:rsidP="00B85BDF">
      <w:r w:rsidRPr="00D7244C">
        <w:t xml:space="preserve">Hill v Tupper </w:t>
      </w:r>
      <w:r w:rsidR="005B70A6">
        <w:t>[</w:t>
      </w:r>
      <w:r w:rsidRPr="00D7244C">
        <w:t>1863</w:t>
      </w:r>
      <w:r w:rsidR="005B70A6">
        <w:t>]</w:t>
      </w:r>
      <w:r w:rsidRPr="00D7244C">
        <w:t xml:space="preserve"> 159 ER 51</w:t>
      </w:r>
    </w:p>
    <w:p w14:paraId="0251ACFD" w14:textId="671F162F" w:rsidR="002B518F" w:rsidRDefault="002B518F" w:rsidP="00B85BDF">
      <w:r w:rsidRPr="002B518F">
        <w:t>Holmes v Goring 130 E.R. 233</w:t>
      </w:r>
    </w:p>
    <w:p w14:paraId="0C87341F" w14:textId="0D716D4F" w:rsidR="00FA67F8" w:rsidRDefault="00FA67F8" w:rsidP="00B85BDF">
      <w:r w:rsidRPr="00FA67F8">
        <w:t>Kent v Kavanagh</w:t>
      </w:r>
      <w:r>
        <w:t xml:space="preserve"> [2006]</w:t>
      </w:r>
      <w:r w:rsidRPr="00FA67F8">
        <w:t xml:space="preserve"> EWCA </w:t>
      </w:r>
      <w:proofErr w:type="spellStart"/>
      <w:r w:rsidRPr="00FA67F8">
        <w:t>Civ</w:t>
      </w:r>
      <w:proofErr w:type="spellEnd"/>
      <w:r w:rsidRPr="00FA67F8">
        <w:t xml:space="preserve"> 162</w:t>
      </w:r>
    </w:p>
    <w:p w14:paraId="0D7367B4" w14:textId="4F79BE52" w:rsidR="001E4C95" w:rsidRDefault="001E4C95" w:rsidP="00B85BDF">
      <w:r w:rsidRPr="001E4C95">
        <w:t>Metropolitan Railway Co v Fowler [1892] 1 Q.B. 165</w:t>
      </w:r>
    </w:p>
    <w:p w14:paraId="616DF153" w14:textId="096E4702" w:rsidR="001E4C95" w:rsidRDefault="001E4C95" w:rsidP="00B85BDF">
      <w:r w:rsidRPr="001E4C95">
        <w:t>Moncrieff v Jamieson [2007] UKHL 42</w:t>
      </w:r>
      <w:r>
        <w:t xml:space="preserve"> </w:t>
      </w:r>
    </w:p>
    <w:p w14:paraId="19AF08A6" w14:textId="2BDA7CFE" w:rsidR="00D7244C" w:rsidRDefault="00D7244C" w:rsidP="00B85BDF">
      <w:r w:rsidRPr="00D7244C">
        <w:t xml:space="preserve">Moody v </w:t>
      </w:r>
      <w:proofErr w:type="spellStart"/>
      <w:r w:rsidRPr="00D7244C">
        <w:t>Steggles</w:t>
      </w:r>
      <w:proofErr w:type="spellEnd"/>
      <w:r w:rsidRPr="00D7244C">
        <w:t xml:space="preserve"> </w:t>
      </w:r>
      <w:r w:rsidR="005B70A6">
        <w:t>[</w:t>
      </w:r>
      <w:r w:rsidRPr="00D7244C">
        <w:t>1879</w:t>
      </w:r>
      <w:r w:rsidR="005B70A6">
        <w:t>]</w:t>
      </w:r>
      <w:r w:rsidRPr="00D7244C">
        <w:t xml:space="preserve"> 12 </w:t>
      </w:r>
      <w:proofErr w:type="spellStart"/>
      <w:proofErr w:type="gramStart"/>
      <w:r w:rsidRPr="00D7244C">
        <w:t>Ch.D</w:t>
      </w:r>
      <w:proofErr w:type="spellEnd"/>
      <w:proofErr w:type="gramEnd"/>
      <w:r w:rsidRPr="00D7244C">
        <w:t xml:space="preserve"> 261</w:t>
      </w:r>
      <w:r>
        <w:t xml:space="preserve"> </w:t>
      </w:r>
    </w:p>
    <w:p w14:paraId="7B583A0A" w14:textId="014D9DE5" w:rsidR="003C64CA" w:rsidRDefault="003C64CA" w:rsidP="00B85BDF">
      <w:r w:rsidRPr="003C64CA">
        <w:t>Pugh v Savage [1970] 2 QB 373, CA</w:t>
      </w:r>
      <w:r>
        <w:t xml:space="preserve"> </w:t>
      </w:r>
    </w:p>
    <w:p w14:paraId="5FA18C0F" w14:textId="2122DE2D" w:rsidR="003C64CA" w:rsidRDefault="003C64CA" w:rsidP="00B85BDF">
      <w:r w:rsidRPr="003C64CA">
        <w:t xml:space="preserve">Re Ellenborough Park [1955] EWCA </w:t>
      </w:r>
      <w:proofErr w:type="spellStart"/>
      <w:r w:rsidRPr="003C64CA">
        <w:t>Civ</w:t>
      </w:r>
      <w:proofErr w:type="spellEnd"/>
      <w:r w:rsidRPr="003C64CA">
        <w:t xml:space="preserve"> 4</w:t>
      </w:r>
    </w:p>
    <w:p w14:paraId="7E8CF5DE" w14:textId="73DD89B4" w:rsidR="00D7244C" w:rsidRDefault="00D7244C" w:rsidP="00B85BDF">
      <w:r w:rsidRPr="00D7244C">
        <w:t>Regency Villas v Diamond Resorts [2018] UKSC 57</w:t>
      </w:r>
      <w:r>
        <w:t xml:space="preserve"> </w:t>
      </w:r>
    </w:p>
    <w:p w14:paraId="58AF2B74" w14:textId="7B8770AE" w:rsidR="001E4C95" w:rsidRDefault="001E4C95" w:rsidP="00B85BDF">
      <w:r w:rsidRPr="001E4C95">
        <w:t xml:space="preserve">Roe v Siddons </w:t>
      </w:r>
      <w:r w:rsidR="005B70A6">
        <w:t>[</w:t>
      </w:r>
      <w:r w:rsidRPr="001E4C95">
        <w:t>1888</w:t>
      </w:r>
      <w:r w:rsidR="005B70A6">
        <w:t>]</w:t>
      </w:r>
      <w:r w:rsidRPr="001E4C95">
        <w:t xml:space="preserve"> 22 Q.B.D. 224</w:t>
      </w:r>
    </w:p>
    <w:p w14:paraId="51B218DF" w14:textId="5465FA5B" w:rsidR="002B518F" w:rsidRDefault="002B518F" w:rsidP="00B85BDF">
      <w:r w:rsidRPr="002B518F">
        <w:t xml:space="preserve">Wheeldon v Burrows </w:t>
      </w:r>
      <w:r w:rsidR="005B70A6">
        <w:t>[</w:t>
      </w:r>
      <w:r w:rsidRPr="002B518F">
        <w:t>1879</w:t>
      </w:r>
      <w:r w:rsidR="005B70A6">
        <w:t>]</w:t>
      </w:r>
      <w:r w:rsidRPr="002B518F">
        <w:t xml:space="preserve"> LR 12 Ch D 31</w:t>
      </w:r>
    </w:p>
    <w:p w14:paraId="464F1A54" w14:textId="0C63A7A9" w:rsidR="00EE750C" w:rsidRDefault="001E4C95" w:rsidP="00B85BDF">
      <w:r w:rsidRPr="001E4C95">
        <w:t>Wright v Macadam [1949] KB 744</w:t>
      </w:r>
      <w:r>
        <w:t xml:space="preserve"> </w:t>
      </w:r>
    </w:p>
    <w:p w14:paraId="2EDB0104" w14:textId="108DEBDB" w:rsidR="00B85BDF" w:rsidRDefault="00557890" w:rsidP="00B85BDF">
      <w:r>
        <w:t xml:space="preserve"> </w:t>
      </w:r>
      <w:r w:rsidR="00A21094">
        <w:t xml:space="preserve"> </w:t>
      </w:r>
      <w:r w:rsidR="0054669C">
        <w:t xml:space="preserve"> </w:t>
      </w:r>
      <w:r w:rsidR="00170A4A">
        <w:t xml:space="preserve">   </w:t>
      </w:r>
      <w:r w:rsidR="0003415F">
        <w:t xml:space="preserve"> </w:t>
      </w:r>
      <w:r w:rsidR="00BF6FE5">
        <w:t xml:space="preserve">  </w:t>
      </w:r>
      <w:r w:rsidR="00187BF7">
        <w:t xml:space="preserve"> </w:t>
      </w:r>
      <w:r w:rsidR="0040715E">
        <w:t xml:space="preserve"> </w:t>
      </w:r>
      <w:r w:rsidR="00D47926">
        <w:t xml:space="preserve">  </w:t>
      </w:r>
      <w:r w:rsidR="00B85BDF">
        <w:t xml:space="preserve"> </w:t>
      </w:r>
    </w:p>
    <w:sectPr w:rsidR="00B85B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BDF"/>
    <w:rsid w:val="000142CB"/>
    <w:rsid w:val="0003415F"/>
    <w:rsid w:val="000427B0"/>
    <w:rsid w:val="00044E9F"/>
    <w:rsid w:val="00050D2E"/>
    <w:rsid w:val="00062395"/>
    <w:rsid w:val="00092918"/>
    <w:rsid w:val="00096405"/>
    <w:rsid w:val="000A0FDC"/>
    <w:rsid w:val="000A23C3"/>
    <w:rsid w:val="000A4039"/>
    <w:rsid w:val="000B60BA"/>
    <w:rsid w:val="000E57CA"/>
    <w:rsid w:val="001020BA"/>
    <w:rsid w:val="0010349E"/>
    <w:rsid w:val="0011403B"/>
    <w:rsid w:val="00114140"/>
    <w:rsid w:val="00155260"/>
    <w:rsid w:val="00170A4A"/>
    <w:rsid w:val="00172B01"/>
    <w:rsid w:val="0018351C"/>
    <w:rsid w:val="00187BF7"/>
    <w:rsid w:val="00187D31"/>
    <w:rsid w:val="001B7285"/>
    <w:rsid w:val="001C2BFF"/>
    <w:rsid w:val="001C37B0"/>
    <w:rsid w:val="001C4CFA"/>
    <w:rsid w:val="001C55DD"/>
    <w:rsid w:val="001D1C82"/>
    <w:rsid w:val="001E4C95"/>
    <w:rsid w:val="0020048B"/>
    <w:rsid w:val="002311F1"/>
    <w:rsid w:val="002400CC"/>
    <w:rsid w:val="00243EE0"/>
    <w:rsid w:val="0025077F"/>
    <w:rsid w:val="00252716"/>
    <w:rsid w:val="00273A2D"/>
    <w:rsid w:val="002A0AEF"/>
    <w:rsid w:val="002A4DFB"/>
    <w:rsid w:val="002B0119"/>
    <w:rsid w:val="002B518F"/>
    <w:rsid w:val="002C2D2F"/>
    <w:rsid w:val="002F161E"/>
    <w:rsid w:val="00304F5A"/>
    <w:rsid w:val="003274A9"/>
    <w:rsid w:val="00341A10"/>
    <w:rsid w:val="00361D5C"/>
    <w:rsid w:val="003830D9"/>
    <w:rsid w:val="003933C6"/>
    <w:rsid w:val="00393CAA"/>
    <w:rsid w:val="00394E84"/>
    <w:rsid w:val="003B0540"/>
    <w:rsid w:val="003B23B0"/>
    <w:rsid w:val="003B7F72"/>
    <w:rsid w:val="003C64CA"/>
    <w:rsid w:val="003D1E20"/>
    <w:rsid w:val="003D632F"/>
    <w:rsid w:val="003D6C49"/>
    <w:rsid w:val="003E140A"/>
    <w:rsid w:val="003E4B84"/>
    <w:rsid w:val="003F4D3D"/>
    <w:rsid w:val="0040715E"/>
    <w:rsid w:val="0042054E"/>
    <w:rsid w:val="004222DA"/>
    <w:rsid w:val="00426C0E"/>
    <w:rsid w:val="00463459"/>
    <w:rsid w:val="0046695E"/>
    <w:rsid w:val="004749E3"/>
    <w:rsid w:val="004805E8"/>
    <w:rsid w:val="004911E8"/>
    <w:rsid w:val="004961A9"/>
    <w:rsid w:val="004B5D95"/>
    <w:rsid w:val="004E1E5D"/>
    <w:rsid w:val="004E5E22"/>
    <w:rsid w:val="005006BE"/>
    <w:rsid w:val="0050198C"/>
    <w:rsid w:val="00514687"/>
    <w:rsid w:val="00516BC3"/>
    <w:rsid w:val="00517E88"/>
    <w:rsid w:val="00545DE3"/>
    <w:rsid w:val="0054669C"/>
    <w:rsid w:val="0055500E"/>
    <w:rsid w:val="00557890"/>
    <w:rsid w:val="005638F4"/>
    <w:rsid w:val="00563A94"/>
    <w:rsid w:val="005A0B1E"/>
    <w:rsid w:val="005A2DAD"/>
    <w:rsid w:val="005B70A6"/>
    <w:rsid w:val="005C3669"/>
    <w:rsid w:val="005D14C2"/>
    <w:rsid w:val="005E00D5"/>
    <w:rsid w:val="005E5721"/>
    <w:rsid w:val="006053E2"/>
    <w:rsid w:val="00613453"/>
    <w:rsid w:val="00615C29"/>
    <w:rsid w:val="00620B52"/>
    <w:rsid w:val="00632D31"/>
    <w:rsid w:val="00637971"/>
    <w:rsid w:val="0065669D"/>
    <w:rsid w:val="006903CC"/>
    <w:rsid w:val="006914B8"/>
    <w:rsid w:val="006C1B99"/>
    <w:rsid w:val="006E42D6"/>
    <w:rsid w:val="00711575"/>
    <w:rsid w:val="00716600"/>
    <w:rsid w:val="00721DBF"/>
    <w:rsid w:val="00745360"/>
    <w:rsid w:val="00746732"/>
    <w:rsid w:val="007475F2"/>
    <w:rsid w:val="00753333"/>
    <w:rsid w:val="00753CF9"/>
    <w:rsid w:val="00754E46"/>
    <w:rsid w:val="007711CC"/>
    <w:rsid w:val="00776082"/>
    <w:rsid w:val="00782712"/>
    <w:rsid w:val="007A0730"/>
    <w:rsid w:val="007A5CA4"/>
    <w:rsid w:val="007B57FC"/>
    <w:rsid w:val="007B6F10"/>
    <w:rsid w:val="007D6A82"/>
    <w:rsid w:val="007F5F2E"/>
    <w:rsid w:val="008027ED"/>
    <w:rsid w:val="00805CB1"/>
    <w:rsid w:val="00820B8D"/>
    <w:rsid w:val="008243A6"/>
    <w:rsid w:val="008257B5"/>
    <w:rsid w:val="00860DEE"/>
    <w:rsid w:val="0088396E"/>
    <w:rsid w:val="008943D1"/>
    <w:rsid w:val="008A06FF"/>
    <w:rsid w:val="008A31CB"/>
    <w:rsid w:val="008C5284"/>
    <w:rsid w:val="008C5C5B"/>
    <w:rsid w:val="008D3700"/>
    <w:rsid w:val="009178AF"/>
    <w:rsid w:val="00932984"/>
    <w:rsid w:val="00940F5F"/>
    <w:rsid w:val="009507CF"/>
    <w:rsid w:val="009539C6"/>
    <w:rsid w:val="00955685"/>
    <w:rsid w:val="00964B3D"/>
    <w:rsid w:val="0097373E"/>
    <w:rsid w:val="00977EAC"/>
    <w:rsid w:val="009827FD"/>
    <w:rsid w:val="009A6FDD"/>
    <w:rsid w:val="009C04C5"/>
    <w:rsid w:val="009C22DB"/>
    <w:rsid w:val="009F6130"/>
    <w:rsid w:val="00A00203"/>
    <w:rsid w:val="00A1034F"/>
    <w:rsid w:val="00A1743E"/>
    <w:rsid w:val="00A21094"/>
    <w:rsid w:val="00A246EF"/>
    <w:rsid w:val="00A46D52"/>
    <w:rsid w:val="00A55776"/>
    <w:rsid w:val="00A63C74"/>
    <w:rsid w:val="00A757C4"/>
    <w:rsid w:val="00A94EA8"/>
    <w:rsid w:val="00AA2BC8"/>
    <w:rsid w:val="00AA2EF6"/>
    <w:rsid w:val="00AB1626"/>
    <w:rsid w:val="00AC1580"/>
    <w:rsid w:val="00AD6F5B"/>
    <w:rsid w:val="00B132D0"/>
    <w:rsid w:val="00B37A17"/>
    <w:rsid w:val="00B67B44"/>
    <w:rsid w:val="00B705BB"/>
    <w:rsid w:val="00B70809"/>
    <w:rsid w:val="00B7611C"/>
    <w:rsid w:val="00B85BDF"/>
    <w:rsid w:val="00B8722A"/>
    <w:rsid w:val="00BA707E"/>
    <w:rsid w:val="00BB0451"/>
    <w:rsid w:val="00BB1F69"/>
    <w:rsid w:val="00BB7D5B"/>
    <w:rsid w:val="00BD2D48"/>
    <w:rsid w:val="00BE4A55"/>
    <w:rsid w:val="00BE6AE9"/>
    <w:rsid w:val="00BF4B31"/>
    <w:rsid w:val="00BF6FE5"/>
    <w:rsid w:val="00C037DD"/>
    <w:rsid w:val="00C161A4"/>
    <w:rsid w:val="00C2079B"/>
    <w:rsid w:val="00C51DBD"/>
    <w:rsid w:val="00C52A6E"/>
    <w:rsid w:val="00C53D12"/>
    <w:rsid w:val="00C71836"/>
    <w:rsid w:val="00C74B58"/>
    <w:rsid w:val="00C855D8"/>
    <w:rsid w:val="00C97779"/>
    <w:rsid w:val="00CB20FE"/>
    <w:rsid w:val="00CD3D1A"/>
    <w:rsid w:val="00CD4BF5"/>
    <w:rsid w:val="00CE38A9"/>
    <w:rsid w:val="00CE6885"/>
    <w:rsid w:val="00CF067C"/>
    <w:rsid w:val="00D110A5"/>
    <w:rsid w:val="00D16089"/>
    <w:rsid w:val="00D44E43"/>
    <w:rsid w:val="00D47926"/>
    <w:rsid w:val="00D532CE"/>
    <w:rsid w:val="00D7244C"/>
    <w:rsid w:val="00D83162"/>
    <w:rsid w:val="00D87255"/>
    <w:rsid w:val="00D92661"/>
    <w:rsid w:val="00DC36F0"/>
    <w:rsid w:val="00DC3A12"/>
    <w:rsid w:val="00DD36BD"/>
    <w:rsid w:val="00DE2AA3"/>
    <w:rsid w:val="00E027AC"/>
    <w:rsid w:val="00E037A7"/>
    <w:rsid w:val="00E11DDD"/>
    <w:rsid w:val="00E17A94"/>
    <w:rsid w:val="00E322B3"/>
    <w:rsid w:val="00E604F8"/>
    <w:rsid w:val="00E71E64"/>
    <w:rsid w:val="00E854D8"/>
    <w:rsid w:val="00E936AC"/>
    <w:rsid w:val="00E96E2E"/>
    <w:rsid w:val="00EA5DF3"/>
    <w:rsid w:val="00EB2469"/>
    <w:rsid w:val="00EB67F5"/>
    <w:rsid w:val="00EC6F20"/>
    <w:rsid w:val="00EE03B2"/>
    <w:rsid w:val="00EE5554"/>
    <w:rsid w:val="00EE750C"/>
    <w:rsid w:val="00EF0C3C"/>
    <w:rsid w:val="00EF0E0E"/>
    <w:rsid w:val="00F02F7A"/>
    <w:rsid w:val="00F16B48"/>
    <w:rsid w:val="00F22842"/>
    <w:rsid w:val="00F27B26"/>
    <w:rsid w:val="00F44796"/>
    <w:rsid w:val="00F63D16"/>
    <w:rsid w:val="00F713C0"/>
    <w:rsid w:val="00F82D3C"/>
    <w:rsid w:val="00FA67F8"/>
    <w:rsid w:val="00FC2765"/>
    <w:rsid w:val="00FC34FD"/>
    <w:rsid w:val="00FD2854"/>
    <w:rsid w:val="00FE7B13"/>
    <w:rsid w:val="00FF3B0A"/>
    <w:rsid w:val="00FF3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35CE0"/>
  <w15:chartTrackingRefBased/>
  <w15:docId w15:val="{A474E461-8469-42BC-824F-52101B2FD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A5DF3"/>
    <w:rPr>
      <w:color w:val="0563C1" w:themeColor="hyperlink"/>
      <w:u w:val="single"/>
    </w:rPr>
  </w:style>
  <w:style w:type="character" w:styleId="UnresolvedMention">
    <w:name w:val="Unresolved Mention"/>
    <w:basedOn w:val="DefaultParagraphFont"/>
    <w:uiPriority w:val="99"/>
    <w:semiHidden/>
    <w:unhideWhenUsed/>
    <w:rsid w:val="00EA5D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egislation.gov.uk/ukpga/Will4/2-3/71/section/2" TargetMode="External"/><Relationship Id="rId4" Type="http://schemas.openxmlformats.org/officeDocument/2006/relationships/hyperlink" Target="https://www.legislation.gov.uk/ukpga/Geo5/15-16/20/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10</Pages>
  <Words>3268</Words>
  <Characters>18634</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Hopson</dc:creator>
  <cp:keywords/>
  <dc:description/>
  <cp:lastModifiedBy>Sam Hopson</cp:lastModifiedBy>
  <cp:revision>12</cp:revision>
  <dcterms:created xsi:type="dcterms:W3CDTF">2021-11-04T17:59:00Z</dcterms:created>
  <dcterms:modified xsi:type="dcterms:W3CDTF">2021-11-05T23:40:00Z</dcterms:modified>
</cp:coreProperties>
</file>