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0BB14CA" w14:textId="7050F7C0" w:rsidR="008B43C9" w:rsidRDefault="008B43C9">
      <w:pPr>
        <w:spacing w:after="240"/>
        <w:jc w:val="center"/>
        <w:rPr>
          <w:b/>
          <w:bCs/>
        </w:rPr>
      </w:pPr>
      <w:r>
        <w:rPr>
          <w:b/>
          <w:bCs/>
        </w:rPr>
        <w:t xml:space="preserve">Emily Brown </w:t>
      </w:r>
    </w:p>
    <w:p w14:paraId="67CBAD87" w14:textId="1D2C52A3" w:rsidR="008B43C9" w:rsidRDefault="008B43C9">
      <w:pPr>
        <w:spacing w:after="240"/>
        <w:jc w:val="center"/>
        <w:rPr>
          <w:b/>
          <w:bCs/>
        </w:rPr>
      </w:pPr>
      <w:r>
        <w:rPr>
          <w:b/>
          <w:bCs/>
        </w:rPr>
        <w:t>Knowledge and Belief</w:t>
      </w:r>
    </w:p>
    <w:p w14:paraId="4A414862" w14:textId="6040ECD0" w:rsidR="008B43C9" w:rsidRDefault="008B43C9">
      <w:pPr>
        <w:spacing w:after="240"/>
        <w:jc w:val="center"/>
        <w:rPr>
          <w:b/>
          <w:bCs/>
        </w:rPr>
      </w:pPr>
      <w:r>
        <w:rPr>
          <w:b/>
          <w:bCs/>
        </w:rPr>
        <w:t>Essay</w:t>
      </w:r>
    </w:p>
    <w:p w14:paraId="1906C12A" w14:textId="77777777" w:rsidR="008B43C9" w:rsidRDefault="008B43C9">
      <w:pPr>
        <w:spacing w:after="240"/>
        <w:jc w:val="center"/>
        <w:rPr>
          <w:b/>
          <w:bCs/>
        </w:rPr>
      </w:pPr>
    </w:p>
    <w:p w14:paraId="64A4CBEF" w14:textId="77777777" w:rsidR="008B43C9" w:rsidRDefault="008B43C9">
      <w:pPr>
        <w:spacing w:after="240"/>
        <w:jc w:val="center"/>
        <w:rPr>
          <w:b/>
          <w:bCs/>
        </w:rPr>
      </w:pPr>
    </w:p>
    <w:p w14:paraId="1107D2AD" w14:textId="332D1C56" w:rsidR="004E2DD7" w:rsidRDefault="00FC4FF1">
      <w:pPr>
        <w:spacing w:after="240"/>
        <w:jc w:val="center"/>
      </w:pPr>
      <w:r>
        <w:rPr>
          <w:b/>
          <w:bCs/>
        </w:rPr>
        <w:t>Arguments, Evil, and the Scope of Philosophy of Religion:</w:t>
      </w:r>
    </w:p>
    <w:p w14:paraId="7429EEBE" w14:textId="77777777" w:rsidR="004E2DD7" w:rsidRDefault="00FC4FF1">
      <w:pPr>
        <w:spacing w:after="480"/>
        <w:jc w:val="center"/>
      </w:pPr>
      <w:r>
        <w:rPr>
          <w:b/>
          <w:bCs/>
        </w:rPr>
        <w:t>A Reflection on Sections 4 and 5 of Chad Meister's 'Philosophy of Religion'</w:t>
      </w:r>
    </w:p>
    <w:p w14:paraId="07B8DC33" w14:textId="68EA5B8D" w:rsidR="004E2DD7" w:rsidRDefault="00FC4FF1">
      <w:r>
        <w:tab/>
        <w:t xml:space="preserve">Philosophy of religion is one of the oldest and most enduring branches of philosophical inquiry, engaging with questions that touch on the deepest concerns of human existence: the nature of ultimate reality, the grounds for religious belief, and the relationship between suffering and divine goodness. In his article 'Philosophy of Religion' in the </w:t>
      </w:r>
      <w:r>
        <w:rPr>
          <w:i/>
          <w:iCs/>
        </w:rPr>
        <w:t xml:space="preserve">Internet </w:t>
      </w:r>
      <w:r w:rsidR="008B43C9">
        <w:rPr>
          <w:i/>
          <w:iCs/>
        </w:rPr>
        <w:t>Encyclopaedia</w:t>
      </w:r>
      <w:r>
        <w:rPr>
          <w:i/>
          <w:iCs/>
        </w:rPr>
        <w:t xml:space="preserve"> of Philosophy</w:t>
      </w:r>
      <w:r>
        <w:t>, Chad Meister provides a wide-ranging and rigorous overview of the discipline, structured around six central themes.</w:t>
      </w:r>
      <w:r>
        <w:rPr>
          <w:rStyle w:val="FootnoteReference"/>
        </w:rPr>
        <w:footnoteReference w:id="1"/>
      </w:r>
    </w:p>
    <w:p w14:paraId="59E436AA" w14:textId="20895B9E" w:rsidR="004E2DD7" w:rsidRDefault="00FC4FF1">
      <w:r>
        <w:tab/>
        <w:t xml:space="preserve">This essay focuses on Sections 4 and 5 of Meister's article, which address, respectively, 'Arguments for and against the Existence of God' and 'Problems of Evil and Suffering'. Taken together, these two sections represent the very heart of what philosophers of religion have historically disputed: whether there is rational warrant for theistic belief, and whether the existence of evil in the world counts decisively against such belief. Meister's treatment of these topics is lucid and balanced, presenting a </w:t>
      </w:r>
      <w:r>
        <w:t xml:space="preserve">wide range of positions and objections, whilst also drawing on significant contributions from both ancient and </w:t>
      </w:r>
      <w:r>
        <w:lastRenderedPageBreak/>
        <w:t xml:space="preserve">contemporary thinkers. The aim of this essay is to describe and analyse Meister's account of these two sections, to reflect upon the strengths and limitations of his approach, and to consider what this tells us about the nature of the </w:t>
      </w:r>
      <w:r w:rsidR="008B43C9">
        <w:t>discipline</w:t>
      </w:r>
      <w:r>
        <w:t>.</w:t>
      </w:r>
    </w:p>
    <w:p w14:paraId="2312030F" w14:textId="77777777" w:rsidR="004E2DD7" w:rsidRDefault="00FC4FF1">
      <w:pPr>
        <w:spacing w:before="320"/>
      </w:pPr>
      <w:r>
        <w:rPr>
          <w:b/>
          <w:bCs/>
        </w:rPr>
        <w:t>Section 4: Arguments for and against the Existence of God</w:t>
      </w:r>
    </w:p>
    <w:p w14:paraId="050C0E20" w14:textId="16292FE0" w:rsidR="004E2DD7" w:rsidRDefault="00FC4FF1">
      <w:r>
        <w:tab/>
        <w:t xml:space="preserve">Meister opens </w:t>
      </w:r>
      <w:proofErr w:type="spellStart"/>
      <w:r>
        <w:t>S</w:t>
      </w:r>
      <w:r w:rsidR="008B43C9">
        <w:t>have</w:t>
      </w:r>
      <w:r>
        <w:t>ion</w:t>
      </w:r>
      <w:proofErr w:type="spellEnd"/>
      <w:r>
        <w:t xml:space="preserve"> 4 by noting that, whilst religious adherents rarely hold their beliefs because of carefully reasoned arguments, the construction and critical evaluation of such arguments has nonetheless been a central preoccupation of philosophy of religion for at least two thousand years.</w:t>
      </w:r>
      <w:r>
        <w:rPr>
          <w:rStyle w:val="FootnoteReference"/>
        </w:rPr>
        <w:footnoteReference w:id="2"/>
      </w:r>
    </w:p>
    <w:p w14:paraId="3A869387" w14:textId="3AA0FAE6" w:rsidR="004E2DD7" w:rsidRDefault="00FC4FF1">
      <w:r>
        <w:tab/>
        <w:t xml:space="preserve">He identifies three traditional arguments that continue to attract significant scholarly attention: the ontological, the cosmological, and the teleological. The ontological argument, first developed by Saint Anselm of Canterbury (1033–1109), is notable for being entirely </w:t>
      </w:r>
      <w:r>
        <w:rPr>
          <w:i/>
          <w:iCs/>
        </w:rPr>
        <w:t>a priori</w:t>
      </w:r>
      <w:r>
        <w:t xml:space="preserve">: it does not rely upon empirical observation but proceeds solely from the concept of God. Anselm defines God as a being than which nothing greater can be conceived, and he argues that such a being must exist </w:t>
      </w:r>
      <w:r w:rsidR="008B43C9">
        <w:t>as well as</w:t>
      </w:r>
      <w:r>
        <w:t xml:space="preserve"> in the mind, since existence </w:t>
      </w:r>
      <w:proofErr w:type="gramStart"/>
      <w:r>
        <w:t>in reality is</w:t>
      </w:r>
      <w:proofErr w:type="gramEnd"/>
      <w:r>
        <w:t xml:space="preserve"> greater than existence in thought alone.</w:t>
      </w:r>
      <w:r>
        <w:rPr>
          <w:rStyle w:val="FootnoteReference"/>
        </w:rPr>
        <w:footnoteReference w:id="3"/>
      </w:r>
    </w:p>
    <w:p w14:paraId="57D67AD5" w14:textId="77777777" w:rsidR="004E2DD7" w:rsidRDefault="00FC4FF1">
      <w:r>
        <w:tab/>
        <w:t xml:space="preserve">Meister gives careful attention to the objections raised against the ontological argument. The monk Gaunilo offered a famous </w:t>
      </w:r>
      <w:r>
        <w:rPr>
          <w:i/>
          <w:iCs/>
        </w:rPr>
        <w:t>reductio ad absurdum</w:t>
      </w:r>
      <w:r>
        <w:t xml:space="preserve">, arguing that the same logic would compel us to accept the existence of a greatest possible island, an evidently absurd conclusion. Immanuel Kant, on the other hand, attacked the argument on the grounds </w:t>
      </w:r>
      <w:r>
        <w:lastRenderedPageBreak/>
        <w:t>that existence is not a real predicate: it does not add anything to the concept of a thing and therefore cannot function as a defining property of God.</w:t>
      </w:r>
      <w:r>
        <w:rPr>
          <w:rStyle w:val="FootnoteReference"/>
        </w:rPr>
        <w:footnoteReference w:id="4"/>
      </w:r>
      <w:r>
        <w:rPr>
          <w:rStyle w:val="FootnoteReference"/>
        </w:rPr>
        <w:footnoteReference w:id="5"/>
      </w:r>
    </w:p>
    <w:p w14:paraId="5A332095" w14:textId="0C9DECDF" w:rsidR="004E2DD7" w:rsidRDefault="00FC4FF1">
      <w:r>
        <w:tab/>
        <w:t>Meister also presents Alvin Plantinga's modal version of the ontological argument, which employs the semantics of possible worlds. Plantinga defines God as a 'maximally great being'</w:t>
      </w:r>
      <w:r w:rsidR="008B43C9">
        <w:t xml:space="preserve"> </w:t>
      </w:r>
      <w:r>
        <w:t>that is, a being that possesses maximal excellence in every possible world</w:t>
      </w:r>
      <w:r w:rsidR="008B43C9">
        <w:t xml:space="preserve"> </w:t>
      </w:r>
      <w:r>
        <w:t>and argues that the possibility of such a being entails its necessity and therefore its actual existence. Whilst Meister notes that Plantinga does not claim the argument provides conclusive proof, he notes that Plantinga insists it is not irrational to accept it. This careful treatment of both the argument and its limits is typical of Meister's balanced scholarly approach throughout the article.</w:t>
      </w:r>
    </w:p>
    <w:p w14:paraId="7675E0D9" w14:textId="77777777" w:rsidR="004E2DD7" w:rsidRDefault="00FC4FF1">
      <w:r>
        <w:tab/>
        <w:t>Moving to cosmological arguments, Meister surveys three principal versions: the Thomistic contingency argument, the Leibnizian sufficient reason argument, and the kalam argument.</w:t>
      </w:r>
      <w:r>
        <w:rPr>
          <w:rStyle w:val="FootnoteReference"/>
        </w:rPr>
        <w:footnoteReference w:id="6"/>
      </w:r>
    </w:p>
    <w:p w14:paraId="233FD42D" w14:textId="0649949E" w:rsidR="004E2DD7" w:rsidRDefault="00FC4FF1">
      <w:r>
        <w:tab/>
        <w:t>Each begins from an empirical or metaphysical observation about the universe</w:t>
      </w:r>
      <w:r w:rsidR="008B43C9">
        <w:t xml:space="preserve"> </w:t>
      </w:r>
      <w:r>
        <w:t>the existence of contingent things, the question of why there is something rather than nothing, or the fact that the universe apparently began to exist</w:t>
      </w:r>
      <w:r w:rsidR="008B43C9">
        <w:t xml:space="preserve"> </w:t>
      </w:r>
      <w:r>
        <w:t>and infers the existence of a transcendent cause. The kalam argument, defended in recent times most prominently by William Lane Craig, is given extended treatment. Drawing on developments in astrophysics and cosmology, Craig argues that the universe had a beginning, that whatever begins to exist must have a cause, and that this cause must be personal in nature.</w:t>
      </w:r>
      <w:r>
        <w:rPr>
          <w:rStyle w:val="FootnoteReference"/>
        </w:rPr>
        <w:footnoteReference w:id="7"/>
      </w:r>
    </w:p>
    <w:p w14:paraId="62BB9930" w14:textId="01BFFD5D" w:rsidR="004E2DD7" w:rsidRDefault="00FC4FF1">
      <w:r>
        <w:lastRenderedPageBreak/>
        <w:tab/>
        <w:t xml:space="preserve">Meister presents a range of objections to these arguments. A common challenge to cosmological arguments is that they demand an explanation for the universe </w:t>
      </w:r>
      <w:r w:rsidR="008B43C9">
        <w:t>which</w:t>
      </w:r>
      <w:r>
        <w:t xml:space="preserve"> may be unwarranted. If </w:t>
      </w:r>
      <w:r w:rsidR="008B43C9">
        <w:t>everything</w:t>
      </w:r>
      <w:r>
        <w:t xml:space="preserve"> within the universe has an explanation, it does not necessarily follow that the totality of things requires a further explanation beyond itself. Meister acknowledges the force of this objection, though he also notes the responses given by natural theologians.</w:t>
      </w:r>
    </w:p>
    <w:p w14:paraId="51F0B448" w14:textId="77777777" w:rsidR="004E2DD7" w:rsidRDefault="00FC4FF1">
      <w:r>
        <w:tab/>
        <w:t>Meister's discussion of the teleological argument focuses chiefly on William Paley's classic argument from analogy and the more recent fine-tuning argument. Paley's argument proceeds by analogy: just as the complex structure of a watch implies a watchmaker, so the complex and purposive structures found in nature imply a grand designer.</w:t>
      </w:r>
      <w:r>
        <w:rPr>
          <w:rStyle w:val="FootnoteReference"/>
        </w:rPr>
        <w:footnoteReference w:id="8"/>
      </w:r>
      <w:r>
        <w:rPr>
          <w:rStyle w:val="FootnoteReference"/>
        </w:rPr>
        <w:footnoteReference w:id="9"/>
      </w:r>
    </w:p>
    <w:p w14:paraId="1A4112F0" w14:textId="0CB657BC" w:rsidR="004E2DD7" w:rsidRDefault="00FC4FF1">
      <w:r>
        <w:tab/>
        <w:t>David Hume's objections to such arguments</w:t>
      </w:r>
      <w:r w:rsidR="008B43C9">
        <w:t xml:space="preserve"> </w:t>
      </w:r>
      <w:r>
        <w:t>that the analogy between natural objects and human artefacts is weak, and that even a successful argument would not establish the God of traditional theism</w:t>
      </w:r>
      <w:r w:rsidR="008B43C9">
        <w:t xml:space="preserve"> </w:t>
      </w:r>
      <w:r>
        <w:t>are acknowledged as influential refutations. Fine-tuning arguments, associated with Robin Collins, identify dozens of physical constants that appear to be precisely calibrated for the existence of conscious life. Meister explains how opponents respond with the anthropic principle and multi-verse theories, again illustrating the discipline's practice of advancing and rigorously testing arguments. One point worth reflecting on is that Meister, by presenting so many objections alongside each argument, implicit</w:t>
      </w:r>
      <w:r>
        <w:t>ly invites the reader to conclude that no single argument is decisive. This is an intellectually honest feature of his presentation, though it may leave the reader uncertain about where the weight of evidence lies.</w:t>
      </w:r>
    </w:p>
    <w:p w14:paraId="4D80406D" w14:textId="77777777" w:rsidR="004E2DD7" w:rsidRDefault="00FC4FF1">
      <w:pPr>
        <w:spacing w:before="320"/>
      </w:pPr>
      <w:r>
        <w:rPr>
          <w:b/>
          <w:bCs/>
        </w:rPr>
        <w:t>Section 5: Problems of Evil and Suffering</w:t>
      </w:r>
    </w:p>
    <w:p w14:paraId="4C347B20" w14:textId="77777777" w:rsidR="004E2DD7" w:rsidRDefault="00FC4FF1">
      <w:r>
        <w:lastRenderedPageBreak/>
        <w:tab/>
        <w:t>Section 5 turns to the problem of evil, which Meister rightly identifies as one of the most philosophically and emotionally weighty challenges to theism.</w:t>
      </w:r>
      <w:r>
        <w:rPr>
          <w:rStyle w:val="FootnoteReference"/>
        </w:rPr>
        <w:footnoteReference w:id="10"/>
      </w:r>
    </w:p>
    <w:p w14:paraId="14645930" w14:textId="77777777" w:rsidR="004E2DD7" w:rsidRDefault="00FC4FF1">
      <w:r>
        <w:tab/>
        <w:t>Meister structures this section around five sub-topics: the logical problem, the evidential problem, theodicy, the hiddenness of God, and the problem of evil within the context of karma and reincarnation. This last sub-topic is one of the most distinctive and commendable aspects of Meister's article: by including non-Western religious frameworks, he signals that philosophy of religion is not simply a sub-discipline of Christian or broadly theistic theology.</w:t>
      </w:r>
    </w:p>
    <w:p w14:paraId="68BE42C1" w14:textId="77777777" w:rsidR="004E2DD7" w:rsidRDefault="00FC4FF1">
      <w:r>
        <w:tab/>
        <w:t>The logical problem of evil, articulated most sharply in the modern period by J. L. Mackie, holds that the existence of an omnipotent, omniscient, and wholly good God is logically incompatible with the existence of evil.</w:t>
      </w:r>
      <w:r>
        <w:rPr>
          <w:rStyle w:val="FootnoteReference"/>
        </w:rPr>
        <w:footnoteReference w:id="11"/>
      </w:r>
    </w:p>
    <w:p w14:paraId="6613C86B" w14:textId="77777777" w:rsidR="004E2DD7" w:rsidRDefault="00FC4FF1">
      <w:r>
        <w:tab/>
        <w:t>Meister explains that, if God has the power and knowledge to prevent evil, and is perfectly good, then there could be no reason for God to permit it. The existence of evil therefore seems to show that no such God exists.</w:t>
      </w:r>
      <w:r>
        <w:rPr>
          <w:rStyle w:val="FootnoteReference"/>
        </w:rPr>
        <w:footnoteReference w:id="12"/>
      </w:r>
    </w:p>
    <w:p w14:paraId="1FFC96B3" w14:textId="77777777" w:rsidR="004E2DD7" w:rsidRDefault="00FC4FF1">
      <w:r>
        <w:tab/>
        <w:t>Meister devotes considerable attention to Alvin Plantinga's Free Will Defence, which is widely regarded as having successfully undermined the logical version of the argument. Plantinga argues that it is possible that God, even if omnipotent, could not have created a world containing free creatures who always chose to act rightly, since this would be a logical impossibility: truly free beings must have the genuine capacity to choose wrongly.</w:t>
      </w:r>
      <w:r>
        <w:rPr>
          <w:rStyle w:val="FootnoteReference"/>
        </w:rPr>
        <w:footnoteReference w:id="13"/>
      </w:r>
    </w:p>
    <w:p w14:paraId="382E2519" w14:textId="0CD06C1D" w:rsidR="004E2DD7" w:rsidRDefault="00FC4FF1">
      <w:r>
        <w:lastRenderedPageBreak/>
        <w:tab/>
        <w:t xml:space="preserve">The evidential problem of evil, by contrast, does not claim that the existence of God and evil are logically contradictory, but rather that the sheer scale and apparent gratuitousness of suffering </w:t>
      </w:r>
      <w:r w:rsidR="008B43C9">
        <w:t>make</w:t>
      </w:r>
      <w:r>
        <w:t xml:space="preserve"> the existence of God highly improbable.</w:t>
      </w:r>
      <w:r>
        <w:rPr>
          <w:rStyle w:val="FootnoteReference"/>
        </w:rPr>
        <w:footnoteReference w:id="14"/>
      </w:r>
    </w:p>
    <w:p w14:paraId="5D520247" w14:textId="77777777" w:rsidR="004E2DD7" w:rsidRDefault="00FC4FF1">
      <w:r>
        <w:tab/>
        <w:t>William Rowe's argument from gratuitous evil is the key example Meister employs here. Rowe contends that there exist instances of intense suffering that appear to serve no greater good whatsoever, and that a good God would surely have prevented these.</w:t>
      </w:r>
      <w:r>
        <w:rPr>
          <w:rStyle w:val="FootnoteReference"/>
        </w:rPr>
        <w:footnoteReference w:id="15"/>
      </w:r>
    </w:p>
    <w:p w14:paraId="2E2E4199" w14:textId="7BE8C6F0" w:rsidR="004E2DD7" w:rsidRDefault="00FC4FF1">
      <w:r>
        <w:tab/>
        <w:t xml:space="preserve">Meister presents the theist's response of 'sceptical theism', which holds that human beings are not in an epistemic position to recognise </w:t>
      </w:r>
      <w:r w:rsidR="008B43C9">
        <w:t>whether</w:t>
      </w:r>
      <w:r>
        <w:t xml:space="preserve"> a given instance of suffering serves a greater divine purpose. This is a philosophically sophisticated response, though it raises its own difficulties, including the risk of undermining moral judgements altogether.</w:t>
      </w:r>
    </w:p>
    <w:p w14:paraId="3F976253" w14:textId="77777777" w:rsidR="004E2DD7" w:rsidRDefault="00FC4FF1">
      <w:r>
        <w:tab/>
        <w:t xml:space="preserve">The section on theodicy considers positive attempts to reconcile the existence of a good God with the reality of suffering. Meister discusses John Hick's influential </w:t>
      </w:r>
      <w:proofErr w:type="spellStart"/>
      <w:r>
        <w:t>Irenean</w:t>
      </w:r>
      <w:proofErr w:type="spellEnd"/>
      <w:r>
        <w:t xml:space="preserve"> theodicy, which argues that evil and suffering are necessary conditions for the moral and spiritual development of human persons. God, on this view, creates human beings not as perfect beings already fully formed in the divine image, but as immature creatures who must grow and struggle towards moral perfection.</w:t>
      </w:r>
      <w:r>
        <w:rPr>
          <w:rStyle w:val="FootnoteReference"/>
        </w:rPr>
        <w:footnoteReference w:id="16"/>
      </w:r>
      <w:r>
        <w:rPr>
          <w:rStyle w:val="FootnoteReference"/>
        </w:rPr>
        <w:footnoteReference w:id="17"/>
      </w:r>
    </w:p>
    <w:p w14:paraId="2DA3D887" w14:textId="28A16A5B" w:rsidR="004E2DD7" w:rsidRDefault="00FC4FF1">
      <w:r>
        <w:tab/>
        <w:t xml:space="preserve">Hick's soul-making theodicy is compelling in many respects, though critics have observed that it struggles to account for the enormous amount of suffering that appears </w:t>
      </w:r>
      <w:r>
        <w:lastRenderedPageBreak/>
        <w:t>wholly disproportionate to any educational or developmental benefit</w:t>
      </w:r>
      <w:r w:rsidR="008B43C9">
        <w:t xml:space="preserve"> </w:t>
      </w:r>
      <w:r>
        <w:t>the suffering of young children, for instance, or the devastating scale of natural evil.</w:t>
      </w:r>
    </w:p>
    <w:p w14:paraId="01B68CBC" w14:textId="06C216EF" w:rsidR="004E2DD7" w:rsidRDefault="00FC4FF1">
      <w:r>
        <w:tab/>
        <w:t>The sub-section on divine hiddenness introduces John Schellenberg's argument that the apparent absence of God</w:t>
      </w:r>
      <w:r w:rsidR="008B43C9">
        <w:t xml:space="preserve"> </w:t>
      </w:r>
      <w:r>
        <w:t>the fact that many sincere seekers after God do not encounter or experience the divine</w:t>
      </w:r>
      <w:r w:rsidR="008B43C9">
        <w:t xml:space="preserve"> </w:t>
      </w:r>
      <w:r>
        <w:t>is itself evidence against theism.</w:t>
      </w:r>
      <w:r>
        <w:rPr>
          <w:rStyle w:val="FootnoteReference"/>
        </w:rPr>
        <w:footnoteReference w:id="18"/>
      </w:r>
      <w:r>
        <w:rPr>
          <w:rStyle w:val="FootnoteReference"/>
        </w:rPr>
        <w:footnoteReference w:id="19"/>
      </w:r>
    </w:p>
    <w:p w14:paraId="5341CC08" w14:textId="77777777" w:rsidR="004E2DD7" w:rsidRDefault="00FC4FF1">
      <w:r>
        <w:tab/>
        <w:t>Schellenberg argues that a perfectly loving God would always be open to a personal relationship with creatures who genuinely seek such a relationship. Since many sincere seekers remain without any sense of divine presence, either God does not exist or God is not perfectly loving. Meister notes that theists have offered various replies, including suggestions that hiddenness may itself serve a greater purpose, or that seekers may have cognitive or spiritual obstacles that account for their lack of experience</w:t>
      </w:r>
      <w:r>
        <w:t>.</w:t>
      </w:r>
    </w:p>
    <w:p w14:paraId="1E3D308B" w14:textId="77777777" w:rsidR="004E2DD7" w:rsidRDefault="00FC4FF1">
      <w:r>
        <w:tab/>
        <w:t>Finally, Meister considers how the problem of evil is understood within traditions informed by karma and reincarnation, such as certain forms of Hinduism and Buddhism.</w:t>
      </w:r>
      <w:r>
        <w:rPr>
          <w:rStyle w:val="FootnoteReference"/>
        </w:rPr>
        <w:footnoteReference w:id="20"/>
      </w:r>
    </w:p>
    <w:p w14:paraId="2C7C029D" w14:textId="77777777" w:rsidR="004E2DD7" w:rsidRDefault="00FC4FF1">
      <w:r>
        <w:tab/>
        <w:t>Within these frameworks, suffering is not an arbitrary or inexplicable affliction but is connected to the moral consequences of actions performed in previous lives. Meister observes that this theodicy avoids some of the difficulties faced by Western responses to evil, though it brings its own philosophical challenges, including questions about the moral fairness of suffering inherited from a past life one cannot remember.</w:t>
      </w:r>
    </w:p>
    <w:p w14:paraId="2C7D0AC4" w14:textId="77777777" w:rsidR="004E2DD7" w:rsidRDefault="00FC4FF1">
      <w:pPr>
        <w:spacing w:before="320"/>
      </w:pPr>
      <w:r>
        <w:rPr>
          <w:b/>
          <w:bCs/>
        </w:rPr>
        <w:t>Critical Reflection</w:t>
      </w:r>
    </w:p>
    <w:p w14:paraId="5412D0DA" w14:textId="77777777" w:rsidR="004E2DD7" w:rsidRDefault="00FC4FF1">
      <w:r>
        <w:tab/>
        <w:t xml:space="preserve">Taken together, Sections 4 and 5 of Meister's article illustrate the distinctive character of philosophy of religion as a discipline. Meister describes it at the outset of his article as the </w:t>
      </w:r>
      <w:r>
        <w:lastRenderedPageBreak/>
        <w:t>philosophical study of the meaning and nature of religion, drawing upon all the major areas of philosophy as well as relevant fields such as theology, history, and the natural sciences.</w:t>
      </w:r>
      <w:r>
        <w:rPr>
          <w:rStyle w:val="FootnoteReference"/>
        </w:rPr>
        <w:footnoteReference w:id="21"/>
      </w:r>
    </w:p>
    <w:p w14:paraId="70E31841" w14:textId="77777777" w:rsidR="004E2DD7" w:rsidRDefault="00FC4FF1">
      <w:r>
        <w:tab/>
        <w:t>These two sections demonstrate that character in practice. The arguments canvassed in Section 4 draw on formal logic, modal semantics, physics, and cosmology, whilst the discussions in Section 5 engage with moral philosophy, theology, and comparative religion. Philosophy of religion, as Meister presents it, is not a narrow or insular discipline: it is one in which the precision of analytical argument meets the profundity of existential and religious concern.</w:t>
      </w:r>
    </w:p>
    <w:p w14:paraId="53266661" w14:textId="0D735D4B" w:rsidR="004E2DD7" w:rsidRDefault="00FC4FF1">
      <w:r>
        <w:tab/>
        <w:t xml:space="preserve">One of the most striking features of Meister's approach is his consistent </w:t>
      </w:r>
      <w:r w:rsidR="008B43C9">
        <w:t>even-handedness</w:t>
      </w:r>
      <w:r>
        <w:t xml:space="preserve">. He presents arguments for and against theism with equal rigour, giving voice to thinkers across the spectrum from ardent theists like Plantinga to sceptical atheists like Mackie and Rowe. This is intellectually admirable and appropriate for an encyclopaedic article, though it does mean that the article can feel somewhat inconclusive. A student approaching these sections for the first time might feel that philosophy of religion is an endless exchange of arguments and </w:t>
      </w:r>
      <w:r w:rsidR="008B43C9">
        <w:t>counterarguments</w:t>
      </w:r>
      <w:r>
        <w:t xml:space="preserve"> without decisive resolution. This, however, may be an accurate reflection of the discipline itself, in which certainty is elusive and the quality of reasoning matters as much as the conclusions reached.</w:t>
      </w:r>
    </w:p>
    <w:p w14:paraId="03327F51" w14:textId="1D648F24" w:rsidR="004E2DD7" w:rsidRDefault="00FC4FF1">
      <w:r>
        <w:tab/>
        <w:t xml:space="preserve">A further strength of Meister's article is his attention to the limits of classical arguments. He notes, for instance, that even if the cosmological or teleological arguments are successful, they do not prove the existence of the God of any </w:t>
      </w:r>
      <w:r w:rsidR="008B43C9">
        <w:t>religion</w:t>
      </w:r>
      <w:r>
        <w:t xml:space="preserve"> but at most a transcendent first cause or purposive designer.</w:t>
      </w:r>
      <w:r>
        <w:rPr>
          <w:rStyle w:val="FootnoteReference"/>
        </w:rPr>
        <w:footnoteReference w:id="22"/>
      </w:r>
    </w:p>
    <w:p w14:paraId="434B055E" w14:textId="77777777" w:rsidR="004E2DD7" w:rsidRDefault="00FC4FF1">
      <w:r>
        <w:lastRenderedPageBreak/>
        <w:tab/>
        <w:t>This is a philosophically important observation that is sometimes overlooked in popular discussions of the subject. Meister's inclusion of the non-Western material on karma and reincarnation in Section 5 is also commendable, as it resists the tendency to treat philosophy of religion as exclusively concerned with the Abrahamic traditions. This is consistent with his broader vision of the discipline as encompassing both theistic and non-theistic traditions.</w:t>
      </w:r>
    </w:p>
    <w:p w14:paraId="3019B0CE" w14:textId="77777777" w:rsidR="004E2DD7" w:rsidRDefault="00FC4FF1">
      <w:pPr>
        <w:spacing w:before="320"/>
      </w:pPr>
      <w:r>
        <w:rPr>
          <w:b/>
          <w:bCs/>
        </w:rPr>
        <w:t>Conclusion</w:t>
      </w:r>
    </w:p>
    <w:p w14:paraId="64A0AE84" w14:textId="1BBCEA51" w:rsidR="004E2DD7" w:rsidRDefault="00FC4FF1">
      <w:r>
        <w:tab/>
        <w:t xml:space="preserve">Sections 4 and 5 of Chad Meister's 'Philosophy of Religion' offer a comprehensive and carefully constructed account of two of the most </w:t>
      </w:r>
      <w:r w:rsidR="008B43C9">
        <w:t>congested</w:t>
      </w:r>
      <w:r>
        <w:t xml:space="preserve"> areas within the discipline. Through his treatment of the ontological, cosmological, and teleological arguments, as well as the logical, evidential, and existential dimensions of the problem of evil, Meister demonstrates that philosophy of religion is a rigorous, multi-faceted, and genuinely open-ended field of enquiry. It is a discipline that does not retreat from difficult questions but confronts them with the full resources of philosophical analysis. Meister's article </w:t>
      </w:r>
      <w:r w:rsidR="008B43C9">
        <w:t>characterises</w:t>
      </w:r>
      <w:r>
        <w:t xml:space="preserve"> the field as one that is broad in scope, inclusive in its treatment of diverse traditions, and committed to the kind of careful, honest reasoning that marks the best philosophical writing. For the student of religious studies or philosophy, it serves as both an introduction to the key debates and as an invitation to engage with them at greater depth.</w:t>
      </w:r>
    </w:p>
    <w:p w14:paraId="0353FC70" w14:textId="77777777" w:rsidR="004E2DD7" w:rsidRDefault="00FC4FF1">
      <w:pPr>
        <w:spacing w:before="480"/>
      </w:pPr>
      <w:r>
        <w:rPr>
          <w:b/>
          <w:bCs/>
        </w:rPr>
        <w:t>Bibliography</w:t>
      </w:r>
    </w:p>
    <w:p w14:paraId="4807F92D" w14:textId="77777777" w:rsidR="004E2DD7" w:rsidRDefault="00FC4FF1">
      <w:pPr>
        <w:ind w:left="720" w:hanging="720"/>
      </w:pPr>
      <w:r>
        <w:t xml:space="preserve">Anselm of Canterbury, </w:t>
      </w:r>
      <w:proofErr w:type="spellStart"/>
      <w:r>
        <w:rPr>
          <w:i/>
          <w:iCs/>
        </w:rPr>
        <w:t>Proslogion</w:t>
      </w:r>
      <w:proofErr w:type="spellEnd"/>
      <w:r>
        <w:t>, trans. by M. J. Charlesworth (Oxford: Clarendon Press, 1965)</w:t>
      </w:r>
    </w:p>
    <w:p w14:paraId="74EF1ECB" w14:textId="77777777" w:rsidR="004E2DD7" w:rsidRDefault="00FC4FF1">
      <w:pPr>
        <w:ind w:left="720" w:hanging="720"/>
      </w:pPr>
      <w:r>
        <w:t xml:space="preserve">Craig, William Lane, </w:t>
      </w:r>
      <w:r>
        <w:rPr>
          <w:i/>
          <w:iCs/>
        </w:rPr>
        <w:t>The Kalam Cosmological Argument</w:t>
      </w:r>
      <w:r>
        <w:t xml:space="preserve"> (London: Macmillan, 1979)</w:t>
      </w:r>
    </w:p>
    <w:p w14:paraId="147D54B9" w14:textId="77777777" w:rsidR="004E2DD7" w:rsidRDefault="00FC4FF1">
      <w:pPr>
        <w:ind w:left="720" w:hanging="720"/>
      </w:pPr>
      <w:r>
        <w:t xml:space="preserve">Hick, John, </w:t>
      </w:r>
      <w:r>
        <w:rPr>
          <w:i/>
          <w:iCs/>
        </w:rPr>
        <w:t>Evil and the God of Love</w:t>
      </w:r>
      <w:r>
        <w:t xml:space="preserve">, 2nd </w:t>
      </w:r>
      <w:proofErr w:type="spellStart"/>
      <w:r>
        <w:t>edn</w:t>
      </w:r>
      <w:proofErr w:type="spellEnd"/>
      <w:r>
        <w:t xml:space="preserve"> (London: Macmillan, 1977)</w:t>
      </w:r>
    </w:p>
    <w:p w14:paraId="2728042A" w14:textId="77777777" w:rsidR="004E2DD7" w:rsidRDefault="00FC4FF1">
      <w:pPr>
        <w:ind w:left="720" w:hanging="720"/>
      </w:pPr>
      <w:r>
        <w:lastRenderedPageBreak/>
        <w:t xml:space="preserve">Kant, Immanuel, </w:t>
      </w:r>
      <w:r>
        <w:rPr>
          <w:i/>
          <w:iCs/>
        </w:rPr>
        <w:t>Critique of Pure Reason</w:t>
      </w:r>
      <w:r>
        <w:t>, trans. by Norman Kemp Smith (London: Macmillan, 1929)</w:t>
      </w:r>
    </w:p>
    <w:p w14:paraId="4534999F" w14:textId="77777777" w:rsidR="004E2DD7" w:rsidRDefault="00FC4FF1">
      <w:pPr>
        <w:ind w:left="720" w:hanging="720"/>
      </w:pPr>
      <w:r>
        <w:t xml:space="preserve">Mackie, J. L., 'Evil and Omnipotence', </w:t>
      </w:r>
      <w:r>
        <w:rPr>
          <w:i/>
          <w:iCs/>
        </w:rPr>
        <w:t>Mind</w:t>
      </w:r>
      <w:r>
        <w:t>, 64 (1955), 200–212</w:t>
      </w:r>
    </w:p>
    <w:p w14:paraId="0DF644DA" w14:textId="579C7EBF" w:rsidR="004E2DD7" w:rsidRDefault="00FC4FF1">
      <w:pPr>
        <w:ind w:left="720" w:hanging="720"/>
      </w:pPr>
      <w:r>
        <w:t xml:space="preserve">Meister, Chad, 'Philosophy of Religion', </w:t>
      </w:r>
      <w:r>
        <w:rPr>
          <w:i/>
          <w:iCs/>
        </w:rPr>
        <w:t xml:space="preserve">Internet </w:t>
      </w:r>
      <w:r w:rsidR="008B43C9">
        <w:rPr>
          <w:i/>
          <w:iCs/>
        </w:rPr>
        <w:t>Encyclopaedia</w:t>
      </w:r>
      <w:r>
        <w:rPr>
          <w:i/>
          <w:iCs/>
        </w:rPr>
        <w:t xml:space="preserve"> of Philosophy</w:t>
      </w:r>
      <w:r>
        <w:t xml:space="preserve"> </w:t>
      </w:r>
    </w:p>
    <w:p w14:paraId="3BBC1BBD" w14:textId="77777777" w:rsidR="004E2DD7" w:rsidRDefault="00FC4FF1">
      <w:pPr>
        <w:ind w:left="720" w:hanging="720"/>
      </w:pPr>
      <w:r>
        <w:t xml:space="preserve">Meister, Chad, </w:t>
      </w:r>
      <w:r>
        <w:rPr>
          <w:i/>
          <w:iCs/>
        </w:rPr>
        <w:t>Introducing Philosophy of Religion</w:t>
      </w:r>
      <w:r>
        <w:t xml:space="preserve"> (New York: Routledge, 2009)</w:t>
      </w:r>
    </w:p>
    <w:p w14:paraId="3A80F282" w14:textId="77777777" w:rsidR="004E2DD7" w:rsidRDefault="00FC4FF1">
      <w:pPr>
        <w:ind w:left="720" w:hanging="720"/>
      </w:pPr>
      <w:r>
        <w:t xml:space="preserve">Paley, William, </w:t>
      </w:r>
      <w:r>
        <w:rPr>
          <w:i/>
          <w:iCs/>
        </w:rPr>
        <w:t>Natural Theology</w:t>
      </w:r>
      <w:r>
        <w:t xml:space="preserve"> (Oxford: Oxford University Press, 2006 [1802])</w:t>
      </w:r>
    </w:p>
    <w:p w14:paraId="7FE43EB0" w14:textId="77777777" w:rsidR="004E2DD7" w:rsidRDefault="00FC4FF1">
      <w:pPr>
        <w:ind w:left="720" w:hanging="720"/>
      </w:pPr>
      <w:r>
        <w:t xml:space="preserve">Plantinga, Alvin, </w:t>
      </w:r>
      <w:r>
        <w:rPr>
          <w:i/>
          <w:iCs/>
        </w:rPr>
        <w:t>God, Freedom, and Evil</w:t>
      </w:r>
      <w:r>
        <w:t xml:space="preserve"> (Grand Rapids: Eerdmans, 1974)</w:t>
      </w:r>
    </w:p>
    <w:p w14:paraId="7245E17E" w14:textId="77777777" w:rsidR="004E2DD7" w:rsidRDefault="00FC4FF1">
      <w:pPr>
        <w:ind w:left="720" w:hanging="720"/>
      </w:pPr>
      <w:r>
        <w:t xml:space="preserve">Plantinga, Alvin, 'Is Theism Really a Miracle?', </w:t>
      </w:r>
      <w:r>
        <w:rPr>
          <w:i/>
          <w:iCs/>
        </w:rPr>
        <w:t>Faith and Philosophy</w:t>
      </w:r>
      <w:r>
        <w:t>, 3 (1986), 109–134</w:t>
      </w:r>
    </w:p>
    <w:p w14:paraId="7DE88CD7" w14:textId="77777777" w:rsidR="004E2DD7" w:rsidRDefault="00FC4FF1">
      <w:pPr>
        <w:ind w:left="720" w:hanging="720"/>
      </w:pPr>
      <w:r>
        <w:t xml:space="preserve">Rowe, William, 'The Problem of Evil and Some Varieties of Atheism', </w:t>
      </w:r>
      <w:r>
        <w:rPr>
          <w:i/>
          <w:iCs/>
        </w:rPr>
        <w:t>American Philosophical Quarterly</w:t>
      </w:r>
      <w:r>
        <w:t>, 16 (1979), 335–341</w:t>
      </w:r>
    </w:p>
    <w:p w14:paraId="5D700DDD" w14:textId="77777777" w:rsidR="004E2DD7" w:rsidRDefault="00FC4FF1">
      <w:pPr>
        <w:ind w:left="720" w:hanging="720"/>
      </w:pPr>
      <w:r>
        <w:t xml:space="preserve">Schellenberg, John, </w:t>
      </w:r>
      <w:r>
        <w:rPr>
          <w:i/>
          <w:iCs/>
        </w:rPr>
        <w:t>Divine Hiddenness and Human Reason</w:t>
      </w:r>
      <w:r>
        <w:t xml:space="preserve"> (Ithaca: Cornell University Press, 1993)</w:t>
      </w:r>
    </w:p>
    <w:sectPr w:rsidR="004E2DD7">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3510A35" w14:textId="77777777" w:rsidR="00FC4FF1" w:rsidRDefault="00FC4FF1">
      <w:pPr>
        <w:spacing w:line="240" w:lineRule="auto"/>
      </w:pPr>
      <w:r>
        <w:separator/>
      </w:r>
    </w:p>
  </w:endnote>
  <w:endnote w:type="continuationSeparator" w:id="0">
    <w:p w14:paraId="08DAB066" w14:textId="77777777" w:rsidR="00FC4FF1" w:rsidRDefault="00FC4FF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8677789" w14:textId="77777777" w:rsidR="00FC4FF1" w:rsidRDefault="00FC4FF1">
      <w:pPr>
        <w:spacing w:line="240" w:lineRule="auto"/>
      </w:pPr>
      <w:r>
        <w:separator/>
      </w:r>
    </w:p>
  </w:footnote>
  <w:footnote w:type="continuationSeparator" w:id="0">
    <w:p w14:paraId="4DF5F309" w14:textId="77777777" w:rsidR="00FC4FF1" w:rsidRDefault="00FC4FF1">
      <w:pPr>
        <w:spacing w:line="240" w:lineRule="auto"/>
      </w:pPr>
      <w:r>
        <w:continuationSeparator/>
      </w:r>
    </w:p>
  </w:footnote>
  <w:footnote w:id="1">
    <w:p w14:paraId="54C6B7CC" w14:textId="29753DD0" w:rsidR="004E2DD7" w:rsidRDefault="00FC4FF1">
      <w:r>
        <w:rPr>
          <w:rStyle w:val="FootnoteReference"/>
        </w:rPr>
        <w:footnoteRef/>
      </w:r>
      <w:r>
        <w:rPr>
          <w:sz w:val="20"/>
          <w:szCs w:val="20"/>
        </w:rPr>
        <w:t xml:space="preserve">Chad Meister, 'Philosophy of Religion', </w:t>
      </w:r>
      <w:r>
        <w:rPr>
          <w:i/>
          <w:iCs/>
          <w:sz w:val="20"/>
          <w:szCs w:val="20"/>
        </w:rPr>
        <w:t xml:space="preserve">Internet </w:t>
      </w:r>
      <w:r w:rsidR="008B43C9">
        <w:rPr>
          <w:i/>
          <w:iCs/>
          <w:sz w:val="20"/>
          <w:szCs w:val="20"/>
        </w:rPr>
        <w:t>Encyclopaedia</w:t>
      </w:r>
      <w:r>
        <w:rPr>
          <w:i/>
          <w:iCs/>
          <w:sz w:val="20"/>
          <w:szCs w:val="20"/>
        </w:rPr>
        <w:t xml:space="preserve"> of </w:t>
      </w:r>
      <w:proofErr w:type="gramStart"/>
      <w:r>
        <w:rPr>
          <w:i/>
          <w:iCs/>
          <w:sz w:val="20"/>
          <w:szCs w:val="20"/>
        </w:rPr>
        <w:t>Philosophy</w:t>
      </w:r>
      <w:r>
        <w:rPr>
          <w:sz w:val="20"/>
          <w:szCs w:val="20"/>
        </w:rPr>
        <w:t xml:space="preserve"> </w:t>
      </w:r>
      <w:r>
        <w:rPr>
          <w:sz w:val="20"/>
          <w:szCs w:val="20"/>
        </w:rPr>
        <w:t>.</w:t>
      </w:r>
      <w:proofErr w:type="gramEnd"/>
    </w:p>
  </w:footnote>
  <w:footnote w:id="2">
    <w:p w14:paraId="6685F81B" w14:textId="77777777" w:rsidR="004E2DD7" w:rsidRDefault="00FC4FF1">
      <w:r>
        <w:rPr>
          <w:rStyle w:val="FootnoteReference"/>
        </w:rPr>
        <w:footnoteRef/>
      </w:r>
      <w:r>
        <w:rPr>
          <w:sz w:val="20"/>
          <w:szCs w:val="20"/>
        </w:rPr>
        <w:t>Meister, 'Philosophy of Religion', Section 4.</w:t>
      </w:r>
    </w:p>
  </w:footnote>
  <w:footnote w:id="3">
    <w:p w14:paraId="3C8C0C56" w14:textId="77777777" w:rsidR="004E2DD7" w:rsidRDefault="00FC4FF1">
      <w:r>
        <w:rPr>
          <w:rStyle w:val="FootnoteReference"/>
        </w:rPr>
        <w:footnoteRef/>
      </w:r>
      <w:r>
        <w:rPr>
          <w:sz w:val="20"/>
          <w:szCs w:val="20"/>
        </w:rPr>
        <w:t xml:space="preserve">Anselm of Canterbury, </w:t>
      </w:r>
      <w:proofErr w:type="spellStart"/>
      <w:r>
        <w:rPr>
          <w:i/>
          <w:iCs/>
          <w:sz w:val="20"/>
          <w:szCs w:val="20"/>
        </w:rPr>
        <w:t>Proslogion</w:t>
      </w:r>
      <w:proofErr w:type="spellEnd"/>
      <w:r>
        <w:rPr>
          <w:sz w:val="20"/>
          <w:szCs w:val="20"/>
        </w:rPr>
        <w:t>, trans. by M. J. Charlesworth (Oxford: Clarendon Press, 1965), p. 54.</w:t>
      </w:r>
    </w:p>
  </w:footnote>
  <w:footnote w:id="4">
    <w:p w14:paraId="63C201A0" w14:textId="77777777" w:rsidR="004E2DD7" w:rsidRDefault="00FC4FF1">
      <w:r>
        <w:rPr>
          <w:rStyle w:val="FootnoteReference"/>
        </w:rPr>
        <w:footnoteRef/>
      </w:r>
      <w:r>
        <w:rPr>
          <w:sz w:val="20"/>
          <w:szCs w:val="20"/>
        </w:rPr>
        <w:t>Meister, 'Philosophy of Religion', Section 4a.</w:t>
      </w:r>
    </w:p>
  </w:footnote>
  <w:footnote w:id="5">
    <w:p w14:paraId="24C554C8" w14:textId="77777777" w:rsidR="004E2DD7" w:rsidRDefault="00FC4FF1">
      <w:r>
        <w:rPr>
          <w:rStyle w:val="FootnoteReference"/>
        </w:rPr>
        <w:footnoteRef/>
      </w:r>
      <w:r>
        <w:rPr>
          <w:sz w:val="20"/>
          <w:szCs w:val="20"/>
        </w:rPr>
        <w:t xml:space="preserve">Immanuel Kant, </w:t>
      </w:r>
      <w:r>
        <w:rPr>
          <w:i/>
          <w:iCs/>
          <w:sz w:val="20"/>
          <w:szCs w:val="20"/>
        </w:rPr>
        <w:t>Critique of Pure Reason</w:t>
      </w:r>
      <w:r>
        <w:rPr>
          <w:sz w:val="20"/>
          <w:szCs w:val="20"/>
        </w:rPr>
        <w:t>, trans. by Norman Kemp Smith (London: Macmillan, 1929), p. 504.</w:t>
      </w:r>
    </w:p>
  </w:footnote>
  <w:footnote w:id="6">
    <w:p w14:paraId="41524796" w14:textId="77777777" w:rsidR="004E2DD7" w:rsidRDefault="00FC4FF1">
      <w:r>
        <w:rPr>
          <w:rStyle w:val="FootnoteReference"/>
        </w:rPr>
        <w:footnoteRef/>
      </w:r>
      <w:r>
        <w:rPr>
          <w:sz w:val="20"/>
          <w:szCs w:val="20"/>
        </w:rPr>
        <w:t>Meister, 'Philosophy of Religion', Section 4b.</w:t>
      </w:r>
    </w:p>
  </w:footnote>
  <w:footnote w:id="7">
    <w:p w14:paraId="0C91118C" w14:textId="77777777" w:rsidR="004E2DD7" w:rsidRDefault="00FC4FF1">
      <w:r>
        <w:rPr>
          <w:rStyle w:val="FootnoteReference"/>
        </w:rPr>
        <w:footnoteRef/>
      </w:r>
      <w:r>
        <w:rPr>
          <w:sz w:val="20"/>
          <w:szCs w:val="20"/>
        </w:rPr>
        <w:t xml:space="preserve">William Lane Craig, </w:t>
      </w:r>
      <w:r>
        <w:rPr>
          <w:i/>
          <w:iCs/>
          <w:sz w:val="20"/>
          <w:szCs w:val="20"/>
        </w:rPr>
        <w:t>The Kalam Cosmological Argument</w:t>
      </w:r>
      <w:r>
        <w:rPr>
          <w:sz w:val="20"/>
          <w:szCs w:val="20"/>
        </w:rPr>
        <w:t xml:space="preserve"> (London: Macmillan, 1979), p. 63.</w:t>
      </w:r>
    </w:p>
  </w:footnote>
  <w:footnote w:id="8">
    <w:p w14:paraId="345AE959" w14:textId="77777777" w:rsidR="004E2DD7" w:rsidRDefault="00FC4FF1">
      <w:r>
        <w:rPr>
          <w:rStyle w:val="FootnoteReference"/>
        </w:rPr>
        <w:footnoteRef/>
      </w:r>
      <w:r>
        <w:rPr>
          <w:sz w:val="20"/>
          <w:szCs w:val="20"/>
        </w:rPr>
        <w:t>Meister, 'Philosophy of Religion', Section 4c.</w:t>
      </w:r>
    </w:p>
  </w:footnote>
  <w:footnote w:id="9">
    <w:p w14:paraId="1EB6CBBC" w14:textId="77777777" w:rsidR="004E2DD7" w:rsidRDefault="00FC4FF1">
      <w:r>
        <w:rPr>
          <w:rStyle w:val="FootnoteReference"/>
        </w:rPr>
        <w:footnoteRef/>
      </w:r>
      <w:r>
        <w:rPr>
          <w:sz w:val="20"/>
          <w:szCs w:val="20"/>
        </w:rPr>
        <w:t xml:space="preserve">William Paley, </w:t>
      </w:r>
      <w:r>
        <w:rPr>
          <w:i/>
          <w:iCs/>
          <w:sz w:val="20"/>
          <w:szCs w:val="20"/>
        </w:rPr>
        <w:t>Natural Theology</w:t>
      </w:r>
      <w:r>
        <w:rPr>
          <w:sz w:val="20"/>
          <w:szCs w:val="20"/>
        </w:rPr>
        <w:t xml:space="preserve"> (Oxford: Oxford University Press, 2006 [1802]), p. 7.</w:t>
      </w:r>
    </w:p>
  </w:footnote>
  <w:footnote w:id="10">
    <w:p w14:paraId="65B29AF3" w14:textId="77777777" w:rsidR="004E2DD7" w:rsidRDefault="00FC4FF1">
      <w:r>
        <w:rPr>
          <w:rStyle w:val="FootnoteReference"/>
        </w:rPr>
        <w:footnoteRef/>
      </w:r>
      <w:r>
        <w:rPr>
          <w:sz w:val="20"/>
          <w:szCs w:val="20"/>
        </w:rPr>
        <w:t>Meister, 'Philosophy of Religion', Section 5.</w:t>
      </w:r>
    </w:p>
  </w:footnote>
  <w:footnote w:id="11">
    <w:p w14:paraId="0FEF4A33" w14:textId="77777777" w:rsidR="004E2DD7" w:rsidRDefault="00FC4FF1">
      <w:r>
        <w:rPr>
          <w:rStyle w:val="FootnoteReference"/>
        </w:rPr>
        <w:footnoteRef/>
      </w:r>
      <w:r>
        <w:rPr>
          <w:sz w:val="20"/>
          <w:szCs w:val="20"/>
        </w:rPr>
        <w:t xml:space="preserve">J. L. Mackie, 'Evil and Omnipotence', </w:t>
      </w:r>
      <w:r>
        <w:rPr>
          <w:i/>
          <w:iCs/>
          <w:sz w:val="20"/>
          <w:szCs w:val="20"/>
        </w:rPr>
        <w:t>Mind</w:t>
      </w:r>
      <w:r>
        <w:rPr>
          <w:sz w:val="20"/>
          <w:szCs w:val="20"/>
        </w:rPr>
        <w:t>, 64 (1955), 200–212 (p. 200).</w:t>
      </w:r>
    </w:p>
  </w:footnote>
  <w:footnote w:id="12">
    <w:p w14:paraId="69FE4BE9" w14:textId="77777777" w:rsidR="004E2DD7" w:rsidRDefault="00FC4FF1">
      <w:r>
        <w:rPr>
          <w:rStyle w:val="FootnoteReference"/>
        </w:rPr>
        <w:footnoteRef/>
      </w:r>
      <w:r>
        <w:rPr>
          <w:sz w:val="20"/>
          <w:szCs w:val="20"/>
        </w:rPr>
        <w:t>Meister, 'Philosophy of Religion', Section 5a.</w:t>
      </w:r>
    </w:p>
  </w:footnote>
  <w:footnote w:id="13">
    <w:p w14:paraId="5BB30B20" w14:textId="77777777" w:rsidR="004E2DD7" w:rsidRDefault="00FC4FF1">
      <w:r>
        <w:rPr>
          <w:rStyle w:val="FootnoteReference"/>
        </w:rPr>
        <w:footnoteRef/>
      </w:r>
      <w:r>
        <w:rPr>
          <w:sz w:val="20"/>
          <w:szCs w:val="20"/>
        </w:rPr>
        <w:t xml:space="preserve">Alvin Plantinga, </w:t>
      </w:r>
      <w:r>
        <w:rPr>
          <w:i/>
          <w:iCs/>
          <w:sz w:val="20"/>
          <w:szCs w:val="20"/>
        </w:rPr>
        <w:t>God, Freedom, and Evil</w:t>
      </w:r>
      <w:r>
        <w:rPr>
          <w:sz w:val="20"/>
          <w:szCs w:val="20"/>
        </w:rPr>
        <w:t xml:space="preserve"> (Grand Rapids: Eerdmans, 1974), p. 30.</w:t>
      </w:r>
    </w:p>
  </w:footnote>
  <w:footnote w:id="14">
    <w:p w14:paraId="7EBEB086" w14:textId="77777777" w:rsidR="004E2DD7" w:rsidRDefault="00FC4FF1">
      <w:r>
        <w:rPr>
          <w:rStyle w:val="FootnoteReference"/>
        </w:rPr>
        <w:footnoteRef/>
      </w:r>
      <w:r>
        <w:rPr>
          <w:sz w:val="20"/>
          <w:szCs w:val="20"/>
        </w:rPr>
        <w:t>Meister, 'Philosophy of Religion', Section 5b.</w:t>
      </w:r>
    </w:p>
  </w:footnote>
  <w:footnote w:id="15">
    <w:p w14:paraId="74870614" w14:textId="77777777" w:rsidR="004E2DD7" w:rsidRDefault="00FC4FF1">
      <w:r>
        <w:rPr>
          <w:rStyle w:val="FootnoteReference"/>
        </w:rPr>
        <w:footnoteRef/>
      </w:r>
      <w:r>
        <w:rPr>
          <w:sz w:val="20"/>
          <w:szCs w:val="20"/>
        </w:rPr>
        <w:t xml:space="preserve">William Rowe, 'The Problem of Evil and Some Varieties of Atheism', </w:t>
      </w:r>
      <w:r>
        <w:rPr>
          <w:i/>
          <w:iCs/>
          <w:sz w:val="20"/>
          <w:szCs w:val="20"/>
        </w:rPr>
        <w:t>American Philosophical Quarterly</w:t>
      </w:r>
      <w:r>
        <w:rPr>
          <w:sz w:val="20"/>
          <w:szCs w:val="20"/>
        </w:rPr>
        <w:t>, 16 (1979), 335–341.</w:t>
      </w:r>
    </w:p>
  </w:footnote>
  <w:footnote w:id="16">
    <w:p w14:paraId="7B0121C7" w14:textId="77777777" w:rsidR="004E2DD7" w:rsidRDefault="00FC4FF1">
      <w:r>
        <w:rPr>
          <w:rStyle w:val="FootnoteReference"/>
        </w:rPr>
        <w:footnoteRef/>
      </w:r>
      <w:r>
        <w:rPr>
          <w:sz w:val="20"/>
          <w:szCs w:val="20"/>
        </w:rPr>
        <w:t>Meister, 'Philosophy of Religion', Section 5c.</w:t>
      </w:r>
    </w:p>
  </w:footnote>
  <w:footnote w:id="17">
    <w:p w14:paraId="7579BA83" w14:textId="77777777" w:rsidR="004E2DD7" w:rsidRDefault="00FC4FF1">
      <w:r>
        <w:rPr>
          <w:rStyle w:val="FootnoteReference"/>
        </w:rPr>
        <w:footnoteRef/>
      </w:r>
      <w:r>
        <w:rPr>
          <w:sz w:val="20"/>
          <w:szCs w:val="20"/>
        </w:rPr>
        <w:t xml:space="preserve">John Hick, </w:t>
      </w:r>
      <w:r>
        <w:rPr>
          <w:i/>
          <w:iCs/>
          <w:sz w:val="20"/>
          <w:szCs w:val="20"/>
        </w:rPr>
        <w:t>Evil and the God of Love</w:t>
      </w:r>
      <w:r>
        <w:rPr>
          <w:sz w:val="20"/>
          <w:szCs w:val="20"/>
        </w:rPr>
        <w:t xml:space="preserve">, 2nd </w:t>
      </w:r>
      <w:proofErr w:type="spellStart"/>
      <w:r>
        <w:rPr>
          <w:sz w:val="20"/>
          <w:szCs w:val="20"/>
        </w:rPr>
        <w:t>edn</w:t>
      </w:r>
      <w:proofErr w:type="spellEnd"/>
      <w:r>
        <w:rPr>
          <w:sz w:val="20"/>
          <w:szCs w:val="20"/>
        </w:rPr>
        <w:t xml:space="preserve"> (London: Macmillan, 1977), p. 253.</w:t>
      </w:r>
    </w:p>
  </w:footnote>
  <w:footnote w:id="18">
    <w:p w14:paraId="59F53118" w14:textId="77777777" w:rsidR="004E2DD7" w:rsidRDefault="00FC4FF1">
      <w:r>
        <w:rPr>
          <w:rStyle w:val="FootnoteReference"/>
        </w:rPr>
        <w:footnoteRef/>
      </w:r>
      <w:r>
        <w:rPr>
          <w:sz w:val="20"/>
          <w:szCs w:val="20"/>
        </w:rPr>
        <w:t>Meister, 'Philosophy of Religion', Section 5d.</w:t>
      </w:r>
    </w:p>
  </w:footnote>
  <w:footnote w:id="19">
    <w:p w14:paraId="2E694926" w14:textId="77777777" w:rsidR="004E2DD7" w:rsidRDefault="00FC4FF1">
      <w:r>
        <w:rPr>
          <w:rStyle w:val="FootnoteReference"/>
        </w:rPr>
        <w:footnoteRef/>
      </w:r>
      <w:r>
        <w:rPr>
          <w:sz w:val="20"/>
          <w:szCs w:val="20"/>
        </w:rPr>
        <w:t xml:space="preserve">John Schellenberg, </w:t>
      </w:r>
      <w:r>
        <w:rPr>
          <w:i/>
          <w:iCs/>
          <w:sz w:val="20"/>
          <w:szCs w:val="20"/>
        </w:rPr>
        <w:t>Divine Hiddenness and Human Reason</w:t>
      </w:r>
      <w:r>
        <w:rPr>
          <w:sz w:val="20"/>
          <w:szCs w:val="20"/>
        </w:rPr>
        <w:t xml:space="preserve"> (Ithaca: Cornell University Press, 1993), p. 1.</w:t>
      </w:r>
    </w:p>
  </w:footnote>
  <w:footnote w:id="20">
    <w:p w14:paraId="18281212" w14:textId="77777777" w:rsidR="004E2DD7" w:rsidRDefault="00FC4FF1">
      <w:r>
        <w:rPr>
          <w:rStyle w:val="FootnoteReference"/>
        </w:rPr>
        <w:footnoteRef/>
      </w:r>
      <w:r>
        <w:rPr>
          <w:sz w:val="20"/>
          <w:szCs w:val="20"/>
        </w:rPr>
        <w:t>Meister, 'Philosophy of Religion', Section 5e.</w:t>
      </w:r>
    </w:p>
  </w:footnote>
  <w:footnote w:id="21">
    <w:p w14:paraId="5449F928" w14:textId="77777777" w:rsidR="004E2DD7" w:rsidRDefault="00FC4FF1">
      <w:r>
        <w:rPr>
          <w:rStyle w:val="FootnoteReference"/>
        </w:rPr>
        <w:footnoteRef/>
      </w:r>
      <w:r>
        <w:rPr>
          <w:sz w:val="20"/>
          <w:szCs w:val="20"/>
        </w:rPr>
        <w:t xml:space="preserve">Chad Meister, </w:t>
      </w:r>
      <w:r>
        <w:rPr>
          <w:i/>
          <w:iCs/>
          <w:sz w:val="20"/>
          <w:szCs w:val="20"/>
        </w:rPr>
        <w:t>Introducing Philosophy of Religion</w:t>
      </w:r>
      <w:r>
        <w:rPr>
          <w:sz w:val="20"/>
          <w:szCs w:val="20"/>
        </w:rPr>
        <w:t xml:space="preserve"> (New York: Routledge, 2009), p. 5.</w:t>
      </w:r>
    </w:p>
  </w:footnote>
  <w:footnote w:id="22">
    <w:p w14:paraId="34E84B59" w14:textId="77777777" w:rsidR="004E2DD7" w:rsidRDefault="00FC4FF1">
      <w:r>
        <w:rPr>
          <w:rStyle w:val="FootnoteReference"/>
        </w:rPr>
        <w:footnoteRef/>
      </w:r>
      <w:r>
        <w:rPr>
          <w:sz w:val="20"/>
          <w:szCs w:val="20"/>
        </w:rPr>
        <w:t xml:space="preserve">Alvin Plantinga, 'Is Theism Really a Miracle?', </w:t>
      </w:r>
      <w:r>
        <w:rPr>
          <w:i/>
          <w:iCs/>
          <w:sz w:val="20"/>
          <w:szCs w:val="20"/>
        </w:rPr>
        <w:t>Faith and Philosophy</w:t>
      </w:r>
      <w:r>
        <w:rPr>
          <w:sz w:val="20"/>
          <w:szCs w:val="20"/>
        </w:rPr>
        <w:t>, 3 (1986), 109–134 (p. 110).</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A84345"/>
    <w:multiLevelType w:val="hybridMultilevel"/>
    <w:tmpl w:val="80BC549A"/>
    <w:lvl w:ilvl="0" w:tplc="31A861CE">
      <w:start w:val="1"/>
      <w:numFmt w:val="bullet"/>
      <w:lvlText w:val="●"/>
      <w:lvlJc w:val="left"/>
      <w:pPr>
        <w:ind w:left="720" w:hanging="360"/>
      </w:pPr>
    </w:lvl>
    <w:lvl w:ilvl="1" w:tplc="A2E01788">
      <w:start w:val="1"/>
      <w:numFmt w:val="bullet"/>
      <w:lvlText w:val="○"/>
      <w:lvlJc w:val="left"/>
      <w:pPr>
        <w:ind w:left="1440" w:hanging="360"/>
      </w:pPr>
    </w:lvl>
    <w:lvl w:ilvl="2" w:tplc="10DC3A9E">
      <w:start w:val="1"/>
      <w:numFmt w:val="bullet"/>
      <w:lvlText w:val="■"/>
      <w:lvlJc w:val="left"/>
      <w:pPr>
        <w:ind w:left="2160" w:hanging="360"/>
      </w:pPr>
    </w:lvl>
    <w:lvl w:ilvl="3" w:tplc="094AB644">
      <w:start w:val="1"/>
      <w:numFmt w:val="bullet"/>
      <w:lvlText w:val="●"/>
      <w:lvlJc w:val="left"/>
      <w:pPr>
        <w:ind w:left="2880" w:hanging="360"/>
      </w:pPr>
    </w:lvl>
    <w:lvl w:ilvl="4" w:tplc="D93A0DFC">
      <w:start w:val="1"/>
      <w:numFmt w:val="bullet"/>
      <w:lvlText w:val="○"/>
      <w:lvlJc w:val="left"/>
      <w:pPr>
        <w:ind w:left="3600" w:hanging="360"/>
      </w:pPr>
    </w:lvl>
    <w:lvl w:ilvl="5" w:tplc="E5D00304">
      <w:start w:val="1"/>
      <w:numFmt w:val="bullet"/>
      <w:lvlText w:val="■"/>
      <w:lvlJc w:val="left"/>
      <w:pPr>
        <w:ind w:left="4320" w:hanging="360"/>
      </w:pPr>
    </w:lvl>
    <w:lvl w:ilvl="6" w:tplc="E9C82A3A">
      <w:start w:val="1"/>
      <w:numFmt w:val="bullet"/>
      <w:lvlText w:val="●"/>
      <w:lvlJc w:val="left"/>
      <w:pPr>
        <w:ind w:left="5040" w:hanging="360"/>
      </w:pPr>
    </w:lvl>
    <w:lvl w:ilvl="7" w:tplc="68F850FA">
      <w:start w:val="1"/>
      <w:numFmt w:val="bullet"/>
      <w:lvlText w:val="●"/>
      <w:lvlJc w:val="left"/>
      <w:pPr>
        <w:ind w:left="5760" w:hanging="360"/>
      </w:pPr>
    </w:lvl>
    <w:lvl w:ilvl="8" w:tplc="F3F83196">
      <w:start w:val="1"/>
      <w:numFmt w:val="bullet"/>
      <w:lvlText w:val="●"/>
      <w:lvlJc w:val="left"/>
      <w:pPr>
        <w:ind w:left="6480" w:hanging="360"/>
      </w:pPr>
    </w:lvl>
  </w:abstractNum>
  <w:num w:numId="1" w16cid:durableId="550654282">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E2DD7"/>
    <w:rsid w:val="0026294D"/>
    <w:rsid w:val="004E2DD7"/>
    <w:rsid w:val="006860A8"/>
    <w:rsid w:val="008B43C9"/>
    <w:rsid w:val="00FC4F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B6980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line="480" w:lineRule="auto"/>
    </w:pPr>
  </w:style>
  <w:style w:type="paragraph" w:styleId="Heading1">
    <w:name w:val="heading 1"/>
    <w:basedOn w:val="Normal"/>
    <w:next w:val="Normal"/>
    <w:uiPriority w:val="9"/>
    <w:qFormat/>
    <w:pPr>
      <w:outlineLvl w:val="0"/>
    </w:pPr>
    <w:rPr>
      <w:color w:val="2E74B5"/>
      <w:sz w:val="32"/>
      <w:szCs w:val="32"/>
    </w:rPr>
  </w:style>
  <w:style w:type="paragraph" w:styleId="Heading2">
    <w:name w:val="heading 2"/>
    <w:basedOn w:val="Normal"/>
    <w:next w:val="Normal"/>
    <w:uiPriority w:val="9"/>
    <w:semiHidden/>
    <w:unhideWhenUsed/>
    <w:qFormat/>
    <w:pPr>
      <w:outlineLvl w:val="1"/>
    </w:pPr>
    <w:rPr>
      <w:color w:val="2E74B5"/>
      <w:sz w:val="26"/>
      <w:szCs w:val="26"/>
    </w:rPr>
  </w:style>
  <w:style w:type="paragraph" w:styleId="Heading3">
    <w:name w:val="heading 3"/>
    <w:basedOn w:val="Normal"/>
    <w:next w:val="Normal"/>
    <w:uiPriority w:val="9"/>
    <w:semiHidden/>
    <w:unhideWhenUsed/>
    <w:qFormat/>
    <w:pPr>
      <w:outlineLvl w:val="2"/>
    </w:pPr>
    <w:rPr>
      <w:color w:val="1F4D78"/>
    </w:rPr>
  </w:style>
  <w:style w:type="paragraph" w:styleId="Heading4">
    <w:name w:val="heading 4"/>
    <w:basedOn w:val="Normal"/>
    <w:next w:val="Normal"/>
    <w:uiPriority w:val="9"/>
    <w:semiHidden/>
    <w:unhideWhenUsed/>
    <w:qFormat/>
    <w:pPr>
      <w:outlineLvl w:val="3"/>
    </w:pPr>
    <w:rPr>
      <w:i/>
      <w:iCs/>
      <w:color w:val="2E74B5"/>
    </w:rPr>
  </w:style>
  <w:style w:type="paragraph" w:styleId="Heading5">
    <w:name w:val="heading 5"/>
    <w:basedOn w:val="Normal"/>
    <w:next w:val="Normal"/>
    <w:uiPriority w:val="9"/>
    <w:semiHidden/>
    <w:unhideWhenUsed/>
    <w:qFormat/>
    <w:pPr>
      <w:outlineLvl w:val="4"/>
    </w:pPr>
    <w:rPr>
      <w:color w:val="2E74B5"/>
    </w:rPr>
  </w:style>
  <w:style w:type="paragraph" w:styleId="Heading6">
    <w:name w:val="heading 6"/>
    <w:basedOn w:val="Normal"/>
    <w:next w:val="Normal"/>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rPr>
      <w:sz w:val="56"/>
      <w:szCs w:val="56"/>
    </w:rPr>
  </w:style>
  <w:style w:type="paragraph" w:customStyle="1" w:styleId="Strong1">
    <w:name w:val="Strong1"/>
    <w:basedOn w:val="Normal"/>
    <w:next w:val="Normal"/>
    <w:qFormat/>
    <w:rPr>
      <w:b/>
      <w:bCs/>
    </w:rPr>
  </w:style>
  <w:style w:type="paragraph" w:styleId="ListParagraph">
    <w:name w:val="List Paragraph"/>
    <w:basedOn w:val="Normal"/>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basedOn w:val="Normal"/>
    <w:link w:val="FootnoteTextChar"/>
    <w:uiPriority w:val="99"/>
    <w:semiHidden/>
    <w:unhideWhenUsed/>
    <w:pPr>
      <w:spacing w:line="240" w:lineRule="auto"/>
    </w:pPr>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basedOn w:val="Normal"/>
    <w:link w:val="EndnoteTextChar"/>
    <w:uiPriority w:val="99"/>
    <w:semiHidden/>
    <w:unhideWhenUsed/>
    <w:pPr>
      <w:spacing w:line="240" w:lineRule="auto"/>
    </w:pPr>
    <w:rPr>
      <w:sz w:val="20"/>
      <w:szCs w:val="20"/>
    </w:rPr>
  </w:style>
  <w:style w:type="character" w:customStyle="1" w:styleId="EndnoteTextChar">
    <w:name w:val="Endnote Text Char"/>
    <w:link w:val="EndnoteText"/>
    <w:uiPriority w:val="99"/>
    <w:semiHidden/>
    <w:unhideWhenUsed/>
    <w:rPr>
      <w:sz w:val="20"/>
      <w:szCs w:val="20"/>
    </w:rPr>
  </w:style>
  <w:style w:type="paragraph" w:styleId="Header">
    <w:name w:val="header"/>
    <w:basedOn w:val="Normal"/>
    <w:link w:val="HeaderChar"/>
    <w:uiPriority w:val="99"/>
    <w:unhideWhenUsed/>
    <w:rsid w:val="006860A8"/>
    <w:pPr>
      <w:tabs>
        <w:tab w:val="center" w:pos="4513"/>
        <w:tab w:val="right" w:pos="9026"/>
      </w:tabs>
      <w:spacing w:line="240" w:lineRule="auto"/>
    </w:pPr>
  </w:style>
  <w:style w:type="character" w:customStyle="1" w:styleId="HeaderChar">
    <w:name w:val="Header Char"/>
    <w:basedOn w:val="DefaultParagraphFont"/>
    <w:link w:val="Header"/>
    <w:uiPriority w:val="99"/>
    <w:rsid w:val="006860A8"/>
  </w:style>
  <w:style w:type="paragraph" w:styleId="Footer">
    <w:name w:val="footer"/>
    <w:basedOn w:val="Normal"/>
    <w:link w:val="FooterChar"/>
    <w:uiPriority w:val="99"/>
    <w:unhideWhenUsed/>
    <w:rsid w:val="006860A8"/>
    <w:pPr>
      <w:tabs>
        <w:tab w:val="center" w:pos="4513"/>
        <w:tab w:val="right" w:pos="9026"/>
      </w:tabs>
      <w:spacing w:line="240" w:lineRule="auto"/>
    </w:pPr>
  </w:style>
  <w:style w:type="character" w:customStyle="1" w:styleId="FooterChar">
    <w:name w:val="Footer Char"/>
    <w:basedOn w:val="DefaultParagraphFont"/>
    <w:link w:val="Footer"/>
    <w:uiPriority w:val="99"/>
    <w:rsid w:val="006860A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2297</Words>
  <Characters>12889</Characters>
  <Application>Microsoft Office Word</Application>
  <DocSecurity>0</DocSecurity>
  <Lines>195</Lines>
  <Paragraphs>60</Paragraphs>
  <ScaleCrop>false</ScaleCrop>
  <Company/>
  <LinksUpToDate>false</LinksUpToDate>
  <CharactersWithSpaces>15126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2026-04-29T10:11:00Z</dcterms:created>
  <dcterms:modified xsi:type="dcterms:W3CDTF">2026-04-29T10:11:00Z</dcterms:modified>
</cp:coreProperties>
</file>