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56D3D" w14:textId="77777777" w:rsidR="00B94E61" w:rsidRPr="00967B5C" w:rsidRDefault="00B94E61" w:rsidP="00967B5C">
      <w:pPr>
        <w:spacing w:after="160"/>
        <w:ind w:firstLine="0"/>
        <w:jc w:val="center"/>
        <w:rPr>
          <w:rFonts w:cs="Times New Roman"/>
          <w:b/>
          <w:bCs/>
          <w:szCs w:val="24"/>
        </w:rPr>
      </w:pPr>
    </w:p>
    <w:p w14:paraId="1C7F8139" w14:textId="03E6173B" w:rsidR="00B94E61" w:rsidRPr="00967B5C" w:rsidRDefault="00802DDA" w:rsidP="00967B5C">
      <w:pPr>
        <w:spacing w:after="160"/>
        <w:ind w:firstLine="0"/>
        <w:jc w:val="center"/>
        <w:rPr>
          <w:rFonts w:cs="Times New Roman"/>
          <w:b/>
          <w:bCs/>
          <w:szCs w:val="24"/>
        </w:rPr>
      </w:pPr>
      <w:r>
        <w:rPr>
          <w:noProof/>
          <w:lang w:val="en-US"/>
        </w:rPr>
        <w:drawing>
          <wp:anchor distT="0" distB="0" distL="114300" distR="114300" simplePos="0" relativeHeight="251659264" behindDoc="0" locked="0" layoutInCell="1" allowOverlap="1" wp14:anchorId="2CD13FC8" wp14:editId="69C89ACD">
            <wp:simplePos x="0" y="0"/>
            <wp:positionH relativeFrom="column">
              <wp:posOffset>1645920</wp:posOffset>
            </wp:positionH>
            <wp:positionV relativeFrom="paragraph">
              <wp:posOffset>372745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59C33278" w14:textId="5C8F636C" w:rsidR="00B94E61" w:rsidRPr="00967B5C" w:rsidRDefault="00B94E61" w:rsidP="00967B5C">
      <w:pPr>
        <w:spacing w:after="160"/>
        <w:ind w:firstLine="0"/>
        <w:jc w:val="center"/>
        <w:rPr>
          <w:rFonts w:cs="Times New Roman"/>
          <w:b/>
          <w:bCs/>
          <w:szCs w:val="24"/>
        </w:rPr>
      </w:pPr>
    </w:p>
    <w:p w14:paraId="706830F9" w14:textId="77777777" w:rsidR="00B94E61" w:rsidRPr="00967B5C" w:rsidRDefault="00B94E61" w:rsidP="00967B5C">
      <w:pPr>
        <w:spacing w:after="160"/>
        <w:ind w:firstLine="0"/>
        <w:jc w:val="center"/>
        <w:rPr>
          <w:rFonts w:cs="Times New Roman"/>
          <w:b/>
          <w:bCs/>
          <w:szCs w:val="24"/>
        </w:rPr>
      </w:pPr>
    </w:p>
    <w:p w14:paraId="7FECFDD9" w14:textId="77777777" w:rsidR="00802DDA" w:rsidRDefault="00802DDA" w:rsidP="00802DDA">
      <w:pPr>
        <w:jc w:val="center"/>
        <w:rPr>
          <w:rFonts w:cs="Times New Roman"/>
          <w:b/>
          <w:bCs/>
          <w:szCs w:val="24"/>
        </w:rPr>
      </w:pPr>
    </w:p>
    <w:p w14:paraId="2D6B04BE" w14:textId="77777777" w:rsidR="00802DDA" w:rsidRDefault="00802DDA" w:rsidP="00802DDA">
      <w:pPr>
        <w:jc w:val="center"/>
        <w:rPr>
          <w:rFonts w:cs="Times New Roman"/>
          <w:b/>
          <w:bCs/>
          <w:szCs w:val="24"/>
        </w:rPr>
      </w:pPr>
    </w:p>
    <w:p w14:paraId="590E2570" w14:textId="77777777" w:rsidR="00802DDA" w:rsidRDefault="00802DDA" w:rsidP="00802DDA">
      <w:pPr>
        <w:jc w:val="center"/>
        <w:rPr>
          <w:rFonts w:cs="Times New Roman"/>
          <w:b/>
          <w:bCs/>
          <w:szCs w:val="24"/>
        </w:rPr>
      </w:pPr>
    </w:p>
    <w:p w14:paraId="4A665D57" w14:textId="77777777" w:rsidR="00802DDA" w:rsidRDefault="00802DDA" w:rsidP="00802DDA">
      <w:pPr>
        <w:jc w:val="center"/>
        <w:rPr>
          <w:rFonts w:cs="Times New Roman"/>
          <w:b/>
          <w:bCs/>
          <w:szCs w:val="24"/>
        </w:rPr>
      </w:pPr>
    </w:p>
    <w:p w14:paraId="2A81AB9F" w14:textId="77777777" w:rsidR="00802DDA" w:rsidRDefault="00802DDA" w:rsidP="00802DDA">
      <w:pPr>
        <w:jc w:val="center"/>
        <w:rPr>
          <w:rFonts w:cs="Times New Roman"/>
          <w:b/>
          <w:bCs/>
          <w:szCs w:val="24"/>
        </w:rPr>
      </w:pPr>
    </w:p>
    <w:p w14:paraId="64D8B850" w14:textId="0A4D6D71" w:rsidR="00802DDA" w:rsidRDefault="00802DDA" w:rsidP="00802DDA">
      <w:pPr>
        <w:jc w:val="center"/>
        <w:rPr>
          <w:rFonts w:cs="Times New Roman"/>
          <w:b/>
          <w:bCs/>
          <w:szCs w:val="24"/>
        </w:rPr>
      </w:pPr>
      <w:r>
        <w:rPr>
          <w:rFonts w:cs="Times New Roman"/>
          <w:b/>
          <w:bCs/>
          <w:szCs w:val="24"/>
        </w:rPr>
        <w:t>Managing People Assignment 2</w:t>
      </w:r>
      <w:r>
        <w:rPr>
          <w:rFonts w:cs="Times New Roman"/>
          <w:b/>
          <w:bCs/>
          <w:szCs w:val="24"/>
        </w:rPr>
        <w:t xml:space="preserve"> LCBB5004</w:t>
      </w:r>
    </w:p>
    <w:p w14:paraId="6923BABD" w14:textId="77777777" w:rsidR="00802DDA" w:rsidRDefault="00802DDA" w:rsidP="00802DDA">
      <w:pPr>
        <w:jc w:val="center"/>
        <w:rPr>
          <w:rFonts w:cs="Times New Roman"/>
          <w:szCs w:val="24"/>
        </w:rPr>
      </w:pPr>
      <w:r>
        <w:rPr>
          <w:rFonts w:cs="Times New Roman"/>
          <w:szCs w:val="24"/>
        </w:rPr>
        <w:t>Name of student: Elena Miloshevska 2024564</w:t>
      </w:r>
    </w:p>
    <w:p w14:paraId="5F5ED621" w14:textId="77777777" w:rsidR="00802DDA" w:rsidRDefault="00802DDA" w:rsidP="00802DDA">
      <w:pPr>
        <w:spacing w:before="0" w:after="160"/>
        <w:ind w:firstLine="0"/>
        <w:rPr>
          <w:rFonts w:cs="Times New Roman"/>
          <w:szCs w:val="24"/>
        </w:rPr>
      </w:pPr>
      <w:r>
        <w:rPr>
          <w:rFonts w:cs="Times New Roman"/>
          <w:szCs w:val="24"/>
        </w:rPr>
        <w:tab/>
      </w:r>
      <w:r>
        <w:rPr>
          <w:rFonts w:cs="Times New Roman"/>
          <w:szCs w:val="24"/>
        </w:rPr>
        <w:t xml:space="preserve">                                         </w:t>
      </w:r>
      <w:r>
        <w:rPr>
          <w:rFonts w:cs="Times New Roman"/>
          <w:szCs w:val="24"/>
        </w:rPr>
        <w:t xml:space="preserve">Name of lecturer: Nishi </w:t>
      </w:r>
      <w:proofErr w:type="spellStart"/>
      <w:r>
        <w:rPr>
          <w:rFonts w:cs="Times New Roman"/>
          <w:szCs w:val="24"/>
        </w:rPr>
        <w:t>Ramsurrun</w:t>
      </w:r>
      <w:proofErr w:type="spellEnd"/>
      <w:r>
        <w:rPr>
          <w:rFonts w:cs="Times New Roman"/>
          <w:szCs w:val="24"/>
        </w:rPr>
        <w:t xml:space="preserve"> </w:t>
      </w:r>
    </w:p>
    <w:p w14:paraId="24C0759C" w14:textId="77777777" w:rsidR="00802DDA" w:rsidRDefault="00802DDA" w:rsidP="00802DDA">
      <w:pPr>
        <w:spacing w:before="0" w:after="160"/>
        <w:ind w:firstLine="0"/>
        <w:rPr>
          <w:rFonts w:cs="Times New Roman"/>
          <w:szCs w:val="24"/>
        </w:rPr>
      </w:pPr>
    </w:p>
    <w:p w14:paraId="14094646" w14:textId="77777777" w:rsidR="00802DDA" w:rsidRDefault="00802DDA" w:rsidP="00802DDA">
      <w:pPr>
        <w:spacing w:before="0" w:after="160"/>
        <w:ind w:firstLine="0"/>
        <w:rPr>
          <w:rFonts w:cs="Times New Roman"/>
          <w:szCs w:val="24"/>
        </w:rPr>
      </w:pPr>
    </w:p>
    <w:p w14:paraId="338686E0" w14:textId="77777777" w:rsidR="00802DDA" w:rsidRDefault="00802DDA" w:rsidP="00802DDA">
      <w:pPr>
        <w:spacing w:before="0" w:after="160"/>
        <w:ind w:firstLine="0"/>
        <w:rPr>
          <w:rFonts w:cs="Times New Roman"/>
          <w:szCs w:val="24"/>
        </w:rPr>
      </w:pPr>
    </w:p>
    <w:p w14:paraId="76F88E63" w14:textId="77777777" w:rsidR="00802DDA" w:rsidRDefault="00802DDA" w:rsidP="00802DDA">
      <w:pPr>
        <w:spacing w:before="0" w:after="160"/>
        <w:ind w:firstLine="0"/>
        <w:rPr>
          <w:rFonts w:cs="Times New Roman"/>
          <w:szCs w:val="24"/>
        </w:rPr>
      </w:pPr>
    </w:p>
    <w:p w14:paraId="705391FD" w14:textId="77777777" w:rsidR="00802DDA" w:rsidRDefault="00802DDA" w:rsidP="00802DDA">
      <w:pPr>
        <w:spacing w:before="0" w:after="160"/>
        <w:ind w:firstLine="0"/>
        <w:rPr>
          <w:rFonts w:cs="Times New Roman"/>
          <w:szCs w:val="24"/>
        </w:rPr>
      </w:pPr>
    </w:p>
    <w:p w14:paraId="1BE23D49" w14:textId="77777777" w:rsidR="00802DDA" w:rsidRDefault="00802DDA" w:rsidP="00802DDA">
      <w:pPr>
        <w:spacing w:before="0" w:after="160"/>
        <w:ind w:firstLine="0"/>
        <w:rPr>
          <w:rFonts w:cs="Times New Roman"/>
          <w:szCs w:val="24"/>
        </w:rPr>
      </w:pPr>
    </w:p>
    <w:p w14:paraId="64F0B56F" w14:textId="77777777" w:rsidR="00802DDA" w:rsidRDefault="00802DDA" w:rsidP="00802DDA">
      <w:pPr>
        <w:spacing w:before="0" w:after="160"/>
        <w:ind w:firstLine="0"/>
        <w:jc w:val="right"/>
        <w:rPr>
          <w:rFonts w:cs="Times New Roman"/>
          <w:szCs w:val="24"/>
        </w:rPr>
      </w:pPr>
    </w:p>
    <w:p w14:paraId="1E6BEBAD" w14:textId="746B617A" w:rsidR="00967B5C" w:rsidRPr="00967B5C" w:rsidRDefault="00802DDA" w:rsidP="00802DDA">
      <w:pPr>
        <w:spacing w:before="0" w:after="160"/>
        <w:ind w:firstLine="0"/>
        <w:jc w:val="right"/>
        <w:rPr>
          <w:rFonts w:cs="Times New Roman"/>
          <w:szCs w:val="24"/>
        </w:rPr>
      </w:pPr>
      <w:r>
        <w:rPr>
          <w:rFonts w:cs="Times New Roman"/>
          <w:szCs w:val="24"/>
        </w:rPr>
        <w:t>Date: 05.05.2022</w:t>
      </w:r>
      <w:r w:rsidR="00967B5C" w:rsidRPr="00967B5C">
        <w:rPr>
          <w:rFonts w:cs="Times New Roman"/>
          <w:szCs w:val="24"/>
        </w:rPr>
        <w:br w:type="page"/>
      </w:r>
    </w:p>
    <w:sdt>
      <w:sdtPr>
        <w:rPr>
          <w:rFonts w:ascii="Times New Roman" w:eastAsiaTheme="minorHAnsi" w:hAnsi="Times New Roman" w:cs="Times New Roman"/>
          <w:b/>
          <w:bCs/>
          <w:i/>
          <w:iCs/>
          <w:color w:val="auto"/>
          <w:sz w:val="24"/>
          <w:szCs w:val="24"/>
          <w:lang w:val="en-GB"/>
        </w:rPr>
        <w:id w:val="-2100161864"/>
        <w:docPartObj>
          <w:docPartGallery w:val="Table of Contents"/>
          <w:docPartUnique/>
        </w:docPartObj>
      </w:sdtPr>
      <w:sdtEndPr>
        <w:rPr>
          <w:i w:val="0"/>
          <w:iCs w:val="0"/>
          <w:noProof/>
        </w:rPr>
      </w:sdtEndPr>
      <w:sdtContent>
        <w:p w14:paraId="6AC3BD1A" w14:textId="536C1E9B" w:rsidR="00967B5C" w:rsidRPr="00967B5C" w:rsidRDefault="00967B5C" w:rsidP="00967B5C">
          <w:pPr>
            <w:pStyle w:val="TOCHeading"/>
            <w:spacing w:line="480" w:lineRule="auto"/>
            <w:jc w:val="center"/>
            <w:rPr>
              <w:rFonts w:ascii="Times New Roman" w:hAnsi="Times New Roman" w:cs="Times New Roman"/>
              <w:b/>
              <w:bCs/>
              <w:i/>
              <w:iCs/>
              <w:color w:val="auto"/>
              <w:sz w:val="24"/>
              <w:szCs w:val="24"/>
            </w:rPr>
          </w:pPr>
          <w:r w:rsidRPr="00967B5C">
            <w:rPr>
              <w:rFonts w:ascii="Times New Roman" w:hAnsi="Times New Roman" w:cs="Times New Roman"/>
              <w:b/>
              <w:bCs/>
              <w:i/>
              <w:iCs/>
              <w:color w:val="auto"/>
              <w:sz w:val="24"/>
              <w:szCs w:val="24"/>
            </w:rPr>
            <w:t>Table of Contents</w:t>
          </w:r>
        </w:p>
        <w:p w14:paraId="6076A619" w14:textId="65174AB2" w:rsidR="00B056D4" w:rsidRDefault="00967B5C">
          <w:pPr>
            <w:pStyle w:val="TOC1"/>
            <w:tabs>
              <w:tab w:val="right" w:leader="dot" w:pos="9016"/>
            </w:tabs>
            <w:rPr>
              <w:rFonts w:asciiTheme="minorHAnsi" w:eastAsiaTheme="minorEastAsia" w:hAnsiTheme="minorHAnsi"/>
              <w:noProof/>
              <w:sz w:val="22"/>
              <w:lang w:eastAsia="en-GB"/>
            </w:rPr>
          </w:pPr>
          <w:r w:rsidRPr="00967B5C">
            <w:rPr>
              <w:rFonts w:cs="Times New Roman"/>
              <w:szCs w:val="24"/>
            </w:rPr>
            <w:fldChar w:fldCharType="begin"/>
          </w:r>
          <w:r w:rsidRPr="00967B5C">
            <w:rPr>
              <w:rFonts w:cs="Times New Roman"/>
              <w:szCs w:val="24"/>
            </w:rPr>
            <w:instrText xml:space="preserve"> TOC \o "1-3" \h \z \u </w:instrText>
          </w:r>
          <w:r w:rsidRPr="00967B5C">
            <w:rPr>
              <w:rFonts w:cs="Times New Roman"/>
              <w:szCs w:val="24"/>
            </w:rPr>
            <w:fldChar w:fldCharType="separate"/>
          </w:r>
          <w:hyperlink w:anchor="_Toc101353812" w:history="1">
            <w:r w:rsidR="00B056D4" w:rsidRPr="0045280E">
              <w:rPr>
                <w:rStyle w:val="Hyperlink"/>
                <w:rFonts w:cs="Times New Roman"/>
                <w:noProof/>
              </w:rPr>
              <w:t>Introduction</w:t>
            </w:r>
            <w:r w:rsidR="00B056D4">
              <w:rPr>
                <w:noProof/>
                <w:webHidden/>
              </w:rPr>
              <w:tab/>
            </w:r>
            <w:r w:rsidR="00B056D4">
              <w:rPr>
                <w:noProof/>
                <w:webHidden/>
              </w:rPr>
              <w:fldChar w:fldCharType="begin"/>
            </w:r>
            <w:r w:rsidR="00B056D4">
              <w:rPr>
                <w:noProof/>
                <w:webHidden/>
              </w:rPr>
              <w:instrText xml:space="preserve"> PAGEREF _Toc101353812 \h </w:instrText>
            </w:r>
            <w:r w:rsidR="00B056D4">
              <w:rPr>
                <w:noProof/>
                <w:webHidden/>
              </w:rPr>
            </w:r>
            <w:r w:rsidR="00B056D4">
              <w:rPr>
                <w:noProof/>
                <w:webHidden/>
              </w:rPr>
              <w:fldChar w:fldCharType="separate"/>
            </w:r>
            <w:r w:rsidR="00B056D4">
              <w:rPr>
                <w:noProof/>
                <w:webHidden/>
              </w:rPr>
              <w:t>3</w:t>
            </w:r>
            <w:r w:rsidR="00B056D4">
              <w:rPr>
                <w:noProof/>
                <w:webHidden/>
              </w:rPr>
              <w:fldChar w:fldCharType="end"/>
            </w:r>
          </w:hyperlink>
        </w:p>
        <w:p w14:paraId="42CEF8FB" w14:textId="07A9F66D" w:rsidR="00B056D4" w:rsidRDefault="00ED31D7">
          <w:pPr>
            <w:pStyle w:val="TOC1"/>
            <w:tabs>
              <w:tab w:val="right" w:leader="dot" w:pos="9016"/>
            </w:tabs>
            <w:rPr>
              <w:rFonts w:asciiTheme="minorHAnsi" w:eastAsiaTheme="minorEastAsia" w:hAnsiTheme="minorHAnsi"/>
              <w:noProof/>
              <w:sz w:val="22"/>
              <w:lang w:eastAsia="en-GB"/>
            </w:rPr>
          </w:pPr>
          <w:hyperlink w:anchor="_Toc101353813" w:history="1">
            <w:r w:rsidR="00B056D4" w:rsidRPr="0045280E">
              <w:rPr>
                <w:rStyle w:val="Hyperlink"/>
                <w:rFonts w:cs="Times New Roman"/>
                <w:noProof/>
              </w:rPr>
              <w:t>Concept and Drivers of Employee Engagement</w:t>
            </w:r>
            <w:r w:rsidR="00B056D4">
              <w:rPr>
                <w:noProof/>
                <w:webHidden/>
              </w:rPr>
              <w:tab/>
            </w:r>
            <w:r w:rsidR="00B056D4">
              <w:rPr>
                <w:noProof/>
                <w:webHidden/>
              </w:rPr>
              <w:fldChar w:fldCharType="begin"/>
            </w:r>
            <w:r w:rsidR="00B056D4">
              <w:rPr>
                <w:noProof/>
                <w:webHidden/>
              </w:rPr>
              <w:instrText xml:space="preserve"> PAGEREF _Toc101353813 \h </w:instrText>
            </w:r>
            <w:r w:rsidR="00B056D4">
              <w:rPr>
                <w:noProof/>
                <w:webHidden/>
              </w:rPr>
            </w:r>
            <w:r w:rsidR="00B056D4">
              <w:rPr>
                <w:noProof/>
                <w:webHidden/>
              </w:rPr>
              <w:fldChar w:fldCharType="separate"/>
            </w:r>
            <w:r w:rsidR="00B056D4">
              <w:rPr>
                <w:noProof/>
                <w:webHidden/>
              </w:rPr>
              <w:t>4</w:t>
            </w:r>
            <w:r w:rsidR="00B056D4">
              <w:rPr>
                <w:noProof/>
                <w:webHidden/>
              </w:rPr>
              <w:fldChar w:fldCharType="end"/>
            </w:r>
          </w:hyperlink>
        </w:p>
        <w:p w14:paraId="19327E3E" w14:textId="4E47010A" w:rsidR="00B056D4" w:rsidRDefault="00ED31D7">
          <w:pPr>
            <w:pStyle w:val="TOC1"/>
            <w:tabs>
              <w:tab w:val="right" w:leader="dot" w:pos="9016"/>
            </w:tabs>
            <w:rPr>
              <w:rFonts w:asciiTheme="minorHAnsi" w:eastAsiaTheme="minorEastAsia" w:hAnsiTheme="minorHAnsi"/>
              <w:noProof/>
              <w:sz w:val="22"/>
              <w:lang w:eastAsia="en-GB"/>
            </w:rPr>
          </w:pPr>
          <w:hyperlink w:anchor="_Toc101353814" w:history="1">
            <w:r w:rsidR="00B056D4" w:rsidRPr="0045280E">
              <w:rPr>
                <w:rStyle w:val="Hyperlink"/>
                <w:rFonts w:cs="Times New Roman"/>
                <w:noProof/>
              </w:rPr>
              <w:t>Diagnostic Tools to Measure the Engagement</w:t>
            </w:r>
            <w:r w:rsidR="00B056D4">
              <w:rPr>
                <w:noProof/>
                <w:webHidden/>
              </w:rPr>
              <w:tab/>
            </w:r>
            <w:r w:rsidR="00B056D4">
              <w:rPr>
                <w:noProof/>
                <w:webHidden/>
              </w:rPr>
              <w:fldChar w:fldCharType="begin"/>
            </w:r>
            <w:r w:rsidR="00B056D4">
              <w:rPr>
                <w:noProof/>
                <w:webHidden/>
              </w:rPr>
              <w:instrText xml:space="preserve"> PAGEREF _Toc101353814 \h </w:instrText>
            </w:r>
            <w:r w:rsidR="00B056D4">
              <w:rPr>
                <w:noProof/>
                <w:webHidden/>
              </w:rPr>
            </w:r>
            <w:r w:rsidR="00B056D4">
              <w:rPr>
                <w:noProof/>
                <w:webHidden/>
              </w:rPr>
              <w:fldChar w:fldCharType="separate"/>
            </w:r>
            <w:r w:rsidR="00B056D4">
              <w:rPr>
                <w:noProof/>
                <w:webHidden/>
              </w:rPr>
              <w:t>7</w:t>
            </w:r>
            <w:r w:rsidR="00B056D4">
              <w:rPr>
                <w:noProof/>
                <w:webHidden/>
              </w:rPr>
              <w:fldChar w:fldCharType="end"/>
            </w:r>
          </w:hyperlink>
        </w:p>
        <w:p w14:paraId="4121C7D2" w14:textId="7764658B" w:rsidR="00B056D4" w:rsidRDefault="00ED31D7">
          <w:pPr>
            <w:pStyle w:val="TOC2"/>
            <w:tabs>
              <w:tab w:val="right" w:leader="dot" w:pos="9016"/>
            </w:tabs>
            <w:rPr>
              <w:rFonts w:asciiTheme="minorHAnsi" w:eastAsiaTheme="minorEastAsia" w:hAnsiTheme="minorHAnsi"/>
              <w:noProof/>
              <w:sz w:val="22"/>
              <w:lang w:eastAsia="en-GB"/>
            </w:rPr>
          </w:pPr>
          <w:hyperlink w:anchor="_Toc101353815" w:history="1">
            <w:r w:rsidR="00B056D4" w:rsidRPr="0045280E">
              <w:rPr>
                <w:rStyle w:val="Hyperlink"/>
                <w:noProof/>
              </w:rPr>
              <w:t>Confidence</w:t>
            </w:r>
            <w:r w:rsidR="00B056D4">
              <w:rPr>
                <w:noProof/>
                <w:webHidden/>
              </w:rPr>
              <w:tab/>
            </w:r>
            <w:r w:rsidR="00B056D4">
              <w:rPr>
                <w:noProof/>
                <w:webHidden/>
              </w:rPr>
              <w:fldChar w:fldCharType="begin"/>
            </w:r>
            <w:r w:rsidR="00B056D4">
              <w:rPr>
                <w:noProof/>
                <w:webHidden/>
              </w:rPr>
              <w:instrText xml:space="preserve"> PAGEREF _Toc101353815 \h </w:instrText>
            </w:r>
            <w:r w:rsidR="00B056D4">
              <w:rPr>
                <w:noProof/>
                <w:webHidden/>
              </w:rPr>
            </w:r>
            <w:r w:rsidR="00B056D4">
              <w:rPr>
                <w:noProof/>
                <w:webHidden/>
              </w:rPr>
              <w:fldChar w:fldCharType="separate"/>
            </w:r>
            <w:r w:rsidR="00B056D4">
              <w:rPr>
                <w:noProof/>
                <w:webHidden/>
              </w:rPr>
              <w:t>7</w:t>
            </w:r>
            <w:r w:rsidR="00B056D4">
              <w:rPr>
                <w:noProof/>
                <w:webHidden/>
              </w:rPr>
              <w:fldChar w:fldCharType="end"/>
            </w:r>
          </w:hyperlink>
        </w:p>
        <w:p w14:paraId="47FB9F13" w14:textId="5A64D573" w:rsidR="00B056D4" w:rsidRDefault="00ED31D7">
          <w:pPr>
            <w:pStyle w:val="TOC2"/>
            <w:tabs>
              <w:tab w:val="right" w:leader="dot" w:pos="9016"/>
            </w:tabs>
            <w:rPr>
              <w:rFonts w:asciiTheme="minorHAnsi" w:eastAsiaTheme="minorEastAsia" w:hAnsiTheme="minorHAnsi"/>
              <w:noProof/>
              <w:sz w:val="22"/>
              <w:lang w:eastAsia="en-GB"/>
            </w:rPr>
          </w:pPr>
          <w:hyperlink w:anchor="_Toc101353816" w:history="1">
            <w:r w:rsidR="00B056D4" w:rsidRPr="0045280E">
              <w:rPr>
                <w:rStyle w:val="Hyperlink"/>
                <w:noProof/>
              </w:rPr>
              <w:t>Compensation</w:t>
            </w:r>
            <w:r w:rsidR="00B056D4">
              <w:rPr>
                <w:noProof/>
                <w:webHidden/>
              </w:rPr>
              <w:tab/>
            </w:r>
            <w:r w:rsidR="00B056D4">
              <w:rPr>
                <w:noProof/>
                <w:webHidden/>
              </w:rPr>
              <w:fldChar w:fldCharType="begin"/>
            </w:r>
            <w:r w:rsidR="00B056D4">
              <w:rPr>
                <w:noProof/>
                <w:webHidden/>
              </w:rPr>
              <w:instrText xml:space="preserve"> PAGEREF _Toc101353816 \h </w:instrText>
            </w:r>
            <w:r w:rsidR="00B056D4">
              <w:rPr>
                <w:noProof/>
                <w:webHidden/>
              </w:rPr>
            </w:r>
            <w:r w:rsidR="00B056D4">
              <w:rPr>
                <w:noProof/>
                <w:webHidden/>
              </w:rPr>
              <w:fldChar w:fldCharType="separate"/>
            </w:r>
            <w:r w:rsidR="00B056D4">
              <w:rPr>
                <w:noProof/>
                <w:webHidden/>
              </w:rPr>
              <w:t>7</w:t>
            </w:r>
            <w:r w:rsidR="00B056D4">
              <w:rPr>
                <w:noProof/>
                <w:webHidden/>
              </w:rPr>
              <w:fldChar w:fldCharType="end"/>
            </w:r>
          </w:hyperlink>
        </w:p>
        <w:p w14:paraId="1B12894D" w14:textId="1B3D1EA1" w:rsidR="00B056D4" w:rsidRDefault="00ED31D7">
          <w:pPr>
            <w:pStyle w:val="TOC2"/>
            <w:tabs>
              <w:tab w:val="right" w:leader="dot" w:pos="9016"/>
            </w:tabs>
            <w:rPr>
              <w:rFonts w:asciiTheme="minorHAnsi" w:eastAsiaTheme="minorEastAsia" w:hAnsiTheme="minorHAnsi"/>
              <w:noProof/>
              <w:sz w:val="22"/>
              <w:lang w:eastAsia="en-GB"/>
            </w:rPr>
          </w:pPr>
          <w:hyperlink w:anchor="_Toc101353817" w:history="1">
            <w:r w:rsidR="00B056D4" w:rsidRPr="0045280E">
              <w:rPr>
                <w:rStyle w:val="Hyperlink"/>
                <w:noProof/>
              </w:rPr>
              <w:t>Communication</w:t>
            </w:r>
            <w:r w:rsidR="00B056D4">
              <w:rPr>
                <w:noProof/>
                <w:webHidden/>
              </w:rPr>
              <w:tab/>
            </w:r>
            <w:r w:rsidR="00B056D4">
              <w:rPr>
                <w:noProof/>
                <w:webHidden/>
              </w:rPr>
              <w:fldChar w:fldCharType="begin"/>
            </w:r>
            <w:r w:rsidR="00B056D4">
              <w:rPr>
                <w:noProof/>
                <w:webHidden/>
              </w:rPr>
              <w:instrText xml:space="preserve"> PAGEREF _Toc101353817 \h </w:instrText>
            </w:r>
            <w:r w:rsidR="00B056D4">
              <w:rPr>
                <w:noProof/>
                <w:webHidden/>
              </w:rPr>
            </w:r>
            <w:r w:rsidR="00B056D4">
              <w:rPr>
                <w:noProof/>
                <w:webHidden/>
              </w:rPr>
              <w:fldChar w:fldCharType="separate"/>
            </w:r>
            <w:r w:rsidR="00B056D4">
              <w:rPr>
                <w:noProof/>
                <w:webHidden/>
              </w:rPr>
              <w:t>8</w:t>
            </w:r>
            <w:r w:rsidR="00B056D4">
              <w:rPr>
                <w:noProof/>
                <w:webHidden/>
              </w:rPr>
              <w:fldChar w:fldCharType="end"/>
            </w:r>
          </w:hyperlink>
        </w:p>
        <w:p w14:paraId="312A09F1" w14:textId="0BD3D35E" w:rsidR="00B056D4" w:rsidRDefault="00ED31D7">
          <w:pPr>
            <w:pStyle w:val="TOC1"/>
            <w:tabs>
              <w:tab w:val="right" w:leader="dot" w:pos="9016"/>
            </w:tabs>
            <w:rPr>
              <w:rFonts w:asciiTheme="minorHAnsi" w:eastAsiaTheme="minorEastAsia" w:hAnsiTheme="minorHAnsi"/>
              <w:noProof/>
              <w:sz w:val="22"/>
              <w:lang w:eastAsia="en-GB"/>
            </w:rPr>
          </w:pPr>
          <w:hyperlink w:anchor="_Toc101353818" w:history="1">
            <w:r w:rsidR="00B056D4" w:rsidRPr="0045280E">
              <w:rPr>
                <w:rStyle w:val="Hyperlink"/>
                <w:rFonts w:cs="Times New Roman"/>
                <w:noProof/>
              </w:rPr>
              <w:t>Constructing an Employee Value Proposition</w:t>
            </w:r>
            <w:r w:rsidR="00B056D4">
              <w:rPr>
                <w:noProof/>
                <w:webHidden/>
              </w:rPr>
              <w:tab/>
            </w:r>
            <w:r w:rsidR="00B056D4">
              <w:rPr>
                <w:noProof/>
                <w:webHidden/>
              </w:rPr>
              <w:fldChar w:fldCharType="begin"/>
            </w:r>
            <w:r w:rsidR="00B056D4">
              <w:rPr>
                <w:noProof/>
                <w:webHidden/>
              </w:rPr>
              <w:instrText xml:space="preserve"> PAGEREF _Toc101353818 \h </w:instrText>
            </w:r>
            <w:r w:rsidR="00B056D4">
              <w:rPr>
                <w:noProof/>
                <w:webHidden/>
              </w:rPr>
            </w:r>
            <w:r w:rsidR="00B056D4">
              <w:rPr>
                <w:noProof/>
                <w:webHidden/>
              </w:rPr>
              <w:fldChar w:fldCharType="separate"/>
            </w:r>
            <w:r w:rsidR="00B056D4">
              <w:rPr>
                <w:noProof/>
                <w:webHidden/>
              </w:rPr>
              <w:t>8</w:t>
            </w:r>
            <w:r w:rsidR="00B056D4">
              <w:rPr>
                <w:noProof/>
                <w:webHidden/>
              </w:rPr>
              <w:fldChar w:fldCharType="end"/>
            </w:r>
          </w:hyperlink>
        </w:p>
        <w:p w14:paraId="34CC3A85" w14:textId="458DDF61" w:rsidR="00B056D4" w:rsidRDefault="00ED31D7">
          <w:pPr>
            <w:pStyle w:val="TOC1"/>
            <w:tabs>
              <w:tab w:val="right" w:leader="dot" w:pos="9016"/>
            </w:tabs>
            <w:rPr>
              <w:rFonts w:asciiTheme="minorHAnsi" w:eastAsiaTheme="minorEastAsia" w:hAnsiTheme="minorHAnsi"/>
              <w:noProof/>
              <w:sz w:val="22"/>
              <w:lang w:eastAsia="en-GB"/>
            </w:rPr>
          </w:pPr>
          <w:hyperlink w:anchor="_Toc101353819" w:history="1">
            <w:r w:rsidR="00B056D4" w:rsidRPr="0045280E">
              <w:rPr>
                <w:rStyle w:val="Hyperlink"/>
                <w:rFonts w:cs="Times New Roman"/>
                <w:noProof/>
              </w:rPr>
              <w:t>References</w:t>
            </w:r>
            <w:r w:rsidR="00B056D4">
              <w:rPr>
                <w:noProof/>
                <w:webHidden/>
              </w:rPr>
              <w:tab/>
            </w:r>
            <w:r w:rsidR="00B056D4">
              <w:rPr>
                <w:noProof/>
                <w:webHidden/>
              </w:rPr>
              <w:fldChar w:fldCharType="begin"/>
            </w:r>
            <w:r w:rsidR="00B056D4">
              <w:rPr>
                <w:noProof/>
                <w:webHidden/>
              </w:rPr>
              <w:instrText xml:space="preserve"> PAGEREF _Toc101353819 \h </w:instrText>
            </w:r>
            <w:r w:rsidR="00B056D4">
              <w:rPr>
                <w:noProof/>
                <w:webHidden/>
              </w:rPr>
            </w:r>
            <w:r w:rsidR="00B056D4">
              <w:rPr>
                <w:noProof/>
                <w:webHidden/>
              </w:rPr>
              <w:fldChar w:fldCharType="separate"/>
            </w:r>
            <w:r w:rsidR="00B056D4">
              <w:rPr>
                <w:noProof/>
                <w:webHidden/>
              </w:rPr>
              <w:t>11</w:t>
            </w:r>
            <w:r w:rsidR="00B056D4">
              <w:rPr>
                <w:noProof/>
                <w:webHidden/>
              </w:rPr>
              <w:fldChar w:fldCharType="end"/>
            </w:r>
          </w:hyperlink>
        </w:p>
        <w:p w14:paraId="770D8D84" w14:textId="19EDBD3C" w:rsidR="00967B5C" w:rsidRDefault="00967B5C" w:rsidP="00967B5C">
          <w:pPr>
            <w:rPr>
              <w:rFonts w:cs="Times New Roman"/>
              <w:b/>
              <w:bCs/>
              <w:noProof/>
              <w:szCs w:val="24"/>
            </w:rPr>
          </w:pPr>
          <w:r w:rsidRPr="00967B5C">
            <w:rPr>
              <w:rFonts w:cs="Times New Roman"/>
              <w:b/>
              <w:bCs/>
              <w:noProof/>
              <w:szCs w:val="24"/>
            </w:rPr>
            <w:fldChar w:fldCharType="end"/>
          </w:r>
        </w:p>
      </w:sdtContent>
    </w:sdt>
    <w:p w14:paraId="6AA9124F" w14:textId="25382C70" w:rsidR="00B94E61" w:rsidRPr="00967B5C" w:rsidRDefault="00B94E61" w:rsidP="00967B5C">
      <w:pPr>
        <w:rPr>
          <w:rFonts w:cs="Times New Roman"/>
          <w:szCs w:val="24"/>
        </w:rPr>
      </w:pPr>
      <w:r w:rsidRPr="00967B5C">
        <w:rPr>
          <w:rFonts w:cs="Times New Roman"/>
          <w:szCs w:val="24"/>
        </w:rPr>
        <w:br w:type="page"/>
      </w:r>
    </w:p>
    <w:p w14:paraId="7A1F7777" w14:textId="77777777" w:rsidR="00A94C4F" w:rsidRPr="00967B5C" w:rsidRDefault="00A94C4F" w:rsidP="00967B5C">
      <w:pPr>
        <w:pStyle w:val="Heading1"/>
        <w:rPr>
          <w:rFonts w:cs="Times New Roman"/>
          <w:szCs w:val="24"/>
        </w:rPr>
        <w:sectPr w:rsidR="00A94C4F" w:rsidRPr="00967B5C" w:rsidSect="00A94C4F">
          <w:headerReference w:type="default" r:id="rId9"/>
          <w:pgSz w:w="11906" w:h="16838"/>
          <w:pgMar w:top="1440" w:right="1440" w:bottom="1440" w:left="1440" w:header="708" w:footer="708" w:gutter="0"/>
          <w:pgNumType w:fmt="lowerRoman"/>
          <w:cols w:space="708"/>
          <w:docGrid w:linePitch="360"/>
        </w:sectPr>
      </w:pPr>
    </w:p>
    <w:p w14:paraId="1AFE1E9A" w14:textId="3B0FDD49" w:rsidR="000C0275" w:rsidRPr="00967B5C" w:rsidRDefault="000C0275" w:rsidP="00967B5C">
      <w:pPr>
        <w:pStyle w:val="Heading1"/>
        <w:rPr>
          <w:rFonts w:cs="Times New Roman"/>
          <w:szCs w:val="24"/>
        </w:rPr>
      </w:pPr>
      <w:bookmarkStart w:id="0" w:name="_Toc101353812"/>
      <w:r w:rsidRPr="00967B5C">
        <w:rPr>
          <w:rFonts w:cs="Times New Roman"/>
          <w:szCs w:val="24"/>
        </w:rPr>
        <w:lastRenderedPageBreak/>
        <w:t>Introduction</w:t>
      </w:r>
      <w:bookmarkStart w:id="1" w:name="_GoBack"/>
      <w:bookmarkEnd w:id="0"/>
      <w:bookmarkEnd w:id="1"/>
    </w:p>
    <w:p w14:paraId="241B258D" w14:textId="3399588E" w:rsidR="000C0275" w:rsidRPr="00967B5C" w:rsidRDefault="00B94E61" w:rsidP="00967B5C">
      <w:pPr>
        <w:pStyle w:val="NormalWeb"/>
        <w:spacing w:before="120" w:beforeAutospacing="0" w:line="480" w:lineRule="auto"/>
      </w:pPr>
      <w:r w:rsidRPr="00967B5C">
        <w:t>In recent years, employee engagement initiatives have gained favour. Employee engagement is a worker's mental, psychological, and psychosocial energy dedicated to achieving acceptable job performance (Armstrong and Taylor, 2017). According to research, dedicated employees are more likely to be constructive (Sutton, 2020), remain with their current firm, and communicate with consumers. According to research</w:t>
      </w:r>
      <w:r w:rsidR="00702EA7">
        <w:t xml:space="preserve"> of </w:t>
      </w:r>
      <w:proofErr w:type="spellStart"/>
      <w:r w:rsidR="00702EA7">
        <w:t>Sanad</w:t>
      </w:r>
      <w:proofErr w:type="spellEnd"/>
      <w:r w:rsidR="00702EA7">
        <w:t xml:space="preserve"> and </w:t>
      </w:r>
      <w:proofErr w:type="spellStart"/>
      <w:r w:rsidR="00702EA7">
        <w:t>Anitha</w:t>
      </w:r>
      <w:proofErr w:type="spellEnd"/>
      <w:r w:rsidR="00702EA7">
        <w:t xml:space="preserve"> (2021)</w:t>
      </w:r>
      <w:r w:rsidRPr="00967B5C">
        <w:t xml:space="preserve">, having a high level of employee engagement may help businesses. Engagement seems to be advantageous to the company. While the rationale for interaction research and its wide relevance in areas like effort and turnover remains strong, more patient-centred research results in health and well-being have developed, with implications for organisational settings. The current epidemic has generated challenges for organisations, particularly those in charge of human resources. According to Ahmed et al. (2020), considerable changes occur in the workplace and socio-cultural environments, such as the shift to remote work and the implementation of new organisational rules and procedures meant to reduce interaction. As a result, workers have struggled to disengage from work commitments, separate work and personal life, and even have an increased risk appetite, such as exclusion (Sutton, 2020). Key staff have been subjected to stressful situations such as an excessive workload, lengthy hours, and fewer rest times. Furthermore, being sick on the job and transmitting the illness to family members and others is a major problem (Hamilton et al., 2021). Finally, job losses, salary cutbacks, and layoffs have exacerbated high unemployment and financial misery, leaving individuals in an uncertain position (Barreiro and </w:t>
      </w:r>
      <w:proofErr w:type="spellStart"/>
      <w:r w:rsidRPr="00967B5C">
        <w:t>Treglown</w:t>
      </w:r>
      <w:proofErr w:type="spellEnd"/>
      <w:r w:rsidRPr="00967B5C">
        <w:t>, 2020), putting workplace well-being at risk. Businesses must address this issue by instituting new health policies, processes, and safeguards to avoid widespread health issues (Sutton, 2020). Consequently, addressing personnel concerns has proved to be more challenging than before the breakout of the disease.</w:t>
      </w:r>
    </w:p>
    <w:p w14:paraId="2C879496" w14:textId="2778D1A1" w:rsidR="000C0275" w:rsidRPr="00967B5C" w:rsidRDefault="000C0275" w:rsidP="00967B5C">
      <w:pPr>
        <w:pStyle w:val="Heading1"/>
        <w:rPr>
          <w:rFonts w:cs="Times New Roman"/>
          <w:szCs w:val="24"/>
        </w:rPr>
      </w:pPr>
      <w:bookmarkStart w:id="2" w:name="_Toc101353813"/>
      <w:r w:rsidRPr="00967B5C">
        <w:rPr>
          <w:rFonts w:cs="Times New Roman"/>
          <w:szCs w:val="24"/>
        </w:rPr>
        <w:lastRenderedPageBreak/>
        <w:t>Concept and Drivers of Employee Engagement</w:t>
      </w:r>
      <w:bookmarkEnd w:id="2"/>
    </w:p>
    <w:p w14:paraId="0D9D6852" w14:textId="34F5A50E" w:rsidR="00022C75" w:rsidRPr="00967B5C" w:rsidRDefault="00022C75" w:rsidP="00967B5C">
      <w:pPr>
        <w:ind w:firstLine="0"/>
        <w:rPr>
          <w:rFonts w:cs="Times New Roman"/>
          <w:szCs w:val="24"/>
        </w:rPr>
      </w:pPr>
      <w:r w:rsidRPr="00967B5C">
        <w:rPr>
          <w:rFonts w:cs="Times New Roman"/>
          <w:szCs w:val="24"/>
        </w:rPr>
        <w:t xml:space="preserve">Healthy companies are expected to adopt workplace policies and practices that promote and enhance employee well-being, resulting in higher productivity. The term "toxic" or "unhealthy" organisation refers to the polar opposite model, characterised by poor working conditions, a high rate of absenteeism, and a high rate of employee turnover. Businesses are exposed to substantial financial and constructive losses if this occurs. On the other hand, organisations often have a highly productive workforce with a high coefficient of performance, which results in better economic situations (Barreiro </w:t>
      </w:r>
      <w:r w:rsidR="00B94E61" w:rsidRPr="00967B5C">
        <w:rPr>
          <w:rFonts w:cs="Times New Roman"/>
          <w:szCs w:val="24"/>
        </w:rPr>
        <w:t>and</w:t>
      </w:r>
      <w:r w:rsidRPr="00967B5C">
        <w:rPr>
          <w:rFonts w:cs="Times New Roman"/>
          <w:szCs w:val="24"/>
        </w:rPr>
        <w:t xml:space="preserve"> </w:t>
      </w:r>
      <w:proofErr w:type="spellStart"/>
      <w:r w:rsidRPr="00967B5C">
        <w:rPr>
          <w:rFonts w:cs="Times New Roman"/>
          <w:szCs w:val="24"/>
        </w:rPr>
        <w:t>Treglown</w:t>
      </w:r>
      <w:proofErr w:type="spellEnd"/>
      <w:r w:rsidRPr="00967B5C">
        <w:rPr>
          <w:rFonts w:cs="Times New Roman"/>
          <w:szCs w:val="24"/>
        </w:rPr>
        <w:t>, 2020). Consequently, job engagement and the work environment have a psychological and emotional impact on pleasant job performance and behaviour. As a result, organisational success and employee pleasure are inextricably intertwined. Firm success, which refers to fulfilling a business has declared goals and objectives, is also positively associated with the relationship between interaction and organisational effectiveness (Ahmed et al., 2020).</w:t>
      </w:r>
    </w:p>
    <w:p w14:paraId="6AB7B8C0" w14:textId="3134388A" w:rsidR="00022C75" w:rsidRPr="00967B5C" w:rsidRDefault="00022C75" w:rsidP="00967B5C">
      <w:pPr>
        <w:ind w:firstLine="0"/>
        <w:rPr>
          <w:rFonts w:cs="Times New Roman"/>
          <w:szCs w:val="24"/>
        </w:rPr>
      </w:pPr>
      <w:r w:rsidRPr="00967B5C">
        <w:rPr>
          <w:rFonts w:cs="Times New Roman"/>
          <w:szCs w:val="24"/>
        </w:rPr>
        <w:t>On the other hand, a work environment that fosters employee satisfaction, engagement, and effectiveness benefits employees' well-being and economic output. Wellness is critical for long-term job satisfaction and organisational commitment on a bidirectional basis. At the moment, there is no universally accepted definition of employee satisfaction. The idea of employee engagement is controversial in its significance (</w:t>
      </w:r>
      <w:proofErr w:type="spellStart"/>
      <w:r w:rsidRPr="00967B5C">
        <w:rPr>
          <w:rFonts w:cs="Times New Roman"/>
          <w:szCs w:val="24"/>
        </w:rPr>
        <w:t>Obrenovic</w:t>
      </w:r>
      <w:proofErr w:type="spellEnd"/>
      <w:r w:rsidRPr="00967B5C">
        <w:rPr>
          <w:rFonts w:cs="Times New Roman"/>
          <w:szCs w:val="24"/>
        </w:rPr>
        <w:t xml:space="preserve"> et al., 2020). Even though this kind of engagement has been a hot issue for several journals and consultancy firms, it has received little attention in the scientific literature. As described by </w:t>
      </w:r>
      <w:proofErr w:type="spellStart"/>
      <w:r w:rsidRPr="00967B5C">
        <w:rPr>
          <w:rFonts w:cs="Times New Roman"/>
          <w:szCs w:val="24"/>
        </w:rPr>
        <w:t>Teo</w:t>
      </w:r>
      <w:proofErr w:type="spellEnd"/>
      <w:r w:rsidRPr="00967B5C">
        <w:rPr>
          <w:rFonts w:cs="Times New Roman"/>
          <w:szCs w:val="24"/>
        </w:rPr>
        <w:t xml:space="preserve"> et al., (2020), employee engagement is the workforce's optimistic emotional connection and dedication, characterised by a commitment to and interest in one's job. According to </w:t>
      </w:r>
      <w:proofErr w:type="spellStart"/>
      <w:r w:rsidRPr="00967B5C">
        <w:rPr>
          <w:rFonts w:cs="Times New Roman"/>
          <w:szCs w:val="24"/>
        </w:rPr>
        <w:t>Obrenovic</w:t>
      </w:r>
      <w:proofErr w:type="spellEnd"/>
      <w:r w:rsidRPr="00967B5C">
        <w:rPr>
          <w:rFonts w:cs="Times New Roman"/>
          <w:szCs w:val="24"/>
        </w:rPr>
        <w:t xml:space="preserve"> et al. (2020), the approach used to contextualise engagement is critical, regardless of whether it is a trait, a condition, or a behaviour pattern. As a result, the phrase "employee engagement" has been used in many situations (Barreiro </w:t>
      </w:r>
      <w:r w:rsidR="00B94E61" w:rsidRPr="00967B5C">
        <w:rPr>
          <w:rFonts w:cs="Times New Roman"/>
          <w:szCs w:val="24"/>
        </w:rPr>
        <w:t>and</w:t>
      </w:r>
      <w:r w:rsidRPr="00967B5C">
        <w:rPr>
          <w:rFonts w:cs="Times New Roman"/>
          <w:szCs w:val="24"/>
        </w:rPr>
        <w:t xml:space="preserve"> </w:t>
      </w:r>
      <w:proofErr w:type="spellStart"/>
      <w:r w:rsidRPr="00967B5C">
        <w:rPr>
          <w:rFonts w:cs="Times New Roman"/>
          <w:szCs w:val="24"/>
        </w:rPr>
        <w:t>Treglown</w:t>
      </w:r>
      <w:proofErr w:type="spellEnd"/>
      <w:r w:rsidRPr="00967B5C">
        <w:rPr>
          <w:rFonts w:cs="Times New Roman"/>
          <w:szCs w:val="24"/>
        </w:rPr>
        <w:t>, 2020).</w:t>
      </w:r>
    </w:p>
    <w:p w14:paraId="253788F9" w14:textId="666654C6" w:rsidR="00022C75" w:rsidRPr="00967B5C" w:rsidRDefault="00022C75" w:rsidP="00967B5C">
      <w:pPr>
        <w:ind w:firstLine="0"/>
        <w:rPr>
          <w:rFonts w:cs="Times New Roman"/>
          <w:szCs w:val="24"/>
        </w:rPr>
      </w:pPr>
      <w:r w:rsidRPr="00967B5C">
        <w:rPr>
          <w:rFonts w:cs="Times New Roman"/>
          <w:szCs w:val="24"/>
        </w:rPr>
        <w:lastRenderedPageBreak/>
        <w:t xml:space="preserve">Employee engagement as emotional, mental, and material assets is an early paradigm that indicates that direct connection, cognitive awareness, and emotional proximity ensure that individuals disclose their actual selves. </w:t>
      </w:r>
      <w:proofErr w:type="spellStart"/>
      <w:r w:rsidRPr="00967B5C">
        <w:rPr>
          <w:rFonts w:cs="Times New Roman"/>
          <w:szCs w:val="24"/>
        </w:rPr>
        <w:t>Obrenovic</w:t>
      </w:r>
      <w:proofErr w:type="spellEnd"/>
      <w:r w:rsidRPr="00967B5C">
        <w:rPr>
          <w:rFonts w:cs="Times New Roman"/>
          <w:szCs w:val="24"/>
        </w:rPr>
        <w:t xml:space="preserve"> et al. (2020) adopt a contrary position, seeing engagement as the antithesis of burnout. Similarly, (Barreiro </w:t>
      </w:r>
      <w:r w:rsidR="00B94E61" w:rsidRPr="00967B5C">
        <w:rPr>
          <w:rFonts w:cs="Times New Roman"/>
          <w:szCs w:val="24"/>
        </w:rPr>
        <w:t>and</w:t>
      </w:r>
      <w:r w:rsidRPr="00967B5C">
        <w:rPr>
          <w:rFonts w:cs="Times New Roman"/>
          <w:szCs w:val="24"/>
        </w:rPr>
        <w:t xml:space="preserve"> </w:t>
      </w:r>
      <w:proofErr w:type="spellStart"/>
      <w:r w:rsidRPr="00967B5C">
        <w:rPr>
          <w:rFonts w:cs="Times New Roman"/>
          <w:szCs w:val="24"/>
        </w:rPr>
        <w:t>Treglown</w:t>
      </w:r>
      <w:proofErr w:type="spellEnd"/>
      <w:r w:rsidRPr="00967B5C">
        <w:rPr>
          <w:rFonts w:cs="Times New Roman"/>
          <w:szCs w:val="24"/>
        </w:rPr>
        <w:t>, 2020) started referring to "job engagement" rather than "emotional connection," arguing that devoted employees outperform their disengaged counterparts. According to the satisfaction-engagement technique, job engagement is connected to individual participation, enjoyment, and work engagement. Employee engagement requires a two-way conversation between a business and its employees.</w:t>
      </w:r>
    </w:p>
    <w:p w14:paraId="5E8E8F86" w14:textId="1BD043A1" w:rsidR="00022C75" w:rsidRPr="00967B5C" w:rsidRDefault="00022C75" w:rsidP="00967B5C">
      <w:pPr>
        <w:ind w:firstLine="0"/>
        <w:rPr>
          <w:rFonts w:cs="Times New Roman"/>
          <w:szCs w:val="24"/>
        </w:rPr>
      </w:pPr>
      <w:r w:rsidRPr="00967B5C">
        <w:rPr>
          <w:rFonts w:cs="Times New Roman"/>
          <w:szCs w:val="24"/>
        </w:rPr>
        <w:t xml:space="preserve">According to </w:t>
      </w:r>
      <w:proofErr w:type="spellStart"/>
      <w:r w:rsidRPr="00967B5C">
        <w:rPr>
          <w:rFonts w:cs="Times New Roman"/>
          <w:szCs w:val="24"/>
        </w:rPr>
        <w:t>Teo</w:t>
      </w:r>
      <w:proofErr w:type="spellEnd"/>
      <w:r w:rsidRPr="00967B5C">
        <w:rPr>
          <w:rFonts w:cs="Times New Roman"/>
          <w:szCs w:val="24"/>
        </w:rPr>
        <w:t xml:space="preserve"> et al. (2020), being mentally and emotionally present while inhabiting and performing a significant role in corporate governance is what engagement means. Effective communication is critical in this management. This research supports Hamilton et al. (2021) claim that employee satisfaction is a component of employee engagement. However, it may simply be a surface-level link unless all of the other key underlying aspects are considered. In this line, </w:t>
      </w:r>
      <w:proofErr w:type="spellStart"/>
      <w:r w:rsidRPr="00967B5C">
        <w:rPr>
          <w:rFonts w:cs="Times New Roman"/>
          <w:szCs w:val="24"/>
        </w:rPr>
        <w:t>Teo</w:t>
      </w:r>
      <w:proofErr w:type="spellEnd"/>
      <w:r w:rsidRPr="00967B5C">
        <w:rPr>
          <w:rFonts w:cs="Times New Roman"/>
          <w:szCs w:val="24"/>
        </w:rPr>
        <w:t xml:space="preserve"> et al. (2020) defined employee engagement as employees' positive attitude about the organisation's commitment. With these initiatives, an effort was made to focus on the employee engagement conceptual framework.</w:t>
      </w:r>
    </w:p>
    <w:p w14:paraId="1E24E412" w14:textId="381DA26A" w:rsidR="00022C75" w:rsidRPr="00967B5C" w:rsidRDefault="00022C75" w:rsidP="00967B5C">
      <w:pPr>
        <w:ind w:firstLine="0"/>
        <w:rPr>
          <w:rFonts w:cs="Times New Roman"/>
          <w:szCs w:val="24"/>
        </w:rPr>
      </w:pPr>
      <w:r w:rsidRPr="00967B5C">
        <w:rPr>
          <w:rFonts w:cs="Times New Roman"/>
          <w:szCs w:val="24"/>
        </w:rPr>
        <w:t>During the COVID-19 disease pandemic, one of the most important forms of labour market adaptation was the widespread shift to remote employment, which saved future mass layoffs. As a result of the disease pandemic, 40% of workers responded that they would want to work remotely by July 2020 (</w:t>
      </w:r>
      <w:proofErr w:type="spellStart"/>
      <w:r w:rsidRPr="00967B5C">
        <w:rPr>
          <w:rFonts w:cs="Times New Roman"/>
          <w:szCs w:val="24"/>
        </w:rPr>
        <w:t>Obrenovic</w:t>
      </w:r>
      <w:proofErr w:type="spellEnd"/>
      <w:r w:rsidRPr="00967B5C">
        <w:rPr>
          <w:rFonts w:cs="Times New Roman"/>
          <w:szCs w:val="24"/>
        </w:rPr>
        <w:t xml:space="preserve"> et al., 2020). However, the number of employees who can work from home is fewer than the number of families with young children or caregivers (10–20 per cent more) who cannot be left alone during a lockdown, pushing employees to stay at home. Due to the diversity of this kind of labour, it is not easy to develop a widely accepted definition. </w:t>
      </w:r>
      <w:r w:rsidR="00B056D4" w:rsidRPr="00967B5C">
        <w:rPr>
          <w:rFonts w:cs="Times New Roman"/>
          <w:szCs w:val="24"/>
        </w:rPr>
        <w:t>Nonetheless</w:t>
      </w:r>
      <w:r w:rsidRPr="00967B5C">
        <w:rPr>
          <w:rFonts w:cs="Times New Roman"/>
          <w:szCs w:val="24"/>
        </w:rPr>
        <w:t xml:space="preserve">, Hamilton et al. (2021) developed a preliminary classification system </w:t>
      </w:r>
      <w:r w:rsidRPr="00967B5C">
        <w:rPr>
          <w:rFonts w:cs="Times New Roman"/>
          <w:szCs w:val="24"/>
        </w:rPr>
        <w:lastRenderedPageBreak/>
        <w:t>that defines seven distinct characteristics of distant work: location, temporality, technical, value chain, legal framework, and monetary recompense. As a result, the location feature is related to the individual's geographic place of employment, even though working remotely does not always imply working from home. Working remotely varies according to the day of the week, month, and so forth. It might be full-time or part-time, just like any other employment.</w:t>
      </w:r>
    </w:p>
    <w:p w14:paraId="084E3898" w14:textId="63B22DD5" w:rsidR="00022C75" w:rsidRPr="00967B5C" w:rsidRDefault="00022C75" w:rsidP="00967B5C">
      <w:pPr>
        <w:ind w:firstLine="0"/>
        <w:rPr>
          <w:rFonts w:cs="Times New Roman"/>
          <w:szCs w:val="24"/>
        </w:rPr>
      </w:pPr>
      <w:r w:rsidRPr="00967B5C">
        <w:rPr>
          <w:rFonts w:cs="Times New Roman"/>
          <w:szCs w:val="24"/>
        </w:rPr>
        <w:t>A more varied and inclusive workforce that consumes less space, power, and other resources contribute to an organisation's productivity (Torrington et al., 2014). As more people work remotely, pollution levels will plummet, and sustainable development will become a sought-after advantage for businesses. Businesses that are first to recognise its significance will gain a competitive edge. Additionally, firms have seen an expansion of their prospective recruit coverage area since "residence in the location of the vacant position" is no longer a necessity for employment. Employees gain from remote work because it allows for a more balanced work-life balance, which increases job satisfaction (</w:t>
      </w:r>
      <w:proofErr w:type="spellStart"/>
      <w:r w:rsidRPr="00967B5C">
        <w:rPr>
          <w:rFonts w:cs="Times New Roman"/>
          <w:szCs w:val="24"/>
        </w:rPr>
        <w:t>Teo</w:t>
      </w:r>
      <w:proofErr w:type="spellEnd"/>
      <w:r w:rsidRPr="00967B5C">
        <w:rPr>
          <w:rFonts w:cs="Times New Roman"/>
          <w:szCs w:val="24"/>
        </w:rPr>
        <w:t xml:space="preserve"> et al., 2020).</w:t>
      </w:r>
    </w:p>
    <w:p w14:paraId="1A4AC7DF" w14:textId="0BD8D157" w:rsidR="00C07436" w:rsidRPr="00967B5C" w:rsidRDefault="00022C75" w:rsidP="00967B5C">
      <w:pPr>
        <w:ind w:firstLine="0"/>
        <w:rPr>
          <w:rFonts w:cs="Times New Roman"/>
          <w:szCs w:val="24"/>
        </w:rPr>
      </w:pPr>
      <w:r w:rsidRPr="00967B5C">
        <w:rPr>
          <w:rFonts w:cs="Times New Roman"/>
          <w:szCs w:val="24"/>
        </w:rPr>
        <w:t>Remote working is primarily a strategy for role balancing based on the focused application of technological advancements, allowing workers to operate from locations other than the company's office buildings or facilities (</w:t>
      </w:r>
      <w:proofErr w:type="spellStart"/>
      <w:r w:rsidRPr="00967B5C">
        <w:rPr>
          <w:rFonts w:cs="Times New Roman"/>
          <w:szCs w:val="24"/>
        </w:rPr>
        <w:t>Teo</w:t>
      </w:r>
      <w:proofErr w:type="spellEnd"/>
      <w:r w:rsidRPr="00967B5C">
        <w:rPr>
          <w:rFonts w:cs="Times New Roman"/>
          <w:szCs w:val="24"/>
        </w:rPr>
        <w:t xml:space="preserve"> et al., 2020). They juggle job and family life, which necessitates happiness and a healthy work-life balance with the least amount of role stress possible (Meyers et al., 2020). The goal is to promote equal employment opportunities, alter customary roles and stereotypes, and account for the importance of family respect and care. Speculations expose the concept's shortcomings, apart from this 'win–win' scenario, which benefits both employees and management. As a result, it seems as if when the barriers between work and home are purposefully blurred, workplace stresses spill over into personal or family life. Remote work needs a greater degree of consistency than was previously necessary for many (but not all) organisational environments. There are fewer applications </w:t>
      </w:r>
      <w:r w:rsidRPr="00967B5C">
        <w:rPr>
          <w:rFonts w:cs="Times New Roman"/>
          <w:szCs w:val="24"/>
        </w:rPr>
        <w:lastRenderedPageBreak/>
        <w:t>for an appropriate course of action, social norms for particular characteristics, and career trends than for a specific course of action, social rules for specific characteristics, and career trends (</w:t>
      </w:r>
      <w:proofErr w:type="spellStart"/>
      <w:r w:rsidRPr="00967B5C">
        <w:rPr>
          <w:rFonts w:cs="Times New Roman"/>
          <w:szCs w:val="24"/>
        </w:rPr>
        <w:t>Teo</w:t>
      </w:r>
      <w:proofErr w:type="spellEnd"/>
      <w:r w:rsidRPr="00967B5C">
        <w:rPr>
          <w:rFonts w:cs="Times New Roman"/>
          <w:szCs w:val="24"/>
        </w:rPr>
        <w:t xml:space="preserve"> et al., 2020). When individuals leave an organisation's safety net, they must </w:t>
      </w:r>
      <w:r w:rsidR="004F5388">
        <w:rPr>
          <w:rFonts w:cs="Times New Roman"/>
          <w:szCs w:val="24"/>
        </w:rPr>
        <w:t>provide</w:t>
      </w:r>
      <w:r w:rsidRPr="00967B5C">
        <w:rPr>
          <w:rFonts w:cs="Times New Roman"/>
          <w:szCs w:val="24"/>
        </w:rPr>
        <w:t xml:space="preserve"> an increase, but they also lose a feeling of community, stability, and predictability. Economic instability, rising unemployment, anticipated career uncertainty, work insecurity, and physical and emotional alienation play a significant role in the COVID-19 disease outbreak problem.</w:t>
      </w:r>
    </w:p>
    <w:p w14:paraId="545BFB3F" w14:textId="53CC2EB7" w:rsidR="00C07436" w:rsidRPr="00967B5C" w:rsidRDefault="00C07436" w:rsidP="00967B5C">
      <w:pPr>
        <w:pStyle w:val="Heading1"/>
        <w:rPr>
          <w:rFonts w:cs="Times New Roman"/>
          <w:szCs w:val="24"/>
        </w:rPr>
      </w:pPr>
      <w:bookmarkStart w:id="3" w:name="_Toc101353814"/>
      <w:r w:rsidRPr="00967B5C">
        <w:rPr>
          <w:rFonts w:cs="Times New Roman"/>
          <w:szCs w:val="24"/>
        </w:rPr>
        <w:t>Diagnostic Tools to Measure the Engagement</w:t>
      </w:r>
      <w:bookmarkEnd w:id="3"/>
    </w:p>
    <w:p w14:paraId="5B290C47" w14:textId="5EFF57DB" w:rsidR="00C07436" w:rsidRPr="00967B5C" w:rsidRDefault="00C07436" w:rsidP="00967B5C">
      <w:pPr>
        <w:pStyle w:val="Heading2"/>
      </w:pPr>
      <w:bookmarkStart w:id="4" w:name="_Toc101353815"/>
      <w:r w:rsidRPr="00967B5C">
        <w:t>Confidence</w:t>
      </w:r>
      <w:bookmarkEnd w:id="4"/>
    </w:p>
    <w:p w14:paraId="04DA64BF" w14:textId="778ADEE9" w:rsidR="00C07436" w:rsidRPr="00967B5C" w:rsidRDefault="00022C75" w:rsidP="00967B5C">
      <w:pPr>
        <w:ind w:firstLine="0"/>
        <w:rPr>
          <w:rFonts w:cs="Times New Roman"/>
          <w:szCs w:val="24"/>
        </w:rPr>
      </w:pPr>
      <w:r w:rsidRPr="00967B5C">
        <w:rPr>
          <w:rFonts w:cs="Times New Roman"/>
          <w:szCs w:val="24"/>
        </w:rPr>
        <w:t>The workplace environment has a significant impact on employee health. Even though the term "health" encompasses a broad range of concepts, the World Health Organization (WHO) defines it as a holistic state of well-being rather than just the absence of disease. In this context, organisational inequity may result in emotional responses such as worry or heart disease (</w:t>
      </w:r>
      <w:proofErr w:type="spellStart"/>
      <w:r w:rsidRPr="00967B5C">
        <w:rPr>
          <w:rFonts w:cs="Times New Roman"/>
          <w:szCs w:val="24"/>
        </w:rPr>
        <w:t>Radic</w:t>
      </w:r>
      <w:proofErr w:type="spellEnd"/>
      <w:r w:rsidRPr="00967B5C">
        <w:rPr>
          <w:rFonts w:cs="Times New Roman"/>
          <w:szCs w:val="24"/>
        </w:rPr>
        <w:t xml:space="preserve"> et al., 2020). Long-term exposure to general organisational injustice may also result in long-term worries about an employee's quality of life, such as sleep disorders and inadequate rest, inflammatory processes, and an ever-growing list of other issues (</w:t>
      </w:r>
      <w:proofErr w:type="spellStart"/>
      <w:r w:rsidRPr="00967B5C">
        <w:rPr>
          <w:rFonts w:cs="Times New Roman"/>
          <w:szCs w:val="24"/>
        </w:rPr>
        <w:t>Radic</w:t>
      </w:r>
      <w:proofErr w:type="spellEnd"/>
      <w:r w:rsidRPr="00967B5C">
        <w:rPr>
          <w:rFonts w:cs="Times New Roman"/>
          <w:szCs w:val="24"/>
        </w:rPr>
        <w:t xml:space="preserve"> et al., 2020).</w:t>
      </w:r>
    </w:p>
    <w:p w14:paraId="58122A46" w14:textId="00546D96" w:rsidR="00C07436" w:rsidRPr="00967B5C" w:rsidRDefault="00C07436" w:rsidP="00967B5C">
      <w:pPr>
        <w:pStyle w:val="Heading2"/>
      </w:pPr>
      <w:bookmarkStart w:id="5" w:name="_Toc101353816"/>
      <w:r w:rsidRPr="00967B5C">
        <w:t>Compensation</w:t>
      </w:r>
      <w:bookmarkEnd w:id="5"/>
    </w:p>
    <w:p w14:paraId="41FCBDE7" w14:textId="370CFA63" w:rsidR="00C07436" w:rsidRPr="00967B5C" w:rsidRDefault="00022C75" w:rsidP="00967B5C">
      <w:pPr>
        <w:ind w:firstLine="0"/>
        <w:rPr>
          <w:rFonts w:cs="Times New Roman"/>
          <w:szCs w:val="24"/>
        </w:rPr>
      </w:pPr>
      <w:r w:rsidRPr="00967B5C">
        <w:rPr>
          <w:rFonts w:cs="Times New Roman"/>
          <w:szCs w:val="24"/>
        </w:rPr>
        <w:t>Wages and salaries, often referred to as payments, are a monetary method of rewarding service or a profession and the one who performs it (Meyers et al., 2020). Eliminating individual and team economic productivity incentives or adjusting compensation in these times of crisis would be a tremendous mistake that would discourage personnel. </w:t>
      </w:r>
      <w:r w:rsidRPr="00967B5C">
        <w:rPr>
          <w:rStyle w:val="Emphasis"/>
          <w:rFonts w:cs="Times New Roman"/>
          <w:szCs w:val="24"/>
        </w:rPr>
        <w:t>Wage honesty</w:t>
      </w:r>
      <w:r w:rsidRPr="00967B5C">
        <w:rPr>
          <w:rFonts w:cs="Times New Roman"/>
          <w:szCs w:val="24"/>
        </w:rPr>
        <w:t xml:space="preserve"> is a complex idea that does not need much money to implement. Each employee chooses what they believe is a reasonable remuneration package based on their skill, </w:t>
      </w:r>
      <w:r w:rsidRPr="00967B5C">
        <w:rPr>
          <w:rFonts w:cs="Times New Roman"/>
          <w:szCs w:val="24"/>
        </w:rPr>
        <w:lastRenderedPageBreak/>
        <w:t>competency, and risk tolerance. Since it is closely related to job satisfaction, involvement, and wellness at work, it may differ from the compensation provided by the employer, creating an impression of unfairness (</w:t>
      </w:r>
      <w:proofErr w:type="spellStart"/>
      <w:r w:rsidRPr="00967B5C">
        <w:rPr>
          <w:rFonts w:cs="Times New Roman"/>
          <w:szCs w:val="24"/>
        </w:rPr>
        <w:t>Radic</w:t>
      </w:r>
      <w:proofErr w:type="spellEnd"/>
      <w:r w:rsidRPr="00967B5C">
        <w:rPr>
          <w:rFonts w:cs="Times New Roman"/>
          <w:szCs w:val="24"/>
        </w:rPr>
        <w:t xml:space="preserve"> et al., 2020).</w:t>
      </w:r>
    </w:p>
    <w:p w14:paraId="61249075" w14:textId="28A33B18" w:rsidR="00C07436" w:rsidRPr="00967B5C" w:rsidRDefault="00C07436" w:rsidP="00967B5C">
      <w:pPr>
        <w:pStyle w:val="Heading2"/>
      </w:pPr>
      <w:bookmarkStart w:id="6" w:name="_Toc101353817"/>
      <w:r w:rsidRPr="00967B5C">
        <w:t>Communication</w:t>
      </w:r>
      <w:bookmarkEnd w:id="6"/>
    </w:p>
    <w:p w14:paraId="29582FE5" w14:textId="6B02AC79" w:rsidR="00C07436" w:rsidRPr="00967B5C" w:rsidRDefault="00022C75" w:rsidP="00967B5C">
      <w:pPr>
        <w:ind w:firstLine="0"/>
        <w:rPr>
          <w:rFonts w:cs="Times New Roman"/>
          <w:szCs w:val="24"/>
        </w:rPr>
      </w:pPr>
      <w:r w:rsidRPr="00967B5C">
        <w:rPr>
          <w:rFonts w:cs="Times New Roman"/>
          <w:szCs w:val="24"/>
        </w:rPr>
        <w:t>Communication is critical for overcoming today's issues. In these hard times, discourse must be based on an active two-way exchange of ideas. Personal encounters with colleagues, superintendents, and news stories are critical, and they contribute significantly to the work climate and atmosphere daily. The effect is one of the variables discovered via research and examination of inter-worker interactions (Meyers et al., 2020). Messages should be written with empathy and regard for workers' issues. Acknowledgement is a component of a management style that fosters employee engagement via regular communication, coaching, and history of gratitude.</w:t>
      </w:r>
    </w:p>
    <w:p w14:paraId="1AB95B1D" w14:textId="3900483E" w:rsidR="00C07436" w:rsidRPr="00967B5C" w:rsidRDefault="00C07436" w:rsidP="00967B5C">
      <w:pPr>
        <w:pStyle w:val="Heading1"/>
        <w:rPr>
          <w:rFonts w:cs="Times New Roman"/>
          <w:szCs w:val="24"/>
        </w:rPr>
      </w:pPr>
      <w:bookmarkStart w:id="7" w:name="_Toc101353818"/>
      <w:r w:rsidRPr="00967B5C">
        <w:rPr>
          <w:rFonts w:cs="Times New Roman"/>
          <w:szCs w:val="24"/>
        </w:rPr>
        <w:t>Construct</w:t>
      </w:r>
      <w:r w:rsidR="002435EA" w:rsidRPr="00967B5C">
        <w:rPr>
          <w:rFonts w:cs="Times New Roman"/>
          <w:szCs w:val="24"/>
        </w:rPr>
        <w:t>ing</w:t>
      </w:r>
      <w:r w:rsidRPr="00967B5C">
        <w:rPr>
          <w:rFonts w:cs="Times New Roman"/>
          <w:szCs w:val="24"/>
        </w:rPr>
        <w:t xml:space="preserve"> an Employee Value Proposition</w:t>
      </w:r>
      <w:bookmarkEnd w:id="7"/>
    </w:p>
    <w:p w14:paraId="4CEE30E8" w14:textId="6D623AED" w:rsidR="00022C75" w:rsidRPr="00967B5C" w:rsidRDefault="00022C75" w:rsidP="00967B5C">
      <w:pPr>
        <w:ind w:firstLine="0"/>
        <w:rPr>
          <w:rFonts w:cs="Times New Roman"/>
          <w:szCs w:val="24"/>
        </w:rPr>
      </w:pPr>
      <w:r w:rsidRPr="00967B5C">
        <w:rPr>
          <w:rFonts w:cs="Times New Roman"/>
          <w:szCs w:val="24"/>
        </w:rPr>
        <w:t>Based on these findings, a framework containing the critical elements that businesses should address to increase employee engagement and commitment as they deal with the global upheaval caused by the pandemic has been proposed—a fundamental set of actions that must be adapted and implemented. As a result, each supervisor will be aware of the critical factors affecting employee engagement that must be addressed and the procedures necessary to ensure the application's success (</w:t>
      </w:r>
      <w:proofErr w:type="spellStart"/>
      <w:r w:rsidRPr="00967B5C">
        <w:rPr>
          <w:rFonts w:cs="Times New Roman"/>
          <w:szCs w:val="24"/>
        </w:rPr>
        <w:t>Marchington</w:t>
      </w:r>
      <w:proofErr w:type="spellEnd"/>
      <w:r w:rsidRPr="00967B5C">
        <w:rPr>
          <w:rFonts w:cs="Times New Roman"/>
          <w:szCs w:val="24"/>
        </w:rPr>
        <w:t xml:space="preserve"> </w:t>
      </w:r>
      <w:r w:rsidR="00B94E61" w:rsidRPr="00967B5C">
        <w:rPr>
          <w:rFonts w:cs="Times New Roman"/>
          <w:szCs w:val="24"/>
        </w:rPr>
        <w:t>and</w:t>
      </w:r>
      <w:r w:rsidRPr="00967B5C">
        <w:rPr>
          <w:rFonts w:cs="Times New Roman"/>
          <w:szCs w:val="24"/>
        </w:rPr>
        <w:t xml:space="preserve"> Wilkinson, 2012). According to the suggested employee engagement framework, Peace-making, Cultivation, Esteem, Remuneration, and Interaction are variables that promote overall organisational health and quality of life in the present situation, and metrics are offered to track each variable's achievement. This report serves two purposes. The article proposes a behavioural model for </w:t>
      </w:r>
      <w:r w:rsidRPr="00967B5C">
        <w:rPr>
          <w:rFonts w:cs="Times New Roman"/>
          <w:szCs w:val="24"/>
        </w:rPr>
        <w:lastRenderedPageBreak/>
        <w:t>increasing employee engagement in a research institution, supplemented with theoretical groundwork from professional authors.</w:t>
      </w:r>
    </w:p>
    <w:p w14:paraId="68D70D98" w14:textId="4AA088F2" w:rsidR="00022C75" w:rsidRPr="00967B5C" w:rsidRDefault="00022C75" w:rsidP="00967B5C">
      <w:pPr>
        <w:ind w:firstLine="0"/>
        <w:rPr>
          <w:rFonts w:cs="Times New Roman"/>
          <w:szCs w:val="24"/>
        </w:rPr>
      </w:pPr>
      <w:r w:rsidRPr="00967B5C">
        <w:rPr>
          <w:rFonts w:cs="Times New Roman"/>
          <w:szCs w:val="24"/>
        </w:rPr>
        <w:t>As a result, the study concludes with a comprehensive framework outlining the most critical organisational health and wellness criteria and the projected direct, positive effect of the COVID-19 worldwide pandemic issue. This might serve as a starting point for more research into the myriad external and internal factors that may contribute to or mitigate the effects of these policy initiatives. Additionally, the study has several practical ramifications (Meyers et al., 2020). The COVID-19 medical condition, which results in significant unpredictability, jeopardises employees' relationships and well-being. Management teams should handle these factors to maintain the industry's competitive edge based on the good effects of employee interaction on effectiveness, economic productivity, and organisational performance, including in the present pandemic environment. As a result, a blueprint has been produced for the many managers involved.</w:t>
      </w:r>
    </w:p>
    <w:p w14:paraId="70D34B87" w14:textId="2D3D715F" w:rsidR="00E6417A" w:rsidRPr="00967B5C" w:rsidRDefault="00022C75" w:rsidP="00967B5C">
      <w:pPr>
        <w:ind w:firstLine="0"/>
        <w:rPr>
          <w:rFonts w:cs="Times New Roman"/>
          <w:szCs w:val="24"/>
        </w:rPr>
      </w:pPr>
      <w:r w:rsidRPr="00967B5C">
        <w:rPr>
          <w:rFonts w:cs="Times New Roman"/>
          <w:szCs w:val="24"/>
        </w:rPr>
        <w:t xml:space="preserve">As a result of the findings, managers should prioritise offering remote working environments that enable workers to combine work and family life in this hypothetical scenario to boost employee engagement. Employee expectations and future aspirations, participation in decision-making and organisational procedures, and enfranchisement are all concerns to address. In-house coaching may help improve employee perceptions, assumptions, and motivation. Additionally, if workers believe steps are being taken to safeguard their health, they will be more engaged. Businesses must guarantee that all basic hygienic measures are implemented in the workplace, take job redistribution and work-from-home into account, and pay particular attention to their workers' mental health (Meyers et al., 2020). Managers must also recognise that developing and implementing a remuneration policy that is responsive to the new employment situation and includes non-monetary benefits that are much more financially sustainable in light of the firm's financial realities due to the disease outbreak is an </w:t>
      </w:r>
      <w:r w:rsidRPr="00967B5C">
        <w:rPr>
          <w:rFonts w:cs="Times New Roman"/>
          <w:szCs w:val="24"/>
        </w:rPr>
        <w:lastRenderedPageBreak/>
        <w:t>excellent way to boost engagement. Finally, organisations should promote discussion between employees and supervisors, information sharing, and informal ties.</w:t>
      </w:r>
    </w:p>
    <w:p w14:paraId="2933109F" w14:textId="77777777" w:rsidR="00E6417A" w:rsidRPr="00967B5C" w:rsidRDefault="00E6417A" w:rsidP="00967B5C">
      <w:pPr>
        <w:spacing w:before="0" w:after="160"/>
        <w:ind w:firstLine="0"/>
        <w:rPr>
          <w:rFonts w:cs="Times New Roman"/>
          <w:szCs w:val="24"/>
        </w:rPr>
      </w:pPr>
      <w:r w:rsidRPr="00967B5C">
        <w:rPr>
          <w:rFonts w:cs="Times New Roman"/>
          <w:szCs w:val="24"/>
        </w:rPr>
        <w:br w:type="page"/>
      </w:r>
    </w:p>
    <w:p w14:paraId="43BFB988" w14:textId="4D7D140A" w:rsidR="00C07436" w:rsidRPr="00967B5C" w:rsidRDefault="00E6417A" w:rsidP="00967B5C">
      <w:pPr>
        <w:pStyle w:val="Heading1"/>
        <w:rPr>
          <w:rFonts w:cs="Times New Roman"/>
          <w:szCs w:val="24"/>
        </w:rPr>
      </w:pPr>
      <w:bookmarkStart w:id="8" w:name="_Toc101353819"/>
      <w:r w:rsidRPr="00967B5C">
        <w:rPr>
          <w:rFonts w:cs="Times New Roman"/>
          <w:szCs w:val="24"/>
        </w:rPr>
        <w:lastRenderedPageBreak/>
        <w:t>References</w:t>
      </w:r>
      <w:bookmarkEnd w:id="8"/>
    </w:p>
    <w:p w14:paraId="1469AF73" w14:textId="74D49F14" w:rsidR="00E6417A" w:rsidRPr="00967B5C" w:rsidRDefault="00E6417A" w:rsidP="00967B5C">
      <w:pPr>
        <w:ind w:left="720" w:hanging="720"/>
        <w:rPr>
          <w:rFonts w:cs="Times New Roman"/>
          <w:szCs w:val="24"/>
          <w:shd w:val="clear" w:color="auto" w:fill="FFFFFF"/>
        </w:rPr>
      </w:pPr>
      <w:r w:rsidRPr="00967B5C">
        <w:rPr>
          <w:rFonts w:cs="Times New Roman"/>
          <w:szCs w:val="24"/>
          <w:shd w:val="clear" w:color="auto" w:fill="FFFFFF"/>
        </w:rPr>
        <w:t xml:space="preserve">Ahmed, T., Khan, M.S., </w:t>
      </w:r>
      <w:proofErr w:type="spellStart"/>
      <w:r w:rsidRPr="00967B5C">
        <w:rPr>
          <w:rFonts w:cs="Times New Roman"/>
          <w:szCs w:val="24"/>
          <w:shd w:val="clear" w:color="auto" w:fill="FFFFFF"/>
        </w:rPr>
        <w:t>Thitivesa</w:t>
      </w:r>
      <w:proofErr w:type="spellEnd"/>
      <w:r w:rsidRPr="00967B5C">
        <w:rPr>
          <w:rFonts w:cs="Times New Roman"/>
          <w:szCs w:val="24"/>
          <w:shd w:val="clear" w:color="auto" w:fill="FFFFFF"/>
        </w:rPr>
        <w:t xml:space="preserve">, D., </w:t>
      </w:r>
      <w:proofErr w:type="spellStart"/>
      <w:r w:rsidRPr="00967B5C">
        <w:rPr>
          <w:rFonts w:cs="Times New Roman"/>
          <w:szCs w:val="24"/>
          <w:shd w:val="clear" w:color="auto" w:fill="FFFFFF"/>
        </w:rPr>
        <w:t>Siraphatthada</w:t>
      </w:r>
      <w:proofErr w:type="spellEnd"/>
      <w:r w:rsidRPr="00967B5C">
        <w:rPr>
          <w:rFonts w:cs="Times New Roman"/>
          <w:szCs w:val="24"/>
          <w:shd w:val="clear" w:color="auto" w:fill="FFFFFF"/>
        </w:rPr>
        <w:t xml:space="preserve">, Y. and </w:t>
      </w:r>
      <w:proofErr w:type="spellStart"/>
      <w:r w:rsidRPr="00967B5C">
        <w:rPr>
          <w:rFonts w:cs="Times New Roman"/>
          <w:szCs w:val="24"/>
          <w:shd w:val="clear" w:color="auto" w:fill="FFFFFF"/>
        </w:rPr>
        <w:t>Phumdara</w:t>
      </w:r>
      <w:proofErr w:type="spellEnd"/>
      <w:r w:rsidRPr="00967B5C">
        <w:rPr>
          <w:rFonts w:cs="Times New Roman"/>
          <w:szCs w:val="24"/>
          <w:shd w:val="clear" w:color="auto" w:fill="FFFFFF"/>
        </w:rPr>
        <w:t xml:space="preserve">, T., 2020. Impact of </w:t>
      </w:r>
      <w:r w:rsidR="00CC083C" w:rsidRPr="00967B5C">
        <w:rPr>
          <w:rFonts w:cs="Times New Roman"/>
          <w:szCs w:val="24"/>
          <w:shd w:val="clear" w:color="auto" w:fill="FFFFFF"/>
        </w:rPr>
        <w:t>employee’s</w:t>
      </w:r>
      <w:r w:rsidRPr="00967B5C">
        <w:rPr>
          <w:rFonts w:cs="Times New Roman"/>
          <w:szCs w:val="24"/>
          <w:shd w:val="clear" w:color="auto" w:fill="FFFFFF"/>
        </w:rPr>
        <w:t xml:space="preserve"> engagement and knowledge sharing on organizational performance: Study of HR challenges in COVID-19 pandemic. </w:t>
      </w:r>
      <w:r w:rsidRPr="00967B5C">
        <w:rPr>
          <w:rFonts w:cs="Times New Roman"/>
          <w:i/>
          <w:iCs/>
          <w:szCs w:val="24"/>
          <w:shd w:val="clear" w:color="auto" w:fill="FFFFFF"/>
        </w:rPr>
        <w:t>Human Systems Management</w:t>
      </w:r>
      <w:r w:rsidRPr="00967B5C">
        <w:rPr>
          <w:rFonts w:cs="Times New Roman"/>
          <w:szCs w:val="24"/>
          <w:shd w:val="clear" w:color="auto" w:fill="FFFFFF"/>
        </w:rPr>
        <w:t>, </w:t>
      </w:r>
      <w:r w:rsidRPr="00967B5C">
        <w:rPr>
          <w:rFonts w:cs="Times New Roman"/>
          <w:i/>
          <w:iCs/>
          <w:szCs w:val="24"/>
          <w:shd w:val="clear" w:color="auto" w:fill="FFFFFF"/>
        </w:rPr>
        <w:t>39</w:t>
      </w:r>
      <w:r w:rsidRPr="00967B5C">
        <w:rPr>
          <w:rFonts w:cs="Times New Roman"/>
          <w:szCs w:val="24"/>
          <w:shd w:val="clear" w:color="auto" w:fill="FFFFFF"/>
        </w:rPr>
        <w:t>(4), pp.589-601.</w:t>
      </w:r>
    </w:p>
    <w:p w14:paraId="357C8241" w14:textId="211A1596" w:rsidR="00E6417A" w:rsidRPr="00967B5C" w:rsidRDefault="00E6417A" w:rsidP="00967B5C">
      <w:pPr>
        <w:ind w:left="720" w:hanging="720"/>
        <w:rPr>
          <w:rFonts w:cs="Times New Roman"/>
          <w:szCs w:val="24"/>
          <w:shd w:val="clear" w:color="auto" w:fill="FFFFFF"/>
        </w:rPr>
      </w:pPr>
      <w:r w:rsidRPr="00967B5C">
        <w:rPr>
          <w:rFonts w:cs="Times New Roman"/>
          <w:szCs w:val="24"/>
          <w:shd w:val="clear" w:color="auto" w:fill="FFFFFF"/>
        </w:rPr>
        <w:t xml:space="preserve">Armstrong, M. and Taylor, S., 2017. Armstrong’s Handbook </w:t>
      </w:r>
      <w:r w:rsidR="00CC083C" w:rsidRPr="00967B5C">
        <w:rPr>
          <w:rFonts w:cs="Times New Roman"/>
          <w:szCs w:val="24"/>
          <w:shd w:val="clear" w:color="auto" w:fill="FFFFFF"/>
        </w:rPr>
        <w:t>of</w:t>
      </w:r>
      <w:r w:rsidRPr="00967B5C">
        <w:rPr>
          <w:rFonts w:cs="Times New Roman"/>
          <w:szCs w:val="24"/>
          <w:shd w:val="clear" w:color="auto" w:fill="FFFFFF"/>
        </w:rPr>
        <w:t xml:space="preserve"> Human Resource Management Practice (Fourteenth). </w:t>
      </w:r>
      <w:r w:rsidRPr="00967B5C">
        <w:rPr>
          <w:rFonts w:cs="Times New Roman"/>
          <w:i/>
          <w:iCs/>
          <w:szCs w:val="24"/>
          <w:shd w:val="clear" w:color="auto" w:fill="FFFFFF"/>
        </w:rPr>
        <w:t xml:space="preserve">London: </w:t>
      </w:r>
      <w:proofErr w:type="spellStart"/>
      <w:r w:rsidRPr="00967B5C">
        <w:rPr>
          <w:rFonts w:cs="Times New Roman"/>
          <w:i/>
          <w:iCs/>
          <w:szCs w:val="24"/>
          <w:shd w:val="clear" w:color="auto" w:fill="FFFFFF"/>
        </w:rPr>
        <w:t>KoganPage</w:t>
      </w:r>
      <w:proofErr w:type="spellEnd"/>
      <w:r w:rsidRPr="00967B5C">
        <w:rPr>
          <w:rFonts w:cs="Times New Roman"/>
          <w:szCs w:val="24"/>
          <w:shd w:val="clear" w:color="auto" w:fill="FFFFFF"/>
        </w:rPr>
        <w:t>.</w:t>
      </w:r>
    </w:p>
    <w:p w14:paraId="049DC94A" w14:textId="77777777" w:rsidR="00E6417A" w:rsidRPr="00967B5C" w:rsidRDefault="00E6417A" w:rsidP="00967B5C">
      <w:pPr>
        <w:ind w:left="720" w:hanging="720"/>
        <w:rPr>
          <w:rFonts w:cs="Times New Roman"/>
          <w:szCs w:val="24"/>
          <w:shd w:val="clear" w:color="auto" w:fill="FFFFFF"/>
        </w:rPr>
      </w:pPr>
      <w:r w:rsidRPr="00967B5C">
        <w:rPr>
          <w:rFonts w:cs="Times New Roman"/>
          <w:szCs w:val="24"/>
          <w:shd w:val="clear" w:color="auto" w:fill="FFFFFF"/>
        </w:rPr>
        <w:t xml:space="preserve">Barreiro, C.A. and </w:t>
      </w:r>
      <w:proofErr w:type="spellStart"/>
      <w:r w:rsidRPr="00967B5C">
        <w:rPr>
          <w:rFonts w:cs="Times New Roman"/>
          <w:szCs w:val="24"/>
          <w:shd w:val="clear" w:color="auto" w:fill="FFFFFF"/>
        </w:rPr>
        <w:t>Treglown</w:t>
      </w:r>
      <w:proofErr w:type="spellEnd"/>
      <w:r w:rsidRPr="00967B5C">
        <w:rPr>
          <w:rFonts w:cs="Times New Roman"/>
          <w:szCs w:val="24"/>
          <w:shd w:val="clear" w:color="auto" w:fill="FFFFFF"/>
        </w:rPr>
        <w:t>, L., 2020. What makes an engaged employee? A facet-level approach to trait emotional intelligence as a predictor of employee engagement. </w:t>
      </w:r>
      <w:r w:rsidRPr="00967B5C">
        <w:rPr>
          <w:rFonts w:cs="Times New Roman"/>
          <w:i/>
          <w:iCs/>
          <w:szCs w:val="24"/>
          <w:shd w:val="clear" w:color="auto" w:fill="FFFFFF"/>
        </w:rPr>
        <w:t>Personality and Individual Differences</w:t>
      </w:r>
      <w:r w:rsidRPr="00967B5C">
        <w:rPr>
          <w:rFonts w:cs="Times New Roman"/>
          <w:szCs w:val="24"/>
          <w:shd w:val="clear" w:color="auto" w:fill="FFFFFF"/>
        </w:rPr>
        <w:t>, </w:t>
      </w:r>
      <w:r w:rsidRPr="00967B5C">
        <w:rPr>
          <w:rFonts w:cs="Times New Roman"/>
          <w:i/>
          <w:iCs/>
          <w:szCs w:val="24"/>
          <w:shd w:val="clear" w:color="auto" w:fill="FFFFFF"/>
        </w:rPr>
        <w:t>159</w:t>
      </w:r>
      <w:r w:rsidRPr="00967B5C">
        <w:rPr>
          <w:rFonts w:cs="Times New Roman"/>
          <w:szCs w:val="24"/>
          <w:shd w:val="clear" w:color="auto" w:fill="FFFFFF"/>
        </w:rPr>
        <w:t>, p.109892.</w:t>
      </w:r>
    </w:p>
    <w:p w14:paraId="343FCEE9" w14:textId="77777777" w:rsidR="00E6417A" w:rsidRPr="00967B5C" w:rsidRDefault="00E6417A" w:rsidP="00967B5C">
      <w:pPr>
        <w:ind w:left="720" w:hanging="720"/>
        <w:rPr>
          <w:rFonts w:cs="Times New Roman"/>
          <w:szCs w:val="24"/>
          <w:shd w:val="clear" w:color="auto" w:fill="FFFFFF"/>
        </w:rPr>
      </w:pPr>
      <w:r w:rsidRPr="00967B5C">
        <w:rPr>
          <w:rFonts w:cs="Times New Roman"/>
          <w:szCs w:val="24"/>
          <w:shd w:val="clear" w:color="auto" w:fill="FFFFFF"/>
        </w:rPr>
        <w:t xml:space="preserve">Hamilton </w:t>
      </w:r>
      <w:proofErr w:type="spellStart"/>
      <w:r w:rsidRPr="00967B5C">
        <w:rPr>
          <w:rFonts w:cs="Times New Roman"/>
          <w:szCs w:val="24"/>
          <w:shd w:val="clear" w:color="auto" w:fill="FFFFFF"/>
        </w:rPr>
        <w:t>Skurak</w:t>
      </w:r>
      <w:proofErr w:type="spellEnd"/>
      <w:r w:rsidRPr="00967B5C">
        <w:rPr>
          <w:rFonts w:cs="Times New Roman"/>
          <w:szCs w:val="24"/>
          <w:shd w:val="clear" w:color="auto" w:fill="FFFFFF"/>
        </w:rPr>
        <w:t xml:space="preserve">, H., </w:t>
      </w:r>
      <w:proofErr w:type="spellStart"/>
      <w:r w:rsidRPr="00967B5C">
        <w:rPr>
          <w:rFonts w:cs="Times New Roman"/>
          <w:szCs w:val="24"/>
          <w:shd w:val="clear" w:color="auto" w:fill="FFFFFF"/>
        </w:rPr>
        <w:t>Malinen</w:t>
      </w:r>
      <w:proofErr w:type="spellEnd"/>
      <w:r w:rsidRPr="00967B5C">
        <w:rPr>
          <w:rFonts w:cs="Times New Roman"/>
          <w:szCs w:val="24"/>
          <w:shd w:val="clear" w:color="auto" w:fill="FFFFFF"/>
        </w:rPr>
        <w:t xml:space="preserve">, S., </w:t>
      </w:r>
      <w:proofErr w:type="spellStart"/>
      <w:r w:rsidRPr="00967B5C">
        <w:rPr>
          <w:rFonts w:cs="Times New Roman"/>
          <w:szCs w:val="24"/>
          <w:shd w:val="clear" w:color="auto" w:fill="FFFFFF"/>
        </w:rPr>
        <w:t>Näswall</w:t>
      </w:r>
      <w:proofErr w:type="spellEnd"/>
      <w:r w:rsidRPr="00967B5C">
        <w:rPr>
          <w:rFonts w:cs="Times New Roman"/>
          <w:szCs w:val="24"/>
          <w:shd w:val="clear" w:color="auto" w:fill="FFFFFF"/>
        </w:rPr>
        <w:t>, K. and Kuntz, J.C., 2021. Employee wellbeing: The role of psychological detachment on the relationship between engagement and work–life conflict. </w:t>
      </w:r>
      <w:r w:rsidRPr="00967B5C">
        <w:rPr>
          <w:rFonts w:cs="Times New Roman"/>
          <w:i/>
          <w:iCs/>
          <w:szCs w:val="24"/>
          <w:shd w:val="clear" w:color="auto" w:fill="FFFFFF"/>
        </w:rPr>
        <w:t>Economic and Industrial Democracy</w:t>
      </w:r>
      <w:r w:rsidRPr="00967B5C">
        <w:rPr>
          <w:rFonts w:cs="Times New Roman"/>
          <w:szCs w:val="24"/>
          <w:shd w:val="clear" w:color="auto" w:fill="FFFFFF"/>
        </w:rPr>
        <w:t>, </w:t>
      </w:r>
      <w:r w:rsidRPr="00967B5C">
        <w:rPr>
          <w:rFonts w:cs="Times New Roman"/>
          <w:i/>
          <w:iCs/>
          <w:szCs w:val="24"/>
          <w:shd w:val="clear" w:color="auto" w:fill="FFFFFF"/>
        </w:rPr>
        <w:t>42</w:t>
      </w:r>
      <w:r w:rsidRPr="00967B5C">
        <w:rPr>
          <w:rFonts w:cs="Times New Roman"/>
          <w:szCs w:val="24"/>
          <w:shd w:val="clear" w:color="auto" w:fill="FFFFFF"/>
        </w:rPr>
        <w:t>(1), pp.116-141.</w:t>
      </w:r>
    </w:p>
    <w:p w14:paraId="0EF18EDF" w14:textId="77777777" w:rsidR="00E6417A" w:rsidRPr="00967B5C" w:rsidRDefault="00E6417A" w:rsidP="00967B5C">
      <w:pPr>
        <w:ind w:left="720" w:hanging="720"/>
        <w:rPr>
          <w:rFonts w:cs="Times New Roman"/>
          <w:szCs w:val="24"/>
          <w:shd w:val="clear" w:color="auto" w:fill="FFFFFF"/>
        </w:rPr>
      </w:pPr>
      <w:proofErr w:type="spellStart"/>
      <w:r w:rsidRPr="00967B5C">
        <w:rPr>
          <w:rFonts w:cs="Times New Roman"/>
          <w:szCs w:val="24"/>
          <w:shd w:val="clear" w:color="auto" w:fill="FFFFFF"/>
        </w:rPr>
        <w:t>Marchington</w:t>
      </w:r>
      <w:proofErr w:type="spellEnd"/>
      <w:r w:rsidRPr="00967B5C">
        <w:rPr>
          <w:rFonts w:cs="Times New Roman"/>
          <w:szCs w:val="24"/>
          <w:shd w:val="clear" w:color="auto" w:fill="FFFFFF"/>
        </w:rPr>
        <w:t xml:space="preserve">, M., Wilkinson, A., Donnelly, R. and </w:t>
      </w:r>
      <w:proofErr w:type="spellStart"/>
      <w:r w:rsidRPr="00967B5C">
        <w:rPr>
          <w:rFonts w:cs="Times New Roman"/>
          <w:szCs w:val="24"/>
          <w:shd w:val="clear" w:color="auto" w:fill="FFFFFF"/>
        </w:rPr>
        <w:t>Kynighou</w:t>
      </w:r>
      <w:proofErr w:type="spellEnd"/>
      <w:r w:rsidRPr="00967B5C">
        <w:rPr>
          <w:rFonts w:cs="Times New Roman"/>
          <w:szCs w:val="24"/>
          <w:shd w:val="clear" w:color="auto" w:fill="FFFFFF"/>
        </w:rPr>
        <w:t>, A., 2016. </w:t>
      </w:r>
      <w:r w:rsidRPr="00967B5C">
        <w:rPr>
          <w:rFonts w:cs="Times New Roman"/>
          <w:i/>
          <w:iCs/>
          <w:szCs w:val="24"/>
          <w:shd w:val="clear" w:color="auto" w:fill="FFFFFF"/>
        </w:rPr>
        <w:t>Human resource management at work</w:t>
      </w:r>
      <w:r w:rsidRPr="00967B5C">
        <w:rPr>
          <w:rFonts w:cs="Times New Roman"/>
          <w:szCs w:val="24"/>
          <w:shd w:val="clear" w:color="auto" w:fill="FFFFFF"/>
        </w:rPr>
        <w:t xml:space="preserve">. </w:t>
      </w:r>
      <w:proofErr w:type="spellStart"/>
      <w:r w:rsidRPr="00967B5C">
        <w:rPr>
          <w:rFonts w:cs="Times New Roman"/>
          <w:szCs w:val="24"/>
          <w:shd w:val="clear" w:color="auto" w:fill="FFFFFF"/>
        </w:rPr>
        <w:t>Kogan</w:t>
      </w:r>
      <w:proofErr w:type="spellEnd"/>
      <w:r w:rsidRPr="00967B5C">
        <w:rPr>
          <w:rFonts w:cs="Times New Roman"/>
          <w:szCs w:val="24"/>
          <w:shd w:val="clear" w:color="auto" w:fill="FFFFFF"/>
        </w:rPr>
        <w:t xml:space="preserve"> Page Publishers.</w:t>
      </w:r>
    </w:p>
    <w:p w14:paraId="6402CCC3" w14:textId="3B14A458" w:rsidR="00E6417A" w:rsidRPr="00967B5C" w:rsidRDefault="00E6417A" w:rsidP="00967B5C">
      <w:pPr>
        <w:ind w:left="720" w:hanging="720"/>
        <w:rPr>
          <w:rFonts w:cs="Times New Roman"/>
          <w:szCs w:val="24"/>
          <w:shd w:val="clear" w:color="auto" w:fill="FFFFFF"/>
        </w:rPr>
      </w:pPr>
      <w:r w:rsidRPr="00967B5C">
        <w:rPr>
          <w:rFonts w:cs="Times New Roman"/>
          <w:szCs w:val="24"/>
          <w:shd w:val="clear" w:color="auto" w:fill="FFFFFF"/>
        </w:rPr>
        <w:t xml:space="preserve">Meyers, M.C., </w:t>
      </w:r>
      <w:proofErr w:type="spellStart"/>
      <w:r w:rsidRPr="00967B5C">
        <w:rPr>
          <w:rFonts w:cs="Times New Roman"/>
          <w:szCs w:val="24"/>
          <w:shd w:val="clear" w:color="auto" w:fill="FFFFFF"/>
        </w:rPr>
        <w:t>Kooij</w:t>
      </w:r>
      <w:proofErr w:type="spellEnd"/>
      <w:r w:rsidRPr="00967B5C">
        <w:rPr>
          <w:rFonts w:cs="Times New Roman"/>
          <w:szCs w:val="24"/>
          <w:shd w:val="clear" w:color="auto" w:fill="FFFFFF"/>
        </w:rPr>
        <w:t xml:space="preserve">, D., Kroon, B., de </w:t>
      </w:r>
      <w:proofErr w:type="spellStart"/>
      <w:r w:rsidRPr="00967B5C">
        <w:rPr>
          <w:rFonts w:cs="Times New Roman"/>
          <w:szCs w:val="24"/>
          <w:shd w:val="clear" w:color="auto" w:fill="FFFFFF"/>
        </w:rPr>
        <w:t>Reuver</w:t>
      </w:r>
      <w:proofErr w:type="spellEnd"/>
      <w:r w:rsidRPr="00967B5C">
        <w:rPr>
          <w:rFonts w:cs="Times New Roman"/>
          <w:szCs w:val="24"/>
          <w:shd w:val="clear" w:color="auto" w:fill="FFFFFF"/>
        </w:rPr>
        <w:t xml:space="preserve">, R. and van </w:t>
      </w:r>
      <w:proofErr w:type="spellStart"/>
      <w:r w:rsidRPr="00967B5C">
        <w:rPr>
          <w:rFonts w:cs="Times New Roman"/>
          <w:szCs w:val="24"/>
          <w:shd w:val="clear" w:color="auto" w:fill="FFFFFF"/>
        </w:rPr>
        <w:t>Woerkom</w:t>
      </w:r>
      <w:proofErr w:type="spellEnd"/>
      <w:r w:rsidRPr="00967B5C">
        <w:rPr>
          <w:rFonts w:cs="Times New Roman"/>
          <w:szCs w:val="24"/>
          <w:shd w:val="clear" w:color="auto" w:fill="FFFFFF"/>
        </w:rPr>
        <w:t xml:space="preserve">, M., 2020. Organizational support for strengths </w:t>
      </w:r>
      <w:r w:rsidR="00CC083C" w:rsidRPr="00967B5C">
        <w:rPr>
          <w:rFonts w:cs="Times New Roman"/>
          <w:szCs w:val="24"/>
          <w:shd w:val="clear" w:color="auto" w:fill="FFFFFF"/>
        </w:rPr>
        <w:t>uses</w:t>
      </w:r>
      <w:r w:rsidRPr="00967B5C">
        <w:rPr>
          <w:rFonts w:cs="Times New Roman"/>
          <w:szCs w:val="24"/>
          <w:shd w:val="clear" w:color="auto" w:fill="FFFFFF"/>
        </w:rPr>
        <w:t>, work engagement, and contextual performance: The moderating role of age. </w:t>
      </w:r>
      <w:r w:rsidRPr="00967B5C">
        <w:rPr>
          <w:rFonts w:cs="Times New Roman"/>
          <w:i/>
          <w:iCs/>
          <w:szCs w:val="24"/>
          <w:shd w:val="clear" w:color="auto" w:fill="FFFFFF"/>
        </w:rPr>
        <w:t>Applied Research in Quality of Life</w:t>
      </w:r>
      <w:r w:rsidRPr="00967B5C">
        <w:rPr>
          <w:rFonts w:cs="Times New Roman"/>
          <w:szCs w:val="24"/>
          <w:shd w:val="clear" w:color="auto" w:fill="FFFFFF"/>
        </w:rPr>
        <w:t>, </w:t>
      </w:r>
      <w:r w:rsidRPr="00967B5C">
        <w:rPr>
          <w:rFonts w:cs="Times New Roman"/>
          <w:i/>
          <w:iCs/>
          <w:szCs w:val="24"/>
          <w:shd w:val="clear" w:color="auto" w:fill="FFFFFF"/>
        </w:rPr>
        <w:t>15</w:t>
      </w:r>
      <w:r w:rsidRPr="00967B5C">
        <w:rPr>
          <w:rFonts w:cs="Times New Roman"/>
          <w:szCs w:val="24"/>
          <w:shd w:val="clear" w:color="auto" w:fill="FFFFFF"/>
        </w:rPr>
        <w:t>(2), pp.485-502.</w:t>
      </w:r>
    </w:p>
    <w:p w14:paraId="5A76472E" w14:textId="77777777" w:rsidR="00E6417A" w:rsidRPr="00967B5C" w:rsidRDefault="00E6417A" w:rsidP="00967B5C">
      <w:pPr>
        <w:ind w:left="720" w:hanging="720"/>
        <w:rPr>
          <w:rFonts w:cs="Times New Roman"/>
          <w:szCs w:val="24"/>
          <w:shd w:val="clear" w:color="auto" w:fill="FFFFFF"/>
        </w:rPr>
      </w:pPr>
      <w:proofErr w:type="spellStart"/>
      <w:r w:rsidRPr="00967B5C">
        <w:rPr>
          <w:rFonts w:cs="Times New Roman"/>
          <w:szCs w:val="24"/>
          <w:shd w:val="clear" w:color="auto" w:fill="FFFFFF"/>
        </w:rPr>
        <w:t>Obrenovic</w:t>
      </w:r>
      <w:proofErr w:type="spellEnd"/>
      <w:r w:rsidRPr="00967B5C">
        <w:rPr>
          <w:rFonts w:cs="Times New Roman"/>
          <w:szCs w:val="24"/>
          <w:shd w:val="clear" w:color="auto" w:fill="FFFFFF"/>
        </w:rPr>
        <w:t xml:space="preserve">, B., </w:t>
      </w:r>
      <w:proofErr w:type="spellStart"/>
      <w:r w:rsidRPr="00967B5C">
        <w:rPr>
          <w:rFonts w:cs="Times New Roman"/>
          <w:szCs w:val="24"/>
          <w:shd w:val="clear" w:color="auto" w:fill="FFFFFF"/>
        </w:rPr>
        <w:t>Jianguo</w:t>
      </w:r>
      <w:proofErr w:type="spellEnd"/>
      <w:r w:rsidRPr="00967B5C">
        <w:rPr>
          <w:rFonts w:cs="Times New Roman"/>
          <w:szCs w:val="24"/>
          <w:shd w:val="clear" w:color="auto" w:fill="FFFFFF"/>
        </w:rPr>
        <w:t xml:space="preserve">, D., </w:t>
      </w:r>
      <w:proofErr w:type="spellStart"/>
      <w:r w:rsidRPr="00967B5C">
        <w:rPr>
          <w:rFonts w:cs="Times New Roman"/>
          <w:szCs w:val="24"/>
          <w:shd w:val="clear" w:color="auto" w:fill="FFFFFF"/>
        </w:rPr>
        <w:t>Khudaykulov</w:t>
      </w:r>
      <w:proofErr w:type="spellEnd"/>
      <w:r w:rsidRPr="00967B5C">
        <w:rPr>
          <w:rFonts w:cs="Times New Roman"/>
          <w:szCs w:val="24"/>
          <w:shd w:val="clear" w:color="auto" w:fill="FFFFFF"/>
        </w:rPr>
        <w:t>, A. and Khan, M.A.S., 2020. Work-family conflict impact on psychological safety and psychological well-being: A job performance model. </w:t>
      </w:r>
      <w:r w:rsidRPr="00967B5C">
        <w:rPr>
          <w:rFonts w:cs="Times New Roman"/>
          <w:i/>
          <w:iCs/>
          <w:szCs w:val="24"/>
          <w:shd w:val="clear" w:color="auto" w:fill="FFFFFF"/>
        </w:rPr>
        <w:t>Frontiers in psychology</w:t>
      </w:r>
      <w:r w:rsidRPr="00967B5C">
        <w:rPr>
          <w:rFonts w:cs="Times New Roman"/>
          <w:szCs w:val="24"/>
          <w:shd w:val="clear" w:color="auto" w:fill="FFFFFF"/>
        </w:rPr>
        <w:t>, p.475.</w:t>
      </w:r>
    </w:p>
    <w:p w14:paraId="06959099" w14:textId="77777777" w:rsidR="00E6417A" w:rsidRPr="00967B5C" w:rsidRDefault="00E6417A" w:rsidP="00967B5C">
      <w:pPr>
        <w:ind w:left="720" w:hanging="720"/>
        <w:rPr>
          <w:rFonts w:cs="Times New Roman"/>
          <w:szCs w:val="24"/>
          <w:shd w:val="clear" w:color="auto" w:fill="FFFFFF"/>
        </w:rPr>
      </w:pPr>
      <w:proofErr w:type="spellStart"/>
      <w:r w:rsidRPr="00967B5C">
        <w:rPr>
          <w:rFonts w:cs="Times New Roman"/>
          <w:szCs w:val="24"/>
          <w:shd w:val="clear" w:color="auto" w:fill="FFFFFF"/>
        </w:rPr>
        <w:lastRenderedPageBreak/>
        <w:t>Radic</w:t>
      </w:r>
      <w:proofErr w:type="spellEnd"/>
      <w:r w:rsidRPr="00967B5C">
        <w:rPr>
          <w:rFonts w:cs="Times New Roman"/>
          <w:szCs w:val="24"/>
          <w:shd w:val="clear" w:color="auto" w:fill="FFFFFF"/>
        </w:rPr>
        <w:t xml:space="preserve">, A., </w:t>
      </w:r>
      <w:proofErr w:type="spellStart"/>
      <w:r w:rsidRPr="00967B5C">
        <w:rPr>
          <w:rFonts w:cs="Times New Roman"/>
          <w:szCs w:val="24"/>
          <w:shd w:val="clear" w:color="auto" w:fill="FFFFFF"/>
        </w:rPr>
        <w:t>Arjona</w:t>
      </w:r>
      <w:proofErr w:type="spellEnd"/>
      <w:r w:rsidRPr="00967B5C">
        <w:rPr>
          <w:rFonts w:cs="Times New Roman"/>
          <w:szCs w:val="24"/>
          <w:shd w:val="clear" w:color="auto" w:fill="FFFFFF"/>
        </w:rPr>
        <w:t xml:space="preserve">-Fuentes, J.M., </w:t>
      </w:r>
      <w:proofErr w:type="spellStart"/>
      <w:r w:rsidRPr="00967B5C">
        <w:rPr>
          <w:rFonts w:cs="Times New Roman"/>
          <w:szCs w:val="24"/>
          <w:shd w:val="clear" w:color="auto" w:fill="FFFFFF"/>
        </w:rPr>
        <w:t>Ariza</w:t>
      </w:r>
      <w:proofErr w:type="spellEnd"/>
      <w:r w:rsidRPr="00967B5C">
        <w:rPr>
          <w:rFonts w:cs="Times New Roman"/>
          <w:szCs w:val="24"/>
          <w:shd w:val="clear" w:color="auto" w:fill="FFFFFF"/>
        </w:rPr>
        <w:t>-Montes, A., Han, H. and Law, R., 2020. Job demands–job resources (JD-R) model, work engagement, and well-being of cruise ship employees. </w:t>
      </w:r>
      <w:r w:rsidRPr="00702EA7">
        <w:rPr>
          <w:rFonts w:cs="Times New Roman"/>
          <w:szCs w:val="24"/>
          <w:shd w:val="clear" w:color="auto" w:fill="FFFFFF"/>
        </w:rPr>
        <w:t>International Journal of Hospitality Management</w:t>
      </w:r>
      <w:r w:rsidRPr="00967B5C">
        <w:rPr>
          <w:rFonts w:cs="Times New Roman"/>
          <w:szCs w:val="24"/>
          <w:shd w:val="clear" w:color="auto" w:fill="FFFFFF"/>
        </w:rPr>
        <w:t>, </w:t>
      </w:r>
      <w:r w:rsidRPr="00702EA7">
        <w:rPr>
          <w:rFonts w:cs="Times New Roman"/>
          <w:szCs w:val="24"/>
          <w:shd w:val="clear" w:color="auto" w:fill="FFFFFF"/>
        </w:rPr>
        <w:t>88</w:t>
      </w:r>
      <w:r w:rsidRPr="00967B5C">
        <w:rPr>
          <w:rFonts w:cs="Times New Roman"/>
          <w:szCs w:val="24"/>
          <w:shd w:val="clear" w:color="auto" w:fill="FFFFFF"/>
        </w:rPr>
        <w:t>, p.102518.</w:t>
      </w:r>
    </w:p>
    <w:p w14:paraId="682363A4" w14:textId="7EC065BA" w:rsidR="00702EA7" w:rsidRDefault="00702EA7" w:rsidP="00967B5C">
      <w:pPr>
        <w:ind w:left="720" w:hanging="720"/>
        <w:rPr>
          <w:rFonts w:cs="Times New Roman"/>
          <w:szCs w:val="24"/>
          <w:shd w:val="clear" w:color="auto" w:fill="FFFFFF"/>
        </w:rPr>
      </w:pPr>
      <w:proofErr w:type="spellStart"/>
      <w:r w:rsidRPr="00702EA7">
        <w:rPr>
          <w:rFonts w:cs="Times New Roman"/>
          <w:szCs w:val="24"/>
          <w:shd w:val="clear" w:color="auto" w:fill="FFFFFF"/>
        </w:rPr>
        <w:t>Sanad</w:t>
      </w:r>
      <w:proofErr w:type="spellEnd"/>
      <w:r w:rsidRPr="00702EA7">
        <w:rPr>
          <w:rFonts w:cs="Times New Roman"/>
          <w:szCs w:val="24"/>
          <w:shd w:val="clear" w:color="auto" w:fill="FFFFFF"/>
        </w:rPr>
        <w:t xml:space="preserve">, S. and </w:t>
      </w:r>
      <w:proofErr w:type="spellStart"/>
      <w:r w:rsidRPr="00702EA7">
        <w:rPr>
          <w:rFonts w:cs="Times New Roman"/>
          <w:szCs w:val="24"/>
          <w:shd w:val="clear" w:color="auto" w:fill="FFFFFF"/>
        </w:rPr>
        <w:t>Anitha</w:t>
      </w:r>
      <w:proofErr w:type="spellEnd"/>
      <w:r w:rsidRPr="00702EA7">
        <w:rPr>
          <w:rFonts w:cs="Times New Roman"/>
          <w:szCs w:val="24"/>
          <w:shd w:val="clear" w:color="auto" w:fill="FFFFFF"/>
        </w:rPr>
        <w:t>, S., 2021. The Impact of Participative Decision-Making on Organizational Commitment: A Study among Employees of Mobile Telecom Companies in Yemen. Journal of Advanced Research in Economics and Administrative Sciences, 2(3), pp.75-88.</w:t>
      </w:r>
    </w:p>
    <w:p w14:paraId="32D8EBBD" w14:textId="1CE71528" w:rsidR="00E6417A" w:rsidRPr="00967B5C" w:rsidRDefault="00E6417A" w:rsidP="00967B5C">
      <w:pPr>
        <w:ind w:left="720" w:hanging="720"/>
        <w:rPr>
          <w:rFonts w:cs="Times New Roman"/>
          <w:szCs w:val="24"/>
          <w:shd w:val="clear" w:color="auto" w:fill="FFFFFF"/>
        </w:rPr>
      </w:pPr>
      <w:r w:rsidRPr="00967B5C">
        <w:rPr>
          <w:rFonts w:cs="Times New Roman"/>
          <w:szCs w:val="24"/>
          <w:shd w:val="clear" w:color="auto" w:fill="FFFFFF"/>
        </w:rPr>
        <w:t xml:space="preserve">Soriano, A., W. </w:t>
      </w:r>
      <w:proofErr w:type="spellStart"/>
      <w:r w:rsidRPr="00967B5C">
        <w:rPr>
          <w:rFonts w:cs="Times New Roman"/>
          <w:szCs w:val="24"/>
          <w:shd w:val="clear" w:color="auto" w:fill="FFFFFF"/>
        </w:rPr>
        <w:t>Kozusznik</w:t>
      </w:r>
      <w:proofErr w:type="spellEnd"/>
      <w:r w:rsidRPr="00967B5C">
        <w:rPr>
          <w:rFonts w:cs="Times New Roman"/>
          <w:szCs w:val="24"/>
          <w:shd w:val="clear" w:color="auto" w:fill="FFFFFF"/>
        </w:rPr>
        <w:t xml:space="preserve">, M., </w:t>
      </w:r>
      <w:proofErr w:type="spellStart"/>
      <w:r w:rsidRPr="00967B5C">
        <w:rPr>
          <w:rFonts w:cs="Times New Roman"/>
          <w:szCs w:val="24"/>
          <w:shd w:val="clear" w:color="auto" w:fill="FFFFFF"/>
        </w:rPr>
        <w:t>Peiró</w:t>
      </w:r>
      <w:proofErr w:type="spellEnd"/>
      <w:r w:rsidRPr="00967B5C">
        <w:rPr>
          <w:rFonts w:cs="Times New Roman"/>
          <w:szCs w:val="24"/>
          <w:shd w:val="clear" w:color="auto" w:fill="FFFFFF"/>
        </w:rPr>
        <w:t>, J.M. and Mateo, C., 2020. The role of employees’ work patterns and office type fit (and misfit) in the relationships between employee well-being and performance. </w:t>
      </w:r>
      <w:r w:rsidRPr="00967B5C">
        <w:rPr>
          <w:rFonts w:cs="Times New Roman"/>
          <w:i/>
          <w:iCs/>
          <w:szCs w:val="24"/>
          <w:shd w:val="clear" w:color="auto" w:fill="FFFFFF"/>
        </w:rPr>
        <w:t xml:space="preserve">Environment and </w:t>
      </w:r>
      <w:proofErr w:type="spellStart"/>
      <w:r w:rsidRPr="00967B5C">
        <w:rPr>
          <w:rFonts w:cs="Times New Roman"/>
          <w:i/>
          <w:iCs/>
          <w:szCs w:val="24"/>
          <w:shd w:val="clear" w:color="auto" w:fill="FFFFFF"/>
        </w:rPr>
        <w:t>Behavior</w:t>
      </w:r>
      <w:proofErr w:type="spellEnd"/>
      <w:r w:rsidRPr="00967B5C">
        <w:rPr>
          <w:rFonts w:cs="Times New Roman"/>
          <w:szCs w:val="24"/>
          <w:shd w:val="clear" w:color="auto" w:fill="FFFFFF"/>
        </w:rPr>
        <w:t>, </w:t>
      </w:r>
      <w:r w:rsidRPr="00967B5C">
        <w:rPr>
          <w:rFonts w:cs="Times New Roman"/>
          <w:i/>
          <w:iCs/>
          <w:szCs w:val="24"/>
          <w:shd w:val="clear" w:color="auto" w:fill="FFFFFF"/>
        </w:rPr>
        <w:t>52</w:t>
      </w:r>
      <w:r w:rsidRPr="00967B5C">
        <w:rPr>
          <w:rFonts w:cs="Times New Roman"/>
          <w:szCs w:val="24"/>
          <w:shd w:val="clear" w:color="auto" w:fill="FFFFFF"/>
        </w:rPr>
        <w:t>(2), pp.111-138.</w:t>
      </w:r>
    </w:p>
    <w:p w14:paraId="46D8874E" w14:textId="77777777" w:rsidR="00E6417A" w:rsidRPr="00967B5C" w:rsidRDefault="00E6417A" w:rsidP="00967B5C">
      <w:pPr>
        <w:ind w:left="720" w:hanging="720"/>
        <w:rPr>
          <w:rFonts w:cs="Times New Roman"/>
          <w:szCs w:val="24"/>
          <w:shd w:val="clear" w:color="auto" w:fill="FFFFFF"/>
        </w:rPr>
      </w:pPr>
      <w:r w:rsidRPr="00967B5C">
        <w:rPr>
          <w:rFonts w:cs="Times New Roman"/>
          <w:szCs w:val="24"/>
          <w:shd w:val="clear" w:color="auto" w:fill="FFFFFF"/>
        </w:rPr>
        <w:t>Sutton, A., 2020. Living the good life: A meta-analysis of authenticity, well-being and engagement. </w:t>
      </w:r>
      <w:r w:rsidRPr="00967B5C">
        <w:rPr>
          <w:rFonts w:cs="Times New Roman"/>
          <w:i/>
          <w:iCs/>
          <w:szCs w:val="24"/>
          <w:shd w:val="clear" w:color="auto" w:fill="FFFFFF"/>
        </w:rPr>
        <w:t>Personality and Individual Differences</w:t>
      </w:r>
      <w:r w:rsidRPr="00967B5C">
        <w:rPr>
          <w:rFonts w:cs="Times New Roman"/>
          <w:szCs w:val="24"/>
          <w:shd w:val="clear" w:color="auto" w:fill="FFFFFF"/>
        </w:rPr>
        <w:t>, </w:t>
      </w:r>
      <w:r w:rsidRPr="00967B5C">
        <w:rPr>
          <w:rFonts w:cs="Times New Roman"/>
          <w:i/>
          <w:iCs/>
          <w:szCs w:val="24"/>
          <w:shd w:val="clear" w:color="auto" w:fill="FFFFFF"/>
        </w:rPr>
        <w:t>153</w:t>
      </w:r>
      <w:r w:rsidRPr="00967B5C">
        <w:rPr>
          <w:rFonts w:cs="Times New Roman"/>
          <w:szCs w:val="24"/>
          <w:shd w:val="clear" w:color="auto" w:fill="FFFFFF"/>
        </w:rPr>
        <w:t>, p.109645.</w:t>
      </w:r>
    </w:p>
    <w:p w14:paraId="7BCB8669" w14:textId="057D722B" w:rsidR="00E6417A" w:rsidRPr="00967B5C" w:rsidRDefault="00E6417A" w:rsidP="00967B5C">
      <w:pPr>
        <w:ind w:left="720" w:hanging="720"/>
        <w:rPr>
          <w:rFonts w:cs="Times New Roman"/>
          <w:szCs w:val="24"/>
        </w:rPr>
      </w:pPr>
      <w:r w:rsidRPr="00967B5C">
        <w:rPr>
          <w:rFonts w:cs="Times New Roman"/>
          <w:szCs w:val="24"/>
          <w:shd w:val="clear" w:color="auto" w:fill="FFFFFF"/>
        </w:rPr>
        <w:t xml:space="preserve">Torrington, D., Hall, l., Taylor, S. &amp; Atkinson, </w:t>
      </w:r>
      <w:r w:rsidR="00CC083C" w:rsidRPr="00967B5C">
        <w:rPr>
          <w:rFonts w:cs="Times New Roman"/>
          <w:szCs w:val="24"/>
          <w:shd w:val="clear" w:color="auto" w:fill="FFFFFF"/>
        </w:rPr>
        <w:t>C. (</w:t>
      </w:r>
      <w:r w:rsidRPr="00967B5C">
        <w:rPr>
          <w:rFonts w:cs="Times New Roman"/>
          <w:szCs w:val="24"/>
          <w:shd w:val="clear" w:color="auto" w:fill="FFFFFF"/>
        </w:rPr>
        <w:t>2014). </w:t>
      </w:r>
      <w:r w:rsidRPr="00967B5C">
        <w:rPr>
          <w:rFonts w:cs="Times New Roman"/>
          <w:i/>
          <w:iCs/>
          <w:szCs w:val="24"/>
          <w:shd w:val="clear" w:color="auto" w:fill="FFFFFF"/>
        </w:rPr>
        <w:t>Human Resource Management. Harlow: Pearson</w:t>
      </w:r>
      <w:r w:rsidRPr="00967B5C">
        <w:rPr>
          <w:rFonts w:cs="Times New Roman"/>
          <w:szCs w:val="24"/>
          <w:shd w:val="clear" w:color="auto" w:fill="FFFFFF"/>
        </w:rPr>
        <w:t>.</w:t>
      </w:r>
    </w:p>
    <w:sectPr w:rsidR="00E6417A" w:rsidRPr="00967B5C" w:rsidSect="00A94C4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1FAF8" w14:textId="77777777" w:rsidR="00ED31D7" w:rsidRDefault="00ED31D7" w:rsidP="00A94C4F">
      <w:pPr>
        <w:spacing w:before="0" w:after="0" w:line="240" w:lineRule="auto"/>
      </w:pPr>
      <w:r>
        <w:separator/>
      </w:r>
    </w:p>
  </w:endnote>
  <w:endnote w:type="continuationSeparator" w:id="0">
    <w:p w14:paraId="3A3AE052" w14:textId="77777777" w:rsidR="00ED31D7" w:rsidRDefault="00ED31D7" w:rsidP="00A94C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6442D" w14:textId="77777777" w:rsidR="00ED31D7" w:rsidRDefault="00ED31D7" w:rsidP="00A94C4F">
      <w:pPr>
        <w:spacing w:before="0" w:after="0" w:line="240" w:lineRule="auto"/>
      </w:pPr>
      <w:r>
        <w:separator/>
      </w:r>
    </w:p>
  </w:footnote>
  <w:footnote w:type="continuationSeparator" w:id="0">
    <w:p w14:paraId="22B41D8F" w14:textId="77777777" w:rsidR="00ED31D7" w:rsidRDefault="00ED31D7" w:rsidP="00A94C4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3F08B" w14:textId="0B9F9A50" w:rsidR="00A94C4F" w:rsidRDefault="00A94C4F" w:rsidP="00802DDA">
    <w:pPr>
      <w:pStyle w:val="Header"/>
      <w:ind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E186E" w14:textId="7BFAFA19" w:rsidR="0071365C" w:rsidRDefault="0071365C" w:rsidP="00802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D29F0"/>
    <w:multiLevelType w:val="multilevel"/>
    <w:tmpl w:val="C38ED7D4"/>
    <w:lvl w:ilvl="0">
      <w:start w:val="1"/>
      <w:numFmt w:val="decimal"/>
      <w:lvlText w:val="%1"/>
      <w:lvlJc w:val="left"/>
      <w:pPr>
        <w:ind w:left="311" w:hanging="212"/>
      </w:pPr>
      <w:rPr>
        <w:rFonts w:ascii="Times New Roman" w:eastAsia="Times New Roman" w:hAnsi="Times New Roman" w:cs="Times New Roman" w:hint="default"/>
        <w:b/>
        <w:bCs/>
        <w:w w:val="100"/>
        <w:sz w:val="28"/>
        <w:szCs w:val="28"/>
        <w:lang w:val="en-US" w:eastAsia="en-US" w:bidi="ar-SA"/>
      </w:rPr>
    </w:lvl>
    <w:lvl w:ilvl="1">
      <w:start w:val="1"/>
      <w:numFmt w:val="decimal"/>
      <w:lvlText w:val="%1.%2"/>
      <w:lvlJc w:val="left"/>
      <w:pPr>
        <w:ind w:left="820" w:hanging="720"/>
      </w:pPr>
      <w:rPr>
        <w:rFonts w:ascii="Times New Roman" w:eastAsia="Times New Roman" w:hAnsi="Times New Roman" w:cs="Times New Roman" w:hint="default"/>
        <w:b/>
        <w:bCs/>
        <w:w w:val="99"/>
        <w:sz w:val="26"/>
        <w:szCs w:val="26"/>
        <w:lang w:val="en-US" w:eastAsia="en-US" w:bidi="ar-SA"/>
      </w:rPr>
    </w:lvl>
    <w:lvl w:ilvl="2">
      <w:start w:val="1"/>
      <w:numFmt w:val="decimal"/>
      <w:lvlText w:val="%1.%2.%3"/>
      <w:lvlJc w:val="left"/>
      <w:pPr>
        <w:ind w:left="820" w:hanging="720"/>
      </w:pPr>
      <w:rPr>
        <w:rFonts w:ascii="Times New Roman" w:eastAsia="Times New Roman" w:hAnsi="Times New Roman" w:cs="Times New Roman" w:hint="default"/>
        <w:b/>
        <w:bCs/>
        <w:w w:val="100"/>
        <w:sz w:val="24"/>
        <w:szCs w:val="24"/>
        <w:lang w:val="en-US" w:eastAsia="en-US" w:bidi="ar-SA"/>
      </w:rPr>
    </w:lvl>
    <w:lvl w:ilvl="3">
      <w:start w:val="1"/>
      <w:numFmt w:val="decimal"/>
      <w:lvlText w:val="%1.%2.%3.%4"/>
      <w:lvlJc w:val="left"/>
      <w:pPr>
        <w:ind w:left="820" w:hanging="720"/>
      </w:pPr>
      <w:rPr>
        <w:rFonts w:ascii="Times New Roman" w:eastAsia="Times New Roman" w:hAnsi="Times New Roman" w:cs="Times New Roman" w:hint="default"/>
        <w:i/>
        <w:iCs/>
        <w:w w:val="100"/>
        <w:sz w:val="24"/>
        <w:szCs w:val="24"/>
        <w:lang w:val="en-US" w:eastAsia="en-US" w:bidi="ar-SA"/>
      </w:rPr>
    </w:lvl>
    <w:lvl w:ilvl="4">
      <w:numFmt w:val="bullet"/>
      <w:lvlText w:val="•"/>
      <w:lvlJc w:val="left"/>
      <w:pPr>
        <w:ind w:left="3815" w:hanging="720"/>
      </w:pPr>
      <w:rPr>
        <w:lang w:val="en-US" w:eastAsia="en-US" w:bidi="ar-SA"/>
      </w:rPr>
    </w:lvl>
    <w:lvl w:ilvl="5">
      <w:numFmt w:val="bullet"/>
      <w:lvlText w:val="•"/>
      <w:lvlJc w:val="left"/>
      <w:pPr>
        <w:ind w:left="4813" w:hanging="720"/>
      </w:pPr>
      <w:rPr>
        <w:lang w:val="en-US" w:eastAsia="en-US" w:bidi="ar-SA"/>
      </w:rPr>
    </w:lvl>
    <w:lvl w:ilvl="6">
      <w:numFmt w:val="bullet"/>
      <w:lvlText w:val="•"/>
      <w:lvlJc w:val="left"/>
      <w:pPr>
        <w:ind w:left="5812" w:hanging="720"/>
      </w:pPr>
      <w:rPr>
        <w:lang w:val="en-US" w:eastAsia="en-US" w:bidi="ar-SA"/>
      </w:rPr>
    </w:lvl>
    <w:lvl w:ilvl="7">
      <w:numFmt w:val="bullet"/>
      <w:lvlText w:val="•"/>
      <w:lvlJc w:val="left"/>
      <w:pPr>
        <w:ind w:left="6810" w:hanging="720"/>
      </w:pPr>
      <w:rPr>
        <w:lang w:val="en-US" w:eastAsia="en-US" w:bidi="ar-SA"/>
      </w:rPr>
    </w:lvl>
    <w:lvl w:ilvl="8">
      <w:numFmt w:val="bullet"/>
      <w:lvlText w:val="•"/>
      <w:lvlJc w:val="left"/>
      <w:pPr>
        <w:ind w:left="7809" w:hanging="720"/>
      </w:pPr>
      <w:rPr>
        <w:lang w:val="en-US" w:eastAsia="en-US" w:bidi="ar-SA"/>
      </w:rPr>
    </w:lvl>
  </w:abstractNum>
  <w:abstractNum w:abstractNumId="1" w15:restartNumberingAfterBreak="0">
    <w:nsid w:val="3D42456B"/>
    <w:multiLevelType w:val="multilevel"/>
    <w:tmpl w:val="A3B86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E0MDEzNzSyMDM0tbRU0lEKTi0uzszPAykwrgUAm5CvzSwAAAA="/>
  </w:docVars>
  <w:rsids>
    <w:rsidRoot w:val="000C0275"/>
    <w:rsid w:val="00022C75"/>
    <w:rsid w:val="0004229B"/>
    <w:rsid w:val="00075BE0"/>
    <w:rsid w:val="000C0275"/>
    <w:rsid w:val="000F6970"/>
    <w:rsid w:val="001147E4"/>
    <w:rsid w:val="0014537A"/>
    <w:rsid w:val="001714CA"/>
    <w:rsid w:val="001B4C5D"/>
    <w:rsid w:val="001D602A"/>
    <w:rsid w:val="002323FF"/>
    <w:rsid w:val="002435EA"/>
    <w:rsid w:val="0026057F"/>
    <w:rsid w:val="0026689D"/>
    <w:rsid w:val="00266E26"/>
    <w:rsid w:val="00287F2E"/>
    <w:rsid w:val="002D0F26"/>
    <w:rsid w:val="003134F7"/>
    <w:rsid w:val="00381FA3"/>
    <w:rsid w:val="003C1073"/>
    <w:rsid w:val="004A4423"/>
    <w:rsid w:val="004C3F2A"/>
    <w:rsid w:val="004E61BE"/>
    <w:rsid w:val="004F5388"/>
    <w:rsid w:val="00576E5A"/>
    <w:rsid w:val="005B7290"/>
    <w:rsid w:val="005F09EA"/>
    <w:rsid w:val="005F3776"/>
    <w:rsid w:val="006062D5"/>
    <w:rsid w:val="00682B00"/>
    <w:rsid w:val="0068327B"/>
    <w:rsid w:val="00702EA7"/>
    <w:rsid w:val="0071365C"/>
    <w:rsid w:val="00730D26"/>
    <w:rsid w:val="00763CD9"/>
    <w:rsid w:val="00802DDA"/>
    <w:rsid w:val="0083290F"/>
    <w:rsid w:val="00856595"/>
    <w:rsid w:val="008E362F"/>
    <w:rsid w:val="00910638"/>
    <w:rsid w:val="00957521"/>
    <w:rsid w:val="00967B5C"/>
    <w:rsid w:val="00995A05"/>
    <w:rsid w:val="00A015D3"/>
    <w:rsid w:val="00A31568"/>
    <w:rsid w:val="00A94C4F"/>
    <w:rsid w:val="00AB102C"/>
    <w:rsid w:val="00AF4DEB"/>
    <w:rsid w:val="00B056D4"/>
    <w:rsid w:val="00B3116C"/>
    <w:rsid w:val="00B3775B"/>
    <w:rsid w:val="00B64D1B"/>
    <w:rsid w:val="00B85922"/>
    <w:rsid w:val="00B94E61"/>
    <w:rsid w:val="00BB7565"/>
    <w:rsid w:val="00BF33AF"/>
    <w:rsid w:val="00C07436"/>
    <w:rsid w:val="00C23C9B"/>
    <w:rsid w:val="00C2682C"/>
    <w:rsid w:val="00CA3CC8"/>
    <w:rsid w:val="00CC083C"/>
    <w:rsid w:val="00D02A82"/>
    <w:rsid w:val="00D22908"/>
    <w:rsid w:val="00D7193A"/>
    <w:rsid w:val="00DD785E"/>
    <w:rsid w:val="00DF3946"/>
    <w:rsid w:val="00E26942"/>
    <w:rsid w:val="00E27E06"/>
    <w:rsid w:val="00E6417A"/>
    <w:rsid w:val="00ED31D7"/>
    <w:rsid w:val="00F541D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16FC4"/>
  <w15:chartTrackingRefBased/>
  <w15:docId w15:val="{035F8211-075A-4FE9-BE02-2D839306A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568"/>
    <w:pPr>
      <w:spacing w:before="120" w:after="120" w:line="480" w:lineRule="auto"/>
      <w:ind w:firstLine="720"/>
    </w:pPr>
    <w:rPr>
      <w:rFonts w:ascii="Times New Roman" w:hAnsi="Times New Roman"/>
      <w:sz w:val="24"/>
    </w:rPr>
  </w:style>
  <w:style w:type="paragraph" w:styleId="Heading1">
    <w:name w:val="heading 1"/>
    <w:basedOn w:val="Normal"/>
    <w:next w:val="Normal"/>
    <w:link w:val="Heading1Char"/>
    <w:autoRedefine/>
    <w:uiPriority w:val="9"/>
    <w:qFormat/>
    <w:rsid w:val="00B94E61"/>
    <w:pPr>
      <w:keepNext/>
      <w:keepLines/>
      <w:ind w:firstLine="0"/>
      <w:jc w:val="center"/>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B94E61"/>
    <w:pPr>
      <w:keepNext/>
      <w:keepLines/>
      <w:ind w:firstLine="0"/>
      <w:outlineLvl w:val="1"/>
    </w:pPr>
    <w:rPr>
      <w:rFonts w:eastAsiaTheme="majorEastAsia" w:cs="Times New Roman"/>
      <w:b/>
      <w:i/>
      <w:szCs w:val="24"/>
    </w:rPr>
  </w:style>
  <w:style w:type="paragraph" w:styleId="Heading3">
    <w:name w:val="heading 3"/>
    <w:basedOn w:val="Normal"/>
    <w:next w:val="Normal"/>
    <w:link w:val="Heading3Char"/>
    <w:autoRedefine/>
    <w:uiPriority w:val="9"/>
    <w:unhideWhenUsed/>
    <w:qFormat/>
    <w:rsid w:val="00381FA3"/>
    <w:pPr>
      <w:keepNext/>
      <w:keepLines/>
      <w:ind w:firstLine="0"/>
      <w:jc w:val="both"/>
      <w:outlineLvl w:val="2"/>
    </w:pPr>
    <w:rPr>
      <w:rFonts w:eastAsiaTheme="majorEastAsia" w:cs="Times New Roman"/>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E61"/>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B94E61"/>
    <w:rPr>
      <w:rFonts w:ascii="Times New Roman" w:eastAsiaTheme="majorEastAsia" w:hAnsi="Times New Roman" w:cs="Times New Roman"/>
      <w:b/>
      <w:i/>
      <w:sz w:val="24"/>
      <w:szCs w:val="24"/>
    </w:rPr>
  </w:style>
  <w:style w:type="character" w:customStyle="1" w:styleId="Heading3Char">
    <w:name w:val="Heading 3 Char"/>
    <w:basedOn w:val="DefaultParagraphFont"/>
    <w:link w:val="Heading3"/>
    <w:uiPriority w:val="9"/>
    <w:rsid w:val="00381FA3"/>
    <w:rPr>
      <w:rFonts w:ascii="Times New Roman" w:eastAsiaTheme="majorEastAsia" w:hAnsi="Times New Roman" w:cs="Times New Roman"/>
      <w:i/>
      <w:sz w:val="24"/>
      <w:szCs w:val="24"/>
    </w:rPr>
  </w:style>
  <w:style w:type="paragraph" w:styleId="NoSpacing">
    <w:name w:val="No Spacing"/>
    <w:link w:val="NoSpacingChar"/>
    <w:autoRedefine/>
    <w:uiPriority w:val="1"/>
    <w:qFormat/>
    <w:rsid w:val="004E61BE"/>
    <w:pPr>
      <w:spacing w:after="0" w:line="240" w:lineRule="auto"/>
    </w:pPr>
    <w:rPr>
      <w:rFonts w:ascii="Times New Roman" w:hAnsi="Times New Roman"/>
      <w:sz w:val="24"/>
    </w:rPr>
  </w:style>
  <w:style w:type="character" w:customStyle="1" w:styleId="NoSpacingChar">
    <w:name w:val="No Spacing Char"/>
    <w:basedOn w:val="DefaultParagraphFont"/>
    <w:link w:val="NoSpacing"/>
    <w:uiPriority w:val="1"/>
    <w:rsid w:val="004E61BE"/>
    <w:rPr>
      <w:rFonts w:ascii="Times New Roman" w:hAnsi="Times New Roman"/>
      <w:sz w:val="24"/>
    </w:rPr>
  </w:style>
  <w:style w:type="paragraph" w:styleId="NormalWeb">
    <w:name w:val="Normal (Web)"/>
    <w:basedOn w:val="Normal"/>
    <w:uiPriority w:val="99"/>
    <w:unhideWhenUsed/>
    <w:rsid w:val="002435EA"/>
    <w:pPr>
      <w:spacing w:before="100" w:beforeAutospacing="1" w:after="100" w:afterAutospacing="1" w:line="240" w:lineRule="auto"/>
      <w:ind w:firstLine="0"/>
    </w:pPr>
    <w:rPr>
      <w:rFonts w:eastAsia="Times New Roman" w:cs="Times New Roman"/>
      <w:szCs w:val="24"/>
      <w:lang w:eastAsia="en-GB"/>
    </w:rPr>
  </w:style>
  <w:style w:type="character" w:styleId="Emphasis">
    <w:name w:val="Emphasis"/>
    <w:basedOn w:val="DefaultParagraphFont"/>
    <w:uiPriority w:val="20"/>
    <w:qFormat/>
    <w:rsid w:val="002435EA"/>
    <w:rPr>
      <w:i/>
      <w:iCs/>
    </w:rPr>
  </w:style>
  <w:style w:type="paragraph" w:styleId="Header">
    <w:name w:val="header"/>
    <w:basedOn w:val="Normal"/>
    <w:link w:val="HeaderChar"/>
    <w:uiPriority w:val="99"/>
    <w:unhideWhenUsed/>
    <w:rsid w:val="00A94C4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94C4F"/>
    <w:rPr>
      <w:rFonts w:ascii="Times New Roman" w:hAnsi="Times New Roman"/>
      <w:sz w:val="24"/>
    </w:rPr>
  </w:style>
  <w:style w:type="paragraph" w:styleId="Footer">
    <w:name w:val="footer"/>
    <w:basedOn w:val="Normal"/>
    <w:link w:val="FooterChar"/>
    <w:uiPriority w:val="99"/>
    <w:unhideWhenUsed/>
    <w:rsid w:val="00A94C4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94C4F"/>
    <w:rPr>
      <w:rFonts w:ascii="Times New Roman" w:hAnsi="Times New Roman"/>
      <w:sz w:val="24"/>
    </w:rPr>
  </w:style>
  <w:style w:type="paragraph" w:styleId="TOCHeading">
    <w:name w:val="TOC Heading"/>
    <w:basedOn w:val="Heading1"/>
    <w:next w:val="Normal"/>
    <w:uiPriority w:val="39"/>
    <w:unhideWhenUsed/>
    <w:qFormat/>
    <w:rsid w:val="00967B5C"/>
    <w:pPr>
      <w:spacing w:before="240" w:after="0"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967B5C"/>
    <w:pPr>
      <w:spacing w:after="100"/>
    </w:pPr>
  </w:style>
  <w:style w:type="paragraph" w:styleId="TOC2">
    <w:name w:val="toc 2"/>
    <w:basedOn w:val="Normal"/>
    <w:next w:val="Normal"/>
    <w:autoRedefine/>
    <w:uiPriority w:val="39"/>
    <w:unhideWhenUsed/>
    <w:rsid w:val="00967B5C"/>
    <w:pPr>
      <w:spacing w:after="100"/>
      <w:ind w:left="240"/>
    </w:pPr>
  </w:style>
  <w:style w:type="character" w:styleId="Hyperlink">
    <w:name w:val="Hyperlink"/>
    <w:basedOn w:val="DefaultParagraphFont"/>
    <w:uiPriority w:val="99"/>
    <w:unhideWhenUsed/>
    <w:rsid w:val="00967B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480273">
      <w:bodyDiv w:val="1"/>
      <w:marLeft w:val="0"/>
      <w:marRight w:val="0"/>
      <w:marTop w:val="0"/>
      <w:marBottom w:val="0"/>
      <w:divBdr>
        <w:top w:val="none" w:sz="0" w:space="0" w:color="auto"/>
        <w:left w:val="none" w:sz="0" w:space="0" w:color="auto"/>
        <w:bottom w:val="none" w:sz="0" w:space="0" w:color="auto"/>
        <w:right w:val="none" w:sz="0" w:space="0" w:color="auto"/>
      </w:divBdr>
    </w:div>
    <w:div w:id="142838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BCF5CA-FFF2-47CA-9386-AC3DCEA21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2677</Words>
  <Characters>15264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cp:lastModifiedBy>
  <cp:revision>13</cp:revision>
  <dcterms:created xsi:type="dcterms:W3CDTF">2022-04-20T04:35:00Z</dcterms:created>
  <dcterms:modified xsi:type="dcterms:W3CDTF">2022-05-05T10:17:00Z</dcterms:modified>
</cp:coreProperties>
</file>