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6B329" w14:textId="77777777" w:rsidR="00CE28FC" w:rsidRDefault="00CE28FC" w:rsidP="00CE28FC">
      <w:pPr>
        <w:spacing w:line="259" w:lineRule="auto"/>
        <w:jc w:val="center"/>
        <w:rPr>
          <w:sz w:val="40"/>
          <w:szCs w:val="36"/>
        </w:rPr>
      </w:pPr>
    </w:p>
    <w:p w14:paraId="3693D416" w14:textId="77777777" w:rsidR="00CE28FC" w:rsidRDefault="00CE28FC" w:rsidP="00CE28FC">
      <w:pPr>
        <w:spacing w:line="259" w:lineRule="auto"/>
        <w:jc w:val="center"/>
        <w:rPr>
          <w:sz w:val="40"/>
          <w:szCs w:val="36"/>
        </w:rPr>
      </w:pPr>
    </w:p>
    <w:p w14:paraId="7E152DF2" w14:textId="77777777" w:rsidR="00CE28FC" w:rsidRDefault="00CE28FC" w:rsidP="00CE28FC">
      <w:pPr>
        <w:spacing w:line="259" w:lineRule="auto"/>
        <w:jc w:val="center"/>
        <w:rPr>
          <w:sz w:val="40"/>
          <w:szCs w:val="36"/>
        </w:rPr>
      </w:pPr>
    </w:p>
    <w:p w14:paraId="7F2AA22D" w14:textId="77777777" w:rsidR="00CE28FC" w:rsidRDefault="00CE28FC" w:rsidP="00CE28FC">
      <w:pPr>
        <w:spacing w:line="259" w:lineRule="auto"/>
        <w:jc w:val="center"/>
        <w:rPr>
          <w:sz w:val="40"/>
          <w:szCs w:val="36"/>
        </w:rPr>
      </w:pPr>
    </w:p>
    <w:p w14:paraId="76CAEFFB" w14:textId="77777777" w:rsidR="00CE28FC" w:rsidRDefault="00CE28FC" w:rsidP="00CE28FC">
      <w:pPr>
        <w:spacing w:line="259" w:lineRule="auto"/>
        <w:jc w:val="center"/>
        <w:rPr>
          <w:sz w:val="40"/>
          <w:szCs w:val="36"/>
        </w:rPr>
      </w:pPr>
    </w:p>
    <w:p w14:paraId="10FB1B8C" w14:textId="24DE14A6" w:rsidR="00CE28FC" w:rsidRDefault="00CE28FC" w:rsidP="00CE28FC">
      <w:pPr>
        <w:spacing w:line="259" w:lineRule="auto"/>
        <w:jc w:val="center"/>
        <w:rPr>
          <w:sz w:val="40"/>
          <w:szCs w:val="36"/>
        </w:rPr>
      </w:pPr>
      <w:r w:rsidRPr="00CE28FC">
        <w:rPr>
          <w:sz w:val="40"/>
          <w:szCs w:val="36"/>
        </w:rPr>
        <w:t>Criminal Law</w:t>
      </w:r>
    </w:p>
    <w:p w14:paraId="5732DA6C" w14:textId="77777777" w:rsidR="00CE28FC" w:rsidRDefault="00CE28FC" w:rsidP="00CE28FC">
      <w:pPr>
        <w:spacing w:line="259" w:lineRule="auto"/>
        <w:jc w:val="center"/>
        <w:rPr>
          <w:sz w:val="40"/>
          <w:szCs w:val="36"/>
        </w:rPr>
      </w:pPr>
    </w:p>
    <w:p w14:paraId="6B979C29" w14:textId="77777777" w:rsidR="00CE28FC" w:rsidRDefault="00CE28FC" w:rsidP="00CE28FC">
      <w:pPr>
        <w:spacing w:line="259" w:lineRule="auto"/>
        <w:jc w:val="center"/>
        <w:rPr>
          <w:sz w:val="40"/>
          <w:szCs w:val="36"/>
        </w:rPr>
      </w:pPr>
    </w:p>
    <w:p w14:paraId="0FC1F6FE" w14:textId="77777777" w:rsidR="00CE28FC" w:rsidRDefault="00CE28FC" w:rsidP="00CE28FC">
      <w:pPr>
        <w:spacing w:line="259" w:lineRule="auto"/>
        <w:jc w:val="center"/>
        <w:rPr>
          <w:sz w:val="40"/>
          <w:szCs w:val="36"/>
        </w:rPr>
      </w:pPr>
    </w:p>
    <w:p w14:paraId="2531C95C" w14:textId="77777777" w:rsidR="00CE28FC" w:rsidRDefault="00CE28FC" w:rsidP="00CE28FC">
      <w:pPr>
        <w:spacing w:line="259" w:lineRule="auto"/>
        <w:jc w:val="center"/>
        <w:rPr>
          <w:sz w:val="40"/>
          <w:szCs w:val="36"/>
        </w:rPr>
      </w:pPr>
    </w:p>
    <w:p w14:paraId="4FF137DF" w14:textId="77777777" w:rsidR="00CE28FC" w:rsidRDefault="00CE28FC" w:rsidP="00CE28FC">
      <w:pPr>
        <w:spacing w:line="259" w:lineRule="auto"/>
        <w:jc w:val="center"/>
        <w:rPr>
          <w:sz w:val="40"/>
          <w:szCs w:val="36"/>
        </w:rPr>
      </w:pPr>
    </w:p>
    <w:p w14:paraId="3C72529A" w14:textId="77777777" w:rsidR="00CE28FC" w:rsidRDefault="00CE28FC" w:rsidP="00CE28FC">
      <w:pPr>
        <w:spacing w:line="259" w:lineRule="auto"/>
        <w:jc w:val="center"/>
        <w:rPr>
          <w:sz w:val="40"/>
          <w:szCs w:val="36"/>
        </w:rPr>
      </w:pPr>
    </w:p>
    <w:p w14:paraId="57E8DDB9" w14:textId="77777777" w:rsidR="00CE28FC" w:rsidRDefault="00CE28FC" w:rsidP="00CE28FC">
      <w:pPr>
        <w:spacing w:line="259" w:lineRule="auto"/>
        <w:jc w:val="center"/>
        <w:rPr>
          <w:sz w:val="40"/>
          <w:szCs w:val="36"/>
        </w:rPr>
      </w:pPr>
    </w:p>
    <w:p w14:paraId="54D5B06C" w14:textId="77777777" w:rsidR="00CE28FC" w:rsidRDefault="00CE28FC" w:rsidP="00CE28FC">
      <w:pPr>
        <w:spacing w:line="259" w:lineRule="auto"/>
        <w:jc w:val="center"/>
        <w:rPr>
          <w:sz w:val="40"/>
          <w:szCs w:val="36"/>
        </w:rPr>
      </w:pPr>
    </w:p>
    <w:p w14:paraId="0EB08ABE" w14:textId="1B8EEAE2" w:rsidR="00CE28FC" w:rsidRPr="00CE28FC" w:rsidRDefault="00CE28FC" w:rsidP="00CE28FC">
      <w:pPr>
        <w:spacing w:line="259" w:lineRule="auto"/>
        <w:jc w:val="left"/>
        <w:rPr>
          <w:sz w:val="40"/>
          <w:szCs w:val="36"/>
        </w:rPr>
      </w:pPr>
      <w:r w:rsidRPr="00CE28FC">
        <w:rPr>
          <w:sz w:val="40"/>
          <w:szCs w:val="36"/>
        </w:rPr>
        <w:t>Cosmina Hajdu</w:t>
      </w:r>
    </w:p>
    <w:p w14:paraId="03DBC3E0" w14:textId="77777777" w:rsidR="00CE28FC" w:rsidRDefault="00CE28FC" w:rsidP="00CE28FC">
      <w:pPr>
        <w:spacing w:line="259" w:lineRule="auto"/>
        <w:jc w:val="left"/>
        <w:rPr>
          <w:sz w:val="40"/>
          <w:szCs w:val="36"/>
        </w:rPr>
      </w:pPr>
      <w:r w:rsidRPr="00CE28FC">
        <w:rPr>
          <w:sz w:val="40"/>
          <w:szCs w:val="36"/>
        </w:rPr>
        <w:t>(2242302)</w:t>
      </w:r>
    </w:p>
    <w:sdt>
      <w:sdtPr>
        <w:id w:val="-1343467415"/>
        <w:docPartObj>
          <w:docPartGallery w:val="Table of Contents"/>
          <w:docPartUnique/>
        </w:docPartObj>
      </w:sdtPr>
      <w:sdtEndPr>
        <w:rPr>
          <w:b/>
          <w:bCs/>
        </w:rPr>
      </w:sdtEndPr>
      <w:sdtContent>
        <w:p w14:paraId="7348AD32" w14:textId="65763BAA" w:rsidR="00CE28FC" w:rsidRPr="00CE28FC" w:rsidRDefault="00CE28FC" w:rsidP="00CE28FC">
          <w:pPr>
            <w:spacing w:line="259" w:lineRule="auto"/>
            <w:jc w:val="left"/>
            <w:rPr>
              <w:sz w:val="40"/>
              <w:szCs w:val="36"/>
            </w:rPr>
          </w:pPr>
        </w:p>
        <w:p w14:paraId="3B657EC2" w14:textId="77777777" w:rsidR="00CE28FC" w:rsidRDefault="00CE28FC" w:rsidP="00CE28FC">
          <w:pPr>
            <w:pStyle w:val="TOCHeading1"/>
            <w:jc w:val="center"/>
            <w:rPr>
              <w:rFonts w:ascii="Times New Roman" w:hAnsi="Times New Roman" w:cs="Times New Roman"/>
              <w:b/>
              <w:bCs/>
              <w:color w:val="000000" w:themeColor="text1"/>
              <w:sz w:val="28"/>
              <w:szCs w:val="28"/>
            </w:rPr>
          </w:pPr>
        </w:p>
        <w:p w14:paraId="07215D2B" w14:textId="77777777" w:rsidR="00CE28FC" w:rsidRDefault="00CE28FC" w:rsidP="00CE28FC">
          <w:pPr>
            <w:rPr>
              <w:lang w:val="en-US"/>
            </w:rPr>
          </w:pPr>
        </w:p>
        <w:p w14:paraId="6838516A" w14:textId="77777777" w:rsidR="00CE28FC" w:rsidRPr="00CE28FC" w:rsidRDefault="00CE28FC" w:rsidP="00CE28FC">
          <w:pPr>
            <w:rPr>
              <w:lang w:val="en-US"/>
            </w:rPr>
          </w:pPr>
        </w:p>
        <w:p w14:paraId="4387D0D1" w14:textId="77777777" w:rsidR="00CE28FC" w:rsidRDefault="00CE28FC" w:rsidP="00CE28FC">
          <w:pPr>
            <w:pStyle w:val="TOCHeading1"/>
            <w:jc w:val="center"/>
            <w:rPr>
              <w:rFonts w:ascii="Times New Roman" w:hAnsi="Times New Roman" w:cs="Times New Roman"/>
              <w:b/>
              <w:bCs/>
              <w:color w:val="000000" w:themeColor="text1"/>
              <w:sz w:val="28"/>
              <w:szCs w:val="28"/>
            </w:rPr>
          </w:pPr>
        </w:p>
        <w:p w14:paraId="01181368" w14:textId="77777777" w:rsidR="00CE28FC" w:rsidRDefault="00CE28FC" w:rsidP="00CE28FC">
          <w:pPr>
            <w:pStyle w:val="TOCHeading1"/>
            <w:jc w:val="center"/>
            <w:rPr>
              <w:rFonts w:ascii="Times New Roman" w:hAnsi="Times New Roman" w:cs="Times New Roman"/>
              <w:b/>
              <w:bCs/>
              <w:color w:val="000000" w:themeColor="text1"/>
              <w:sz w:val="28"/>
              <w:szCs w:val="28"/>
            </w:rPr>
          </w:pPr>
        </w:p>
        <w:p w14:paraId="7754B7CF" w14:textId="77777777" w:rsidR="00CE28FC" w:rsidRDefault="00CE28FC" w:rsidP="00CE28FC">
          <w:pPr>
            <w:pStyle w:val="TOCHeading1"/>
            <w:jc w:val="center"/>
            <w:rPr>
              <w:rFonts w:ascii="Times New Roman" w:hAnsi="Times New Roman" w:cs="Times New Roman"/>
              <w:b/>
              <w:bCs/>
              <w:color w:val="000000" w:themeColor="text1"/>
              <w:sz w:val="28"/>
              <w:szCs w:val="28"/>
            </w:rPr>
          </w:pPr>
        </w:p>
        <w:p w14:paraId="47477EC5" w14:textId="77777777" w:rsidR="00CE28FC" w:rsidRDefault="00CE28FC" w:rsidP="00CE28FC">
          <w:pPr>
            <w:pStyle w:val="TOCHeading1"/>
            <w:jc w:val="center"/>
            <w:rPr>
              <w:rFonts w:ascii="Times New Roman" w:hAnsi="Times New Roman" w:cs="Times New Roman"/>
              <w:b/>
              <w:bCs/>
              <w:color w:val="000000" w:themeColor="text1"/>
              <w:sz w:val="28"/>
              <w:szCs w:val="28"/>
            </w:rPr>
          </w:pPr>
        </w:p>
        <w:p w14:paraId="172D250B" w14:textId="081C7880" w:rsidR="00D215A9" w:rsidRDefault="00CE28FC" w:rsidP="00CE28FC">
          <w:pPr>
            <w:pStyle w:val="TOCHeading1"/>
            <w:jc w:val="center"/>
            <w:rPr>
              <w:rFonts w:asciiTheme="minorHAnsi" w:eastAsiaTheme="minorEastAsia" w:hAnsiTheme="minorHAnsi"/>
              <w:sz w:val="22"/>
            </w:rPr>
          </w:pPr>
          <w:r>
            <w:fldChar w:fldCharType="begin"/>
          </w:r>
          <w:r>
            <w:instrText xml:space="preserve"> TOC \o "1-3" \h \z \u </w:instrText>
          </w:r>
          <w:r>
            <w:fldChar w:fldCharType="separate"/>
          </w:r>
          <w:hyperlink w:anchor="_Toc159323439" w:history="1">
            <w:r>
              <w:rPr>
                <w:rStyle w:val="Hyperlink"/>
              </w:rPr>
              <w:t>Introduction</w:t>
            </w:r>
            <w:r>
              <w:tab/>
            </w:r>
            <w:r>
              <w:fldChar w:fldCharType="begin"/>
            </w:r>
            <w:r>
              <w:instrText xml:space="preserve"> PAGEREF _Toc159323439 \h </w:instrText>
            </w:r>
            <w:r>
              <w:fldChar w:fldCharType="separate"/>
            </w:r>
            <w:r>
              <w:t>3</w:t>
            </w:r>
            <w:r>
              <w:fldChar w:fldCharType="end"/>
            </w:r>
          </w:hyperlink>
        </w:p>
        <w:p w14:paraId="39F2DC28" w14:textId="77777777" w:rsidR="00D215A9" w:rsidRDefault="00BE50D4">
          <w:pPr>
            <w:pStyle w:val="TOC1"/>
            <w:tabs>
              <w:tab w:val="right" w:leader="dot" w:pos="9016"/>
            </w:tabs>
            <w:rPr>
              <w:rFonts w:asciiTheme="minorHAnsi" w:eastAsiaTheme="minorEastAsia" w:hAnsiTheme="minorHAnsi"/>
              <w:kern w:val="0"/>
              <w:sz w:val="22"/>
              <w:lang w:val="en-US"/>
              <w14:ligatures w14:val="none"/>
            </w:rPr>
          </w:pPr>
          <w:hyperlink w:anchor="_Toc159323440" w:history="1">
            <w:r w:rsidR="00CE28FC">
              <w:rPr>
                <w:rStyle w:val="Hyperlink"/>
              </w:rPr>
              <w:t>Main Body</w:t>
            </w:r>
            <w:r w:rsidR="00CE28FC">
              <w:tab/>
            </w:r>
            <w:r w:rsidR="00CE28FC">
              <w:fldChar w:fldCharType="begin"/>
            </w:r>
            <w:r w:rsidR="00CE28FC">
              <w:instrText xml:space="preserve"> PAGEREF _Toc159323440 \h </w:instrText>
            </w:r>
            <w:r w:rsidR="00CE28FC">
              <w:fldChar w:fldCharType="separate"/>
            </w:r>
            <w:r w:rsidR="00CE28FC">
              <w:t>4</w:t>
            </w:r>
            <w:r w:rsidR="00CE28FC">
              <w:fldChar w:fldCharType="end"/>
            </w:r>
          </w:hyperlink>
        </w:p>
        <w:p w14:paraId="34F4B71C" w14:textId="77777777" w:rsidR="00D215A9" w:rsidRDefault="00BE50D4">
          <w:pPr>
            <w:pStyle w:val="TOC1"/>
            <w:tabs>
              <w:tab w:val="right" w:leader="dot" w:pos="9016"/>
            </w:tabs>
            <w:rPr>
              <w:rFonts w:asciiTheme="minorHAnsi" w:eastAsiaTheme="minorEastAsia" w:hAnsiTheme="minorHAnsi"/>
              <w:kern w:val="0"/>
              <w:sz w:val="22"/>
              <w:lang w:val="en-US"/>
              <w14:ligatures w14:val="none"/>
            </w:rPr>
          </w:pPr>
          <w:hyperlink w:anchor="_Toc159323441" w:history="1">
            <w:r w:rsidR="00CE28FC">
              <w:rPr>
                <w:rStyle w:val="Hyperlink"/>
              </w:rPr>
              <w:t>Conclusion</w:t>
            </w:r>
            <w:r w:rsidR="00CE28FC">
              <w:tab/>
            </w:r>
            <w:r w:rsidR="00CE28FC">
              <w:fldChar w:fldCharType="begin"/>
            </w:r>
            <w:r w:rsidR="00CE28FC">
              <w:instrText xml:space="preserve"> PAGEREF _Toc159323441 \h </w:instrText>
            </w:r>
            <w:r w:rsidR="00CE28FC">
              <w:fldChar w:fldCharType="separate"/>
            </w:r>
            <w:r w:rsidR="00CE28FC">
              <w:t>8</w:t>
            </w:r>
            <w:r w:rsidR="00CE28FC">
              <w:fldChar w:fldCharType="end"/>
            </w:r>
          </w:hyperlink>
        </w:p>
        <w:p w14:paraId="2B217913" w14:textId="77777777" w:rsidR="00D215A9" w:rsidRDefault="00BE50D4">
          <w:pPr>
            <w:pStyle w:val="TOC1"/>
            <w:tabs>
              <w:tab w:val="right" w:leader="dot" w:pos="9016"/>
            </w:tabs>
            <w:rPr>
              <w:rFonts w:asciiTheme="minorHAnsi" w:eastAsiaTheme="minorEastAsia" w:hAnsiTheme="minorHAnsi"/>
              <w:kern w:val="0"/>
              <w:sz w:val="22"/>
              <w:lang w:val="en-US"/>
              <w14:ligatures w14:val="none"/>
            </w:rPr>
          </w:pPr>
          <w:hyperlink w:anchor="_Toc159323442" w:history="1">
            <w:r w:rsidR="00CE28FC">
              <w:rPr>
                <w:rStyle w:val="Hyperlink"/>
              </w:rPr>
              <w:t>References</w:t>
            </w:r>
            <w:r w:rsidR="00CE28FC">
              <w:tab/>
            </w:r>
            <w:r w:rsidR="00CE28FC">
              <w:fldChar w:fldCharType="begin"/>
            </w:r>
            <w:r w:rsidR="00CE28FC">
              <w:instrText xml:space="preserve"> PAGEREF _Toc159323442 \h </w:instrText>
            </w:r>
            <w:r w:rsidR="00CE28FC">
              <w:fldChar w:fldCharType="separate"/>
            </w:r>
            <w:r w:rsidR="00CE28FC">
              <w:t>9</w:t>
            </w:r>
            <w:r w:rsidR="00CE28FC">
              <w:fldChar w:fldCharType="end"/>
            </w:r>
          </w:hyperlink>
        </w:p>
        <w:p w14:paraId="3E2EA7D1" w14:textId="77777777" w:rsidR="00D215A9" w:rsidRDefault="00CE28FC">
          <w:r>
            <w:rPr>
              <w:b/>
              <w:bCs/>
            </w:rPr>
            <w:fldChar w:fldCharType="end"/>
          </w:r>
        </w:p>
      </w:sdtContent>
    </w:sdt>
    <w:p w14:paraId="1EE8D591" w14:textId="77777777" w:rsidR="00D215A9" w:rsidRDefault="00CE28FC">
      <w:pPr>
        <w:spacing w:line="259" w:lineRule="auto"/>
        <w:jc w:val="left"/>
        <w:rPr>
          <w:rFonts w:eastAsiaTheme="majorEastAsia" w:cstheme="majorBidi"/>
          <w:b/>
          <w:spacing w:val="-10"/>
          <w:kern w:val="28"/>
          <w:sz w:val="36"/>
          <w:szCs w:val="56"/>
          <w:u w:val="single"/>
        </w:rPr>
      </w:pPr>
      <w:r>
        <w:br w:type="page"/>
      </w:r>
    </w:p>
    <w:p w14:paraId="6555F0F1" w14:textId="77777777" w:rsidR="00D215A9" w:rsidRDefault="00CE28FC">
      <w:pPr>
        <w:pStyle w:val="Heading1"/>
      </w:pPr>
      <w:bookmarkStart w:id="0" w:name="_Toc159323439"/>
      <w:r>
        <w:lastRenderedPageBreak/>
        <w:t>Introduction</w:t>
      </w:r>
      <w:bookmarkEnd w:id="0"/>
    </w:p>
    <w:p w14:paraId="2D094284" w14:textId="77777777" w:rsidR="00D215A9" w:rsidRDefault="00CE28FC">
      <w:r>
        <w:t>Carla and Jamie have been a married couple for 15 years as they had marital problems leading to distress between them. Where Carla used to become quite agitated Jamie's disproportionate drinking issue and disrespect for their married life led to extreme argument. Where Jamie admits to having a temporary affair with a co-worker. Carla in anger went to the kitchen and took a kitchen knife. Hence stabbing Jamie in the chest, instigating grave injuries to him. Based on these circumstances’ possible criminal liability of Carla has been discussed while providing applicable defence for her.</w:t>
      </w:r>
    </w:p>
    <w:p w14:paraId="57498A2F" w14:textId="77777777" w:rsidR="00D215A9" w:rsidRDefault="00CE28FC">
      <w:pPr>
        <w:spacing w:line="259" w:lineRule="auto"/>
        <w:rPr>
          <w:rFonts w:eastAsiaTheme="majorEastAsia" w:cstheme="majorBidi"/>
          <w:b/>
          <w:sz w:val="28"/>
          <w:szCs w:val="32"/>
        </w:rPr>
      </w:pPr>
      <w:r>
        <w:br w:type="page"/>
      </w:r>
    </w:p>
    <w:p w14:paraId="3B470ACF" w14:textId="77777777" w:rsidR="00D215A9" w:rsidRDefault="00CE28FC">
      <w:pPr>
        <w:pStyle w:val="Heading1"/>
      </w:pPr>
      <w:bookmarkStart w:id="1" w:name="_Toc159323440"/>
      <w:r>
        <w:lastRenderedPageBreak/>
        <w:t>Main Body</w:t>
      </w:r>
      <w:bookmarkEnd w:id="1"/>
    </w:p>
    <w:p w14:paraId="2F7689F5" w14:textId="2BE4A646" w:rsidR="00D215A9" w:rsidRDefault="00CE28FC">
      <w:r>
        <w:t xml:space="preserve">Carl and Jamie, who have been married for 15 years, their marital life was not going well, leading to marital issues. Due to this, Carla used to become increasingly agitated, and Jamie's excessive drinking problem and disregard for their marital relationship led to an intense dispute. Where Jamie confesses to having had a short-term affair with a colleague. Carla in anger went to the kitchen takes a kitchen knife. Stabbing Jamie in the chest, causing serious injuries to him. Here the main question lies in what </w:t>
      </w:r>
      <w:proofErr w:type="gramStart"/>
      <w:r>
        <w:t xml:space="preserve">will be the potential </w:t>
      </w:r>
      <w:r w:rsidR="00D442CC">
        <w:t>c</w:t>
      </w:r>
      <w:r>
        <w:t>riminal</w:t>
      </w:r>
      <w:proofErr w:type="gramEnd"/>
      <w:r w:rsidR="00D442CC">
        <w:t>,</w:t>
      </w:r>
      <w:r>
        <w:t xml:space="preserve"> liability of Carla.</w:t>
      </w:r>
    </w:p>
    <w:p w14:paraId="71973EEA" w14:textId="77777777" w:rsidR="00D215A9" w:rsidRDefault="00CE28FC">
      <w:pPr>
        <w:rPr>
          <w:b/>
        </w:rPr>
      </w:pPr>
      <w:r>
        <w:rPr>
          <w:b/>
        </w:rPr>
        <w:t>Elements of crime</w:t>
      </w:r>
    </w:p>
    <w:p w14:paraId="525578B7" w14:textId="35C01CDA" w:rsidR="00D215A9" w:rsidRDefault="00CE28FC">
      <w:r>
        <w:t xml:space="preserve">As per English law, an act can only be reflected as a crime criminal act if two essentials exist: actus reus and </w:t>
      </w:r>
      <w:proofErr w:type="spellStart"/>
      <w:r>
        <w:t>mens</w:t>
      </w:r>
      <w:proofErr w:type="spellEnd"/>
      <w:r>
        <w:t xml:space="preserve"> rea. Furthermore, the perpetrator or suspect needs to show </w:t>
      </w:r>
      <w:r w:rsidR="00D24C67">
        <w:t>behaviour</w:t>
      </w:r>
      <w:r>
        <w:t xml:space="preserve"> or a physically disruptive mental state.</w:t>
      </w:r>
    </w:p>
    <w:p w14:paraId="3404D8ED" w14:textId="77777777" w:rsidR="00D215A9" w:rsidRDefault="00CE28FC">
      <w:pPr>
        <w:rPr>
          <w:b/>
        </w:rPr>
      </w:pPr>
      <w:r>
        <w:rPr>
          <w:b/>
        </w:rPr>
        <w:t>Actus Reus</w:t>
      </w:r>
    </w:p>
    <w:p w14:paraId="3902CAC6" w14:textId="2A026A7E" w:rsidR="00D215A9" w:rsidRDefault="00CE28FC">
      <w:r>
        <w:t>It might be perceived as the usage of illegal and irrational force to obligate an act. Lapse or miscarriage of an act adequate for this provision. Carla's stabbing Jamie in the chest causing serious injuries to him leads to the fulfilment of this element (Ashworth, 2023).</w:t>
      </w:r>
    </w:p>
    <w:p w14:paraId="3B29DD21" w14:textId="085F3BF1" w:rsidR="00D215A9" w:rsidRDefault="00D442CC">
      <w:pPr>
        <w:rPr>
          <w:b/>
        </w:rPr>
      </w:pPr>
      <w:r>
        <w:rPr>
          <w:b/>
        </w:rPr>
        <w:t>Mans</w:t>
      </w:r>
      <w:r w:rsidR="00CE28FC">
        <w:rPr>
          <w:b/>
        </w:rPr>
        <w:t xml:space="preserve"> Rea</w:t>
      </w:r>
    </w:p>
    <w:p w14:paraId="5015149A" w14:textId="39BC3692" w:rsidR="00D215A9" w:rsidRDefault="00D442CC">
      <w:r>
        <w:t>Mans</w:t>
      </w:r>
      <w:r w:rsidR="00CE28FC">
        <w:t xml:space="preserve"> rea denotes mental capacity intention, awareness, irresponsibility, or carelessness while doing a crime. </w:t>
      </w:r>
      <w:r>
        <w:t>Mans</w:t>
      </w:r>
      <w:r w:rsidR="00CE28FC">
        <w:t xml:space="preserve"> rea is the intention to do harm or injury. Ascertaining the presence of </w:t>
      </w:r>
      <w:r>
        <w:t>men’s</w:t>
      </w:r>
      <w:r w:rsidR="00CE28FC">
        <w:t xml:space="preserve"> rea is critical in forming criminal accountability. The presence of </w:t>
      </w:r>
      <w:proofErr w:type="spellStart"/>
      <w:r w:rsidR="00CE28FC">
        <w:t>mens</w:t>
      </w:r>
      <w:proofErr w:type="spellEnd"/>
      <w:r w:rsidR="00CE28FC">
        <w:t xml:space="preserve"> rea in the given scenario cannot be estimated (Child and Hunt, 2022).</w:t>
      </w:r>
    </w:p>
    <w:p w14:paraId="53C43B13" w14:textId="77777777" w:rsidR="00D215A9" w:rsidRDefault="00CE28FC">
      <w:pPr>
        <w:rPr>
          <w:b/>
        </w:rPr>
      </w:pPr>
      <w:r>
        <w:rPr>
          <w:b/>
        </w:rPr>
        <w:t>Intention</w:t>
      </w:r>
    </w:p>
    <w:p w14:paraId="2A1B2DA8" w14:textId="04864DDE" w:rsidR="00D215A9" w:rsidRDefault="00CE28FC">
      <w:r>
        <w:t>“Intention” is a component of several criminal felonies, but it does not have a stable connotation. There is no struggle in circumstances where the offender wishes or needs to carry the result of his actions; in such event, the offender openly anticipates that result, and in what way its consequences occur. In direct intention where the defendant proposes that his actions lead to illegal consequences. Indirect intention where the illegal consequence must be virtually assured as an outcome of Defendant's acts and Defendant must escalate that this was the circumstances.</w:t>
      </w:r>
    </w:p>
    <w:p w14:paraId="6FB35321" w14:textId="77777777" w:rsidR="00D215A9" w:rsidRDefault="00CE28FC">
      <w:pPr>
        <w:rPr>
          <w:b/>
        </w:rPr>
      </w:pPr>
      <w:r>
        <w:rPr>
          <w:b/>
        </w:rPr>
        <w:t>Offences against the Person Act 1861</w:t>
      </w:r>
    </w:p>
    <w:p w14:paraId="4D8915AB" w14:textId="77777777" w:rsidR="00D215A9" w:rsidRDefault="00CE28FC">
      <w:r>
        <w:lastRenderedPageBreak/>
        <w:t xml:space="preserve">It has been stated in </w:t>
      </w:r>
      <w:r w:rsidRPr="00D442CC">
        <w:rPr>
          <w:b/>
          <w:iCs/>
        </w:rPr>
        <w:t>Section 20 of Offences against the Person Act 1861</w:t>
      </w:r>
      <w:r>
        <w:rPr>
          <w:b/>
          <w:i/>
        </w:rPr>
        <w:t xml:space="preserve"> </w:t>
      </w:r>
      <w:r>
        <w:t xml:space="preserve">Individual who illegally and viciously wounds or imposes any grievous bodily harm upon other individuals, with or without any arms or tool, will be guilty of a felony and accountable, on sentence of prosecution. Based on the given circumstances Carla Stabbing Jamie in the chest, causing serious injuries to him leads to the development of grievous bodily harm making her accountable for criminal liability (legislation.gov.uk 2024). But as per </w:t>
      </w:r>
      <w:r w:rsidRPr="00D442CC">
        <w:rPr>
          <w:b/>
          <w:i/>
        </w:rPr>
        <w:t>Section 18 of the Offences Against the Person Act 1861</w:t>
      </w:r>
      <w:r>
        <w:t xml:space="preserve"> that describes the felony of grievous bodily harm using intent. This accounts for diverse, more grave crimes than grievous bodily harm. The court of law will contemplate two queries grievous bodily harm was instigated to the sufferer, intention to do grievous bodily harm to the sufferer (legislation.gov.uk 2024). Looking at the circumstances grievous bodily harm was caused to the victim but the intention of causing grievous bodily harm is still in question.</w:t>
      </w:r>
    </w:p>
    <w:p w14:paraId="1F11248E" w14:textId="2E39EDEE" w:rsidR="00D215A9" w:rsidRDefault="00CE28FC">
      <w:r>
        <w:t xml:space="preserve">In the case of </w:t>
      </w:r>
      <w:r w:rsidRPr="00D442CC">
        <w:rPr>
          <w:b/>
          <w:i/>
        </w:rPr>
        <w:t>R v Nedrick [1986</w:t>
      </w:r>
      <w:r>
        <w:t>the plaintiff, who had a bitterness against a woman discharged paraffin over her letter box to panic her. This instigated a fire and caused the death of a child. Lord Lane stated that test whether the defendant anticipated that demise or grave bodily harm while excepting all unexpected conditions be “virtually assured”. It stated that if this was the case, or evidence let the bench conclude intention. The defendant's murder sentence was relieved with a sentence for manslaughter, specified that the consequence was not virtually assured. As per the given circumstances, Carla's actions were done in the heat of the moment and she was not able to virtually ensure the consequence of her act (vlex.co.uk, 2024).</w:t>
      </w:r>
    </w:p>
    <w:p w14:paraId="6FB4107C" w14:textId="77777777" w:rsidR="00D215A9" w:rsidRDefault="00CE28FC">
      <w:r>
        <w:t xml:space="preserve">The case of </w:t>
      </w:r>
      <w:r w:rsidRPr="00D442CC">
        <w:rPr>
          <w:b/>
          <w:i/>
        </w:rPr>
        <w:t xml:space="preserve">R v </w:t>
      </w:r>
      <w:proofErr w:type="spellStart"/>
      <w:r w:rsidRPr="00D442CC">
        <w:rPr>
          <w:b/>
          <w:i/>
        </w:rPr>
        <w:t>Woollin</w:t>
      </w:r>
      <w:proofErr w:type="spellEnd"/>
      <w:r w:rsidRPr="00D442CC">
        <w:rPr>
          <w:b/>
          <w:i/>
        </w:rPr>
        <w:t xml:space="preserve"> [1999] AC 82</w:t>
      </w:r>
      <w:r>
        <w:rPr>
          <w:u w:val="single"/>
        </w:rPr>
        <w:t xml:space="preserve"> </w:t>
      </w:r>
      <w:r>
        <w:t xml:space="preserve">Is a similar case that matches with the given circumstances. In this case, Defendant lost his rage and tossed his baby 5 feet across his room, instigating the baby with a fractured cranium that led to his death. It was not the Defendant's aim to murder or instigate grave bodily injury. The Court of Appeal said that the test for the indirect intention was the anticipation of a considerable risk of demise or grave injury. If this could be recognized, the intention might be concluded. The House of Lords overrode the Court of Appeal and suppressed the Defendant's verdict for murder since the Court of Appeal examination unsatisfactorily extended the </w:t>
      </w:r>
      <w:proofErr w:type="spellStart"/>
      <w:r>
        <w:t>mens</w:t>
      </w:r>
      <w:proofErr w:type="spellEnd"/>
      <w:r>
        <w:t xml:space="preserve"> rea so far as to comprise recklessness (Cronin, 2021). </w:t>
      </w:r>
    </w:p>
    <w:p w14:paraId="69E94806" w14:textId="77777777" w:rsidR="00D215A9" w:rsidRDefault="00CE28FC">
      <w:pPr>
        <w:rPr>
          <w:b/>
          <w:sz w:val="28"/>
          <w:szCs w:val="28"/>
        </w:rPr>
      </w:pPr>
      <w:r>
        <w:rPr>
          <w:b/>
          <w:sz w:val="28"/>
          <w:szCs w:val="28"/>
        </w:rPr>
        <w:t>Applicable Defence</w:t>
      </w:r>
    </w:p>
    <w:p w14:paraId="357D0C6F" w14:textId="77777777" w:rsidR="00D215A9" w:rsidRDefault="00CE28FC">
      <w:pPr>
        <w:rPr>
          <w:b/>
        </w:rPr>
      </w:pPr>
      <w:r>
        <w:rPr>
          <w:b/>
        </w:rPr>
        <w:t>Diminished Responsibility as a Defence</w:t>
      </w:r>
    </w:p>
    <w:p w14:paraId="1952DAA3" w14:textId="27AC8950" w:rsidR="00D215A9" w:rsidRDefault="00CE28FC">
      <w:r>
        <w:lastRenderedPageBreak/>
        <w:t xml:space="preserve">The defence of diminished responsibility delivers that an individual condemned of homicide having some mental sickness is adequate to decrease the ethical liability of the actions and if the defence is positive, the condemned individual can decrease his liability from murder to manslaughter (Johnston and Leahey, 2022). In the case of </w:t>
      </w:r>
      <w:r w:rsidRPr="00D442CC">
        <w:rPr>
          <w:b/>
          <w:i/>
        </w:rPr>
        <w:t xml:space="preserve">R V R [2010] EWCA CRIM </w:t>
      </w:r>
      <w:r w:rsidR="00D442CC" w:rsidRPr="00D442CC">
        <w:rPr>
          <w:b/>
          <w:i/>
        </w:rPr>
        <w:t>194</w:t>
      </w:r>
      <w:r w:rsidR="00D442CC" w:rsidRPr="00D442CC">
        <w:t xml:space="preserve"> the</w:t>
      </w:r>
      <w:r>
        <w:t xml:space="preserve"> offender executed his cousin since his wife was involved in an affair with the defendant's cousin. At his murder trial, the defendant depended on the argument of diminished responsibility. He was sentenced to murder. The defendant was enticed on the basis that the bench had not defined “considerable” inside the scope of diminished responsibility (Bennett and Reilly, 2020). In the case of </w:t>
      </w:r>
      <w:r w:rsidRPr="00D442CC">
        <w:t>R</w:t>
      </w:r>
      <w:r w:rsidRPr="00D442CC">
        <w:rPr>
          <w:b/>
          <w:i/>
        </w:rPr>
        <w:t xml:space="preserve"> v Byrne [1960] 2 QB 396</w:t>
      </w:r>
      <w:r>
        <w:t xml:space="preserve">, the Appeal Court gave its connotation as a mental state of an individual dissimilar from that of a normal human where a sensible man would term it unusual or strange. The examination of the existence of an irregularity of mental state during the period of homicide is a subject of the Bench (vlex.co.uk, 2024). The </w:t>
      </w:r>
      <w:r w:rsidRPr="00D442CC">
        <w:rPr>
          <w:b/>
          <w:i/>
        </w:rPr>
        <w:t>Homicide Act of 1957</w:t>
      </w:r>
      <w:r>
        <w:t xml:space="preserve"> also identifies diminished responsibility, however to a lesser amount of effect. The act states that an individual who kills another will not be liable for murder “if he was endured from deformity of mind as considerably reduced his mental accountability for his actions or lapses in responsibility for the killing.” The main consequence of this legislation is to diminish the felony of murder to manslaughter (legislation.gov.uk 2024). If Carla can prove she was not in her right state of mind while doing the act she can diminish her criminal liability as referred in the case of </w:t>
      </w:r>
      <w:r w:rsidRPr="00D442CC">
        <w:rPr>
          <w:b/>
          <w:i/>
        </w:rPr>
        <w:t xml:space="preserve">R v Nedrick [1986] 83 </w:t>
      </w:r>
      <w:proofErr w:type="spellStart"/>
      <w:proofErr w:type="gramStart"/>
      <w:r w:rsidRPr="00D442CC">
        <w:rPr>
          <w:b/>
          <w:i/>
        </w:rPr>
        <w:t>Cr.App.R</w:t>
      </w:r>
      <w:proofErr w:type="spellEnd"/>
      <w:proofErr w:type="gramEnd"/>
      <w:r w:rsidRPr="00D442CC">
        <w:rPr>
          <w:b/>
          <w:i/>
        </w:rPr>
        <w:t xml:space="preserve"> 267</w:t>
      </w:r>
      <w:r>
        <w:rPr>
          <w:b/>
          <w:i/>
          <w:u w:val="single"/>
        </w:rPr>
        <w:t xml:space="preserve">  (</w:t>
      </w:r>
      <w:r>
        <w:t>vlex.co.uk, 2021).</w:t>
      </w:r>
    </w:p>
    <w:p w14:paraId="1A9A70AA" w14:textId="77777777" w:rsidR="00D215A9" w:rsidRDefault="00CE28FC">
      <w:pPr>
        <w:rPr>
          <w:b/>
        </w:rPr>
      </w:pPr>
      <w:r>
        <w:rPr>
          <w:b/>
        </w:rPr>
        <w:t>Self-defence</w:t>
      </w:r>
    </w:p>
    <w:p w14:paraId="31E0EE3E" w14:textId="7F699966" w:rsidR="00D215A9" w:rsidRDefault="00CE28FC">
      <w:r>
        <w:t xml:space="preserve">The law states that if you are confronted or attacked, you might use the force that is sensibly essential to protect your body. Reasonable force to protect other individuals or possessions (Ruben, 2020). In the case of </w:t>
      </w:r>
      <w:r w:rsidRPr="00D24C67">
        <w:rPr>
          <w:b/>
          <w:bCs/>
          <w:i/>
          <w:iCs/>
        </w:rPr>
        <w:t>R</w:t>
      </w:r>
      <w:r w:rsidRPr="00D24C67">
        <w:rPr>
          <w:b/>
          <w:i/>
        </w:rPr>
        <w:t xml:space="preserve"> v Owino [1995] Crim LR 743</w:t>
      </w:r>
      <w:r>
        <w:t xml:space="preserve">, the Court of Appeal decisively denied the verdict of </w:t>
      </w:r>
      <w:r>
        <w:rPr>
          <w:b/>
          <w:i/>
        </w:rPr>
        <w:t>R</w:t>
      </w:r>
      <w:r>
        <w:rPr>
          <w:b/>
          <w:i/>
          <w:u w:val="single"/>
        </w:rPr>
        <w:t xml:space="preserve"> </w:t>
      </w:r>
      <w:r w:rsidRPr="00D24C67">
        <w:rPr>
          <w:b/>
          <w:i/>
        </w:rPr>
        <w:t>v Scarlett [1994] Crim LR 288</w:t>
      </w:r>
      <w:r>
        <w:t xml:space="preserve"> interpreting it as authorizing a particular test in investigating whether the force used in self-defence is rationally proportional or not. If Carla can prove she had reasonable harm to her life as Jamie was drunk that led to an intense dispute between them leading to her use of self-defence.</w:t>
      </w:r>
    </w:p>
    <w:p w14:paraId="1D209B1D" w14:textId="77777777" w:rsidR="00D215A9" w:rsidRDefault="00D215A9"/>
    <w:p w14:paraId="06EB722B" w14:textId="77777777" w:rsidR="00D215A9" w:rsidRDefault="00D215A9"/>
    <w:p w14:paraId="11878BCE" w14:textId="77777777" w:rsidR="00D215A9" w:rsidRDefault="00D215A9"/>
    <w:p w14:paraId="22C04AE5" w14:textId="77777777" w:rsidR="00D215A9" w:rsidRDefault="00CE28FC">
      <w:pPr>
        <w:pStyle w:val="Heading1"/>
      </w:pPr>
      <w:r>
        <w:br w:type="page"/>
      </w:r>
      <w:bookmarkStart w:id="2" w:name="_Toc159323441"/>
      <w:r>
        <w:lastRenderedPageBreak/>
        <w:t>Conclusion</w:t>
      </w:r>
      <w:bookmarkEnd w:id="2"/>
    </w:p>
    <w:p w14:paraId="4605E8D7" w14:textId="30057B44" w:rsidR="00D215A9" w:rsidRDefault="00CE28FC">
      <w:pPr>
        <w:tabs>
          <w:tab w:val="center" w:pos="4513"/>
        </w:tabs>
        <w:rPr>
          <w:sz w:val="28"/>
          <w:szCs w:val="28"/>
        </w:rPr>
      </w:pPr>
      <w:r>
        <w:rPr>
          <w:szCs w:val="24"/>
        </w:rPr>
        <w:t xml:space="preserve">Carla in anger stabbing Jamie leading to his injuries makes Carla accountable under Sections 18 and 20 of the Offences Against the Person Act 1861. While talking about actus rea and </w:t>
      </w:r>
      <w:proofErr w:type="spellStart"/>
      <w:r>
        <w:rPr>
          <w:szCs w:val="24"/>
        </w:rPr>
        <w:t>mens</w:t>
      </w:r>
      <w:proofErr w:type="spellEnd"/>
      <w:r>
        <w:rPr>
          <w:szCs w:val="24"/>
        </w:rPr>
        <w:t xml:space="preserve"> rea the presence of actus rea is there as Carla's stabbing Jamie in the chest causing serious injuries to him leads to the fulfilment of this element. Regarding Men's rea and intention, Carla's direct intention cannot be achieved while her indirect intention can be achieved. As per the case of </w:t>
      </w:r>
      <w:r>
        <w:rPr>
          <w:bCs/>
          <w:iCs/>
          <w:szCs w:val="24"/>
        </w:rPr>
        <w:t xml:space="preserve">R v Nedrick </w:t>
      </w:r>
      <w:r w:rsidR="00D24C67">
        <w:rPr>
          <w:bCs/>
          <w:iCs/>
          <w:szCs w:val="24"/>
        </w:rPr>
        <w:t>(</w:t>
      </w:r>
      <w:r>
        <w:rPr>
          <w:bCs/>
          <w:iCs/>
          <w:szCs w:val="24"/>
        </w:rPr>
        <w:t>1986</w:t>
      </w:r>
      <w:r w:rsidR="00D24C67">
        <w:rPr>
          <w:bCs/>
          <w:iCs/>
          <w:szCs w:val="24"/>
        </w:rPr>
        <w:t>)</w:t>
      </w:r>
      <w:r>
        <w:rPr>
          <w:bCs/>
          <w:iCs/>
          <w:szCs w:val="24"/>
        </w:rPr>
        <w:t xml:space="preserve"> 83 </w:t>
      </w:r>
      <w:proofErr w:type="spellStart"/>
      <w:proofErr w:type="gramStart"/>
      <w:r>
        <w:rPr>
          <w:bCs/>
          <w:iCs/>
          <w:szCs w:val="24"/>
        </w:rPr>
        <w:t>Cr.App.R</w:t>
      </w:r>
      <w:proofErr w:type="spellEnd"/>
      <w:proofErr w:type="gramEnd"/>
      <w:r>
        <w:rPr>
          <w:bCs/>
          <w:iCs/>
          <w:szCs w:val="24"/>
        </w:rPr>
        <w:t xml:space="preserve"> 267</w:t>
      </w:r>
      <w:r>
        <w:rPr>
          <w:bCs/>
          <w:iCs/>
        </w:rPr>
        <w:t xml:space="preserve"> </w:t>
      </w:r>
      <w:r>
        <w:rPr>
          <w:szCs w:val="24"/>
        </w:rPr>
        <w:t>Carla</w:t>
      </w:r>
      <w:r w:rsidR="00BE50D4">
        <w:rPr>
          <w:szCs w:val="24"/>
        </w:rPr>
        <w:t>’</w:t>
      </w:r>
      <w:r>
        <w:rPr>
          <w:szCs w:val="24"/>
        </w:rPr>
        <w:t>s actions were done in the heat of the moment and she was not able to virtually assure the consequence of her act. Regarding the defence available she can take the defence of Diminished Responsibility. Use of self-defence. The factual rule is that an individual might practice such force of self-defence accurately rational in the situations as he considers them necessary to be used. If Carla can prove she had reasonable harm to her life as Jamie was drunk that led to an intense dispute between them leading to her use of self-defence.</w:t>
      </w:r>
    </w:p>
    <w:p w14:paraId="6BC25C0A" w14:textId="77777777" w:rsidR="00D215A9" w:rsidRDefault="00D215A9">
      <w:pPr>
        <w:tabs>
          <w:tab w:val="center" w:pos="4513"/>
        </w:tabs>
        <w:jc w:val="left"/>
        <w:rPr>
          <w:rFonts w:eastAsiaTheme="majorEastAsia" w:cstheme="majorBidi"/>
          <w:sz w:val="28"/>
          <w:szCs w:val="28"/>
        </w:rPr>
      </w:pPr>
    </w:p>
    <w:p w14:paraId="1A51E6F8" w14:textId="77777777" w:rsidR="00D215A9" w:rsidRDefault="00D215A9">
      <w:pPr>
        <w:rPr>
          <w:b/>
          <w:sz w:val="28"/>
          <w:szCs w:val="28"/>
        </w:rPr>
      </w:pPr>
    </w:p>
    <w:p w14:paraId="53166AF8" w14:textId="77777777" w:rsidR="00D215A9" w:rsidRDefault="00CE28FC">
      <w:pPr>
        <w:pStyle w:val="Heading1"/>
      </w:pPr>
      <w:r>
        <w:br w:type="page"/>
      </w:r>
      <w:bookmarkStart w:id="3" w:name="_Toc159323442"/>
      <w:r>
        <w:lastRenderedPageBreak/>
        <w:t>References</w:t>
      </w:r>
      <w:bookmarkEnd w:id="3"/>
    </w:p>
    <w:p w14:paraId="1E1292BF" w14:textId="77777777" w:rsidR="00D215A9" w:rsidRDefault="00CE28FC">
      <w:pPr>
        <w:ind w:left="720" w:hanging="720"/>
      </w:pPr>
      <w:r>
        <w:t>Ashworth, A., (2023). Reassessing actus reus. Victoria U. Wellington L. Rev., 54, p.17.</w:t>
      </w:r>
    </w:p>
    <w:p w14:paraId="49947D62" w14:textId="77777777" w:rsidR="00D215A9" w:rsidRDefault="00CE28FC">
      <w:pPr>
        <w:ind w:left="720" w:hanging="720"/>
      </w:pPr>
      <w:r>
        <w:t xml:space="preserve">Bennett, T.D. and Reilly, O., (2020). A Coleridgean dystopia: Formalism and the optics of </w:t>
      </w:r>
      <w:r>
        <w:rPr>
          <w:lang w:val="en-GB"/>
        </w:rPr>
        <w:t>judgement</w:t>
      </w:r>
      <w:r>
        <w:t>. In Law and Imagination in Troubled Times (pp. 206-238). Routledge.</w:t>
      </w:r>
    </w:p>
    <w:p w14:paraId="609AE3D4" w14:textId="77777777" w:rsidR="00D215A9" w:rsidRDefault="00CE28FC">
      <w:pPr>
        <w:ind w:left="720" w:hanging="720"/>
      </w:pPr>
      <w:r>
        <w:t xml:space="preserve">Child, J.J. and Hunt, A., (2022). Beyond the present-fault paradigm: expanding </w:t>
      </w:r>
      <w:proofErr w:type="spellStart"/>
      <w:r>
        <w:t>mens</w:t>
      </w:r>
      <w:proofErr w:type="spellEnd"/>
      <w:r>
        <w:t xml:space="preserve"> rea definitions in the general part. Oxford Journal of Legal Studies, 42(2), pp.438-467.</w:t>
      </w:r>
    </w:p>
    <w:p w14:paraId="312323F1" w14:textId="77777777" w:rsidR="00D215A9" w:rsidRDefault="00CE28FC">
      <w:pPr>
        <w:ind w:left="720" w:hanging="720"/>
      </w:pPr>
      <w:r>
        <w:t>Cronin, A., (2021). Response to the Dept. Of Justice (NI) Consultation on Consent to Harm.</w:t>
      </w:r>
    </w:p>
    <w:p w14:paraId="2C26ABEB" w14:textId="77777777" w:rsidR="00D215A9" w:rsidRDefault="00CE28FC">
      <w:pPr>
        <w:ind w:left="720" w:hanging="720"/>
      </w:pPr>
      <w:r>
        <w:t>Johnston, E.L. and Leahey, V.T., (2022). Psychosis, Heat of Passion, and Diminished Responsibility. BCL Rev., 63, p.1227.</w:t>
      </w:r>
    </w:p>
    <w:p w14:paraId="629E2844" w14:textId="1886EE8A" w:rsidR="00D215A9" w:rsidRDefault="00CE28FC">
      <w:pPr>
        <w:ind w:left="720" w:hanging="720"/>
      </w:pPr>
      <w:r>
        <w:t xml:space="preserve">legislation.gov.uk (2024).  Offences against the Person Act 1861 [Online] Available at: </w:t>
      </w:r>
      <w:hyperlink r:id="rId7" w:history="1">
        <w:r w:rsidR="00D442CC" w:rsidRPr="008D0E8F">
          <w:rPr>
            <w:rStyle w:val="Hyperlink"/>
          </w:rPr>
          <w:t>https://www.legislation.gov.uk/ 5D</w:t>
        </w:r>
      </w:hyperlink>
    </w:p>
    <w:p w14:paraId="687BA6FF" w14:textId="610B72B7" w:rsidR="00D215A9" w:rsidRDefault="00CE28FC">
      <w:pPr>
        <w:ind w:left="720" w:hanging="720"/>
      </w:pPr>
      <w:r>
        <w:t xml:space="preserve">legislation.gov.uk (2024).  Offences against the Person Act 1861 [Online] Available at: </w:t>
      </w:r>
      <w:hyperlink r:id="rId8" w:history="1">
        <w:r w:rsidR="00D442CC" w:rsidRPr="008D0E8F">
          <w:rPr>
            <w:rStyle w:val="Hyperlink"/>
          </w:rPr>
          <w:t>https://www.legislation.gov.uk</w:t>
        </w:r>
      </w:hyperlink>
      <w:r w:rsidR="00D442CC">
        <w:t xml:space="preserve"> </w:t>
      </w:r>
      <w:r>
        <w:t xml:space="preserve"> [Accessed on 18 February 2024].</w:t>
      </w:r>
    </w:p>
    <w:p w14:paraId="6AC26CDC" w14:textId="35694A88" w:rsidR="00D215A9" w:rsidRDefault="00CE28FC">
      <w:pPr>
        <w:ind w:left="720" w:hanging="720"/>
      </w:pPr>
      <w:r>
        <w:t xml:space="preserve">legislation.gov.uk (2024). Homicide Act 1957 [Online] Available at: </w:t>
      </w:r>
      <w:hyperlink r:id="rId9" w:history="1">
        <w:r w:rsidR="00D442CC" w:rsidRPr="008D0E8F">
          <w:rPr>
            <w:rStyle w:val="Hyperlink"/>
          </w:rPr>
          <w:t>https://www.legislation.gov.uk</w:t>
        </w:r>
      </w:hyperlink>
      <w:r w:rsidR="00D442CC">
        <w:t xml:space="preserve"> </w:t>
      </w:r>
      <w:r>
        <w:t xml:space="preserve"> [Accessed on 18 February 2024].</w:t>
      </w:r>
    </w:p>
    <w:p w14:paraId="3FD72729" w14:textId="77777777" w:rsidR="00D215A9" w:rsidRDefault="00CE28FC">
      <w:pPr>
        <w:ind w:left="720" w:hanging="720"/>
      </w:pPr>
      <w:r>
        <w:t>Ruben, E., (2020). An Unstable Core: Self-Defence and the Second Amendment. Calif. L. Rev., 108, p.63.</w:t>
      </w:r>
    </w:p>
    <w:p w14:paraId="3C0637AC" w14:textId="12925C41" w:rsidR="00D215A9" w:rsidRDefault="00CE28FC">
      <w:pPr>
        <w:ind w:left="720" w:hanging="720"/>
      </w:pPr>
      <w:r>
        <w:t xml:space="preserve">vlex.co.uk (2024). R v Byrne [Online] Available at: </w:t>
      </w:r>
      <w:hyperlink r:id="rId10" w:history="1">
        <w:r w:rsidR="00D442CC" w:rsidRPr="008D0E8F">
          <w:rPr>
            <w:rStyle w:val="Hyperlink"/>
          </w:rPr>
          <w:t>https://vlex.co.uk</w:t>
        </w:r>
      </w:hyperlink>
      <w:r>
        <w:t xml:space="preserve"> [Accessed on 18 February 2024].</w:t>
      </w:r>
    </w:p>
    <w:p w14:paraId="55928AEA" w14:textId="154812F7" w:rsidR="00D215A9" w:rsidRDefault="00CE28FC">
      <w:pPr>
        <w:ind w:left="720" w:hanging="720"/>
      </w:pPr>
      <w:r>
        <w:t xml:space="preserve">vlex.co.uk (2024). R v Nedrick [Online] Available at: </w:t>
      </w:r>
      <w:hyperlink r:id="rId11" w:history="1">
        <w:r w:rsidR="00D442CC" w:rsidRPr="008D0E8F">
          <w:rPr>
            <w:rStyle w:val="Hyperlink"/>
          </w:rPr>
          <w:t>https://vlex.co.uk</w:t>
        </w:r>
      </w:hyperlink>
      <w:r w:rsidR="00D442CC">
        <w:t xml:space="preserve"> ,</w:t>
      </w:r>
      <w:r>
        <w:t xml:space="preserve"> [Accessed on 18 February 2024].</w:t>
      </w:r>
    </w:p>
    <w:sectPr w:rsidR="00D215A9">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54BD3" w14:textId="77777777" w:rsidR="00D215A9" w:rsidRDefault="00CE28FC">
      <w:pPr>
        <w:spacing w:line="240" w:lineRule="auto"/>
      </w:pPr>
      <w:r>
        <w:separator/>
      </w:r>
    </w:p>
  </w:endnote>
  <w:endnote w:type="continuationSeparator" w:id="0">
    <w:p w14:paraId="3F1C4315" w14:textId="77777777" w:rsidR="00D215A9" w:rsidRDefault="00CE28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713913"/>
    </w:sdtPr>
    <w:sdtEndPr/>
    <w:sdtContent>
      <w:p w14:paraId="35C69E68" w14:textId="77777777" w:rsidR="00D215A9" w:rsidRDefault="00CE28FC">
        <w:pPr>
          <w:pStyle w:val="Footer"/>
          <w:jc w:val="right"/>
        </w:pPr>
        <w:r>
          <w:fldChar w:fldCharType="begin"/>
        </w:r>
        <w:r>
          <w:instrText xml:space="preserve"> PAGE   \* MERGEFORMAT </w:instrText>
        </w:r>
        <w:r>
          <w:fldChar w:fldCharType="separate"/>
        </w:r>
        <w:r>
          <w:t>7</w:t>
        </w:r>
        <w:r>
          <w:fldChar w:fldCharType="end"/>
        </w:r>
      </w:p>
    </w:sdtContent>
  </w:sdt>
  <w:p w14:paraId="1FB7D147" w14:textId="77777777" w:rsidR="00D215A9" w:rsidRDefault="00D21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D31FC" w14:textId="77777777" w:rsidR="00D215A9" w:rsidRDefault="00CE28FC">
      <w:pPr>
        <w:spacing w:after="0"/>
      </w:pPr>
      <w:r>
        <w:separator/>
      </w:r>
    </w:p>
  </w:footnote>
  <w:footnote w:type="continuationSeparator" w:id="0">
    <w:p w14:paraId="29D10478" w14:textId="77777777" w:rsidR="00D215A9" w:rsidRDefault="00CE28F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438"/>
    <w:rsid w:val="000915B8"/>
    <w:rsid w:val="00093DE9"/>
    <w:rsid w:val="00095006"/>
    <w:rsid w:val="000A1ED3"/>
    <w:rsid w:val="000B3F6E"/>
    <w:rsid w:val="000C3E38"/>
    <w:rsid w:val="000C6888"/>
    <w:rsid w:val="000D066C"/>
    <w:rsid w:val="000F3661"/>
    <w:rsid w:val="001529DF"/>
    <w:rsid w:val="00165524"/>
    <w:rsid w:val="00175C7E"/>
    <w:rsid w:val="00245093"/>
    <w:rsid w:val="0028644E"/>
    <w:rsid w:val="002B6250"/>
    <w:rsid w:val="00312E3C"/>
    <w:rsid w:val="00342A2E"/>
    <w:rsid w:val="003469C6"/>
    <w:rsid w:val="0036020D"/>
    <w:rsid w:val="00374562"/>
    <w:rsid w:val="003B02D5"/>
    <w:rsid w:val="003C4B0D"/>
    <w:rsid w:val="003D7FA8"/>
    <w:rsid w:val="003F79B5"/>
    <w:rsid w:val="004132B2"/>
    <w:rsid w:val="0041332B"/>
    <w:rsid w:val="004209F6"/>
    <w:rsid w:val="00421517"/>
    <w:rsid w:val="00467D49"/>
    <w:rsid w:val="004D5208"/>
    <w:rsid w:val="004D5D0B"/>
    <w:rsid w:val="004F7F67"/>
    <w:rsid w:val="00507D99"/>
    <w:rsid w:val="00515AD6"/>
    <w:rsid w:val="00520A21"/>
    <w:rsid w:val="0052608D"/>
    <w:rsid w:val="00544EBE"/>
    <w:rsid w:val="00560E27"/>
    <w:rsid w:val="0057079E"/>
    <w:rsid w:val="00587AF3"/>
    <w:rsid w:val="005F3EC7"/>
    <w:rsid w:val="0061694A"/>
    <w:rsid w:val="00626901"/>
    <w:rsid w:val="00627D97"/>
    <w:rsid w:val="006414F2"/>
    <w:rsid w:val="006504D1"/>
    <w:rsid w:val="006555CB"/>
    <w:rsid w:val="00657DBD"/>
    <w:rsid w:val="006647EB"/>
    <w:rsid w:val="006908FD"/>
    <w:rsid w:val="006B0EA7"/>
    <w:rsid w:val="006B514E"/>
    <w:rsid w:val="006C640D"/>
    <w:rsid w:val="006D4AA9"/>
    <w:rsid w:val="006E50D3"/>
    <w:rsid w:val="006F0031"/>
    <w:rsid w:val="006F02AB"/>
    <w:rsid w:val="00702893"/>
    <w:rsid w:val="00703C31"/>
    <w:rsid w:val="00704089"/>
    <w:rsid w:val="00724DC5"/>
    <w:rsid w:val="00733613"/>
    <w:rsid w:val="0073615D"/>
    <w:rsid w:val="00746566"/>
    <w:rsid w:val="007716E5"/>
    <w:rsid w:val="00792AF0"/>
    <w:rsid w:val="007A250B"/>
    <w:rsid w:val="007E4781"/>
    <w:rsid w:val="007F72D1"/>
    <w:rsid w:val="0080249F"/>
    <w:rsid w:val="008112BB"/>
    <w:rsid w:val="00841BE9"/>
    <w:rsid w:val="00857905"/>
    <w:rsid w:val="008612F1"/>
    <w:rsid w:val="008A4896"/>
    <w:rsid w:val="008B30B2"/>
    <w:rsid w:val="008B3F4C"/>
    <w:rsid w:val="008D2869"/>
    <w:rsid w:val="008E650D"/>
    <w:rsid w:val="008F42B2"/>
    <w:rsid w:val="008F6252"/>
    <w:rsid w:val="0091746A"/>
    <w:rsid w:val="00947D46"/>
    <w:rsid w:val="00960CAD"/>
    <w:rsid w:val="00965C1F"/>
    <w:rsid w:val="00966213"/>
    <w:rsid w:val="0097558B"/>
    <w:rsid w:val="00977CC9"/>
    <w:rsid w:val="009C3BE1"/>
    <w:rsid w:val="009C77D1"/>
    <w:rsid w:val="009D28A4"/>
    <w:rsid w:val="009D7DC8"/>
    <w:rsid w:val="009F13C8"/>
    <w:rsid w:val="009F3878"/>
    <w:rsid w:val="00A17A6C"/>
    <w:rsid w:val="00A320E1"/>
    <w:rsid w:val="00A43529"/>
    <w:rsid w:val="00AA3773"/>
    <w:rsid w:val="00AC12D7"/>
    <w:rsid w:val="00B339D4"/>
    <w:rsid w:val="00B470FF"/>
    <w:rsid w:val="00B832A3"/>
    <w:rsid w:val="00B940D1"/>
    <w:rsid w:val="00BB1A2F"/>
    <w:rsid w:val="00BE50D4"/>
    <w:rsid w:val="00C15BC1"/>
    <w:rsid w:val="00C54A47"/>
    <w:rsid w:val="00CB2438"/>
    <w:rsid w:val="00CC50BE"/>
    <w:rsid w:val="00CD6018"/>
    <w:rsid w:val="00CE25E6"/>
    <w:rsid w:val="00CE28FC"/>
    <w:rsid w:val="00D0617B"/>
    <w:rsid w:val="00D215A9"/>
    <w:rsid w:val="00D24C67"/>
    <w:rsid w:val="00D442CC"/>
    <w:rsid w:val="00D64509"/>
    <w:rsid w:val="00D70F17"/>
    <w:rsid w:val="00D90AA1"/>
    <w:rsid w:val="00E060A4"/>
    <w:rsid w:val="00E80519"/>
    <w:rsid w:val="00E94F05"/>
    <w:rsid w:val="00EF25F5"/>
    <w:rsid w:val="00F12CC8"/>
    <w:rsid w:val="00F17ABB"/>
    <w:rsid w:val="00F27401"/>
    <w:rsid w:val="00F336B2"/>
    <w:rsid w:val="00F45863"/>
    <w:rsid w:val="00F469A0"/>
    <w:rsid w:val="00F77DC3"/>
    <w:rsid w:val="00F91C8F"/>
    <w:rsid w:val="0FC80F6E"/>
    <w:rsid w:val="657D746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BE341"/>
  <w15:docId w15:val="{AC2D05E4-FC01-45EB-837B-0538A4DC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kern w:val="2"/>
      <w:sz w:val="24"/>
      <w:szCs w:val="22"/>
      <w:lang w:val="en-IN" w:eastAsia="en-US"/>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itle">
    <w:name w:val="Title"/>
    <w:basedOn w:val="Normal"/>
    <w:next w:val="Normal"/>
    <w:link w:val="TitleChar"/>
    <w:uiPriority w:val="10"/>
    <w:qFormat/>
    <w:pPr>
      <w:spacing w:after="0"/>
      <w:contextualSpacing/>
      <w:jc w:val="center"/>
    </w:pPr>
    <w:rPr>
      <w:rFonts w:eastAsiaTheme="majorEastAsia" w:cstheme="majorBidi"/>
      <w:b/>
      <w:spacing w:val="-10"/>
      <w:kern w:val="28"/>
      <w:sz w:val="36"/>
      <w:szCs w:val="56"/>
      <w:u w:val="single"/>
    </w:rPr>
  </w:style>
  <w:style w:type="paragraph" w:styleId="TOC1">
    <w:name w:val="toc 1"/>
    <w:basedOn w:val="Normal"/>
    <w:next w:val="Normal"/>
    <w:uiPriority w:val="39"/>
    <w:unhideWhenUsed/>
    <w:qFormat/>
    <w:pPr>
      <w:spacing w:after="10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32"/>
    </w:rPr>
  </w:style>
  <w:style w:type="character" w:customStyle="1" w:styleId="TitleChar">
    <w:name w:val="Title Char"/>
    <w:basedOn w:val="DefaultParagraphFont"/>
    <w:link w:val="Title"/>
    <w:uiPriority w:val="10"/>
    <w:qFormat/>
    <w:rPr>
      <w:rFonts w:ascii="Times New Roman" w:eastAsiaTheme="majorEastAsia" w:hAnsi="Times New Roman" w:cstheme="majorBidi"/>
      <w:b/>
      <w:spacing w:val="-10"/>
      <w:kern w:val="28"/>
      <w:sz w:val="36"/>
      <w:szCs w:val="56"/>
      <w:u w:val="single"/>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6"/>
      <w:szCs w:val="26"/>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kern w:val="0"/>
      <w:sz w:val="32"/>
      <w:lang w:val="en-US"/>
      <w14:ligatures w14:val="none"/>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styleId="UnresolvedMention">
    <w:name w:val="Unresolved Mention"/>
    <w:basedOn w:val="DefaultParagraphFont"/>
    <w:uiPriority w:val="99"/>
    <w:semiHidden/>
    <w:unhideWhenUsed/>
    <w:rsid w:val="00D44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Vict/24-25/100/section/20#:~:text=N.I.-,Whosoever%20shall%20unlawfully%20and%20maliciously%20wound%20or%20inflict%20any%20grievous,term%20not%20exceeding%207%20years.%5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vlex.co.uk" TargetMode="External"/><Relationship Id="rId5" Type="http://schemas.openxmlformats.org/officeDocument/2006/relationships/footnotes" Target="footnotes.xml"/><Relationship Id="rId10" Type="http://schemas.openxmlformats.org/officeDocument/2006/relationships/hyperlink" Target="https://vlex.co.uk"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CBD4F-1162-46B4-80ED-83BDAC19FD4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1640</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Ionut</dc:creator>
  <cp:lastModifiedBy>Cosmina Hajdu (2242302)</cp:lastModifiedBy>
  <cp:revision>2</cp:revision>
  <dcterms:created xsi:type="dcterms:W3CDTF">2024-03-16T13:25:00Z</dcterms:created>
  <dcterms:modified xsi:type="dcterms:W3CDTF">2024-03-16T13:25:00Z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97f73e926e2120388676338e66818b30fe2c7eda42e0e1a146c64a42037ed41c</vt:lpwstr>
  </property>
  <property fmtid="{D5CDD505-2E9C-101B-9397-08002B2CF9AE}" pid="3" name="KSOProductBuildVer">
    <vt:lpwstr>2057-12.2.0.13489</vt:lpwstr>
  </property>
  <property fmtid="{D5CDD505-2E9C-101B-9397-08002B2CF9AE}" pid="4" name="ICV">
    <vt:lpwstr>5F79C2163E644DFDB8F57C6D8FE55442_12</vt:lpwstr>
  </property>
</Properties>
</file>