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44E31E" w14:textId="11214473" w:rsidR="0083213A" w:rsidRDefault="0083213A"/>
    <w:p w14:paraId="70E2CEC4" w14:textId="33537564" w:rsidR="00665F6C" w:rsidRDefault="007361A2">
      <w:r>
        <w:t>The object chosen for analysis is labelled by the Metropolitan museum as an Agate Lentoid</w:t>
      </w:r>
      <w:sdt>
        <w:sdtPr>
          <w:id w:val="-1615971994"/>
          <w:citation/>
        </w:sdtPr>
        <w:sdtContent>
          <w:r w:rsidR="00203B28">
            <w:fldChar w:fldCharType="begin"/>
          </w:r>
          <w:r w:rsidR="00203B28">
            <w:instrText xml:space="preserve">CITATION Unkwn1 \n  \l 2057 </w:instrText>
          </w:r>
          <w:r w:rsidR="00203B28">
            <w:fldChar w:fldCharType="separate"/>
          </w:r>
          <w:r w:rsidR="00203B28">
            <w:rPr>
              <w:noProof/>
            </w:rPr>
            <w:t xml:space="preserve"> </w:t>
          </w:r>
          <w:r w:rsidR="00203B28" w:rsidRPr="00203B28">
            <w:rPr>
              <w:noProof/>
            </w:rPr>
            <w:t>(Unknown)</w:t>
          </w:r>
          <w:r w:rsidR="00203B28">
            <w:fldChar w:fldCharType="end"/>
          </w:r>
        </w:sdtContent>
      </w:sdt>
      <w:r>
        <w:t>, the accession number of this object is 14.104.1. This object was chosen because of its seeming similarity to a ‘modern’ button or at least an object of a similar type. The Met</w:t>
      </w:r>
      <w:r w:rsidR="00B37335">
        <w:t xml:space="preserve">ropolitan museum dates this object to between 1450-1400 BC, and attribute it to Minoan culture. </w:t>
      </w:r>
    </w:p>
    <w:p w14:paraId="16EC5158" w14:textId="14D27F01" w:rsidR="000819D5" w:rsidRDefault="003406EF">
      <w:r>
        <w:t>The object is circular with a diameter of 2.7.cm and has a depth of 1.2 cm.</w:t>
      </w:r>
      <w:r w:rsidR="00852938">
        <w:t xml:space="preserve"> It is a</w:t>
      </w:r>
      <w:r w:rsidR="00052717">
        <w:t xml:space="preserve"> light pink in colour </w:t>
      </w:r>
      <w:r w:rsidR="00C07DE0">
        <w:t>with an almost iridescent sheen to the surface. This colour and a</w:t>
      </w:r>
      <w:r w:rsidR="00F57DC4">
        <w:t xml:space="preserve">ppearance could be attributed to the medium that the object is made of, agate. </w:t>
      </w:r>
      <w:r w:rsidR="00FA3C73">
        <w:t xml:space="preserve"> On the agate there is a series of carvings, around one half of the area towards the circumference is a zigzag pattern, and in the </w:t>
      </w:r>
      <w:r w:rsidR="00401AE2">
        <w:t>centre,</w:t>
      </w:r>
      <w:r w:rsidR="00FA3C73">
        <w:t xml:space="preserve"> there is what appears to be the carving of a bird </w:t>
      </w:r>
      <w:r w:rsidR="00401AE2">
        <w:t>mid-flight</w:t>
      </w:r>
      <w:r w:rsidR="00FA3C73">
        <w:t xml:space="preserve">. The wing of this bird is quite clear with a series of </w:t>
      </w:r>
      <w:r w:rsidR="00B84A77">
        <w:t>definite</w:t>
      </w:r>
      <w:r w:rsidR="00FA3C73">
        <w:t xml:space="preserve"> feather style markings off what would appear to bear the wing bone. </w:t>
      </w:r>
      <w:r w:rsidR="00B84A77">
        <w:t xml:space="preserve"> Within the detail of the wing are three circles that appear identical in size. </w:t>
      </w:r>
      <w:r w:rsidR="00A678B3">
        <w:t xml:space="preserve">The wing of the bird is attached to </w:t>
      </w:r>
      <w:r w:rsidR="00401AE2">
        <w:t>an</w:t>
      </w:r>
      <w:r w:rsidR="00A678B3">
        <w:t xml:space="preserve"> oval shaped body that extends the length of the object with the head of the bird at the top among the zigzag line also along the top, the feet of the bird are detailed </w:t>
      </w:r>
      <w:r w:rsidR="00DB02EE">
        <w:t>and face with the feet pointing towards the left of the object.</w:t>
      </w:r>
      <w:r w:rsidR="00401AE2">
        <w:t xml:space="preserve"> The mentioned head of the bird is towards the top of the object, with the beak reaching the far edge, the beak is detailed with lines to define the upper and lower portions. The eye of the bird is defined by a similar circle structure to those observed on the wing.</w:t>
      </w:r>
      <w:r w:rsidR="00DB02EE">
        <w:t xml:space="preserve"> </w:t>
      </w:r>
      <w:r w:rsidR="00D85446">
        <w:t>Towards the bottom of the object there are</w:t>
      </w:r>
      <w:r w:rsidR="00A678B3">
        <w:t xml:space="preserve"> also</w:t>
      </w:r>
      <w:r w:rsidR="00D85446">
        <w:t xml:space="preserve"> a series of carvings that </w:t>
      </w:r>
      <w:r w:rsidR="00E65FD3">
        <w:t>are horizontal along the bottom. There is also a carving ne</w:t>
      </w:r>
      <w:r w:rsidR="00A678B3">
        <w:t>xt to that of the bird</w:t>
      </w:r>
      <w:r w:rsidR="00401AE2">
        <w:t xml:space="preserve"> is another structure, the structure is hard to define in terms of resemblance, it takes a long cylindrical shape that seems to stem from the body of the bird. From this second structure stems a line that extends almost to the edge of the object, this first line is then further extended by a second line that reaches to the tip of the wing of the bird. </w:t>
      </w:r>
    </w:p>
    <w:p w14:paraId="065E6B7C" w14:textId="2E1D93C9" w:rsidR="00172A47" w:rsidRDefault="00FE5E04">
      <w:r>
        <w:t xml:space="preserve">The Metropolitan describe this object as a seal, </w:t>
      </w:r>
      <w:r w:rsidR="001E4FF7">
        <w:t>and as Smith says in her article</w:t>
      </w:r>
      <w:sdt>
        <w:sdtPr>
          <w:id w:val="-991483611"/>
          <w:citation/>
        </w:sdtPr>
        <w:sdtContent>
          <w:r w:rsidR="001E4FF7">
            <w:fldChar w:fldCharType="begin"/>
          </w:r>
          <w:r w:rsidR="001E4FF7">
            <w:instrText xml:space="preserve">CITATION Smi12 \n  \l 2057 </w:instrText>
          </w:r>
          <w:r w:rsidR="001E4FF7">
            <w:fldChar w:fldCharType="separate"/>
          </w:r>
          <w:r w:rsidR="001E4FF7">
            <w:rPr>
              <w:noProof/>
            </w:rPr>
            <w:t xml:space="preserve"> </w:t>
          </w:r>
          <w:r w:rsidR="001E4FF7" w:rsidRPr="001E4FF7">
            <w:rPr>
              <w:noProof/>
            </w:rPr>
            <w:t>(2012)</w:t>
          </w:r>
          <w:r w:rsidR="001E4FF7">
            <w:fldChar w:fldCharType="end"/>
          </w:r>
        </w:sdtContent>
      </w:sdt>
      <w:r w:rsidR="001E4FF7">
        <w:t xml:space="preserve">, the writing system of this period is still undeciphered and as a result it is difficult to identify the meaning of the symbols on these seals with any certainty. This also makes it difficult to understand what these pieces would have meant to the individual, it is relatively easy to see that there would have been value in such an object but to understand what it meant to the individual who owned it is not as simple. </w:t>
      </w:r>
    </w:p>
    <w:p w14:paraId="1634C7D5" w14:textId="3E1A1B6B" w:rsidR="004A7082" w:rsidRDefault="00F57DC4" w:rsidP="004A7082">
      <w:pPr>
        <w:rPr>
          <w:lang w:eastAsia="en-GB"/>
        </w:rPr>
      </w:pPr>
      <w:r>
        <w:t xml:space="preserve">Agate is a </w:t>
      </w:r>
      <w:r w:rsidR="000819D5">
        <w:t>common rock formation and therefore it is not likely that the medium was considered valuable itself in a raw material sense, but more like the decoration and labour put into making such a delicate object. The delicacy in the decoration also leads to the inference that ‘art’ was a part of the societal norms of the community, if it wasn’t why would someone go to the lengths needed to create such a small object.</w:t>
      </w:r>
      <w:r w:rsidR="004A7082">
        <w:t xml:space="preserve"> The intricacy of this object also brings the question of methodology, how was this community able to create such as delicate object? Gorelick and </w:t>
      </w:r>
      <w:r w:rsidR="002140C8">
        <w:t>Gwinnet</w:t>
      </w:r>
      <w:r w:rsidR="004A7082">
        <w:t xml:space="preserve"> touch on this topic in their article; </w:t>
      </w:r>
      <w:r w:rsidR="004A7082" w:rsidRPr="004A7082">
        <w:t>Minoan</w:t>
      </w:r>
      <w:r w:rsidR="004A7082" w:rsidRPr="004A7082">
        <w:rPr>
          <w:lang w:eastAsia="en-GB"/>
        </w:rPr>
        <w:t xml:space="preserve"> versus Mesopotamian Seals: Comparative Methods of Manufacture</w:t>
      </w:r>
      <w:r w:rsidR="004A7082">
        <w:rPr>
          <w:lang w:eastAsia="en-GB"/>
        </w:rPr>
        <w:t xml:space="preserve"> </w:t>
      </w:r>
      <w:sdt>
        <w:sdtPr>
          <w:rPr>
            <w:lang w:eastAsia="en-GB"/>
          </w:rPr>
          <w:id w:val="907429676"/>
          <w:citation/>
        </w:sdtPr>
        <w:sdtContent>
          <w:r w:rsidR="004A7082">
            <w:rPr>
              <w:lang w:eastAsia="en-GB"/>
            </w:rPr>
            <w:fldChar w:fldCharType="begin"/>
          </w:r>
          <w:r w:rsidR="004A7082">
            <w:rPr>
              <w:lang w:eastAsia="en-GB"/>
            </w:rPr>
            <w:instrText xml:space="preserve">CITATION Gor92 \n  \l 2057 </w:instrText>
          </w:r>
          <w:r w:rsidR="004A7082">
            <w:rPr>
              <w:lang w:eastAsia="en-GB"/>
            </w:rPr>
            <w:fldChar w:fldCharType="separate"/>
          </w:r>
          <w:r w:rsidR="004A7082" w:rsidRPr="004A7082">
            <w:rPr>
              <w:noProof/>
              <w:lang w:eastAsia="en-GB"/>
            </w:rPr>
            <w:t>(1992)</w:t>
          </w:r>
          <w:r w:rsidR="004A7082">
            <w:rPr>
              <w:lang w:eastAsia="en-GB"/>
            </w:rPr>
            <w:fldChar w:fldCharType="end"/>
          </w:r>
        </w:sdtContent>
      </w:sdt>
      <w:r w:rsidR="004A7082">
        <w:rPr>
          <w:lang w:eastAsia="en-GB"/>
        </w:rPr>
        <w:t>, they describe how the previously excavated tools of this community had not been recorded in a</w:t>
      </w:r>
      <w:r w:rsidR="002140C8">
        <w:rPr>
          <w:lang w:eastAsia="en-GB"/>
        </w:rPr>
        <w:t xml:space="preserve"> fashion that made it difficult to understand which tools were used to make which markings, but through trial and error, assessing which kind of tool makes what kind of mark it is possible. </w:t>
      </w:r>
    </w:p>
    <w:p w14:paraId="6D60BF78" w14:textId="19CBF3AC" w:rsidR="00B84A77" w:rsidRDefault="00B84A77">
      <w:r>
        <w:t xml:space="preserve">The circles within the wing of the bird at the centre of the object could be an identifying mark of a </w:t>
      </w:r>
      <w:proofErr w:type="gramStart"/>
      <w:r>
        <w:t>particular species</w:t>
      </w:r>
      <w:proofErr w:type="gramEnd"/>
      <w:r>
        <w:t xml:space="preserve"> that was commonly known to the community in which this object was created.</w:t>
      </w:r>
      <w:r w:rsidR="00E8292A">
        <w:t xml:space="preserve"> These circles could also be an example of the use of different style tools, they seem to be </w:t>
      </w:r>
      <w:r w:rsidR="00870374">
        <w:t>identical in nature which would suggest the use of the same tool, most likely a tubular drill</w:t>
      </w:r>
      <w:r w:rsidR="00C50E99">
        <w:t xml:space="preserve"> like instrument </w:t>
      </w:r>
      <w:r w:rsidR="00870374">
        <w:t xml:space="preserve">according to Gorelick and Gwinnet </w:t>
      </w:r>
      <w:sdt>
        <w:sdtPr>
          <w:id w:val="-1855949088"/>
          <w:citation/>
        </w:sdtPr>
        <w:sdtContent>
          <w:r w:rsidR="00870374">
            <w:fldChar w:fldCharType="begin"/>
          </w:r>
          <w:r w:rsidR="00C50E99">
            <w:instrText xml:space="preserve">CITATION Gor92 \n  \l 2057 </w:instrText>
          </w:r>
          <w:r w:rsidR="00870374">
            <w:fldChar w:fldCharType="separate"/>
          </w:r>
          <w:r w:rsidR="00C50E99" w:rsidRPr="00C50E99">
            <w:rPr>
              <w:noProof/>
            </w:rPr>
            <w:t>(1992)</w:t>
          </w:r>
          <w:r w:rsidR="00870374">
            <w:fldChar w:fldCharType="end"/>
          </w:r>
        </w:sdtContent>
      </w:sdt>
      <w:r w:rsidR="00C50E99">
        <w:t xml:space="preserve">.  This bird like creature could also be interpreted as another, this is because of the extra carving that appears attached to it. Kenna shows an example in her article of a trial piece that shows similarities to this object, and the author explains that </w:t>
      </w:r>
      <w:proofErr w:type="spellStart"/>
      <w:r w:rsidR="00C50E99">
        <w:t>lentoids</w:t>
      </w:r>
      <w:proofErr w:type="spellEnd"/>
      <w:r w:rsidR="00C50E99">
        <w:t xml:space="preserve"> </w:t>
      </w:r>
      <w:r w:rsidR="00C50E99">
        <w:lastRenderedPageBreak/>
        <w:t xml:space="preserve">bearing a griffin are common for this period </w:t>
      </w:r>
      <w:sdt>
        <w:sdtPr>
          <w:id w:val="-254664036"/>
          <w:citation/>
        </w:sdtPr>
        <w:sdtContent>
          <w:r w:rsidR="00C50E99">
            <w:fldChar w:fldCharType="begin"/>
          </w:r>
          <w:r w:rsidR="00C50E99">
            <w:instrText xml:space="preserve"> CITATION Ken61 \l 2057 </w:instrText>
          </w:r>
          <w:r w:rsidR="00C50E99">
            <w:fldChar w:fldCharType="separate"/>
          </w:r>
          <w:r w:rsidR="00C50E99" w:rsidRPr="00C50E99">
            <w:rPr>
              <w:noProof/>
            </w:rPr>
            <w:t>(Kenna, 1961)</w:t>
          </w:r>
          <w:r w:rsidR="00C50E99">
            <w:fldChar w:fldCharType="end"/>
          </w:r>
        </w:sdtContent>
      </w:sdt>
      <w:r w:rsidR="00C50E99">
        <w:t xml:space="preserve">. Although the creature depicted on this object doesn’t present an exact likeness to the modern idea of what the mythical creature; griffin, would look like, there </w:t>
      </w:r>
      <w:r w:rsidR="00727A07">
        <w:t xml:space="preserve">is, if the observer keeps an open mind, similarities to the visual idea of the creature even if it is presented in a more ‘abstract’ way on this piece. Although the ‘abstract’ nature of the carving could be a result of the tools and the style of art during the period it was made. </w:t>
      </w:r>
    </w:p>
    <w:p w14:paraId="28FEFD7A" w14:textId="77777777" w:rsidR="00203B28" w:rsidRDefault="005E10E7">
      <w:r>
        <w:t>It is possible, given that the only proven</w:t>
      </w:r>
      <w:r w:rsidR="00203B28">
        <w:t>a</w:t>
      </w:r>
      <w:r>
        <w:t>nce known for this object is that it was p</w:t>
      </w:r>
      <w:r w:rsidR="00203B28">
        <w:t>u</w:t>
      </w:r>
      <w:r>
        <w:t xml:space="preserve">rchased by the museum in 1914, that it was a grave object as many </w:t>
      </w:r>
      <w:r w:rsidR="00203B28">
        <w:t>objects</w:t>
      </w:r>
      <w:r>
        <w:t xml:space="preserve"> </w:t>
      </w:r>
      <w:proofErr w:type="gramStart"/>
      <w:r>
        <w:t>similar to</w:t>
      </w:r>
      <w:proofErr w:type="gramEnd"/>
      <w:r>
        <w:t xml:space="preserve"> this were. </w:t>
      </w:r>
      <w:r w:rsidR="00203B28">
        <w:t xml:space="preserve"> However, the piece without the provenance this is entirely guess work. </w:t>
      </w:r>
    </w:p>
    <w:p w14:paraId="404FBBB7" w14:textId="788E059C" w:rsidR="005E10E7" w:rsidRDefault="00203B28">
      <w:r>
        <w:t>This piece does provide information about the social situation of the community within which it was made. It brings the idea that the culture was complex enough that it had dedicated skilled workers as exampled in Kenna’s article</w:t>
      </w:r>
      <w:sdt>
        <w:sdtPr>
          <w:id w:val="-140042286"/>
          <w:citation/>
        </w:sdtPr>
        <w:sdtContent>
          <w:r>
            <w:fldChar w:fldCharType="begin"/>
          </w:r>
          <w:r>
            <w:instrText xml:space="preserve">CITATION Ken61 \n  \l 2057 </w:instrText>
          </w:r>
          <w:r>
            <w:fldChar w:fldCharType="separate"/>
          </w:r>
          <w:r>
            <w:rPr>
              <w:noProof/>
            </w:rPr>
            <w:t xml:space="preserve"> </w:t>
          </w:r>
          <w:r w:rsidRPr="00203B28">
            <w:rPr>
              <w:noProof/>
            </w:rPr>
            <w:t>(1961)</w:t>
          </w:r>
          <w:r>
            <w:fldChar w:fldCharType="end"/>
          </w:r>
        </w:sdtContent>
      </w:sdt>
      <w:r>
        <w:t xml:space="preserve">, if someone has enough time to dedicate to not only a practice piece but then the finished object as well it brings for this idea that the society was not simply built of those who </w:t>
      </w:r>
      <w:proofErr w:type="spellStart"/>
      <w:r>
        <w:t>govererned</w:t>
      </w:r>
      <w:proofErr w:type="spellEnd"/>
      <w:r>
        <w:t xml:space="preserve"> and those who were part of the gathering and making o </w:t>
      </w:r>
      <w:proofErr w:type="spellStart"/>
      <w:r>
        <w:t>fhte</w:t>
      </w:r>
      <w:proofErr w:type="spellEnd"/>
      <w:r>
        <w:t xml:space="preserve"> </w:t>
      </w:r>
      <w:proofErr w:type="spellStart"/>
      <w:r>
        <w:t>neccesssities</w:t>
      </w:r>
      <w:proofErr w:type="spellEnd"/>
      <w:r>
        <w:t xml:space="preserve"> of basic life.</w:t>
      </w:r>
    </w:p>
    <w:p w14:paraId="6E0B692B" w14:textId="6862F638" w:rsidR="004A7082" w:rsidRDefault="00C62795">
      <w:r>
        <w:rPr>
          <w:noProof/>
        </w:rPr>
        <mc:AlternateContent>
          <mc:Choice Requires="wps">
            <w:drawing>
              <wp:anchor distT="0" distB="0" distL="114300" distR="114300" simplePos="0" relativeHeight="251659264" behindDoc="0" locked="0" layoutInCell="1" allowOverlap="1" wp14:anchorId="2FBDC768" wp14:editId="3B14CC08">
                <wp:simplePos x="0" y="0"/>
                <wp:positionH relativeFrom="column">
                  <wp:posOffset>937260</wp:posOffset>
                </wp:positionH>
                <wp:positionV relativeFrom="paragraph">
                  <wp:posOffset>5828665</wp:posOffset>
                </wp:positionV>
                <wp:extent cx="4564380" cy="1051560"/>
                <wp:effectExtent l="0" t="0" r="7620" b="0"/>
                <wp:wrapNone/>
                <wp:docPr id="2" name="Text Box 2"/>
                <wp:cNvGraphicFramePr/>
                <a:graphic xmlns:a="http://schemas.openxmlformats.org/drawingml/2006/main">
                  <a:graphicData uri="http://schemas.microsoft.com/office/word/2010/wordprocessingShape">
                    <wps:wsp>
                      <wps:cNvSpPr txBox="1"/>
                      <wps:spPr>
                        <a:xfrm>
                          <a:off x="0" y="0"/>
                          <a:ext cx="4564380" cy="1051560"/>
                        </a:xfrm>
                        <a:prstGeom prst="rect">
                          <a:avLst/>
                        </a:prstGeom>
                        <a:solidFill>
                          <a:schemeClr val="lt1"/>
                        </a:solidFill>
                        <a:ln w="6350">
                          <a:noFill/>
                        </a:ln>
                      </wps:spPr>
                      <wps:txbx>
                        <w:txbxContent>
                          <w:p w14:paraId="48824139" w14:textId="1B8C620D" w:rsidR="00C62795" w:rsidRDefault="00C62795">
                            <w:r>
                              <w:t xml:space="preserve">Agate Lentoid (object of analysis) </w:t>
                            </w:r>
                          </w:p>
                          <w:p w14:paraId="7D8EC472" w14:textId="691333BC" w:rsidR="00C62795" w:rsidRDefault="00C62795">
                            <w:r>
                              <w:t>Source:</w:t>
                            </w:r>
                            <w:r w:rsidRPr="00C62795">
                              <w:t xml:space="preserve"> </w:t>
                            </w:r>
                            <w:hyperlink r:id="rId7" w:history="1">
                              <w:r>
                                <w:rPr>
                                  <w:rStyle w:val="Hyperlink"/>
                                </w:rPr>
                                <w:t>https://www.metmuseum.org/art/collection/search/248876</w:t>
                              </w:r>
                            </w:hyperlink>
                          </w:p>
                          <w:p w14:paraId="637A02B4" w14:textId="6519E8F1" w:rsidR="00C62795" w:rsidRDefault="00C62795">
                            <w:r>
                              <w:t xml:space="preserve">Date </w:t>
                            </w:r>
                            <w:proofErr w:type="spellStart"/>
                            <w:r>
                              <w:t>accessed:1</w:t>
                            </w:r>
                            <w:proofErr w:type="spellEnd"/>
                            <w:r>
                              <w:t>/4/20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BDC768" id="_x0000_t202" coordsize="21600,21600" o:spt="202" path="m,l,21600r21600,l21600,xe">
                <v:stroke joinstyle="miter"/>
                <v:path gradientshapeok="t" o:connecttype="rect"/>
              </v:shapetype>
              <v:shape id="Text Box 2" o:spid="_x0000_s1026" type="#_x0000_t202" style="position:absolute;margin-left:73.8pt;margin-top:458.95pt;width:359.4pt;height:8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" fillcolor="white [3201]" stroked="f" strokeweight=".5pt">
                <v:textbox>
                  <w:txbxContent>
                    <w:p w14:paraId="48824139" w14:textId="1B8C620D" w:rsidR="00C62795" w:rsidRDefault="00C62795">
                      <w:r>
                        <w:t xml:space="preserve">Agate Lentoid (object of analysis) </w:t>
                      </w:r>
                    </w:p>
                    <w:p w14:paraId="7D8EC472" w14:textId="691333BC" w:rsidR="00C62795" w:rsidRDefault="00C62795">
                      <w:r>
                        <w:t>Source:</w:t>
                      </w:r>
                      <w:r w:rsidRPr="00C62795">
                        <w:t xml:space="preserve"> </w:t>
                      </w:r>
                      <w:hyperlink r:id="rId8" w:history="1">
                        <w:r>
                          <w:rPr>
                            <w:rStyle w:val="Hyperlink"/>
                          </w:rPr>
                          <w:t>https://www.metmuseum.org/art/collection/search/248876</w:t>
                        </w:r>
                      </w:hyperlink>
                    </w:p>
                    <w:p w14:paraId="637A02B4" w14:textId="6519E8F1" w:rsidR="00C62795" w:rsidRDefault="00C62795">
                      <w:r>
                        <w:t xml:space="preserve">Date </w:t>
                      </w:r>
                      <w:proofErr w:type="spellStart"/>
                      <w:r>
                        <w:t>accessed:1</w:t>
                      </w:r>
                      <w:proofErr w:type="spellEnd"/>
                      <w:r>
                        <w:t>/4/20</w:t>
                      </w:r>
                    </w:p>
                  </w:txbxContent>
                </v:textbox>
              </v:shape>
            </w:pict>
          </mc:Fallback>
        </mc:AlternateContent>
      </w:r>
      <w:r>
        <w:rPr>
          <w:noProof/>
        </w:rPr>
        <w:drawing>
          <wp:anchor distT="0" distB="0" distL="114300" distR="114300" simplePos="0" relativeHeight="251658240" behindDoc="1" locked="0" layoutInCell="1" allowOverlap="1" wp14:anchorId="40A350A7" wp14:editId="5FC2B17D">
            <wp:simplePos x="0" y="0"/>
            <wp:positionH relativeFrom="margin">
              <wp:align>center</wp:align>
            </wp:positionH>
            <wp:positionV relativeFrom="paragraph">
              <wp:posOffset>1498600</wp:posOffset>
            </wp:positionV>
            <wp:extent cx="3346450" cy="4183248"/>
            <wp:effectExtent l="0" t="0" r="6350" b="8255"/>
            <wp:wrapSquare wrapText="bothSides"/>
            <wp:docPr id="1" name="Picture 1" descr="A picture containing table, sitting, black, ho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gate lentoid.jf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46450" cy="4183248"/>
                    </a:xfrm>
                    <a:prstGeom prst="rect">
                      <a:avLst/>
                    </a:prstGeom>
                  </pic:spPr>
                </pic:pic>
              </a:graphicData>
            </a:graphic>
            <wp14:sizeRelH relativeFrom="margin">
              <wp14:pctWidth>0</wp14:pctWidth>
            </wp14:sizeRelH>
            <wp14:sizeRelV relativeFrom="margin">
              <wp14:pctHeight>0</wp14:pctHeight>
            </wp14:sizeRelV>
          </wp:anchor>
        </w:drawing>
      </w:r>
      <w:r w:rsidR="005E10E7">
        <w:t xml:space="preserve">In summary, while there are many </w:t>
      </w:r>
      <w:proofErr w:type="spellStart"/>
      <w:r w:rsidR="005E10E7">
        <w:t>pices</w:t>
      </w:r>
      <w:proofErr w:type="spellEnd"/>
      <w:r w:rsidR="005E10E7">
        <w:t xml:space="preserve"> of Minoan art that are </w:t>
      </w:r>
      <w:proofErr w:type="gramStart"/>
      <w:r w:rsidR="005E10E7">
        <w:t>similar to</w:t>
      </w:r>
      <w:proofErr w:type="gramEnd"/>
      <w:r w:rsidR="005E10E7">
        <w:t xml:space="preserve"> this object, the subtext behind these pieces are still debated with the symbolic meaning behind the images depicted on them incredibly difficult to understand. While similarities can be drawn from different cultures similar to the Minoan</w:t>
      </w:r>
      <w:r w:rsidR="00203B28">
        <w:t>’s, the cultural significance to the people who made it and who it was made for, is still difficult to understand without the context of written text or informative material culture.</w:t>
      </w:r>
    </w:p>
    <w:p w14:paraId="378CA686" w14:textId="29DD36E7" w:rsidR="00C62795" w:rsidRDefault="00C62795"/>
    <w:p w14:paraId="268FF5B1" w14:textId="7BD13C7F" w:rsidR="00C62795" w:rsidRDefault="00C62795"/>
    <w:p w14:paraId="250AD2FE" w14:textId="2B4D21AF" w:rsidR="00C62795" w:rsidRDefault="00C62795"/>
    <w:p w14:paraId="4911EE05" w14:textId="4FE51F8A" w:rsidR="00C62795" w:rsidRDefault="00C62795"/>
    <w:p w14:paraId="23F7D64A" w14:textId="75E49099" w:rsidR="00C62795" w:rsidRDefault="00C62795"/>
    <w:p w14:paraId="5C8C34DE" w14:textId="09D50916" w:rsidR="00C62795" w:rsidRDefault="00C62795"/>
    <w:p w14:paraId="4CCA3BB3" w14:textId="05613067" w:rsidR="00C62795" w:rsidRDefault="00C62795"/>
    <w:p w14:paraId="7C8A81E2" w14:textId="68A5AA38" w:rsidR="00C62795" w:rsidRDefault="00C62795"/>
    <w:p w14:paraId="36800E92" w14:textId="69BBC3EA" w:rsidR="00C62795" w:rsidRDefault="00C62795"/>
    <w:p w14:paraId="6357CFC8" w14:textId="3ACB1B73" w:rsidR="00C62795" w:rsidRDefault="00C62795"/>
    <w:p w14:paraId="1CE8E4EB" w14:textId="2DA2D28E" w:rsidR="00C62795" w:rsidRDefault="00C62795"/>
    <w:p w14:paraId="5A745A7D" w14:textId="3CC0637F" w:rsidR="00C62795" w:rsidRDefault="00C62795"/>
    <w:p w14:paraId="3BB5E32B" w14:textId="4BD8AEE7" w:rsidR="00C62795" w:rsidRDefault="00C62795"/>
    <w:p w14:paraId="52BABC4B" w14:textId="60D6640F" w:rsidR="00C62795" w:rsidRDefault="00C62795"/>
    <w:p w14:paraId="1BC972FC" w14:textId="1A4CF7BA" w:rsidR="00C62795" w:rsidRDefault="00C62795"/>
    <w:p w14:paraId="15C86DAB" w14:textId="77777777" w:rsidR="00C62795" w:rsidRDefault="00C62795"/>
    <w:sdt>
      <w:sdtPr>
        <w:id w:val="647714626"/>
        <w:docPartObj>
          <w:docPartGallery w:val="Bibliographies"/>
          <w:docPartUnique/>
        </w:docPartObj>
      </w:sdtPr>
      <w:sdtEndPr>
        <w:rPr>
          <w:rFonts w:asciiTheme="minorHAnsi" w:eastAsiaTheme="minorHAnsi" w:hAnsiTheme="minorHAnsi" w:cstheme="minorBidi"/>
          <w:sz w:val="22"/>
          <w:szCs w:val="22"/>
        </w:rPr>
      </w:sdtEndPr>
      <w:sdtContent>
        <w:p w14:paraId="27FB2AC0" w14:textId="3F4348D4" w:rsidR="00C62795" w:rsidRDefault="00C62795">
          <w:pPr>
            <w:pStyle w:val="Heading1"/>
          </w:pPr>
          <w:r>
            <w:t>References</w:t>
          </w:r>
        </w:p>
        <w:sdt>
          <w:sdtPr>
            <w:id w:val="-573587230"/>
            <w:bibliography/>
          </w:sdtPr>
          <w:sdtContent>
            <w:p w14:paraId="5FE09B79" w14:textId="77777777" w:rsidR="00C62795" w:rsidRDefault="00C62795" w:rsidP="00C62795">
              <w:pPr>
                <w:pStyle w:val="Bibliography"/>
                <w:rPr>
                  <w:noProof/>
                  <w:sz w:val="24"/>
                  <w:szCs w:val="24"/>
                </w:rPr>
              </w:pPr>
              <w:r>
                <w:fldChar w:fldCharType="begin"/>
              </w:r>
              <w:r>
                <w:instrText xml:space="preserve"> BIBLIOGRAPHY </w:instrText>
              </w:r>
              <w:r>
                <w:fldChar w:fldCharType="separate"/>
              </w:r>
              <w:r>
                <w:rPr>
                  <w:noProof/>
                </w:rPr>
                <w:t xml:space="preserve">Gorelick, L. &amp; Gwinnett, J. A., 1992. Minoan versus Mesopotamian Seals: Comparative Methods of Manufacture. </w:t>
              </w:r>
              <w:r>
                <w:rPr>
                  <w:i/>
                  <w:iCs/>
                  <w:noProof/>
                </w:rPr>
                <w:t xml:space="preserve">Iraq, </w:t>
              </w:r>
              <w:r>
                <w:rPr>
                  <w:noProof/>
                </w:rPr>
                <w:t>Volume 54, pp. 57-64.</w:t>
              </w:r>
            </w:p>
            <w:p w14:paraId="46B9635F" w14:textId="77777777" w:rsidR="00C62795" w:rsidRDefault="00C62795" w:rsidP="00C62795">
              <w:pPr>
                <w:pStyle w:val="Bibliography"/>
                <w:rPr>
                  <w:noProof/>
                </w:rPr>
              </w:pPr>
              <w:r>
                <w:rPr>
                  <w:noProof/>
                </w:rPr>
                <w:t xml:space="preserve">Kenna, G., 1961. A Late Minoan Gem-engraver's Trial Piece. </w:t>
              </w:r>
              <w:r>
                <w:rPr>
                  <w:i/>
                  <w:iCs/>
                  <w:noProof/>
                </w:rPr>
                <w:t xml:space="preserve">The British Museum Quarterly , </w:t>
              </w:r>
              <w:r>
                <w:rPr>
                  <w:noProof/>
                </w:rPr>
                <w:t>23(4), pp. 108-110.</w:t>
              </w:r>
            </w:p>
            <w:p w14:paraId="51261B5D" w14:textId="77777777" w:rsidR="00C62795" w:rsidRDefault="00C62795" w:rsidP="00C62795">
              <w:pPr>
                <w:pStyle w:val="Bibliography"/>
                <w:rPr>
                  <w:noProof/>
                </w:rPr>
              </w:pPr>
              <w:r>
                <w:rPr>
                  <w:noProof/>
                </w:rPr>
                <w:t xml:space="preserve">Museum, T. M., Unknown. </w:t>
              </w:r>
              <w:r>
                <w:rPr>
                  <w:i/>
                  <w:iCs/>
                  <w:noProof/>
                </w:rPr>
                <w:t xml:space="preserve">Agate Lentoid. </w:t>
              </w:r>
              <w:r>
                <w:rPr>
                  <w:noProof/>
                </w:rPr>
                <w:t xml:space="preserve">[Online] </w:t>
              </w:r>
              <w:r>
                <w:rPr>
                  <w:noProof/>
                </w:rPr>
                <w:br/>
                <w:t xml:space="preserve">Available at: </w:t>
              </w:r>
              <w:r>
                <w:rPr>
                  <w:noProof/>
                  <w:u w:val="single"/>
                </w:rPr>
                <w:t>https://www.metmuseum.org/art/collection/search/248876</w:t>
              </w:r>
              <w:r>
                <w:rPr>
                  <w:noProof/>
                </w:rPr>
                <w:br/>
                <w:t>[Accessed 30 March 2020].</w:t>
              </w:r>
            </w:p>
            <w:p w14:paraId="3DF48F2F" w14:textId="77777777" w:rsidR="00C62795" w:rsidRDefault="00C62795" w:rsidP="00C62795">
              <w:pPr>
                <w:pStyle w:val="Bibliography"/>
                <w:rPr>
                  <w:noProof/>
                </w:rPr>
              </w:pPr>
              <w:r>
                <w:rPr>
                  <w:noProof/>
                </w:rPr>
                <w:t xml:space="preserve">Smith, J. S., 2012. Seals, Scripts, and Politics at Late Bronze Age Kourion. </w:t>
              </w:r>
              <w:r>
                <w:rPr>
                  <w:i/>
                  <w:iCs/>
                  <w:noProof/>
                </w:rPr>
                <w:t xml:space="preserve">American Journal of Archaeology, </w:t>
              </w:r>
              <w:r>
                <w:rPr>
                  <w:noProof/>
                </w:rPr>
                <w:t>116(1), pp. 39-103.</w:t>
              </w:r>
            </w:p>
            <w:p w14:paraId="69A3C9E9" w14:textId="4F81BD2D" w:rsidR="00C62795" w:rsidRDefault="00C62795" w:rsidP="00C62795">
              <w:r>
                <w:rPr>
                  <w:b/>
                  <w:bCs/>
                  <w:noProof/>
                </w:rPr>
                <w:fldChar w:fldCharType="end"/>
              </w:r>
            </w:p>
          </w:sdtContent>
        </w:sdt>
      </w:sdtContent>
    </w:sdt>
    <w:p w14:paraId="3FEF2784" w14:textId="77777777" w:rsidR="00C62795" w:rsidRDefault="00C62795"/>
    <w:sectPr w:rsidR="00C627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EDCB0D" w14:textId="77777777" w:rsidR="00D70C3D" w:rsidRDefault="00D70C3D" w:rsidP="00203B28">
      <w:pPr>
        <w:spacing w:after="0" w:line="240" w:lineRule="auto"/>
      </w:pPr>
      <w:r>
        <w:separator/>
      </w:r>
    </w:p>
  </w:endnote>
  <w:endnote w:type="continuationSeparator" w:id="0">
    <w:p w14:paraId="322820FE" w14:textId="77777777" w:rsidR="00D70C3D" w:rsidRDefault="00D70C3D" w:rsidP="00203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4B55F1" w14:textId="77777777" w:rsidR="00D70C3D" w:rsidRDefault="00D70C3D" w:rsidP="00203B28">
      <w:pPr>
        <w:spacing w:after="0" w:line="240" w:lineRule="auto"/>
      </w:pPr>
      <w:r>
        <w:separator/>
      </w:r>
    </w:p>
  </w:footnote>
  <w:footnote w:type="continuationSeparator" w:id="0">
    <w:p w14:paraId="6B1AA128" w14:textId="77777777" w:rsidR="00D70C3D" w:rsidRDefault="00D70C3D" w:rsidP="00203B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F6C"/>
    <w:rsid w:val="00052717"/>
    <w:rsid w:val="000819D5"/>
    <w:rsid w:val="00172A47"/>
    <w:rsid w:val="001E4FF7"/>
    <w:rsid w:val="00203B28"/>
    <w:rsid w:val="002140C8"/>
    <w:rsid w:val="003406EF"/>
    <w:rsid w:val="00401AE2"/>
    <w:rsid w:val="004A7082"/>
    <w:rsid w:val="00545873"/>
    <w:rsid w:val="005B703B"/>
    <w:rsid w:val="005D68F9"/>
    <w:rsid w:val="005E10E7"/>
    <w:rsid w:val="00665F6C"/>
    <w:rsid w:val="00727A07"/>
    <w:rsid w:val="007361A2"/>
    <w:rsid w:val="007E3468"/>
    <w:rsid w:val="0083213A"/>
    <w:rsid w:val="00852938"/>
    <w:rsid w:val="00870374"/>
    <w:rsid w:val="00A678B3"/>
    <w:rsid w:val="00B37335"/>
    <w:rsid w:val="00B84A77"/>
    <w:rsid w:val="00C07DE0"/>
    <w:rsid w:val="00C50E99"/>
    <w:rsid w:val="00C62795"/>
    <w:rsid w:val="00CE39B0"/>
    <w:rsid w:val="00D63497"/>
    <w:rsid w:val="00D70C3D"/>
    <w:rsid w:val="00D85446"/>
    <w:rsid w:val="00DB02EE"/>
    <w:rsid w:val="00E27BBA"/>
    <w:rsid w:val="00E65FD3"/>
    <w:rsid w:val="00E8292A"/>
    <w:rsid w:val="00F57DC4"/>
    <w:rsid w:val="00FA3C73"/>
    <w:rsid w:val="00FE5E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AA105"/>
  <w15:chartTrackingRefBased/>
  <w15:docId w15:val="{E6EE3C43-05C6-4F22-B330-6786F77EF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E3468"/>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468"/>
    <w:rPr>
      <w:rFonts w:asciiTheme="majorHAnsi" w:eastAsiaTheme="majorEastAsia" w:hAnsiTheme="majorHAnsi" w:cstheme="majorBidi"/>
      <w:sz w:val="36"/>
      <w:szCs w:val="36"/>
    </w:rPr>
  </w:style>
  <w:style w:type="paragraph" w:styleId="EndnoteText">
    <w:name w:val="endnote text"/>
    <w:basedOn w:val="Normal"/>
    <w:link w:val="EndnoteTextChar"/>
    <w:uiPriority w:val="99"/>
    <w:semiHidden/>
    <w:unhideWhenUsed/>
    <w:rsid w:val="00203B2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03B28"/>
    <w:rPr>
      <w:sz w:val="20"/>
      <w:szCs w:val="20"/>
    </w:rPr>
  </w:style>
  <w:style w:type="character" w:styleId="EndnoteReference">
    <w:name w:val="endnote reference"/>
    <w:basedOn w:val="DefaultParagraphFont"/>
    <w:uiPriority w:val="99"/>
    <w:semiHidden/>
    <w:unhideWhenUsed/>
    <w:rsid w:val="00203B28"/>
    <w:rPr>
      <w:vertAlign w:val="superscript"/>
    </w:rPr>
  </w:style>
  <w:style w:type="character" w:styleId="Hyperlink">
    <w:name w:val="Hyperlink"/>
    <w:basedOn w:val="DefaultParagraphFont"/>
    <w:uiPriority w:val="99"/>
    <w:semiHidden/>
    <w:unhideWhenUsed/>
    <w:rsid w:val="00C62795"/>
    <w:rPr>
      <w:color w:val="0000FF"/>
      <w:u w:val="single"/>
    </w:rPr>
  </w:style>
  <w:style w:type="paragraph" w:styleId="Bibliography">
    <w:name w:val="Bibliography"/>
    <w:basedOn w:val="Normal"/>
    <w:next w:val="Normal"/>
    <w:uiPriority w:val="37"/>
    <w:unhideWhenUsed/>
    <w:rsid w:val="00C62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468068">
      <w:bodyDiv w:val="1"/>
      <w:marLeft w:val="0"/>
      <w:marRight w:val="0"/>
      <w:marTop w:val="0"/>
      <w:marBottom w:val="0"/>
      <w:divBdr>
        <w:top w:val="none" w:sz="0" w:space="0" w:color="auto"/>
        <w:left w:val="none" w:sz="0" w:space="0" w:color="auto"/>
        <w:bottom w:val="none" w:sz="0" w:space="0" w:color="auto"/>
        <w:right w:val="none" w:sz="0" w:space="0" w:color="auto"/>
      </w:divBdr>
    </w:div>
    <w:div w:id="432481487">
      <w:bodyDiv w:val="1"/>
      <w:marLeft w:val="0"/>
      <w:marRight w:val="0"/>
      <w:marTop w:val="0"/>
      <w:marBottom w:val="0"/>
      <w:divBdr>
        <w:top w:val="none" w:sz="0" w:space="0" w:color="auto"/>
        <w:left w:val="none" w:sz="0" w:space="0" w:color="auto"/>
        <w:bottom w:val="none" w:sz="0" w:space="0" w:color="auto"/>
        <w:right w:val="none" w:sz="0" w:space="0" w:color="auto"/>
      </w:divBdr>
    </w:div>
    <w:div w:id="485168163">
      <w:bodyDiv w:val="1"/>
      <w:marLeft w:val="0"/>
      <w:marRight w:val="0"/>
      <w:marTop w:val="0"/>
      <w:marBottom w:val="0"/>
      <w:divBdr>
        <w:top w:val="none" w:sz="0" w:space="0" w:color="auto"/>
        <w:left w:val="none" w:sz="0" w:space="0" w:color="auto"/>
        <w:bottom w:val="none" w:sz="0" w:space="0" w:color="auto"/>
        <w:right w:val="none" w:sz="0" w:space="0" w:color="auto"/>
      </w:divBdr>
    </w:div>
    <w:div w:id="559706186">
      <w:bodyDiv w:val="1"/>
      <w:marLeft w:val="0"/>
      <w:marRight w:val="0"/>
      <w:marTop w:val="0"/>
      <w:marBottom w:val="0"/>
      <w:divBdr>
        <w:top w:val="none" w:sz="0" w:space="0" w:color="auto"/>
        <w:left w:val="none" w:sz="0" w:space="0" w:color="auto"/>
        <w:bottom w:val="none" w:sz="0" w:space="0" w:color="auto"/>
        <w:right w:val="none" w:sz="0" w:space="0" w:color="auto"/>
      </w:divBdr>
    </w:div>
    <w:div w:id="578055188">
      <w:bodyDiv w:val="1"/>
      <w:marLeft w:val="0"/>
      <w:marRight w:val="0"/>
      <w:marTop w:val="0"/>
      <w:marBottom w:val="0"/>
      <w:divBdr>
        <w:top w:val="none" w:sz="0" w:space="0" w:color="auto"/>
        <w:left w:val="none" w:sz="0" w:space="0" w:color="auto"/>
        <w:bottom w:val="none" w:sz="0" w:space="0" w:color="auto"/>
        <w:right w:val="none" w:sz="0" w:space="0" w:color="auto"/>
      </w:divBdr>
    </w:div>
    <w:div w:id="579338251">
      <w:bodyDiv w:val="1"/>
      <w:marLeft w:val="0"/>
      <w:marRight w:val="0"/>
      <w:marTop w:val="0"/>
      <w:marBottom w:val="0"/>
      <w:divBdr>
        <w:top w:val="none" w:sz="0" w:space="0" w:color="auto"/>
        <w:left w:val="none" w:sz="0" w:space="0" w:color="auto"/>
        <w:bottom w:val="none" w:sz="0" w:space="0" w:color="auto"/>
        <w:right w:val="none" w:sz="0" w:space="0" w:color="auto"/>
      </w:divBdr>
    </w:div>
    <w:div w:id="641615357">
      <w:bodyDiv w:val="1"/>
      <w:marLeft w:val="0"/>
      <w:marRight w:val="0"/>
      <w:marTop w:val="0"/>
      <w:marBottom w:val="0"/>
      <w:divBdr>
        <w:top w:val="none" w:sz="0" w:space="0" w:color="auto"/>
        <w:left w:val="none" w:sz="0" w:space="0" w:color="auto"/>
        <w:bottom w:val="none" w:sz="0" w:space="0" w:color="auto"/>
        <w:right w:val="none" w:sz="0" w:space="0" w:color="auto"/>
      </w:divBdr>
    </w:div>
    <w:div w:id="788207691">
      <w:bodyDiv w:val="1"/>
      <w:marLeft w:val="0"/>
      <w:marRight w:val="0"/>
      <w:marTop w:val="0"/>
      <w:marBottom w:val="0"/>
      <w:divBdr>
        <w:top w:val="none" w:sz="0" w:space="0" w:color="auto"/>
        <w:left w:val="none" w:sz="0" w:space="0" w:color="auto"/>
        <w:bottom w:val="none" w:sz="0" w:space="0" w:color="auto"/>
        <w:right w:val="none" w:sz="0" w:space="0" w:color="auto"/>
      </w:divBdr>
    </w:div>
    <w:div w:id="867329056">
      <w:bodyDiv w:val="1"/>
      <w:marLeft w:val="0"/>
      <w:marRight w:val="0"/>
      <w:marTop w:val="0"/>
      <w:marBottom w:val="0"/>
      <w:divBdr>
        <w:top w:val="none" w:sz="0" w:space="0" w:color="auto"/>
        <w:left w:val="none" w:sz="0" w:space="0" w:color="auto"/>
        <w:bottom w:val="none" w:sz="0" w:space="0" w:color="auto"/>
        <w:right w:val="none" w:sz="0" w:space="0" w:color="auto"/>
      </w:divBdr>
    </w:div>
    <w:div w:id="874806556">
      <w:bodyDiv w:val="1"/>
      <w:marLeft w:val="0"/>
      <w:marRight w:val="0"/>
      <w:marTop w:val="0"/>
      <w:marBottom w:val="0"/>
      <w:divBdr>
        <w:top w:val="none" w:sz="0" w:space="0" w:color="auto"/>
        <w:left w:val="none" w:sz="0" w:space="0" w:color="auto"/>
        <w:bottom w:val="none" w:sz="0" w:space="0" w:color="auto"/>
        <w:right w:val="none" w:sz="0" w:space="0" w:color="auto"/>
      </w:divBdr>
    </w:div>
    <w:div w:id="1267034315">
      <w:bodyDiv w:val="1"/>
      <w:marLeft w:val="0"/>
      <w:marRight w:val="0"/>
      <w:marTop w:val="0"/>
      <w:marBottom w:val="0"/>
      <w:divBdr>
        <w:top w:val="none" w:sz="0" w:space="0" w:color="auto"/>
        <w:left w:val="none" w:sz="0" w:space="0" w:color="auto"/>
        <w:bottom w:val="none" w:sz="0" w:space="0" w:color="auto"/>
        <w:right w:val="none" w:sz="0" w:space="0" w:color="auto"/>
      </w:divBdr>
    </w:div>
    <w:div w:id="1357653609">
      <w:bodyDiv w:val="1"/>
      <w:marLeft w:val="0"/>
      <w:marRight w:val="0"/>
      <w:marTop w:val="0"/>
      <w:marBottom w:val="0"/>
      <w:divBdr>
        <w:top w:val="none" w:sz="0" w:space="0" w:color="auto"/>
        <w:left w:val="none" w:sz="0" w:space="0" w:color="auto"/>
        <w:bottom w:val="none" w:sz="0" w:space="0" w:color="auto"/>
        <w:right w:val="none" w:sz="0" w:space="0" w:color="auto"/>
      </w:divBdr>
    </w:div>
    <w:div w:id="1364591883">
      <w:bodyDiv w:val="1"/>
      <w:marLeft w:val="0"/>
      <w:marRight w:val="0"/>
      <w:marTop w:val="0"/>
      <w:marBottom w:val="0"/>
      <w:divBdr>
        <w:top w:val="none" w:sz="0" w:space="0" w:color="auto"/>
        <w:left w:val="none" w:sz="0" w:space="0" w:color="auto"/>
        <w:bottom w:val="none" w:sz="0" w:space="0" w:color="auto"/>
        <w:right w:val="none" w:sz="0" w:space="0" w:color="auto"/>
      </w:divBdr>
    </w:div>
    <w:div w:id="1372995985">
      <w:bodyDiv w:val="1"/>
      <w:marLeft w:val="0"/>
      <w:marRight w:val="0"/>
      <w:marTop w:val="0"/>
      <w:marBottom w:val="0"/>
      <w:divBdr>
        <w:top w:val="none" w:sz="0" w:space="0" w:color="auto"/>
        <w:left w:val="none" w:sz="0" w:space="0" w:color="auto"/>
        <w:bottom w:val="none" w:sz="0" w:space="0" w:color="auto"/>
        <w:right w:val="none" w:sz="0" w:space="0" w:color="auto"/>
      </w:divBdr>
    </w:div>
    <w:div w:id="1463575964">
      <w:bodyDiv w:val="1"/>
      <w:marLeft w:val="0"/>
      <w:marRight w:val="0"/>
      <w:marTop w:val="0"/>
      <w:marBottom w:val="0"/>
      <w:divBdr>
        <w:top w:val="none" w:sz="0" w:space="0" w:color="auto"/>
        <w:left w:val="none" w:sz="0" w:space="0" w:color="auto"/>
        <w:bottom w:val="none" w:sz="0" w:space="0" w:color="auto"/>
        <w:right w:val="none" w:sz="0" w:space="0" w:color="auto"/>
      </w:divBdr>
    </w:div>
    <w:div w:id="202450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museum.org/art/collection/search/248876" TargetMode="External"/><Relationship Id="rId3" Type="http://schemas.openxmlformats.org/officeDocument/2006/relationships/settings" Target="settings.xml"/><Relationship Id="rId7" Type="http://schemas.openxmlformats.org/officeDocument/2006/relationships/hyperlink" Target="https://www.metmuseum.org/art/collection/search/24887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Gor92</b:Tag>
    <b:SourceType>JournalArticle</b:SourceType>
    <b:Guid>{F30C6A49-1F9C-4145-BD33-2D94BC9C73D0}</b:Guid>
    <b:Author>
      <b:Author>
        <b:NameList>
          <b:Person>
            <b:Last>Gorelick</b:Last>
            <b:First>Leonard</b:First>
          </b:Person>
          <b:Person>
            <b:Last>Gwinnett</b:Last>
            <b:First>James</b:First>
            <b:Middle>A</b:Middle>
          </b:Person>
        </b:NameList>
      </b:Author>
    </b:Author>
    <b:Title>Minoan versus Mesopotamian Seals: Comparative Methods of Manufacture</b:Title>
    <b:JournalName>Iraq</b:JournalName>
    <b:Year>1992</b:Year>
    <b:Pages>57-64</b:Pages>
    <b:Volume>54</b:Volume>
    <b:RefOrder>3</b:RefOrder>
  </b:Source>
  <b:Source>
    <b:Tag>Unkwn1</b:Tag>
    <b:SourceType>InternetSite</b:SourceType>
    <b:Guid>{B107FE7F-7F5B-4216-A7DD-1EE8DBDF25BD}</b:Guid>
    <b:Title>Agate Lentoid</b:Title>
    <b:Year>Unknown</b:Year>
    <b:Author>
      <b:Author>
        <b:NameList>
          <b:Person>
            <b:Last>Museum</b:Last>
            <b:First>The</b:First>
            <b:Middle>Metropolitan</b:Middle>
          </b:Person>
        </b:NameList>
      </b:Author>
    </b:Author>
    <b:YearAccessed>2020</b:YearAccessed>
    <b:MonthAccessed>March</b:MonthAccessed>
    <b:DayAccessed>30</b:DayAccessed>
    <b:URL>https://www.metmuseum.org/art/collection/search/248876</b:URL>
    <b:RefOrder>1</b:RefOrder>
  </b:Source>
  <b:Source>
    <b:Tag>Ken61</b:Tag>
    <b:SourceType>JournalArticle</b:SourceType>
    <b:Guid>{39A8AC87-D1A6-44E7-B397-DDA3B0F68205}</b:Guid>
    <b:Title>A Late Minoan Gem-engraver's Trial Piece</b:Title>
    <b:Year>1961</b:Year>
    <b:Author>
      <b:Author>
        <b:NameList>
          <b:Person>
            <b:Last>Kenna</b:Last>
            <b:First>G.E.V</b:First>
          </b:Person>
        </b:NameList>
      </b:Author>
    </b:Author>
    <b:JournalName>The British Museum Quarterly </b:JournalName>
    <b:Pages>108-110</b:Pages>
    <b:Volume>23</b:Volume>
    <b:Issue>4</b:Issue>
    <b:RefOrder>4</b:RefOrder>
  </b:Source>
  <b:Source>
    <b:Tag>Smi12</b:Tag>
    <b:SourceType>JournalArticle</b:SourceType>
    <b:Guid>{BFE8DFB9-517D-4995-8DAB-0D1A11DBEA09}</b:Guid>
    <b:Author>
      <b:Author>
        <b:NameList>
          <b:Person>
            <b:Last>Smith</b:Last>
            <b:First>Joanna</b:First>
            <b:Middle>S.</b:Middle>
          </b:Person>
        </b:NameList>
      </b:Author>
    </b:Author>
    <b:Title>Seals, Scripts, and Politics at Late Bronze Age Kourion</b:Title>
    <b:JournalName>American Journal of Archaeology</b:JournalName>
    <b:Year>2012</b:Year>
    <b:Pages>39-103</b:Pages>
    <b:Volume>116</b:Volume>
    <b:Issue>1</b:Issue>
    <b:RefOrder>2</b:RefOrder>
  </b:Source>
</b:Sources>
</file>

<file path=customXml/itemProps1.xml><?xml version="1.0" encoding="utf-8"?>
<ds:datastoreItem xmlns:ds="http://schemas.openxmlformats.org/officeDocument/2006/customXml" ds:itemID="{6E37C683-75A8-48FD-9546-1BAEC7116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3721</TotalTime>
  <Pages>3</Pages>
  <Words>1015</Words>
  <Characters>5788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Naome Wrightson</dc:creator>
  <cp:keywords/>
  <dc:description/>
  <cp:lastModifiedBy>Naome Wrightson</cp:lastModifiedBy>
  <cp:revision>12</cp:revision>
  <dcterms:created xsi:type="dcterms:W3CDTF">2020-03-29T10:12:00Z</dcterms:created>
  <dcterms:modified xsi:type="dcterms:W3CDTF">2020-04-01T16:09:00Z</dcterms:modified>
</cp:coreProperties>
</file>