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Submit via Turnitin</w:t>
      </w:r>
    </w:p>
    <w:p w:rsidR="00000000" w:rsidDel="00000000" w:rsidP="00000000" w:rsidRDefault="00000000" w:rsidRPr="00000000" w14:paraId="00000002">
      <w:pPr>
        <w:pStyle w:val="Title"/>
        <w:keepNext w:val="0"/>
        <w:keepLines w:val="0"/>
        <w:spacing w:after="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School of Sport, Health &amp; Outdoor Education</w:t>
      </w:r>
    </w:p>
    <w:p w:rsidR="00000000" w:rsidDel="00000000" w:rsidP="00000000" w:rsidRDefault="00000000" w:rsidRPr="00000000" w14:paraId="00000003">
      <w:pPr>
        <w:spacing w:line="276"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4">
      <w:pPr>
        <w:pStyle w:val="Subtitle"/>
        <w:keepNext w:val="0"/>
        <w:keepLines w:val="0"/>
        <w:spacing w:after="0" w:line="240" w:lineRule="auto"/>
        <w:jc w:val="center"/>
        <w:rPr>
          <w:rFonts w:ascii="Calibri" w:cs="Calibri" w:eastAsia="Calibri" w:hAnsi="Calibri"/>
          <w:color w:val="000000"/>
          <w:sz w:val="32"/>
          <w:szCs w:val="32"/>
          <w:u w:val="single"/>
        </w:rPr>
      </w:pPr>
      <w:r w:rsidDel="00000000" w:rsidR="00000000" w:rsidRPr="00000000">
        <w:rPr>
          <w:rFonts w:ascii="Calibri" w:cs="Calibri" w:eastAsia="Calibri" w:hAnsi="Calibri"/>
          <w:color w:val="000000"/>
          <w:sz w:val="32"/>
          <w:szCs w:val="32"/>
          <w:u w:val="single"/>
          <w:rtl w:val="0"/>
        </w:rPr>
        <w:t xml:space="preserve">Assessment Feedback Sheet</w:t>
      </w:r>
    </w:p>
    <w:p w:rsidR="00000000" w:rsidDel="00000000" w:rsidP="00000000" w:rsidRDefault="00000000" w:rsidRPr="00000000" w14:paraId="00000005">
      <w:pPr>
        <w:pStyle w:val="Subtitle"/>
        <w:keepNext w:val="0"/>
        <w:keepLines w:val="0"/>
        <w:spacing w:after="0" w:line="240" w:lineRule="auto"/>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06">
      <w:pPr>
        <w:pStyle w:val="Subtitle"/>
        <w:keepNext w:val="0"/>
        <w:keepLines w:val="0"/>
        <w:spacing w:after="0" w:line="240" w:lineRule="auto"/>
        <w:rPr>
          <w:rFonts w:ascii="Calibri" w:cs="Calibri" w:eastAsia="Calibri" w:hAnsi="Calibri"/>
          <w:color w:val="000000"/>
          <w:sz w:val="32"/>
          <w:szCs w:val="32"/>
          <w:u w:val="single"/>
        </w:rPr>
      </w:pPr>
      <w:r w:rsidDel="00000000" w:rsidR="00000000" w:rsidRPr="00000000">
        <w:rPr>
          <w:rFonts w:ascii="Calibri" w:cs="Calibri" w:eastAsia="Calibri" w:hAnsi="Calibri"/>
          <w:b w:val="1"/>
          <w:color w:val="000000"/>
          <w:sz w:val="24"/>
          <w:szCs w:val="24"/>
          <w:rtl w:val="0"/>
        </w:rPr>
        <w:t xml:space="preserve">Student No./Name:</w:t>
      </w:r>
      <w:r w:rsidDel="00000000" w:rsidR="00000000" w:rsidRPr="00000000">
        <w:rPr>
          <w:rFonts w:ascii="Times New Roman" w:cs="Times New Roman" w:eastAsia="Times New Roman" w:hAnsi="Times New Roman"/>
          <w:b w:val="1"/>
          <w:color w:val="000000"/>
          <w:sz w:val="24"/>
          <w:szCs w:val="24"/>
          <w:rtl w:val="0"/>
        </w:rPr>
        <w:tab/>
        <w:t xml:space="preserve">Andrea Collins</w:t>
      </w:r>
      <w:r w:rsidDel="00000000" w:rsidR="00000000" w:rsidRPr="00000000">
        <w:rPr>
          <w:rtl w:val="0"/>
        </w:rPr>
      </w:r>
    </w:p>
    <w:p w:rsidR="00000000" w:rsidDel="00000000" w:rsidP="00000000" w:rsidRDefault="00000000" w:rsidRPr="00000000" w14:paraId="00000007">
      <w:pPr>
        <w:pStyle w:val="Subtitle"/>
        <w:keepNext w:val="0"/>
        <w:keepLines w:val="0"/>
        <w:spacing w:after="0" w:line="240" w:lineRule="auto"/>
        <w:rPr>
          <w:rFonts w:ascii="Times New Roman" w:cs="Times New Roman" w:eastAsia="Times New Roman" w:hAnsi="Times New Roman"/>
          <w:b w:val="1"/>
          <w:color w:val="000000"/>
          <w:sz w:val="16"/>
          <w:szCs w:val="16"/>
          <w:u w:val="single"/>
        </w:rPr>
      </w:pPr>
      <w:r w:rsidDel="00000000" w:rsidR="00000000" w:rsidRPr="00000000">
        <w:rPr>
          <w:rtl w:val="0"/>
        </w:rPr>
      </w:r>
    </w:p>
    <w:tbl>
      <w:tblPr>
        <w:tblStyle w:val="Table1"/>
        <w:tblW w:w="10945.0" w:type="dxa"/>
        <w:jc w:val="left"/>
        <w:tblInd w:w="-11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Change w:id="0">
          <w:tblGrid>
            <w:gridCol w:w="2305"/>
            <w:gridCol w:w="356"/>
            <w:gridCol w:w="184"/>
            <w:gridCol w:w="922"/>
            <w:gridCol w:w="923"/>
            <w:gridCol w:w="308"/>
            <w:gridCol w:w="614"/>
            <w:gridCol w:w="923"/>
            <w:gridCol w:w="922"/>
            <w:gridCol w:w="923"/>
            <w:gridCol w:w="218"/>
            <w:gridCol w:w="704"/>
            <w:gridCol w:w="923"/>
            <w:gridCol w:w="720"/>
          </w:tblGrid>
        </w:tblGridChange>
      </w:tblGrid>
      <w:tr>
        <w:trPr>
          <w:cantSplit w:val="1"/>
          <w:tblHeader w:val="0"/>
        </w:trPr>
        <w:tc>
          <w:tcPr>
            <w:gridSpan w:val="14"/>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08">
            <w:pPr>
              <w:pStyle w:val="Subtitle"/>
              <w:keepNext w:val="0"/>
              <w:keepLines w:val="0"/>
              <w:spacing w:after="0" w:line="240" w:lineRule="auto"/>
              <w:jc w:val="cente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18"/>
                <w:szCs w:val="18"/>
                <w:rtl w:val="0"/>
              </w:rPr>
              <w:t xml:space="preserve">Personal Evaluation</w:t>
            </w:r>
            <w:r w:rsidDel="00000000" w:rsidR="00000000" w:rsidRPr="00000000">
              <w:rPr>
                <w:rFonts w:ascii="Calibri" w:cs="Calibri" w:eastAsia="Calibri" w:hAnsi="Calibri"/>
                <w:color w:val="000000"/>
                <w:sz w:val="18"/>
                <w:szCs w:val="18"/>
                <w:rtl w:val="0"/>
              </w:rPr>
              <w:t xml:space="preserve"> – to support your academic progress please complete the section below </w:t>
            </w:r>
            <w:r w:rsidDel="00000000" w:rsidR="00000000" w:rsidRPr="00000000">
              <w:rPr>
                <w:rFonts w:ascii="Calibri" w:cs="Calibri" w:eastAsia="Calibri" w:hAnsi="Calibri"/>
                <w:b w:val="1"/>
                <w:color w:val="000000"/>
                <w:sz w:val="18"/>
                <w:szCs w:val="18"/>
                <w:u w:val="single"/>
                <w:rtl w:val="0"/>
              </w:rPr>
              <w:t xml:space="preserve">BEFORE</w:t>
            </w:r>
            <w:r w:rsidDel="00000000" w:rsidR="00000000" w:rsidRPr="00000000">
              <w:rPr>
                <w:rFonts w:ascii="Calibri" w:cs="Calibri" w:eastAsia="Calibri" w:hAnsi="Calibri"/>
                <w:color w:val="000000"/>
                <w:sz w:val="18"/>
                <w:szCs w:val="18"/>
                <w:rtl w:val="0"/>
              </w:rPr>
              <w:t xml:space="preserve"> submitting your work.</w:t>
            </w:r>
            <w:r w:rsidDel="00000000" w:rsidR="00000000" w:rsidRPr="00000000">
              <w:rPr>
                <w:rtl w:val="0"/>
              </w:rPr>
            </w:r>
          </w:p>
        </w:tc>
      </w:tr>
      <w:tr>
        <w:trPr>
          <w:cantSplit w:val="1"/>
          <w:tblHeader w:val="0"/>
        </w:trP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16">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8"/>
                <w:szCs w:val="18"/>
                <w:rtl w:val="0"/>
              </w:rPr>
              <w:t xml:space="preserve">What do you consider to be the best aspects of this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19">
            <w:pPr>
              <w:pStyle w:val="Subtitle"/>
              <w:keepNext w:val="0"/>
              <w:keepLines w:val="0"/>
              <w:spacing w:after="0"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Reflecting on my own growth as a teacher and parent through the process of observing and assessing physical development could be the most meaningful aspect. Enabling me to consider teaching styles to better meet the needs of my pupils and developing new strategies to enhance physical development in my class.</w:t>
            </w:r>
            <w:r w:rsidDel="00000000" w:rsidR="00000000" w:rsidRPr="00000000">
              <w:rPr>
                <w:rtl w:val="0"/>
              </w:rPr>
            </w:r>
          </w:p>
        </w:tc>
      </w:tr>
      <w:tr>
        <w:trPr>
          <w:cantSplit w:val="1"/>
          <w:tblHeader w:val="0"/>
        </w:trP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24">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8"/>
                <w:szCs w:val="18"/>
                <w:rtl w:val="0"/>
              </w:rPr>
              <w:t xml:space="preserve">Which aspects do you consider could have been improved in this piece of work?</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27">
            <w:pPr>
              <w:pStyle w:val="Subtitle"/>
              <w:keepNext w:val="0"/>
              <w:keepLines w:val="0"/>
              <w:spacing w:after="0"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 think that the assignment was quite challenging as a whole, due to the fact that I have not undertaken any formal assignments since going to university 27 years ago.</w:t>
            </w:r>
            <w:r w:rsidDel="00000000" w:rsidR="00000000" w:rsidRPr="00000000">
              <w:rPr>
                <w:rtl w:val="0"/>
              </w:rPr>
            </w:r>
          </w:p>
        </w:tc>
      </w:tr>
      <w:tr>
        <w:trPr>
          <w:cantSplit w:val="1"/>
          <w:tblHeader w:val="0"/>
        </w:trPr>
        <w:tc>
          <w:tcPr>
            <w:gridSpan w:val="3"/>
            <w:tcBorders>
              <w:top w:color="000000" w:space="0" w:sz="4" w:val="single"/>
              <w:left w:color="000000" w:space="0" w:sz="24" w:val="single"/>
              <w:bottom w:color="000000" w:space="0" w:sz="4" w:val="single"/>
              <w:right w:color="000000" w:space="0" w:sz="4" w:val="single"/>
            </w:tcBorders>
          </w:tcPr>
          <w:p w:rsidR="00000000" w:rsidDel="00000000" w:rsidP="00000000" w:rsidRDefault="00000000" w:rsidRPr="00000000" w14:paraId="00000032">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8"/>
                <w:szCs w:val="18"/>
                <w:rtl w:val="0"/>
              </w:rPr>
              <w:t xml:space="preserve">What have you found most satisfying whilst undertaking this submission?</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24" w:val="single"/>
            </w:tcBorders>
          </w:tcPr>
          <w:p w:rsidR="00000000" w:rsidDel="00000000" w:rsidP="00000000" w:rsidRDefault="00000000" w:rsidRPr="00000000" w14:paraId="00000035">
            <w:pPr>
              <w:pStyle w:val="Subtitle"/>
              <w:keepNext w:val="0"/>
              <w:keepLines w:val="0"/>
              <w:spacing w:after="0"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was satisfying to realise how far we have come as a school and the amount of resources and training that we have put in place to enable our pupils </w:t>
            </w:r>
            <w:r w:rsidDel="00000000" w:rsidR="00000000" w:rsidRPr="00000000">
              <w:rPr>
                <w:rFonts w:ascii="Times New Roman" w:cs="Times New Roman" w:eastAsia="Times New Roman" w:hAnsi="Times New Roman"/>
                <w:color w:val="222222"/>
                <w:sz w:val="24"/>
                <w:szCs w:val="24"/>
                <w:rtl w:val="0"/>
              </w:rPr>
              <w:t xml:space="preserve">to succeed in the future,</w:t>
            </w:r>
            <w:r w:rsidDel="00000000" w:rsidR="00000000" w:rsidRPr="00000000">
              <w:rPr>
                <w:rtl w:val="0"/>
              </w:rPr>
            </w:r>
          </w:p>
        </w:tc>
      </w:tr>
      <w:tr>
        <w:trPr>
          <w:cantSplit w:val="1"/>
          <w:tblHeader w:val="0"/>
        </w:trPr>
        <w:tc>
          <w:tcPr>
            <w:vMerge w:val="restart"/>
            <w:tcBorders>
              <w:top w:color="000000" w:space="0" w:sz="4" w:val="single"/>
              <w:left w:color="000000" w:space="0" w:sz="24" w:val="single"/>
              <w:bottom w:color="000000" w:space="0" w:sz="6" w:val="single"/>
            </w:tcBorders>
          </w:tcPr>
          <w:p w:rsidR="00000000" w:rsidDel="00000000" w:rsidP="00000000" w:rsidRDefault="00000000" w:rsidRPr="00000000" w14:paraId="00000040">
            <w:pPr>
              <w:pStyle w:val="Subtitle"/>
              <w:keepNext w:val="0"/>
              <w:keepLines w:val="0"/>
              <w:spacing w:after="0" w:line="240" w:lineRule="auto"/>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41">
            <w:pPr>
              <w:pStyle w:val="Subtitle"/>
              <w:keepNext w:val="0"/>
              <w:keepLines w:val="0"/>
              <w:spacing w:after="0" w:line="240" w:lineRule="auto"/>
              <w:jc w:val="cente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ASSESSMENT CRITERIA</w:t>
            </w:r>
          </w:p>
        </w:tc>
        <w:tc>
          <w:tcPr>
            <w:gridSpan w:val="2"/>
            <w:vMerge w:val="restart"/>
            <w:tcBorders>
              <w:top w:color="000000" w:space="0" w:sz="4" w:val="single"/>
              <w:bottom w:color="000000" w:space="0" w:sz="6" w:val="single"/>
              <w:right w:color="000000" w:space="0" w:sz="6" w:val="single"/>
            </w:tcBorders>
          </w:tcPr>
          <w:p w:rsidR="00000000" w:rsidDel="00000000" w:rsidP="00000000" w:rsidRDefault="00000000" w:rsidRPr="00000000" w14:paraId="00000042">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Learning</w:t>
            </w:r>
          </w:p>
          <w:p w:rsidR="00000000" w:rsidDel="00000000" w:rsidP="00000000" w:rsidRDefault="00000000" w:rsidRPr="00000000" w14:paraId="00000043">
            <w:pPr>
              <w:spacing w:line="276" w:lineRule="auto"/>
              <w:ind w:left="113" w:right="113" w:firstLine="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Outcomes</w:t>
            </w:r>
          </w:p>
          <w:p w:rsidR="00000000" w:rsidDel="00000000" w:rsidP="00000000" w:rsidRDefault="00000000" w:rsidRPr="00000000" w14:paraId="00000044">
            <w:pPr>
              <w:spacing w:line="276" w:lineRule="auto"/>
              <w:ind w:left="113" w:right="113" w:firstLine="0"/>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45">
            <w:pPr>
              <w:pStyle w:val="Subtitle"/>
              <w:keepNext w:val="0"/>
              <w:keepLines w:val="0"/>
              <w:spacing w:after="0" w:line="240" w:lineRule="auto"/>
              <w:ind w:left="113" w:right="113" w:firstLine="0"/>
              <w:jc w:val="center"/>
              <w:rPr>
                <w:rFonts w:ascii="Calibri" w:cs="Calibri" w:eastAsia="Calibri" w:hAnsi="Calibri"/>
                <w:b w:val="1"/>
                <w:color w:val="000000"/>
                <w:sz w:val="16"/>
                <w:szCs w:val="16"/>
              </w:rPr>
            </w:pPr>
            <w:r w:rsidDel="00000000" w:rsidR="00000000" w:rsidRPr="00000000">
              <w:rPr>
                <w:rtl w:val="0"/>
              </w:rPr>
            </w:r>
          </w:p>
        </w:tc>
        <w:tc>
          <w:tcPr>
            <w:gridSpan w:val="11"/>
            <w:tcBorders>
              <w:top w:color="000000" w:space="0" w:sz="4" w:val="single"/>
              <w:left w:color="000000" w:space="0" w:sz="6" w:val="single"/>
              <w:bottom w:color="000000" w:space="0" w:sz="6" w:val="single"/>
              <w:right w:color="000000" w:space="0" w:sz="24" w:val="single"/>
            </w:tcBorders>
          </w:tcPr>
          <w:p w:rsidR="00000000" w:rsidDel="00000000" w:rsidP="00000000" w:rsidRDefault="00000000" w:rsidRPr="00000000" w14:paraId="00000047">
            <w:pPr>
              <w:pStyle w:val="Subtitle"/>
              <w:keepNext w:val="0"/>
              <w:keepLines w:val="0"/>
              <w:spacing w:after="0" w:line="240" w:lineRule="auto"/>
              <w:jc w:val="cente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GRADE</w:t>
            </w:r>
          </w:p>
        </w:tc>
      </w:tr>
      <w:tr>
        <w:trPr>
          <w:cantSplit w:val="1"/>
          <w:tblHeader w:val="0"/>
        </w:trPr>
        <w:tc>
          <w:tcPr>
            <w:vMerge w:val="continue"/>
            <w:tcBorders>
              <w:top w:color="000000" w:space="0" w:sz="4" w:val="single"/>
              <w:left w:color="000000" w:space="0" w:sz="24" w:val="single"/>
              <w:bottom w:color="000000" w:space="0" w:sz="6" w:val="single"/>
            </w:tcBorders>
          </w:tcPr>
          <w:p w:rsidR="00000000" w:rsidDel="00000000" w:rsidP="00000000" w:rsidRDefault="00000000" w:rsidRPr="00000000" w14:paraId="00000052">
            <w:pPr>
              <w:widowControl w:val="0"/>
              <w:rPr>
                <w:rFonts w:ascii="Calibri" w:cs="Calibri" w:eastAsia="Calibri" w:hAnsi="Calibri"/>
                <w:b w:val="1"/>
                <w:sz w:val="24"/>
                <w:szCs w:val="24"/>
              </w:rPr>
            </w:pPr>
            <w:r w:rsidDel="00000000" w:rsidR="00000000" w:rsidRPr="00000000">
              <w:rPr>
                <w:rtl w:val="0"/>
              </w:rPr>
            </w:r>
          </w:p>
        </w:tc>
        <w:tc>
          <w:tcPr>
            <w:gridSpan w:val="2"/>
            <w:vMerge w:val="continue"/>
            <w:tcBorders>
              <w:top w:color="000000" w:space="0" w:sz="4" w:val="single"/>
              <w:bottom w:color="000000" w:space="0" w:sz="6" w:val="single"/>
              <w:right w:color="000000" w:space="0" w:sz="6" w:val="single"/>
            </w:tcBorders>
          </w:tcPr>
          <w:p w:rsidR="00000000" w:rsidDel="00000000" w:rsidP="00000000" w:rsidRDefault="00000000" w:rsidRPr="00000000" w14:paraId="00000053">
            <w:pPr>
              <w:widowControl w:val="0"/>
              <w:rPr>
                <w:rFonts w:ascii="Calibri" w:cs="Calibri" w:eastAsia="Calibri" w:hAnsi="Calibri"/>
                <w:b w:val="1"/>
                <w:sz w:val="24"/>
                <w:szCs w:val="24"/>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5">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Poor</w:t>
            </w:r>
          </w:p>
          <w:p w:rsidR="00000000" w:rsidDel="00000000" w:rsidP="00000000" w:rsidRDefault="00000000" w:rsidRPr="00000000" w14:paraId="00000056">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&lt; 20%</w:t>
            </w:r>
          </w:p>
          <w:p w:rsidR="00000000" w:rsidDel="00000000" w:rsidP="00000000" w:rsidRDefault="00000000" w:rsidRPr="00000000" w14:paraId="00000057">
            <w:pPr>
              <w:pStyle w:val="Subtitle"/>
              <w:keepNext w:val="0"/>
              <w:keepLines w:val="0"/>
              <w:spacing w:after="0" w:line="240" w:lineRule="auto"/>
              <w:jc w:val="center"/>
              <w:rPr>
                <w:rFonts w:ascii="Calibri" w:cs="Calibri" w:eastAsia="Calibri" w:hAnsi="Calibri"/>
                <w:color w:val="000000"/>
                <w:sz w:val="16"/>
                <w:szCs w:val="16"/>
              </w:rPr>
            </w:pP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58">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Weak</w:t>
            </w:r>
          </w:p>
          <w:p w:rsidR="00000000" w:rsidDel="00000000" w:rsidP="00000000" w:rsidRDefault="00000000" w:rsidRPr="00000000" w14:paraId="00000059">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20-29%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5A">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Unsatisfactory</w:t>
            </w:r>
          </w:p>
          <w:p w:rsidR="00000000" w:rsidDel="00000000" w:rsidP="00000000" w:rsidRDefault="00000000" w:rsidRPr="00000000" w14:paraId="0000005B">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30-39%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D">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Satisfactory</w:t>
            </w:r>
          </w:p>
          <w:p w:rsidR="00000000" w:rsidDel="00000000" w:rsidP="00000000" w:rsidRDefault="00000000" w:rsidRPr="00000000" w14:paraId="0000005E">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40 – 49%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5F">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Good</w:t>
            </w:r>
          </w:p>
          <w:p w:rsidR="00000000" w:rsidDel="00000000" w:rsidP="00000000" w:rsidRDefault="00000000" w:rsidRPr="00000000" w14:paraId="00000060">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50 – 59%</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61">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Very Good</w:t>
            </w:r>
          </w:p>
          <w:p w:rsidR="00000000" w:rsidDel="00000000" w:rsidP="00000000" w:rsidRDefault="00000000" w:rsidRPr="00000000" w14:paraId="00000062">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60 – 69%</w:t>
            </w:r>
          </w:p>
        </w:tc>
        <w:tc>
          <w:tcPr>
            <w:gridSpan w:val="2"/>
            <w:tcBorders>
              <w:top w:color="000000" w:space="0" w:sz="6" w:val="single"/>
              <w:left w:color="000000" w:space="0" w:sz="6" w:val="single"/>
              <w:right w:color="000000" w:space="0" w:sz="6" w:val="single"/>
            </w:tcBorders>
          </w:tcPr>
          <w:p w:rsidR="00000000" w:rsidDel="00000000" w:rsidP="00000000" w:rsidRDefault="00000000" w:rsidRPr="00000000" w14:paraId="00000063">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Excellent</w:t>
            </w:r>
          </w:p>
          <w:p w:rsidR="00000000" w:rsidDel="00000000" w:rsidP="00000000" w:rsidRDefault="00000000" w:rsidRPr="00000000" w14:paraId="00000064">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70 – 84%</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66">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Exceptional</w:t>
            </w:r>
          </w:p>
          <w:p w:rsidR="00000000" w:rsidDel="00000000" w:rsidP="00000000" w:rsidRDefault="00000000" w:rsidRPr="00000000" w14:paraId="00000067">
            <w:pPr>
              <w:pStyle w:val="Subtitle"/>
              <w:keepNext w:val="0"/>
              <w:keepLines w:val="0"/>
              <w:spacing w:after="0" w:line="240" w:lineRule="auto"/>
              <w:jc w:val="center"/>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85– 100%</w:t>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68">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tl w:val="0"/>
              </w:rPr>
            </w:r>
          </w:p>
          <w:p w:rsidR="00000000" w:rsidDel="00000000" w:rsidP="00000000" w:rsidRDefault="00000000" w:rsidRPr="00000000" w14:paraId="00000069">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  %</w:t>
            </w:r>
          </w:p>
        </w:tc>
      </w:tr>
      <w:tr>
        <w:trPr>
          <w:cantSplit w:val="0"/>
          <w:tblHeader w:val="0"/>
        </w:trPr>
        <w:tc>
          <w:tcPr>
            <w:tcBorders>
              <w:top w:color="000000" w:space="0" w:sz="6" w:val="single"/>
              <w:left w:color="000000" w:space="0" w:sz="24" w:val="single"/>
              <w:bottom w:color="000000" w:space="0" w:sz="6" w:val="single"/>
            </w:tcBorders>
          </w:tcPr>
          <w:p w:rsidR="00000000" w:rsidDel="00000000" w:rsidP="00000000" w:rsidRDefault="00000000" w:rsidRPr="00000000" w14:paraId="0000006A">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color w:val="000000"/>
                <w:sz w:val="18"/>
                <w:szCs w:val="18"/>
                <w:rtl w:val="0"/>
              </w:rPr>
              <w:t xml:space="preserve">Overview of setting and evaluation of practical activities </w:t>
            </w:r>
            <w:r w:rsidDel="00000000" w:rsidR="00000000" w:rsidRPr="00000000">
              <w:rPr>
                <w:rtl w:val="0"/>
              </w:rPr>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6B">
            <w:pPr>
              <w:pStyle w:val="Subtitle"/>
              <w:keepNext w:val="0"/>
              <w:keepLines w:val="0"/>
              <w:spacing w:after="0" w:line="240" w:lineRule="auto"/>
              <w:jc w:val="center"/>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3</w:t>
            </w:r>
          </w:p>
        </w:tc>
        <w:tc>
          <w:tcPr>
            <w:tcBorders>
              <w:left w:color="000000" w:space="0" w:sz="6" w:val="single"/>
              <w:right w:color="000000" w:space="0" w:sz="6" w:val="single"/>
            </w:tcBorders>
          </w:tcPr>
          <w:p w:rsidR="00000000" w:rsidDel="00000000" w:rsidP="00000000" w:rsidRDefault="00000000" w:rsidRPr="00000000" w14:paraId="0000006D">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6E">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6F">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1">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2">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3">
            <w:pPr>
              <w:pStyle w:val="Subtitle"/>
              <w:keepNext w:val="0"/>
              <w:keepLines w:val="0"/>
              <w:spacing w:after="0" w:line="240" w:lineRule="auto"/>
              <w:jc w:val="right"/>
              <w:rPr>
                <w:rFonts w:ascii="Calibri" w:cs="Calibri" w:eastAsia="Calibri" w:hAnsi="Calibri"/>
                <w:color w:val="000000"/>
                <w:sz w:val="24"/>
                <w:szCs w:val="24"/>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4">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6">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77">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30%</w:t>
            </w:r>
          </w:p>
        </w:tc>
      </w:tr>
      <w:tr>
        <w:trPr>
          <w:cantSplit w:val="0"/>
          <w:tblHeader w:val="0"/>
        </w:trPr>
        <w:tc>
          <w:tcPr>
            <w:tcBorders>
              <w:top w:color="000000" w:space="0" w:sz="6" w:val="single"/>
              <w:left w:color="000000" w:space="0" w:sz="24" w:val="single"/>
              <w:bottom w:color="000000" w:space="0" w:sz="6" w:val="single"/>
            </w:tcBorders>
          </w:tcPr>
          <w:p w:rsidR="00000000" w:rsidDel="00000000" w:rsidP="00000000" w:rsidRDefault="00000000" w:rsidRPr="00000000" w14:paraId="00000078">
            <w:pPr>
              <w:pStyle w:val="Subtitle"/>
              <w:keepNext w:val="0"/>
              <w:keepLines w:val="0"/>
              <w:spacing w:after="0" w:line="24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Reflection and analysis of practical delivery. Linking reflections to child development, motor development theory and implications for future practice</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79">
            <w:pPr>
              <w:pStyle w:val="Subtitle"/>
              <w:keepNext w:val="0"/>
              <w:keepLines w:val="0"/>
              <w:spacing w:after="0" w:line="240" w:lineRule="auto"/>
              <w:jc w:val="center"/>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2,3</w:t>
            </w:r>
          </w:p>
        </w:tc>
        <w:tc>
          <w:tcPr>
            <w:tcBorders>
              <w:left w:color="000000" w:space="0" w:sz="6" w:val="single"/>
              <w:right w:color="000000" w:space="0" w:sz="6" w:val="single"/>
            </w:tcBorders>
          </w:tcPr>
          <w:p w:rsidR="00000000" w:rsidDel="00000000" w:rsidP="00000000" w:rsidRDefault="00000000" w:rsidRPr="00000000" w14:paraId="0000007B">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7C">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7D">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7F">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0">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1">
            <w:pPr>
              <w:pStyle w:val="Subtitle"/>
              <w:keepNext w:val="0"/>
              <w:keepLines w:val="0"/>
              <w:spacing w:after="0" w:line="240" w:lineRule="auto"/>
              <w:jc w:val="right"/>
              <w:rPr>
                <w:rFonts w:ascii="Calibri" w:cs="Calibri" w:eastAsia="Calibri" w:hAnsi="Calibri"/>
                <w:color w:val="000000"/>
                <w:sz w:val="24"/>
                <w:szCs w:val="24"/>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2">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4">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85">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40%</w:t>
            </w:r>
          </w:p>
        </w:tc>
      </w:tr>
      <w:tr>
        <w:trPr>
          <w:cantSplit w:val="0"/>
          <w:tblHeader w:val="0"/>
        </w:trPr>
        <w:tc>
          <w:tcPr>
            <w:tcBorders>
              <w:top w:color="000000" w:space="0" w:sz="6" w:val="single"/>
              <w:left w:color="000000" w:space="0" w:sz="24" w:val="single"/>
              <w:bottom w:color="000000" w:space="0" w:sz="6" w:val="single"/>
            </w:tcBorders>
          </w:tcPr>
          <w:p w:rsidR="00000000" w:rsidDel="00000000" w:rsidP="00000000" w:rsidRDefault="00000000" w:rsidRPr="00000000" w14:paraId="00000086">
            <w:pPr>
              <w:pStyle w:val="Subtitle"/>
              <w:keepNext w:val="0"/>
              <w:keepLines w:val="0"/>
              <w:spacing w:after="0" w:line="240" w:lineRule="auto"/>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Analysis of pupils’ physical skills and implications for their development, Physical activity and self-perceptions</w:t>
            </w:r>
          </w:p>
        </w:tc>
        <w:tc>
          <w:tcPr>
            <w:gridSpan w:val="2"/>
            <w:tcBorders>
              <w:top w:color="000000" w:space="0" w:sz="6" w:val="single"/>
              <w:bottom w:color="000000" w:space="0" w:sz="6" w:val="single"/>
              <w:right w:color="000000" w:space="0" w:sz="6" w:val="single"/>
            </w:tcBorders>
          </w:tcPr>
          <w:p w:rsidR="00000000" w:rsidDel="00000000" w:rsidP="00000000" w:rsidRDefault="00000000" w:rsidRPr="00000000" w14:paraId="00000087">
            <w:pPr>
              <w:pStyle w:val="Subtitle"/>
              <w:keepNext w:val="0"/>
              <w:keepLines w:val="0"/>
              <w:spacing w:after="0" w:line="240" w:lineRule="auto"/>
              <w:jc w:val="center"/>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1, 2</w:t>
            </w:r>
          </w:p>
        </w:tc>
        <w:tc>
          <w:tcPr>
            <w:tcBorders>
              <w:left w:color="000000" w:space="0" w:sz="6" w:val="single"/>
              <w:right w:color="000000" w:space="0" w:sz="6" w:val="single"/>
            </w:tcBorders>
          </w:tcPr>
          <w:p w:rsidR="00000000" w:rsidDel="00000000" w:rsidP="00000000" w:rsidRDefault="00000000" w:rsidRPr="00000000" w14:paraId="00000089">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8A">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8B">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D">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E">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F">
            <w:pPr>
              <w:pStyle w:val="Subtitle"/>
              <w:keepNext w:val="0"/>
              <w:keepLines w:val="0"/>
              <w:spacing w:after="0" w:line="240" w:lineRule="auto"/>
              <w:jc w:val="right"/>
              <w:rPr>
                <w:rFonts w:ascii="Calibri" w:cs="Calibri" w:eastAsia="Calibri" w:hAnsi="Calibri"/>
                <w:color w:val="000000"/>
                <w:sz w:val="24"/>
                <w:szCs w:val="24"/>
              </w:rPr>
            </w:pPr>
            <w:r w:rsidDel="00000000" w:rsidR="00000000" w:rsidRPr="00000000">
              <w:rPr>
                <w:rtl w:val="0"/>
              </w:rPr>
            </w:r>
          </w:p>
        </w:tc>
        <w:tc>
          <w:tcPr>
            <w:gridSpan w:val="2"/>
            <w:tcBorders>
              <w:left w:color="000000" w:space="0" w:sz="6" w:val="single"/>
              <w:right w:color="000000" w:space="0" w:sz="6" w:val="single"/>
            </w:tcBorders>
          </w:tcPr>
          <w:p w:rsidR="00000000" w:rsidDel="00000000" w:rsidP="00000000" w:rsidRDefault="00000000" w:rsidRPr="00000000" w14:paraId="00000090">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left w:color="000000" w:space="0" w:sz="6" w:val="single"/>
              <w:right w:color="000000" w:space="0" w:sz="6" w:val="single"/>
            </w:tcBorders>
          </w:tcPr>
          <w:p w:rsidR="00000000" w:rsidDel="00000000" w:rsidP="00000000" w:rsidRDefault="00000000" w:rsidRPr="00000000" w14:paraId="00000092">
            <w:pPr>
              <w:pStyle w:val="Subtitle"/>
              <w:keepNext w:val="0"/>
              <w:keepLines w:val="0"/>
              <w:spacing w:after="0" w:line="240" w:lineRule="auto"/>
              <w:jc w:val="center"/>
              <w:rPr>
                <w:rFonts w:ascii="Calibri" w:cs="Calibri" w:eastAsia="Calibri" w:hAnsi="Calibri"/>
                <w:color w:val="000000"/>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24" w:val="single"/>
            </w:tcBorders>
          </w:tcPr>
          <w:p w:rsidR="00000000" w:rsidDel="00000000" w:rsidP="00000000" w:rsidRDefault="00000000" w:rsidRPr="00000000" w14:paraId="00000093">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30%</w:t>
            </w:r>
          </w:p>
        </w:tc>
      </w:tr>
      <w:tr>
        <w:trPr>
          <w:cantSplit w:val="1"/>
          <w:trHeight w:val="282" w:hRule="atLeast"/>
          <w:tblHeader w:val="0"/>
        </w:trPr>
        <w:tc>
          <w:tcPr>
            <w:gridSpan w:val="13"/>
            <w:tcBorders>
              <w:left w:color="000000" w:space="0" w:sz="24" w:val="single"/>
              <w:right w:color="000000" w:space="0" w:sz="4" w:val="single"/>
            </w:tcBorders>
          </w:tcPr>
          <w:p w:rsidR="00000000" w:rsidDel="00000000" w:rsidP="00000000" w:rsidRDefault="00000000" w:rsidRPr="00000000" w14:paraId="00000094">
            <w:pPr>
              <w:pStyle w:val="Subtitle"/>
              <w:keepNext w:val="0"/>
              <w:keepLines w:val="0"/>
              <w:spacing w:after="0" w:line="240" w:lineRule="auto"/>
              <w:rPr>
                <w:rFonts w:ascii="Calibri" w:cs="Calibri" w:eastAsia="Calibri" w:hAnsi="Calibri"/>
                <w:b w:val="1"/>
                <w:color w:val="000000"/>
                <w:sz w:val="24"/>
                <w:szCs w:val="24"/>
              </w:rPr>
            </w:pPr>
            <w:r w:rsidDel="00000000" w:rsidR="00000000" w:rsidRPr="00000000">
              <w:rPr>
                <w:rFonts w:ascii="Calibri" w:cs="Calibri" w:eastAsia="Calibri" w:hAnsi="Calibri"/>
                <w:color w:val="000000"/>
                <w:sz w:val="18"/>
                <w:szCs w:val="18"/>
                <w:rtl w:val="0"/>
              </w:rPr>
              <w:t xml:space="preserve">It is expected that students will present work that is proof read, correctly referenced and adheres to the </w:t>
            </w:r>
            <w:r w:rsidDel="00000000" w:rsidR="00000000" w:rsidRPr="00000000">
              <w:rPr>
                <w:rFonts w:ascii="Calibri" w:cs="Calibri" w:eastAsia="Calibri" w:hAnsi="Calibri"/>
                <w:b w:val="1"/>
                <w:color w:val="000000"/>
                <w:sz w:val="18"/>
                <w:szCs w:val="18"/>
                <w:rtl w:val="0"/>
              </w:rPr>
              <w:t xml:space="preserve">Assessment Checklist.</w:t>
            </w:r>
            <w:r w:rsidDel="00000000" w:rsidR="00000000" w:rsidRPr="00000000">
              <w:rPr>
                <w:rFonts w:ascii="Calibri" w:cs="Calibri" w:eastAsia="Calibri" w:hAnsi="Calibri"/>
                <w:color w:val="000000"/>
                <w:sz w:val="18"/>
                <w:szCs w:val="18"/>
                <w:rtl w:val="0"/>
              </w:rPr>
              <w:t xml:space="preserve"> Therefore a range of 0 – 10 marks will be deducted for non-completion of any of the points on the </w:t>
            </w:r>
            <w:r w:rsidDel="00000000" w:rsidR="00000000" w:rsidRPr="00000000">
              <w:rPr>
                <w:rFonts w:ascii="Calibri" w:cs="Calibri" w:eastAsia="Calibri" w:hAnsi="Calibri"/>
                <w:b w:val="1"/>
                <w:color w:val="000000"/>
                <w:sz w:val="18"/>
                <w:szCs w:val="18"/>
                <w:rtl w:val="0"/>
              </w:rPr>
              <w:t xml:space="preserve">checklist below</w:t>
            </w:r>
            <w:r w:rsidDel="00000000" w:rsidR="00000000" w:rsidRPr="00000000">
              <w:rPr>
                <w:rFonts w:ascii="Calibri" w:cs="Calibri" w:eastAsia="Calibri" w:hAnsi="Calibri"/>
                <w:color w:val="000000"/>
                <w:sz w:val="18"/>
                <w:szCs w:val="18"/>
                <w:rtl w:val="0"/>
              </w:rPr>
              <w:t xml:space="preserve">.</w:t>
            </w:r>
            <w:r w:rsidDel="00000000" w:rsidR="00000000" w:rsidRPr="00000000">
              <w:rPr>
                <w:rtl w:val="0"/>
              </w:rPr>
            </w:r>
          </w:p>
        </w:tc>
        <w:tc>
          <w:tcPr>
            <w:tcBorders>
              <w:left w:color="000000" w:space="0" w:sz="4" w:val="single"/>
              <w:right w:color="000000" w:space="0" w:sz="24" w:val="single"/>
            </w:tcBorders>
          </w:tcPr>
          <w:p w:rsidR="00000000" w:rsidDel="00000000" w:rsidP="00000000" w:rsidRDefault="00000000" w:rsidRPr="00000000" w14:paraId="000000A1">
            <w:pPr>
              <w:pStyle w:val="Subtitle"/>
              <w:keepNext w:val="0"/>
              <w:keepLines w:val="0"/>
              <w:spacing w:after="0" w:line="240" w:lineRule="auto"/>
              <w:rPr>
                <w:rFonts w:ascii="Calibri" w:cs="Calibri" w:eastAsia="Calibri" w:hAnsi="Calibri"/>
                <w:b w:val="1"/>
                <w:color w:val="000000"/>
                <w:sz w:val="24"/>
                <w:szCs w:val="24"/>
              </w:rPr>
            </w:pPr>
            <w:r w:rsidDel="00000000" w:rsidR="00000000" w:rsidRPr="00000000">
              <w:rPr>
                <w:rtl w:val="0"/>
              </w:rPr>
            </w:r>
          </w:p>
        </w:tc>
      </w:tr>
      <w:tr>
        <w:trPr>
          <w:cantSplit w:val="1"/>
          <w:trHeight w:val="4341" w:hRule="atLeast"/>
          <w:tblHeader w:val="0"/>
        </w:trPr>
        <w:tc>
          <w:tcPr>
            <w:gridSpan w:val="14"/>
            <w:tcBorders>
              <w:left w:color="000000" w:space="0" w:sz="24" w:val="single"/>
              <w:right w:color="000000" w:space="0" w:sz="24" w:val="single"/>
            </w:tcBorders>
          </w:tcPr>
          <w:p w:rsidR="00000000" w:rsidDel="00000000" w:rsidP="00000000" w:rsidRDefault="00000000" w:rsidRPr="00000000" w14:paraId="000000A2">
            <w:pPr>
              <w:pStyle w:val="Subtitle"/>
              <w:keepNext w:val="0"/>
              <w:keepLines w:val="0"/>
              <w:spacing w:after="0" w:line="240" w:lineRule="auto"/>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TUTOR COMMENTS:</w:t>
            </w:r>
          </w:p>
          <w:p w:rsidR="00000000" w:rsidDel="00000000" w:rsidP="00000000" w:rsidRDefault="00000000" w:rsidRPr="00000000" w14:paraId="000000A3">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4">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5">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6">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7">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8">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9">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A">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B">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C">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D">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p w:rsidR="00000000" w:rsidDel="00000000" w:rsidP="00000000" w:rsidRDefault="00000000" w:rsidRPr="00000000" w14:paraId="000000AE">
            <w:pPr>
              <w:pStyle w:val="Subtitle"/>
              <w:keepNext w:val="0"/>
              <w:keepLines w:val="0"/>
              <w:spacing w:after="0" w:line="240" w:lineRule="auto"/>
              <w:ind w:left="937" w:right="1152" w:firstLine="0"/>
              <w:jc w:val="both"/>
              <w:rPr>
                <w:rFonts w:ascii="Calibri" w:cs="Calibri" w:eastAsia="Calibri" w:hAnsi="Calibri"/>
                <w:b w:val="1"/>
                <w:color w:val="000000"/>
                <w:sz w:val="24"/>
                <w:szCs w:val="24"/>
              </w:rPr>
            </w:pPr>
            <w:r w:rsidDel="00000000" w:rsidR="00000000" w:rsidRPr="00000000">
              <w:rPr>
                <w:rtl w:val="0"/>
              </w:rPr>
            </w:r>
          </w:p>
        </w:tc>
      </w:tr>
      <w:tr>
        <w:trPr>
          <w:cantSplit w:val="1"/>
          <w:trHeight w:val="365" w:hRule="atLeast"/>
          <w:tblHeader w:val="0"/>
        </w:trPr>
        <w:tc>
          <w:tcPr>
            <w:gridSpan w:val="2"/>
            <w:tcBorders>
              <w:left w:color="000000" w:space="0" w:sz="24" w:val="single"/>
              <w:bottom w:color="000000" w:space="0" w:sz="24" w:val="single"/>
            </w:tcBorders>
          </w:tcPr>
          <w:p w:rsidR="00000000" w:rsidDel="00000000" w:rsidP="00000000" w:rsidRDefault="00000000" w:rsidRPr="00000000" w14:paraId="000000BC">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 Submission date: </w:t>
            </w:r>
          </w:p>
          <w:p w:rsidR="00000000" w:rsidDel="00000000" w:rsidP="00000000" w:rsidRDefault="00000000" w:rsidRPr="00000000" w14:paraId="000000BD">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via Turnitin</w:t>
            </w:r>
          </w:p>
        </w:tc>
        <w:tc>
          <w:tcPr>
            <w:gridSpan w:val="4"/>
            <w:tcBorders>
              <w:bottom w:color="000000" w:space="0" w:sz="24" w:val="single"/>
            </w:tcBorders>
          </w:tcPr>
          <w:p w:rsidR="00000000" w:rsidDel="00000000" w:rsidP="00000000" w:rsidRDefault="00000000" w:rsidRPr="00000000" w14:paraId="000000BF">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Return date:</w:t>
            </w:r>
          </w:p>
          <w:p w:rsidR="00000000" w:rsidDel="00000000" w:rsidP="00000000" w:rsidRDefault="00000000" w:rsidRPr="00000000" w14:paraId="000000C0">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(at least within 4 weeks)</w:t>
            </w:r>
          </w:p>
        </w:tc>
        <w:tc>
          <w:tcPr>
            <w:gridSpan w:val="5"/>
            <w:tcBorders>
              <w:bottom w:color="000000" w:space="0" w:sz="24" w:val="single"/>
            </w:tcBorders>
          </w:tcPr>
          <w:p w:rsidR="00000000" w:rsidDel="00000000" w:rsidP="00000000" w:rsidRDefault="00000000" w:rsidRPr="00000000" w14:paraId="000000C4">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Tutor: Nalda Wainwright/ Amanda John</w:t>
            </w:r>
          </w:p>
        </w:tc>
        <w:tc>
          <w:tcPr>
            <w:gridSpan w:val="3"/>
            <w:tcBorders>
              <w:bottom w:color="000000" w:space="0" w:sz="24" w:val="single"/>
              <w:right w:color="000000" w:space="0" w:sz="24" w:val="single"/>
            </w:tcBorders>
          </w:tcPr>
          <w:p w:rsidR="00000000" w:rsidDel="00000000" w:rsidP="00000000" w:rsidRDefault="00000000" w:rsidRPr="00000000" w14:paraId="000000C9">
            <w:pPr>
              <w:pStyle w:val="Subtitle"/>
              <w:keepNext w:val="0"/>
              <w:keepLines w:val="0"/>
              <w:spacing w:after="0" w:line="240" w:lineRule="auto"/>
              <w:rPr>
                <w:rFonts w:ascii="Calibri" w:cs="Calibri" w:eastAsia="Calibri" w:hAnsi="Calibri"/>
                <w:b w:val="1"/>
                <w:color w:val="000000"/>
                <w:sz w:val="18"/>
                <w:szCs w:val="18"/>
              </w:rPr>
            </w:pPr>
            <w:r w:rsidDel="00000000" w:rsidR="00000000" w:rsidRPr="00000000">
              <w:rPr>
                <w:rFonts w:ascii="Calibri" w:cs="Calibri" w:eastAsia="Calibri" w:hAnsi="Calibri"/>
                <w:b w:val="1"/>
                <w:color w:val="000000"/>
                <w:sz w:val="18"/>
                <w:szCs w:val="18"/>
                <w:rtl w:val="0"/>
              </w:rPr>
              <w:t xml:space="preserve">Mark: </w:t>
            </w:r>
          </w:p>
        </w:tc>
      </w:tr>
    </w:tbl>
    <w:p w:rsidR="00000000" w:rsidDel="00000000" w:rsidP="00000000" w:rsidRDefault="00000000" w:rsidRPr="00000000" w14:paraId="000000CC">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D">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line="240" w:lineRule="auto"/>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CF">
      <w:pPr>
        <w:spacing w:line="240" w:lineRule="auto"/>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D0">
      <w:pPr>
        <w:spacing w:line="240" w:lineRule="auto"/>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D1">
      <w:pPr>
        <w:spacing w:line="240" w:lineRule="auto"/>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LEVEL 4 </w:t>
      </w:r>
    </w:p>
    <w:p w:rsidR="00000000" w:rsidDel="00000000" w:rsidP="00000000" w:rsidRDefault="00000000" w:rsidRPr="00000000" w14:paraId="000000D2">
      <w:pPr>
        <w:spacing w:line="240" w:lineRule="auto"/>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                                                                      </w:t>
      </w:r>
    </w:p>
    <w:p w:rsidR="00000000" w:rsidDel="00000000" w:rsidP="00000000" w:rsidRDefault="00000000" w:rsidRPr="00000000" w14:paraId="000000D3">
      <w:pPr>
        <w:spacing w:line="240" w:lineRule="auto"/>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D4">
      <w:pPr>
        <w:spacing w:line="240" w:lineRule="auto"/>
        <w:jc w:val="center"/>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MODULE CODE: BMSA4001</w:t>
      </w:r>
    </w:p>
    <w:p w:rsidR="00000000" w:rsidDel="00000000" w:rsidP="00000000" w:rsidRDefault="00000000" w:rsidRPr="00000000" w14:paraId="000000D5">
      <w:pPr>
        <w:spacing w:line="240" w:lineRule="auto"/>
        <w:jc w:val="center"/>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D6">
      <w:pPr>
        <w:spacing w:line="240" w:lineRule="auto"/>
        <w:jc w:val="center"/>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DEVELOPING AND SUPPORTING EARLY CHILDHOOD PHYSICAL DEVELOPMENT</w:t>
      </w:r>
    </w:p>
    <w:p w:rsidR="00000000" w:rsidDel="00000000" w:rsidP="00000000" w:rsidRDefault="00000000" w:rsidRPr="00000000" w14:paraId="000000D7">
      <w:pPr>
        <w:spacing w:line="240" w:lineRule="auto"/>
        <w:jc w:val="center"/>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D8">
      <w:pPr>
        <w:spacing w:line="240" w:lineRule="auto"/>
        <w:rPr>
          <w:rFonts w:ascii="Calibri" w:cs="Calibri" w:eastAsia="Calibri" w:hAnsi="Calibri"/>
          <w:b w:val="1"/>
          <w:smallCaps w:val="1"/>
          <w:sz w:val="28"/>
          <w:szCs w:val="28"/>
        </w:rPr>
      </w:pPr>
      <w:r w:rsidDel="00000000" w:rsidR="00000000" w:rsidRPr="00000000">
        <w:rPr>
          <w:rtl w:val="0"/>
        </w:rPr>
      </w:r>
    </w:p>
    <w:p w:rsidR="00000000" w:rsidDel="00000000" w:rsidP="00000000" w:rsidRDefault="00000000" w:rsidRPr="00000000" w14:paraId="000000D9">
      <w:pPr>
        <w:spacing w:line="240" w:lineRule="auto"/>
        <w:rPr>
          <w:rFonts w:ascii="Calibri" w:cs="Calibri" w:eastAsia="Calibri" w:hAnsi="Calibri"/>
          <w:b w:val="1"/>
          <w:i w:val="1"/>
          <w:smallCaps w:val="1"/>
          <w:sz w:val="28"/>
          <w:szCs w:val="28"/>
        </w:rPr>
      </w:pPr>
      <w:r w:rsidDel="00000000" w:rsidR="00000000" w:rsidRPr="00000000">
        <w:rPr>
          <w:rFonts w:ascii="Calibri" w:cs="Calibri" w:eastAsia="Calibri" w:hAnsi="Calibri"/>
          <w:b w:val="1"/>
          <w:smallCaps w:val="1"/>
          <w:sz w:val="28"/>
          <w:szCs w:val="28"/>
          <w:rtl w:val="0"/>
        </w:rPr>
        <w:t xml:space="preserve">ASSESSMENT TYPE: </w:t>
      </w:r>
      <w:r w:rsidDel="00000000" w:rsidR="00000000" w:rsidRPr="00000000">
        <w:rPr>
          <w:rFonts w:ascii="Calibri" w:cs="Calibri" w:eastAsia="Calibri" w:hAnsi="Calibri"/>
          <w:smallCaps w:val="1"/>
          <w:sz w:val="28"/>
          <w:szCs w:val="28"/>
          <w:rtl w:val="0"/>
        </w:rPr>
        <w:t xml:space="preserve">Reflective journal</w:t>
      </w:r>
      <w:r w:rsidDel="00000000" w:rsidR="00000000" w:rsidRPr="00000000">
        <w:rPr>
          <w:rFonts w:ascii="Calibri" w:cs="Calibri" w:eastAsia="Calibri" w:hAnsi="Calibri"/>
          <w:b w:val="1"/>
          <w:i w:val="1"/>
          <w:smallCaps w:val="1"/>
          <w:sz w:val="28"/>
          <w:szCs w:val="28"/>
          <w:rtl w:val="0"/>
        </w:rPr>
        <w:t xml:space="preserve">  </w:t>
      </w:r>
    </w:p>
    <w:p w:rsidR="00000000" w:rsidDel="00000000" w:rsidP="00000000" w:rsidRDefault="00000000" w:rsidRPr="00000000" w14:paraId="000000DA">
      <w:pPr>
        <w:spacing w:line="240" w:lineRule="auto"/>
        <w:rPr>
          <w:rFonts w:ascii="Calibri" w:cs="Calibri" w:eastAsia="Calibri" w:hAnsi="Calibri"/>
          <w:b w:val="1"/>
          <w:i w:val="1"/>
          <w:smallCaps w:val="1"/>
          <w:sz w:val="28"/>
          <w:szCs w:val="28"/>
        </w:rPr>
      </w:pPr>
      <w:r w:rsidDel="00000000" w:rsidR="00000000" w:rsidRPr="00000000">
        <w:rPr>
          <w:rtl w:val="0"/>
        </w:rPr>
      </w:r>
    </w:p>
    <w:p w:rsidR="00000000" w:rsidDel="00000000" w:rsidP="00000000" w:rsidRDefault="00000000" w:rsidRPr="00000000" w14:paraId="000000DB">
      <w:pPr>
        <w:spacing w:line="240" w:lineRule="auto"/>
        <w:rPr>
          <w:rFonts w:ascii="Calibri" w:cs="Calibri" w:eastAsia="Calibri" w:hAnsi="Calibri"/>
          <w:b w:val="1"/>
          <w:smallCaps w:val="1"/>
          <w:sz w:val="28"/>
          <w:szCs w:val="28"/>
        </w:rPr>
      </w:pPr>
      <w:r w:rsidDel="00000000" w:rsidR="00000000" w:rsidRPr="00000000">
        <w:rPr>
          <w:rFonts w:ascii="Calibri" w:cs="Calibri" w:eastAsia="Calibri" w:hAnsi="Calibri"/>
          <w:b w:val="1"/>
          <w:smallCaps w:val="1"/>
          <w:sz w:val="28"/>
          <w:szCs w:val="28"/>
          <w:rtl w:val="0"/>
        </w:rPr>
        <w:t xml:space="preserve">Assessment/Component: </w:t>
      </w:r>
      <w:r w:rsidDel="00000000" w:rsidR="00000000" w:rsidRPr="00000000">
        <w:rPr>
          <w:rFonts w:ascii="Calibri" w:cs="Calibri" w:eastAsia="Calibri" w:hAnsi="Calibri"/>
          <w:smallCaps w:val="1"/>
          <w:sz w:val="28"/>
          <w:szCs w:val="28"/>
          <w:rtl w:val="0"/>
        </w:rPr>
        <w:t xml:space="preserve">1</w:t>
      </w:r>
      <w:r w:rsidDel="00000000" w:rsidR="00000000" w:rsidRPr="00000000">
        <w:rPr>
          <w:rtl w:val="0"/>
        </w:rPr>
      </w:r>
    </w:p>
    <w:p w:rsidR="00000000" w:rsidDel="00000000" w:rsidP="00000000" w:rsidRDefault="00000000" w:rsidRPr="00000000" w14:paraId="000000DC">
      <w:pPr>
        <w:spacing w:line="240"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D">
      <w:pPr>
        <w:spacing w:line="24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rtl w:val="0"/>
        </w:rPr>
        <w:t xml:space="preserve">COMPONENT WEIGHTING: </w:t>
      </w:r>
      <w:r w:rsidDel="00000000" w:rsidR="00000000" w:rsidRPr="00000000">
        <w:rPr>
          <w:rFonts w:ascii="Calibri" w:cs="Calibri" w:eastAsia="Calibri" w:hAnsi="Calibri"/>
          <w:sz w:val="28"/>
          <w:szCs w:val="28"/>
          <w:rtl w:val="0"/>
        </w:rPr>
        <w:t xml:space="preserve">50 %</w:t>
      </w:r>
      <w:r w:rsidDel="00000000" w:rsidR="00000000" w:rsidRPr="00000000">
        <w:rPr>
          <w:rtl w:val="0"/>
        </w:rPr>
      </w:r>
    </w:p>
    <w:p w:rsidR="00000000" w:rsidDel="00000000" w:rsidP="00000000" w:rsidRDefault="00000000" w:rsidRPr="00000000" w14:paraId="000000DE">
      <w:pPr>
        <w:spacing w:line="240"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F">
      <w:pPr>
        <w:spacing w:line="240" w:lineRule="auto"/>
        <w:rPr>
          <w:rFonts w:ascii="Calibri" w:cs="Calibri" w:eastAsia="Calibri" w:hAnsi="Calibri"/>
          <w:sz w:val="28"/>
          <w:szCs w:val="28"/>
          <w:u w:val="single"/>
        </w:rPr>
      </w:pPr>
      <w:r w:rsidDel="00000000" w:rsidR="00000000" w:rsidRPr="00000000">
        <w:rPr>
          <w:rFonts w:ascii="Calibri" w:cs="Calibri" w:eastAsia="Calibri" w:hAnsi="Calibri"/>
          <w:b w:val="1"/>
          <w:sz w:val="28"/>
          <w:szCs w:val="28"/>
          <w:rtl w:val="0"/>
        </w:rPr>
        <w:t xml:space="preserve">WORD COUNT: </w:t>
      </w:r>
      <w:r w:rsidDel="00000000" w:rsidR="00000000" w:rsidRPr="00000000">
        <w:rPr>
          <w:rFonts w:ascii="Calibri" w:cs="Calibri" w:eastAsia="Calibri" w:hAnsi="Calibri"/>
          <w:sz w:val="28"/>
          <w:szCs w:val="28"/>
          <w:rtl w:val="0"/>
        </w:rPr>
        <w:t xml:space="preserve">2000 WORDS (approx. 1000 per cycle)</w:t>
      </w:r>
      <w:r w:rsidDel="00000000" w:rsidR="00000000" w:rsidRPr="00000000">
        <w:rPr>
          <w:rtl w:val="0"/>
        </w:rPr>
      </w:r>
    </w:p>
    <w:p w:rsidR="00000000" w:rsidDel="00000000" w:rsidP="00000000" w:rsidRDefault="00000000" w:rsidRPr="00000000" w14:paraId="000000E0">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1">
      <w:pPr>
        <w:spacing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MODULE TUTOR: </w:t>
      </w:r>
      <w:r w:rsidDel="00000000" w:rsidR="00000000" w:rsidRPr="00000000">
        <w:rPr>
          <w:rFonts w:ascii="Calibri" w:cs="Calibri" w:eastAsia="Calibri" w:hAnsi="Calibri"/>
          <w:sz w:val="28"/>
          <w:szCs w:val="28"/>
          <w:rtl w:val="0"/>
        </w:rPr>
        <w:t xml:space="preserve">Dr Nalda Wainwright/ Dr Amanda John</w:t>
      </w:r>
    </w:p>
    <w:p w:rsidR="00000000" w:rsidDel="00000000" w:rsidP="00000000" w:rsidRDefault="00000000" w:rsidRPr="00000000" w14:paraId="000000E2">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3">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STUDENT: Andrea Collins-Goetre Primary School</w:t>
      </w:r>
    </w:p>
    <w:p w:rsidR="00000000" w:rsidDel="00000000" w:rsidP="00000000" w:rsidRDefault="00000000" w:rsidRPr="00000000" w14:paraId="000000E4">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5">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As a dedicated teacher at Goetre Primary School for the past 25 years, I have worked with a range of children from 3 to 11 years and a range of high functioning children and also children with ALN. The school is nestled within the heart of Merthyr Tydfil and stands as a beacon of education on a vibrant but socially deprived council estate. Some parts of the catchment area are in the top 10 deprived areas according to the WIMD. It is our job at Goetre to try to ensure we give the children in our care the best possible opportunities now and provide them with a springb</w:t>
      </w:r>
      <w:r w:rsidDel="00000000" w:rsidR="00000000" w:rsidRPr="00000000">
        <w:rPr>
          <w:rFonts w:ascii="Times New Roman" w:cs="Times New Roman" w:eastAsia="Times New Roman" w:hAnsi="Times New Roman"/>
          <w:color w:val="222222"/>
          <w:sz w:val="24"/>
          <w:szCs w:val="24"/>
          <w:rtl w:val="0"/>
        </w:rPr>
        <w:t xml:space="preserve">oard to success in the future, as without our support they may not have the support to succeed. </w:t>
      </w:r>
      <w:r w:rsidDel="00000000" w:rsidR="00000000" w:rsidRPr="00000000">
        <w:rPr>
          <w:rFonts w:ascii="Times New Roman" w:cs="Times New Roman" w:eastAsia="Times New Roman" w:hAnsi="Times New Roman"/>
          <w:color w:val="0d0d0d"/>
          <w:sz w:val="24"/>
          <w:szCs w:val="24"/>
          <w:rtl w:val="0"/>
        </w:rPr>
        <w:t xml:space="preserve">"Parents and teachers play a critical role in supporting children with sensory integrative dysfunction by creating environments that provide the right kinds of sensory experiences" (Ayres, 2005, p. 88).</w:t>
      </w: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UK, children in socially deprived areas face significant barriers to physical achievement. These barriers are often linked to broader socio-economic challenges that impact their overall well-being and ability to participate in physical activities. (</w:t>
      </w:r>
      <w:hyperlink r:id="rId6">
        <w:r w:rsidDel="00000000" w:rsidR="00000000" w:rsidRPr="00000000">
          <w:rPr>
            <w:rFonts w:ascii="Times New Roman" w:cs="Times New Roman" w:eastAsia="Times New Roman" w:hAnsi="Times New Roman"/>
            <w:color w:val="1155cc"/>
            <w:sz w:val="24"/>
            <w:szCs w:val="24"/>
            <w:u w:val="single"/>
            <w:rtl w:val="0"/>
          </w:rPr>
          <w:t xml:space="preserve">NICE</w:t>
        </w:r>
      </w:hyperlink>
      <w:r w:rsidDel="00000000" w:rsidR="00000000" w:rsidRPr="00000000">
        <w:rPr>
          <w:rFonts w:ascii="Times New Roman" w:cs="Times New Roman" w:eastAsia="Times New Roman" w:hAnsi="Times New Roman"/>
          <w:sz w:val="24"/>
          <w:szCs w:val="24"/>
          <w:rtl w:val="0"/>
        </w:rPr>
        <w:t xml:space="preserve">)​​ (</w:t>
      </w:r>
      <w:hyperlink r:id="rId7">
        <w:r w:rsidDel="00000000" w:rsidR="00000000" w:rsidRPr="00000000">
          <w:rPr>
            <w:rFonts w:ascii="Times New Roman" w:cs="Times New Roman" w:eastAsia="Times New Roman" w:hAnsi="Times New Roman"/>
            <w:color w:val="1155cc"/>
            <w:sz w:val="24"/>
            <w:szCs w:val="24"/>
            <w:u w:val="single"/>
            <w:rtl w:val="0"/>
          </w:rPr>
          <w:t xml:space="preserve">MDPI</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"Children living in deprived areas have low levels of physical activity and fundamental movement skills proficiency. This lack of engagement in physical activity is influenced by various factors such as limited access to safe play spaces, financial constraints, and lower parental involvement in sports and exercise"​ (</w:t>
      </w:r>
      <w:hyperlink r:id="rId8">
        <w:r w:rsidDel="00000000" w:rsidR="00000000" w:rsidRPr="00000000">
          <w:rPr>
            <w:rFonts w:ascii="Times New Roman" w:cs="Times New Roman" w:eastAsia="Times New Roman" w:hAnsi="Times New Roman"/>
            <w:color w:val="1155cc"/>
            <w:sz w:val="24"/>
            <w:szCs w:val="24"/>
            <w:u w:val="single"/>
            <w:rtl w:val="0"/>
          </w:rPr>
          <w:t xml:space="preserve">MDPI</w:t>
        </w:r>
      </w:hyperlink>
      <w:r w:rsidDel="00000000" w:rsidR="00000000" w:rsidRPr="00000000">
        <w:rPr>
          <w:rFonts w:ascii="Times New Roman" w:cs="Times New Roman" w:eastAsia="Times New Roman" w:hAnsi="Times New Roman"/>
          <w:sz w:val="24"/>
          <w:szCs w:val="24"/>
          <w:rtl w:val="0"/>
        </w:rPr>
        <w:t xml:space="preserve">)​​ (</w:t>
      </w:r>
      <w:hyperlink r:id="rId9">
        <w:r w:rsidDel="00000000" w:rsidR="00000000" w:rsidRPr="00000000">
          <w:rPr>
            <w:rFonts w:ascii="Times New Roman" w:cs="Times New Roman" w:eastAsia="Times New Roman" w:hAnsi="Times New Roman"/>
            <w:color w:val="1155cc"/>
            <w:sz w:val="24"/>
            <w:szCs w:val="24"/>
            <w:u w:val="single"/>
            <w:rtl w:val="0"/>
          </w:rPr>
          <w:t xml:space="preserve">University of Birmingham</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have always approached physical development with enthusiasm, vigour and have always tried to encourage physical activity both inside and outside of the classroom. Despite my passion for promoting fitness and health among our students, it wasn’t until recently that I began to comprehend the profound significance of physical movement in shaping the holistic development of children. I simply completed many activities because that is what I thought they should be doing without having the knowledge of why something should be done. I was not alone with this, as stated by OFSTED </w:t>
      </w:r>
    </w:p>
    <w:p w:rsidR="00000000" w:rsidDel="00000000" w:rsidP="00000000" w:rsidRDefault="00000000" w:rsidRPr="00000000" w14:paraId="000000ED">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"Studies suggest that while UK teachers have general knowledge of child development stages, they often lack the nuanced understanding required to tailor educational practices effectively." (Ofsted, 2021)</w:t>
      </w:r>
    </w:p>
    <w:p w:rsidR="00000000" w:rsidDel="00000000" w:rsidP="00000000" w:rsidRDefault="00000000" w:rsidRPr="00000000" w14:paraId="000000EF">
      <w:pPr>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Join me on this enlightening journey as I uncover the multifaceted benefits of embracing a comprehensive approach to physical development in early education.</w:t>
      </w: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Undertaking course</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my knowledge of PE was good when finishing university 25 years ago, however with so much new research completed since then, I feel that I and many other practitioners have fallen behind.  We as primary givers have to ensure that children have the correct building blocks in place in order to become proficient in many aspects of PE and become skilled athletes. </w:t>
      </w:r>
      <w:r w:rsidDel="00000000" w:rsidR="00000000" w:rsidRPr="00000000">
        <w:rPr>
          <w:rFonts w:ascii="Times New Roman" w:cs="Times New Roman" w:eastAsia="Times New Roman" w:hAnsi="Times New Roman"/>
          <w:i w:val="1"/>
          <w:sz w:val="24"/>
          <w:szCs w:val="24"/>
          <w:rtl w:val="0"/>
        </w:rPr>
        <w:t xml:space="preserve">“If children cannot proficiently run, jump, catch, throw etc. then they will have limited opportunities for engagement in Physical Activity later in their lives because they will not have the prerequisite skills to be active”  </w:t>
      </w:r>
      <w:r w:rsidDel="00000000" w:rsidR="00000000" w:rsidRPr="00000000">
        <w:rPr>
          <w:rFonts w:ascii="Times New Roman" w:cs="Times New Roman" w:eastAsia="Times New Roman" w:hAnsi="Times New Roman"/>
          <w:sz w:val="24"/>
          <w:szCs w:val="24"/>
          <w:rtl w:val="0"/>
        </w:rPr>
        <w:t xml:space="preserve">Stodden, Goodway, Langendorfer, Robertson, Rudisill, Garcia &amp; Garcia, (2012 p. 291)</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Enrolling on the SKIP course allowed me to gain the most up to date knowledge about child development and understand the milestones children go through as they are growing up. It not only allowed me to put things in place for the children in my class at present and in the future but analyse some children that I have previously taught. This new knowledge helped me to understand some of the difficulties some children have had and try to think of possible ways that I could have helped them. It also helped me personally to understand some of the difficulties that my 13 year old child has. He had an operation on his skull when he was a baby and so as parents we shielded him from being exposed to certain situations. In hindsight this has probably been detrimental to him as he struggles with certain fine and gross motor skills, in particular his coordination and balance. As we know, these skills are fundamental to children’s sensory integration skills and are identified by Ayres </w:t>
      </w:r>
      <w:r w:rsidDel="00000000" w:rsidR="00000000" w:rsidRPr="00000000">
        <w:rPr>
          <w:rFonts w:ascii="Times New Roman" w:cs="Times New Roman" w:eastAsia="Times New Roman" w:hAnsi="Times New Roman"/>
          <w:color w:val="0d0d0d"/>
          <w:sz w:val="24"/>
          <w:szCs w:val="24"/>
          <w:rtl w:val="0"/>
        </w:rPr>
        <w:t xml:space="preserve">"The vestibular system plays a crucial role in sensory integration. It helps control balance, coordination, and eye movements" (Ayres, 2005, p. 61).</w:t>
      </w: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Purchasing Equipment </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September 2022 my school was placed in Special Measures and one of the recommendations in the PIAP was “To develop a shared understanding of progression”. Myself and the other SKIP trained practitioners were tasked with different parts of this recommendation. We were extremely lucky to have the support of the headteacher as he realised the importance of ALL staff having a consistent approach and everybody understanding the different developmental stages children go through from birth to adulthood. After the initial baseline assessments with children in Foundation Phase, a substantial amount of money was invested to ensure the program could be completed properly and children’s needs met. The initial outlay was approximately £1000 on a range of differentiated equipment to support different ability levels in catching, throwing and kicking. After further discussions with the headteacher we agreed as a staff that Foundation Phase children needed a climbing frame / adventure trail. The climbing frame / adventure trail at a substantial cost to the school “</w:t>
      </w:r>
      <w:r w:rsidDel="00000000" w:rsidR="00000000" w:rsidRPr="00000000">
        <w:rPr>
          <w:rFonts w:ascii="Times New Roman" w:cs="Times New Roman" w:eastAsia="Times New Roman" w:hAnsi="Times New Roman"/>
          <w:color w:val="474747"/>
          <w:sz w:val="24"/>
          <w:szCs w:val="24"/>
          <w:highlight w:val="white"/>
          <w:rtl w:val="0"/>
        </w:rPr>
        <w:t xml:space="preserve">offers a range of physical and cognitive benefits to children. The physical benefits come from climbing and exploring the frame, whic</w:t>
      </w:r>
      <w:r w:rsidDel="00000000" w:rsidR="00000000" w:rsidRPr="00000000">
        <w:rPr>
          <w:rFonts w:ascii="Times New Roman" w:cs="Times New Roman" w:eastAsia="Times New Roman" w:hAnsi="Times New Roman"/>
          <w:color w:val="474747"/>
          <w:sz w:val="24"/>
          <w:szCs w:val="24"/>
          <w:rtl w:val="0"/>
        </w:rPr>
        <w:t xml:space="preserve">h </w:t>
      </w:r>
      <w:r w:rsidDel="00000000" w:rsidR="00000000" w:rsidRPr="00000000">
        <w:rPr>
          <w:rFonts w:ascii="Times New Roman" w:cs="Times New Roman" w:eastAsia="Times New Roman" w:hAnsi="Times New Roman"/>
          <w:color w:val="040c28"/>
          <w:sz w:val="24"/>
          <w:szCs w:val="24"/>
          <w:rtl w:val="0"/>
        </w:rPr>
        <w:t xml:space="preserve">helps to develop gross motor skills, balance, and coordination</w:t>
      </w:r>
      <w:r w:rsidDel="00000000" w:rsidR="00000000" w:rsidRPr="00000000">
        <w:rPr>
          <w:rFonts w:ascii="Times New Roman" w:cs="Times New Roman" w:eastAsia="Times New Roman" w:hAnsi="Times New Roman"/>
          <w:color w:val="474747"/>
          <w:sz w:val="24"/>
          <w:szCs w:val="24"/>
          <w:rtl w:val="0"/>
        </w:rPr>
        <w:t xml:space="preserve">.</w:t>
      </w:r>
      <w:r w:rsidDel="00000000" w:rsidR="00000000" w:rsidRPr="00000000">
        <w:rPr>
          <w:rFonts w:ascii="Times New Roman" w:cs="Times New Roman" w:eastAsia="Times New Roman" w:hAnsi="Times New Roman"/>
          <w:color w:val="474747"/>
          <w:sz w:val="24"/>
          <w:szCs w:val="24"/>
          <w:highlight w:val="white"/>
          <w:rtl w:val="0"/>
        </w:rPr>
        <w:t xml:space="preserve"> Cognitive benefits include problem-solving, decision-making, and visualising solutions to a challenge.”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https://www.tptoys.com/blogs/inspiring-play/climbing-to-success-how-a-climbing-frame-can-boost-your-childs-development#:~:text=Climbing%20frames%20offer%20a%20range,visualising%20solutions%20to%20a%20challenge</w:t>
        </w:r>
      </w:hyperlink>
      <w:r w:rsidDel="00000000" w:rsidR="00000000" w:rsidRPr="00000000">
        <w:rPr>
          <w:rFonts w:ascii="Times New Roman" w:cs="Times New Roman" w:eastAsia="Times New Roman" w:hAnsi="Times New Roman"/>
          <w:color w:val="474747"/>
          <w:sz w:val="24"/>
          <w:szCs w:val="24"/>
          <w:highlight w:val="white"/>
          <w:rtl w:val="0"/>
        </w:rPr>
        <w:t xml:space="preserve">. </w:t>
      </w: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currently teach Year 2 within foundation learning and therefore, the sessions I delivered were tailored for children aged six to seven years old. These sessions included a variety of activities designed to promote and develop the children's fundamental movement skills, particularly their locomotor and manipulation skills. These skills are crucial for children's sensory integration and are</w:t>
      </w:r>
      <w:r w:rsidDel="00000000" w:rsidR="00000000" w:rsidRPr="00000000">
        <w:rPr>
          <w:rFonts w:ascii="Times New Roman" w:cs="Times New Roman" w:eastAsia="Times New Roman" w:hAnsi="Times New Roman"/>
          <w:sz w:val="24"/>
          <w:szCs w:val="24"/>
          <w:rtl w:val="0"/>
        </w:rPr>
        <w:t xml:space="preserve"> identified by Gallahue, Ozmun, and Goodway (2012) as the foundational building blocks for children to become efficient movers.</w:t>
      </w:r>
    </w:p>
    <w:p w:rsidR="00000000" w:rsidDel="00000000" w:rsidP="00000000" w:rsidRDefault="00000000" w:rsidRPr="00000000" w14:paraId="000000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activities focused on developing locomotor skills, such as running, jumping, and hopping, as well as manipulative skills like throwing, catching and kicking. I specifically reflected on these fundamental movements and manipulative skills. The sessions were either conducted in an indoor hall or yard area with 26 children participating, along with the support of one adult.</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completing the catching activities in the lesson it became apparent that there was a large range of abilities. A small number of children were able to catch a small ball successfully straight away and were quickly able to move onto catching balls from different angles, at greater speed and at a range of heights. These children were praised for their skills and used as role models to show good examples to some of the other children. Simply stating it was good would not support children so I videoed this child and his throwing action was analysed and broken down into smaller parts. One child was able to not only show the correct arm movement when throwing but also able to display multi-limb coordination, which in turn allowed him to throw more accurately and with greater power. Clear target setting was needed for this child and a few others in order to ensure they did not become bored and disengaged from the throwing tasks. Targets were placed at a greater distance and they were smaller in size to improve their accuracy. One child was so interested in how to improve his throwing that he asked his parents to take him to throw stones into the reservoir. His parents shared examples of him on Seesaw trying to hit targets and competing with his dad to see how far he could throw stones. </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Others however, struggled to catch the small ball and needed a range of less complex catching activities before they could gain success. One child in particular had difficulties, this was due to being unable to judge where they needed to put their hands in order to catch the ball.  </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with sensory processing issues often have difficulties with catching due to poor proprioception, which affects their ability to judge the position of their hands relative to the ball."</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p87</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 mentioned above has recently been diagnosed with Autism Spectrum Disorder (ASD). He also has difficulties with gross motor skills, such as balancing on one foot, jumping confidently, and using steps with alternating legs. Despite these challenges with his physical abilities, he demonstrated enthusiasm and a strong willingness to participate in the sessions.</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child needed to go back to using scarves so the fall was slower and they had more time to move their hands into the correct position. </w:t>
      </w:r>
    </w:p>
    <w:p w:rsidR="00000000" w:rsidDel="00000000" w:rsidP="00000000" w:rsidRDefault="00000000" w:rsidRPr="00000000" w14:paraId="00000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some sessions where gardens were set up with throwing and catching activities, such as "Battleships" and "Me to You," it was observed that many children were delayed in their tracking skills and tended to hug the ball instead of catching it properly. Some children were beginning to track the ball, but not using their hands effectively, while only a few were able to catch the ball using their hands in the "X zone."</w:t>
      </w:r>
    </w:p>
    <w:p w:rsidR="00000000" w:rsidDel="00000000" w:rsidP="00000000" w:rsidRDefault="00000000" w:rsidRPr="00000000" w14:paraId="0000010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this, I encouraged the throwers to perform a "rainbow throw" aimed at the "X zone" and prompted the catchers to keep their hands ready and to watch the ball closely. To further challenge them, I introduced smaller balls. For those still struggling with catching, we reverted to practising rolling to build their confidence and foundational skills.</w:t>
      </w:r>
    </w:p>
    <w:p w:rsidR="00000000" w:rsidDel="00000000" w:rsidP="00000000" w:rsidRDefault="00000000" w:rsidRPr="00000000" w14:paraId="000001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sessions I was conscientious in ensuring that demonstrations of correct technique were shown to the children to ensure understanding and proficiency when either throwing, catching or kicking in order to create positive reinforcement. Highlighting correct techniques as they happen is an important strategy, as it reinforces the behaviour and provides a real-time example for the other children to follow. There was a use of verbal cues, like praising a specific child for their technique ("I love how you’re using opposite arms and legs to throw," or "well done for keeping your eye on the ball when catching"), helped build confidence and encouraged others to emulate those actions. This approach not only promoted understanding and proficiency but also fostered a positive and supportive learning environment.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d0d0d"/>
          <w:sz w:val="24"/>
          <w:szCs w:val="24"/>
          <w:rtl w:val="0"/>
        </w:rPr>
        <w:t xml:space="preserve">"Children’s development is influenced by the quality of caregiving they receive during their early years" (Shonkoff &amp; Garner, 2012, p. e232).</w:t>
      </w: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gaining a better understanding of child development and sharing with staff the importance of developing the skills throughout the whole of the curriculum and not just during planned physical activity, decisions were made to implement the principles throughout the whole curriculum and used at every opportunity in continuous and enhanced provision. In Maths for example, target style games were used to improve maths through addition but also as target practice where children used their throwing skills to improve their accuracy. An example in English was when the lowest ability children bowled a ball at skittles and had to spell CVC words by knocking the skittles down and then spelling out the words with the fallen skittles. </w:t>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Staff Training </w:t>
      </w: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an SLT meeting it was decided that in order to improve understanding among all school staff about the importance of physical development in children and enhance the delivery of physical activities through the curriculum INSET was needed as a school.</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Including myself and the staff that undertook the SKIP training program, we were all asked to provide training on both theoretical and practical aspects.</w:t>
      </w:r>
    </w:p>
    <w:p w:rsidR="00000000" w:rsidDel="00000000" w:rsidP="00000000" w:rsidRDefault="00000000" w:rsidRPr="00000000" w14:paraId="0000010E">
      <w:pPr>
        <w:spacing w:before="2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staff training we discussed the benefits, including improved motor skills, better physical health, enhanced cognitive development, and positive social-emotional outcomes.  We briefly explained the different stages of physical development in children and what is expected at each stage and highlighted research that showed the correlation between physical activity and academic performance, including concentration, behaviour, and classroom engagement.</w:t>
      </w:r>
    </w:p>
    <w:p w:rsidR="00000000" w:rsidDel="00000000" w:rsidP="00000000" w:rsidRDefault="00000000" w:rsidRPr="00000000" w14:paraId="0000010F">
      <w:pPr>
        <w:spacing w:before="2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Practical sessions were conducted for all staff, including teaching assistants and dinner supervisors, to ensure a holistic approach to integrating physical development activities throughout the school day.</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staff INSET we demonstrated the following: Warm-up Activities: Engaging, age-appropriate activities that can be easily implemented in the classroom or during break times. Motor Skills Development: Activities focused on improving gross and fine motor skills, balance, coordination, and agility. Incorporating Physical Activity into Daily Routines: Practical ideas for embedding physical activity into daily lessons across different subjects, such as maths and literacy.  Monitoring and Assessment: How to observe and assess physical development in children effectively.</w:t>
      </w:r>
    </w:p>
    <w:p w:rsidR="00000000" w:rsidDel="00000000" w:rsidP="00000000" w:rsidRDefault="00000000" w:rsidRPr="00000000" w14:paraId="00000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positive responses from staff regarding the understanding and applicability of the training and initial observations suggest better engagement from children and an increase in physical activity during breaks and other non-structured times.</w:t>
      </w:r>
    </w:p>
    <w:p w:rsidR="00000000" w:rsidDel="00000000" w:rsidP="00000000" w:rsidRDefault="00000000" w:rsidRPr="00000000" w14:paraId="000001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next steps are to have plans for ongoing training sessions, possibly annually, to refresh skills and introduce new activities. We also plan to work with curriculum leaders to ensure physical development activities are strategically planned throughout the academic year. We will also encourage staff to observe each other’s sessions and share successful strategies and activities. As a school there will be a commitment  to fostering a holistic educational environment where physical development is prioritised and encourage all staff to continuously seek out new ways to integrate physical activity into their daily interactions with students.</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Conclusion </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I feel that the SKIP course has been very beneficial in helping me to become more aware of the great importance of physical activity and how it should be implemented throughout the whole curriculum and at every possible opportunity. I am now increasingly confident in my knowledge of child development to create fun, meaningful and differentiated  activities for the children to develop their quality of movement at their individual level. At my school I have influenced many aspects of the new School Development Plan and in the new year events are planned to work with parents, Breakfast Club staff and Dinner Supervisors. We have also set up a pre-school group called “Little Acorns” where future parents are invited into school so we can support them with their children and they have a better understanding of child development and what they can do to support their children from when they are born to before they even go to school.</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Word count: 2352</w:t>
      </w:r>
    </w:p>
    <w:p w:rsidR="00000000" w:rsidDel="00000000" w:rsidP="00000000" w:rsidRDefault="00000000" w:rsidRPr="00000000" w14:paraId="0000011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 List:</w:t>
      </w:r>
    </w:p>
    <w:p w:rsidR="00000000" w:rsidDel="00000000" w:rsidP="00000000" w:rsidRDefault="00000000" w:rsidRPr="00000000" w14:paraId="0000011A">
      <w:pPr>
        <w:spacing w:line="480" w:lineRule="auto"/>
        <w:ind w:left="284" w:right="-5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Ayres, A. J., &amp; Robbins, J. (2005). </w:t>
      </w:r>
      <w:r w:rsidDel="00000000" w:rsidR="00000000" w:rsidRPr="00000000">
        <w:rPr>
          <w:rFonts w:ascii="Times New Roman" w:cs="Times New Roman" w:eastAsia="Times New Roman" w:hAnsi="Times New Roman"/>
          <w:i w:val="1"/>
          <w:sz w:val="24"/>
          <w:szCs w:val="24"/>
          <w:rtl w:val="0"/>
        </w:rPr>
        <w:t xml:space="preserve">Sensory integration and the child: Understanding hidden sensory challenges</w:t>
      </w:r>
      <w:r w:rsidDel="00000000" w:rsidR="00000000" w:rsidRPr="00000000">
        <w:rPr>
          <w:rFonts w:ascii="Times New Roman" w:cs="Times New Roman" w:eastAsia="Times New Roman" w:hAnsi="Times New Roman"/>
          <w:sz w:val="24"/>
          <w:szCs w:val="24"/>
          <w:highlight w:val="white"/>
          <w:rtl w:val="0"/>
        </w:rPr>
        <w:t xml:space="preserve">. Western Psychological Services.</w:t>
      </w:r>
      <w:r w:rsidDel="00000000" w:rsidR="00000000" w:rsidRPr="00000000">
        <w:rPr>
          <w:rtl w:val="0"/>
        </w:rPr>
      </w:r>
    </w:p>
    <w:p w:rsidR="00000000" w:rsidDel="00000000" w:rsidP="00000000" w:rsidRDefault="00000000" w:rsidRPr="00000000" w14:paraId="0000011B">
      <w:pPr>
        <w:spacing w:after="16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Stodden.D.F., Goodway, D., Langendorfer, S.J., Roberton, M.A., Rudisill, M.E., Garcia, C &amp; Garcia, L.E (2008) ‘A Developmental Perspective on the Role of Motor Skill Competence’ (2008) </w:t>
      </w:r>
      <w:r w:rsidDel="00000000" w:rsidR="00000000" w:rsidRPr="00000000">
        <w:rPr>
          <w:rFonts w:ascii="Times New Roman" w:cs="Times New Roman" w:eastAsia="Times New Roman" w:hAnsi="Times New Roman"/>
          <w:i w:val="1"/>
          <w:sz w:val="24"/>
          <w:szCs w:val="24"/>
          <w:rtl w:val="0"/>
        </w:rPr>
        <w:t xml:space="preserve">National Association for Kinesiology and Physical Education in Higher Education</w:t>
      </w:r>
      <w:r w:rsidDel="00000000" w:rsidR="00000000" w:rsidRPr="00000000">
        <w:rPr>
          <w:rFonts w:ascii="Times New Roman" w:cs="Times New Roman" w:eastAsia="Times New Roman" w:hAnsi="Times New Roman"/>
          <w:sz w:val="24"/>
          <w:szCs w:val="24"/>
          <w:rtl w:val="0"/>
        </w:rPr>
        <w:t xml:space="preserve"> 60 </w:t>
      </w:r>
      <w:r w:rsidDel="00000000" w:rsidR="00000000" w:rsidRPr="00000000">
        <w:rPr>
          <w:rFonts w:ascii="Times New Roman" w:cs="Times New Roman" w:eastAsia="Times New Roman" w:hAnsi="Times New Roman"/>
          <w:sz w:val="24"/>
          <w:szCs w:val="24"/>
          <w:rtl w:val="0"/>
        </w:rPr>
        <w:t xml:space="preserve">(2), pp. 290-306. </w:t>
      </w:r>
    </w:p>
    <w:p w:rsidR="00000000" w:rsidDel="00000000" w:rsidP="00000000" w:rsidRDefault="00000000" w:rsidRPr="00000000" w14:paraId="0000011C">
      <w:pPr>
        <w:spacing w:after="160" w:line="360" w:lineRule="auto"/>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3a3a3a"/>
          <w:sz w:val="24"/>
          <w:szCs w:val="24"/>
          <w:highlight w:val="white"/>
          <w:rtl w:val="0"/>
        </w:rPr>
        <w:t xml:space="preserve">Gallahue, David L., and John C. Ozmun. </w:t>
      </w:r>
      <w:r w:rsidDel="00000000" w:rsidR="00000000" w:rsidRPr="00000000">
        <w:rPr>
          <w:rFonts w:ascii="Times New Roman" w:cs="Times New Roman" w:eastAsia="Times New Roman" w:hAnsi="Times New Roman"/>
          <w:sz w:val="24"/>
          <w:szCs w:val="24"/>
          <w:rtl w:val="0"/>
        </w:rPr>
        <w:t xml:space="preserve">(2012) </w:t>
      </w:r>
      <w:r w:rsidDel="00000000" w:rsidR="00000000" w:rsidRPr="00000000">
        <w:rPr>
          <w:rFonts w:ascii="Times New Roman" w:cs="Times New Roman" w:eastAsia="Times New Roman" w:hAnsi="Times New Roman"/>
          <w:i w:val="1"/>
          <w:sz w:val="24"/>
          <w:szCs w:val="24"/>
          <w:rtl w:val="0"/>
        </w:rPr>
        <w:t xml:space="preserve">Understanding Motor Development : Infants, Children, Adolescents, Adults</w:t>
      </w:r>
      <w:r w:rsidDel="00000000" w:rsidR="00000000" w:rsidRPr="00000000">
        <w:rPr>
          <w:rFonts w:ascii="Times New Roman" w:cs="Times New Roman" w:eastAsia="Times New Roman" w:hAnsi="Times New Roman"/>
          <w:sz w:val="24"/>
          <w:szCs w:val="24"/>
          <w:rtl w:val="0"/>
        </w:rPr>
        <w:t xml:space="preserve">. 7th ed. New York: McGraw-Hill Higher Education. </w:t>
      </w:r>
      <w:r w:rsidDel="00000000" w:rsidR="00000000" w:rsidRPr="00000000">
        <w:rPr>
          <w:rtl w:val="0"/>
        </w:rPr>
      </w:r>
    </w:p>
    <w:p w:rsidR="00000000" w:rsidDel="00000000" w:rsidP="00000000" w:rsidRDefault="00000000" w:rsidRPr="00000000" w14:paraId="0000011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276" w:lineRule="auto"/>
        <w:rPr>
          <w:rFonts w:ascii="Times New Roman" w:cs="Times New Roman" w:eastAsia="Times New Roman" w:hAnsi="Times New Roman"/>
          <w:color w:val="222222"/>
          <w:sz w:val="24"/>
          <w:szCs w:val="24"/>
          <w:highlight w:val="yellow"/>
        </w:rPr>
      </w:pPr>
      <w:r w:rsidDel="00000000" w:rsidR="00000000" w:rsidRPr="00000000">
        <w:rPr>
          <w:rFonts w:ascii="Times New Roman" w:cs="Times New Roman" w:eastAsia="Times New Roman" w:hAnsi="Times New Roman"/>
          <w:color w:val="0d0d0d"/>
          <w:sz w:val="24"/>
          <w:szCs w:val="24"/>
          <w:rtl w:val="0"/>
        </w:rPr>
        <w:t xml:space="preserve">Shonkoff, J. P., &amp; Garner, A. S. (2012). The lifelong effects of early childhood adversity and toxic stress. </w:t>
      </w:r>
      <w:r w:rsidDel="00000000" w:rsidR="00000000" w:rsidRPr="00000000">
        <w:rPr>
          <w:rFonts w:ascii="Times New Roman" w:cs="Times New Roman" w:eastAsia="Times New Roman" w:hAnsi="Times New Roman"/>
          <w:i w:val="1"/>
          <w:color w:val="0d0d0d"/>
          <w:sz w:val="24"/>
          <w:szCs w:val="24"/>
          <w:rtl w:val="0"/>
        </w:rPr>
        <w:t xml:space="preserve">Pediatrics</w:t>
      </w:r>
      <w:r w:rsidDel="00000000" w:rsidR="00000000" w:rsidRPr="00000000">
        <w:rPr>
          <w:rFonts w:ascii="Times New Roman" w:cs="Times New Roman" w:eastAsia="Times New Roman" w:hAnsi="Times New Roman"/>
          <w:color w:val="0d0d0d"/>
          <w:sz w:val="24"/>
          <w:szCs w:val="24"/>
          <w:rtl w:val="0"/>
        </w:rPr>
        <w:t xml:space="preserve">, 129(1), e232-e246.</w:t>
      </w: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color w:val="0d0d0d"/>
          <w:sz w:val="24"/>
          <w:szCs w:val="24"/>
        </w:rPr>
      </w:pPr>
      <w:r w:rsidDel="00000000" w:rsidR="00000000" w:rsidRPr="00000000">
        <w:rPr>
          <w:rFonts w:ascii="Times New Roman" w:cs="Times New Roman" w:eastAsia="Times New Roman" w:hAnsi="Times New Roman"/>
          <w:color w:val="222222"/>
          <w:sz w:val="24"/>
          <w:szCs w:val="24"/>
          <w:rtl w:val="0"/>
        </w:rPr>
        <w:t xml:space="preserve">Ofsted, (2021) Raising Standards Improving Lives.</w:t>
      </w:r>
      <w:r w:rsidDel="00000000" w:rsidR="00000000" w:rsidRPr="00000000">
        <w:rPr>
          <w:rtl w:val="0"/>
        </w:rPr>
      </w:r>
    </w:p>
    <w:p w:rsidR="00000000" w:rsidDel="00000000" w:rsidP="00000000" w:rsidRDefault="00000000" w:rsidRPr="00000000" w14:paraId="000001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tptoys.com/blogs/inspiring-play/climbing-to-success-how-a-climbing-frame-can-boost-your-childs-development#:~:text=Climbing%20frames%20offer%20a%20range,visualising%20solutions%20to%20a%20challenge" TargetMode="External"/><Relationship Id="rId9" Type="http://schemas.openxmlformats.org/officeDocument/2006/relationships/hyperlink" Target="https://www.birmingham.ac.uk/news/2022/tackling-barriers-to-physical-activity-in-deprived-and-minority-groups" TargetMode="External"/><Relationship Id="rId5" Type="http://schemas.openxmlformats.org/officeDocument/2006/relationships/styles" Target="styles.xml"/><Relationship Id="rId6" Type="http://schemas.openxmlformats.org/officeDocument/2006/relationships/hyperlink" Target="https://www.nice.org.uk/guidance/cg189/documents/health-inequalities-briefing-2#:~:text=URL%3A%20https%3A%2F%2Fwww.nice.org.uk%2Fguidance%2Fcg189%2Fdocuments%2Fhealth" TargetMode="External"/><Relationship Id="rId7" Type="http://schemas.openxmlformats.org/officeDocument/2006/relationships/hyperlink" Target="https://www.mdpi.com/1660-4601/19/3/1717" TargetMode="External"/><Relationship Id="rId8" Type="http://schemas.openxmlformats.org/officeDocument/2006/relationships/hyperlink" Target="https://www.mdpi.com/1660-4601/19/3/1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