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B4C30" w:rsidRPr="001B292E" w:rsidRDefault="001B292E" w:rsidP="001B292E">
      <w:pPr>
        <w:pStyle w:val="NoSpacing"/>
        <w:rPr>
          <w:b/>
          <w:bCs/>
          <w:u w:val="single"/>
        </w:rPr>
      </w:pPr>
      <w:r w:rsidRPr="001B292E">
        <w:rPr>
          <w:b/>
          <w:bCs/>
          <w:sz w:val="24"/>
          <w:szCs w:val="24"/>
          <w:u w:val="single"/>
        </w:rPr>
        <w:t>Chapter 3: Research Methods</w:t>
      </w:r>
    </w:p>
    <w:p w14:paraId="00000002" w14:textId="77777777" w:rsidR="007B4C30" w:rsidRDefault="007B4C30">
      <w:pPr>
        <w:spacing w:line="480" w:lineRule="auto"/>
        <w:rPr>
          <w:color w:val="0E101A"/>
          <w:sz w:val="24"/>
          <w:szCs w:val="24"/>
        </w:rPr>
      </w:pPr>
    </w:p>
    <w:p w14:paraId="00000003" w14:textId="77777777" w:rsidR="007B4C30" w:rsidRDefault="001B292E">
      <w:pPr>
        <w:spacing w:line="480" w:lineRule="auto"/>
        <w:rPr>
          <w:color w:val="0E101A"/>
          <w:sz w:val="24"/>
          <w:szCs w:val="24"/>
        </w:rPr>
      </w:pPr>
      <w:r>
        <w:rPr>
          <w:color w:val="0E101A"/>
          <w:sz w:val="24"/>
          <w:szCs w:val="24"/>
        </w:rPr>
        <w:t xml:space="preserve">3.1 Introduction </w:t>
      </w:r>
    </w:p>
    <w:p w14:paraId="00000004" w14:textId="77777777" w:rsidR="007B4C30" w:rsidRDefault="001B292E">
      <w:pPr>
        <w:spacing w:line="480" w:lineRule="auto"/>
        <w:rPr>
          <w:color w:val="0E101A"/>
          <w:sz w:val="24"/>
          <w:szCs w:val="24"/>
        </w:rPr>
      </w:pPr>
      <w:r>
        <w:rPr>
          <w:color w:val="0E101A"/>
          <w:sz w:val="24"/>
          <w:szCs w:val="24"/>
        </w:rPr>
        <w:t>This chapter outlines the methodology used to investigate the extent to which effective mental health support is available for police officers frequently exposed to trauma.</w:t>
      </w:r>
    </w:p>
    <w:p w14:paraId="00000005" w14:textId="77777777" w:rsidR="007B4C30" w:rsidRDefault="007B4C30">
      <w:pPr>
        <w:spacing w:line="480" w:lineRule="auto"/>
        <w:rPr>
          <w:color w:val="0E101A"/>
          <w:sz w:val="24"/>
          <w:szCs w:val="24"/>
        </w:rPr>
      </w:pPr>
    </w:p>
    <w:p w14:paraId="00000006" w14:textId="77777777" w:rsidR="007B4C30" w:rsidRDefault="001B292E">
      <w:pPr>
        <w:spacing w:line="480" w:lineRule="auto"/>
        <w:rPr>
          <w:color w:val="0E101A"/>
          <w:sz w:val="24"/>
          <w:szCs w:val="24"/>
        </w:rPr>
      </w:pPr>
      <w:r>
        <w:rPr>
          <w:color w:val="0E101A"/>
          <w:sz w:val="24"/>
          <w:szCs w:val="24"/>
        </w:rPr>
        <w:t>3.2 Research Questions</w:t>
      </w:r>
    </w:p>
    <w:p w14:paraId="00000009" w14:textId="56FB7B61" w:rsidR="007B4C30" w:rsidRDefault="001B292E">
      <w:pPr>
        <w:spacing w:line="480" w:lineRule="auto"/>
        <w:rPr>
          <w:color w:val="0E101A"/>
          <w:sz w:val="24"/>
          <w:szCs w:val="24"/>
        </w:rPr>
      </w:pPr>
      <w:r>
        <w:rPr>
          <w:color w:val="0E101A"/>
          <w:sz w:val="24"/>
          <w:szCs w:val="24"/>
        </w:rPr>
        <w:t xml:space="preserve">I have identified three key aims to assist me in answering </w:t>
      </w:r>
      <w:r>
        <w:rPr>
          <w:color w:val="0E101A"/>
          <w:sz w:val="24"/>
          <w:szCs w:val="24"/>
        </w:rPr>
        <w:t xml:space="preserve">my research question and obtaining reliable and valid responses. </w:t>
      </w:r>
      <w:r>
        <w:rPr>
          <w:color w:val="0E101A"/>
          <w:sz w:val="24"/>
          <w:szCs w:val="24"/>
        </w:rPr>
        <w:t>They are as follows:</w:t>
      </w:r>
    </w:p>
    <w:p w14:paraId="0000000A" w14:textId="77777777" w:rsidR="007B4C30" w:rsidRDefault="001B292E">
      <w:pPr>
        <w:spacing w:line="480" w:lineRule="auto"/>
        <w:rPr>
          <w:color w:val="0E101A"/>
          <w:sz w:val="24"/>
          <w:szCs w:val="24"/>
        </w:rPr>
      </w:pPr>
      <w:r>
        <w:rPr>
          <w:color w:val="0E101A"/>
          <w:sz w:val="24"/>
          <w:szCs w:val="24"/>
        </w:rPr>
        <w:t>1. Explore the effects of trauma on police officers in the UK</w:t>
      </w:r>
    </w:p>
    <w:p w14:paraId="0000000B" w14:textId="77777777" w:rsidR="007B4C30" w:rsidRDefault="001B292E">
      <w:pPr>
        <w:spacing w:line="480" w:lineRule="auto"/>
        <w:rPr>
          <w:color w:val="0E101A"/>
          <w:sz w:val="24"/>
          <w:szCs w:val="24"/>
        </w:rPr>
      </w:pPr>
      <w:r>
        <w:rPr>
          <w:color w:val="0E101A"/>
          <w:sz w:val="24"/>
          <w:szCs w:val="24"/>
        </w:rPr>
        <w:t>2. Examine the magnitude of the current mental health crisis within the UK police force</w:t>
      </w:r>
    </w:p>
    <w:p w14:paraId="0000000D" w14:textId="08B91860" w:rsidR="007B4C30" w:rsidRDefault="001B292E">
      <w:pPr>
        <w:spacing w:line="480" w:lineRule="auto"/>
        <w:rPr>
          <w:color w:val="0E101A"/>
          <w:sz w:val="24"/>
          <w:szCs w:val="24"/>
        </w:rPr>
      </w:pPr>
      <w:r>
        <w:rPr>
          <w:color w:val="0E101A"/>
          <w:sz w:val="24"/>
          <w:szCs w:val="24"/>
        </w:rPr>
        <w:t>3. To examine whet</w:t>
      </w:r>
      <w:r>
        <w:rPr>
          <w:color w:val="0E101A"/>
          <w:sz w:val="24"/>
          <w:szCs w:val="24"/>
        </w:rPr>
        <w:t>her there is appropriate and effective support in place to help police officers deal with trauma and mental health issues</w:t>
      </w:r>
    </w:p>
    <w:p w14:paraId="0000000E" w14:textId="77777777" w:rsidR="007B4C30" w:rsidRDefault="001B292E">
      <w:pPr>
        <w:spacing w:line="480" w:lineRule="auto"/>
        <w:rPr>
          <w:color w:val="0E101A"/>
          <w:sz w:val="24"/>
          <w:szCs w:val="24"/>
        </w:rPr>
      </w:pPr>
      <w:r>
        <w:rPr>
          <w:color w:val="0E101A"/>
          <w:sz w:val="24"/>
          <w:szCs w:val="24"/>
        </w:rPr>
        <w:t>Research questions are crucial to any study as they provide a clear aim and focus, especially within a broad topic. A well-defined re</w:t>
      </w:r>
      <w:r>
        <w:rPr>
          <w:color w:val="0E101A"/>
          <w:sz w:val="24"/>
          <w:szCs w:val="24"/>
        </w:rPr>
        <w:t>search question ensures the information is more reliable (</w:t>
      </w:r>
      <w:proofErr w:type="spellStart"/>
      <w:r>
        <w:rPr>
          <w:color w:val="0E101A"/>
          <w:sz w:val="24"/>
          <w:szCs w:val="24"/>
        </w:rPr>
        <w:t>Igwenagu</w:t>
      </w:r>
      <w:proofErr w:type="spellEnd"/>
      <w:r>
        <w:rPr>
          <w:color w:val="0E101A"/>
          <w:sz w:val="24"/>
          <w:szCs w:val="24"/>
        </w:rPr>
        <w:t xml:space="preserve">, 2016). Consequently, incorporating research questions/aims is essential for a successful research project (Burton, </w:t>
      </w:r>
      <w:proofErr w:type="spellStart"/>
      <w:r>
        <w:rPr>
          <w:color w:val="0E101A"/>
          <w:sz w:val="24"/>
          <w:szCs w:val="24"/>
        </w:rPr>
        <w:t>Brundrett</w:t>
      </w:r>
      <w:proofErr w:type="spellEnd"/>
      <w:r>
        <w:rPr>
          <w:color w:val="0E101A"/>
          <w:sz w:val="24"/>
          <w:szCs w:val="24"/>
        </w:rPr>
        <w:t xml:space="preserve"> &amp; Jones. 2014). They enhance the reliability, relevance, and ea</w:t>
      </w:r>
      <w:r>
        <w:rPr>
          <w:color w:val="0E101A"/>
          <w:sz w:val="24"/>
          <w:szCs w:val="24"/>
        </w:rPr>
        <w:t>se of analysis of the results, particularly in small-scale studies, while contributing valuable insights to the existing literature (Stokes &amp; Wall, 2017).</w:t>
      </w:r>
    </w:p>
    <w:p w14:paraId="12993E06" w14:textId="77777777" w:rsidR="001B292E" w:rsidRDefault="001B292E">
      <w:pPr>
        <w:spacing w:line="480" w:lineRule="auto"/>
        <w:rPr>
          <w:color w:val="0E101A"/>
          <w:sz w:val="24"/>
          <w:szCs w:val="24"/>
        </w:rPr>
      </w:pPr>
    </w:p>
    <w:p w14:paraId="0000000F" w14:textId="77777777" w:rsidR="007B4C30" w:rsidRDefault="001B292E">
      <w:pPr>
        <w:spacing w:line="480" w:lineRule="auto"/>
        <w:rPr>
          <w:color w:val="0E101A"/>
          <w:sz w:val="24"/>
          <w:szCs w:val="24"/>
        </w:rPr>
      </w:pPr>
      <w:r>
        <w:rPr>
          <w:color w:val="0E101A"/>
          <w:sz w:val="24"/>
          <w:szCs w:val="24"/>
        </w:rPr>
        <w:t>3.3 Research Approach</w:t>
      </w:r>
    </w:p>
    <w:p w14:paraId="00000010" w14:textId="77777777" w:rsidR="007B4C30" w:rsidRDefault="001B292E">
      <w:pPr>
        <w:spacing w:line="480" w:lineRule="auto"/>
        <w:rPr>
          <w:color w:val="0E101A"/>
          <w:sz w:val="24"/>
          <w:szCs w:val="24"/>
        </w:rPr>
      </w:pPr>
      <w:r>
        <w:rPr>
          <w:color w:val="0E101A"/>
          <w:sz w:val="24"/>
          <w:szCs w:val="24"/>
        </w:rPr>
        <w:t xml:space="preserve">A Mixed Methods approach was employed in this research, utilising </w:t>
      </w:r>
      <w:proofErr w:type="gramStart"/>
      <w:r>
        <w:rPr>
          <w:color w:val="0E101A"/>
          <w:sz w:val="24"/>
          <w:szCs w:val="24"/>
        </w:rPr>
        <w:t>questionnaire</w:t>
      </w:r>
      <w:r>
        <w:rPr>
          <w:color w:val="0E101A"/>
          <w:sz w:val="24"/>
          <w:szCs w:val="24"/>
        </w:rPr>
        <w:t>s</w:t>
      </w:r>
      <w:proofErr w:type="gramEnd"/>
      <w:r>
        <w:rPr>
          <w:color w:val="0E101A"/>
          <w:sz w:val="24"/>
          <w:szCs w:val="24"/>
        </w:rPr>
        <w:t xml:space="preserve"> and semi-structured interviews. Mixed-method research, as described by Leavy </w:t>
      </w:r>
      <w:r>
        <w:rPr>
          <w:color w:val="0E101A"/>
          <w:sz w:val="24"/>
          <w:szCs w:val="24"/>
        </w:rPr>
        <w:lastRenderedPageBreak/>
        <w:t>(2022), is particularly valuable when a single methodological approach is insufficient to address the complexities of a research question. Quantitative methods focus on gatherin</w:t>
      </w:r>
      <w:r>
        <w:rPr>
          <w:color w:val="0E101A"/>
          <w:sz w:val="24"/>
          <w:szCs w:val="24"/>
        </w:rPr>
        <w:t>g numerical data to generalise findings across groups or explain specific phenomena (Carminati, 2018; Tsang, 2014; Yilmaz, 2013). Conversely, qualitative methods provide deeper insights into research questions, exploring reasons and perceptions to aid theo</w:t>
      </w:r>
      <w:r>
        <w:rPr>
          <w:color w:val="0E101A"/>
          <w:sz w:val="24"/>
          <w:szCs w:val="24"/>
        </w:rPr>
        <w:t>ry development (</w:t>
      </w:r>
      <w:proofErr w:type="spellStart"/>
      <w:r>
        <w:rPr>
          <w:color w:val="0E101A"/>
          <w:sz w:val="24"/>
          <w:szCs w:val="24"/>
        </w:rPr>
        <w:t>Hennink</w:t>
      </w:r>
      <w:proofErr w:type="spellEnd"/>
      <w:r>
        <w:rPr>
          <w:color w:val="0E101A"/>
          <w:sz w:val="24"/>
          <w:szCs w:val="24"/>
        </w:rPr>
        <w:t xml:space="preserve">, </w:t>
      </w:r>
      <w:proofErr w:type="spellStart"/>
      <w:r>
        <w:rPr>
          <w:color w:val="0E101A"/>
          <w:sz w:val="24"/>
          <w:szCs w:val="24"/>
        </w:rPr>
        <w:t>Hutter</w:t>
      </w:r>
      <w:proofErr w:type="spellEnd"/>
      <w:r>
        <w:rPr>
          <w:color w:val="0E101A"/>
          <w:sz w:val="24"/>
          <w:szCs w:val="24"/>
        </w:rPr>
        <w:t>, &amp; Bailey, 2020). By integrating diverse data types and analytical techniques, mixed-method research enhances the robustness and comprehensiveness of the findings, leading to a more holistic understanding of the subject unde</w:t>
      </w:r>
      <w:r>
        <w:rPr>
          <w:color w:val="0E101A"/>
          <w:sz w:val="24"/>
          <w:szCs w:val="24"/>
        </w:rPr>
        <w:t xml:space="preserve">r investigation. </w:t>
      </w:r>
    </w:p>
    <w:p w14:paraId="00000011" w14:textId="77777777" w:rsidR="007B4C30" w:rsidRDefault="007B4C30">
      <w:pPr>
        <w:spacing w:line="480" w:lineRule="auto"/>
        <w:rPr>
          <w:color w:val="0E101A"/>
          <w:sz w:val="24"/>
          <w:szCs w:val="24"/>
        </w:rPr>
      </w:pPr>
    </w:p>
    <w:p w14:paraId="00000012" w14:textId="77777777" w:rsidR="007B4C30" w:rsidRDefault="001B292E">
      <w:pPr>
        <w:spacing w:line="480" w:lineRule="auto"/>
        <w:rPr>
          <w:color w:val="0E101A"/>
          <w:sz w:val="24"/>
          <w:szCs w:val="24"/>
        </w:rPr>
      </w:pPr>
      <w:r>
        <w:rPr>
          <w:color w:val="0E101A"/>
          <w:sz w:val="24"/>
          <w:szCs w:val="24"/>
        </w:rPr>
        <w:t xml:space="preserve">3.4 Research Strategy </w:t>
      </w:r>
    </w:p>
    <w:p w14:paraId="00000013" w14:textId="77777777" w:rsidR="007B4C30" w:rsidRDefault="001B292E">
      <w:pPr>
        <w:spacing w:line="480" w:lineRule="auto"/>
        <w:rPr>
          <w:color w:val="0E101A"/>
          <w:sz w:val="24"/>
          <w:szCs w:val="24"/>
        </w:rPr>
      </w:pPr>
      <w:r>
        <w:rPr>
          <w:color w:val="0E101A"/>
          <w:sz w:val="24"/>
          <w:szCs w:val="24"/>
        </w:rPr>
        <w:t>Questionnaires were chosen to address the research questions. Typically used to gather information on specific subjects (Rea &amp; Parker, 2014). They offer a cost-effective, quick, and efficient way to collect large a</w:t>
      </w:r>
      <w:r>
        <w:rPr>
          <w:color w:val="0E101A"/>
          <w:sz w:val="24"/>
          <w:szCs w:val="24"/>
        </w:rPr>
        <w:t>mounts of data from a broad sample (</w:t>
      </w:r>
      <w:proofErr w:type="spellStart"/>
      <w:r>
        <w:rPr>
          <w:color w:val="0E101A"/>
          <w:sz w:val="24"/>
          <w:szCs w:val="24"/>
        </w:rPr>
        <w:t>Regmi</w:t>
      </w:r>
      <w:proofErr w:type="spellEnd"/>
      <w:r>
        <w:rPr>
          <w:color w:val="0E101A"/>
          <w:sz w:val="24"/>
          <w:szCs w:val="24"/>
        </w:rPr>
        <w:t xml:space="preserve"> </w:t>
      </w:r>
      <w:r>
        <w:rPr>
          <w:i/>
          <w:color w:val="0E101A"/>
          <w:sz w:val="24"/>
          <w:szCs w:val="24"/>
        </w:rPr>
        <w:t>et al</w:t>
      </w:r>
      <w:r>
        <w:rPr>
          <w:color w:val="0E101A"/>
          <w:sz w:val="24"/>
          <w:szCs w:val="24"/>
        </w:rPr>
        <w:t>., 2016). Since the researcher does not need to be present during completion, this method is beneficial for large samples where individual interviews would be impractical (</w:t>
      </w:r>
      <w:proofErr w:type="spellStart"/>
      <w:r>
        <w:rPr>
          <w:color w:val="0E101A"/>
          <w:sz w:val="24"/>
          <w:szCs w:val="24"/>
        </w:rPr>
        <w:t>Dewaele</w:t>
      </w:r>
      <w:proofErr w:type="spellEnd"/>
      <w:r>
        <w:rPr>
          <w:color w:val="0E101A"/>
          <w:sz w:val="24"/>
          <w:szCs w:val="24"/>
        </w:rPr>
        <w:t>, 2018). However, a common iss</w:t>
      </w:r>
      <w:r>
        <w:rPr>
          <w:color w:val="0E101A"/>
          <w:sz w:val="24"/>
          <w:szCs w:val="24"/>
        </w:rPr>
        <w:t xml:space="preserve">ue with questionnaires is the potential for respondents to provide false information, which can affect data validity (Thomas, 2009). </w:t>
      </w:r>
    </w:p>
    <w:p w14:paraId="00000014" w14:textId="77777777" w:rsidR="007B4C30" w:rsidRDefault="007B4C30">
      <w:pPr>
        <w:spacing w:line="480" w:lineRule="auto"/>
        <w:rPr>
          <w:color w:val="0E101A"/>
          <w:sz w:val="24"/>
          <w:szCs w:val="24"/>
        </w:rPr>
      </w:pPr>
    </w:p>
    <w:p w14:paraId="00000015" w14:textId="77777777" w:rsidR="007B4C30" w:rsidRDefault="001B292E">
      <w:pPr>
        <w:spacing w:line="480" w:lineRule="auto"/>
        <w:rPr>
          <w:color w:val="0E101A"/>
          <w:sz w:val="24"/>
          <w:szCs w:val="24"/>
        </w:rPr>
      </w:pPr>
      <w:r>
        <w:rPr>
          <w:color w:val="0E101A"/>
          <w:sz w:val="24"/>
          <w:szCs w:val="24"/>
        </w:rPr>
        <w:t>Interviews are another widely used data collection method (Jain, 2021). Defined as a verbal conversation between two peop</w:t>
      </w:r>
      <w:r>
        <w:rPr>
          <w:color w:val="0E101A"/>
          <w:sz w:val="24"/>
          <w:szCs w:val="24"/>
        </w:rPr>
        <w:t xml:space="preserve">le to collect relevant information (Irvine, 2011), interviews allow the interviewer to delve deeper into the participant’s experiences (DiCicco-Bloom &amp; Crabtree, 2006). They are often used as follow-ups to questionnaires, based on initial responses, which </w:t>
      </w:r>
      <w:r>
        <w:rPr>
          <w:color w:val="0E101A"/>
          <w:sz w:val="24"/>
          <w:szCs w:val="24"/>
        </w:rPr>
        <w:t xml:space="preserve">is particularly valuable for research </w:t>
      </w:r>
      <w:r>
        <w:rPr>
          <w:color w:val="0E101A"/>
          <w:sz w:val="24"/>
          <w:szCs w:val="24"/>
        </w:rPr>
        <w:lastRenderedPageBreak/>
        <w:t>exploring perceptions (Irvine, 2011). Given the practicality of this research project, using questionnaires followed by interviews to gather more in-depth qualitative data was deemed the most suitable primary data coll</w:t>
      </w:r>
      <w:r>
        <w:rPr>
          <w:color w:val="0E101A"/>
          <w:sz w:val="24"/>
          <w:szCs w:val="24"/>
        </w:rPr>
        <w:t>ection method.</w:t>
      </w:r>
    </w:p>
    <w:p w14:paraId="00000016" w14:textId="77777777" w:rsidR="007B4C30" w:rsidRDefault="007B4C30">
      <w:pPr>
        <w:spacing w:line="480" w:lineRule="auto"/>
        <w:rPr>
          <w:color w:val="0E101A"/>
          <w:sz w:val="24"/>
          <w:szCs w:val="24"/>
        </w:rPr>
      </w:pPr>
    </w:p>
    <w:p w14:paraId="00000017" w14:textId="77777777" w:rsidR="007B4C30" w:rsidRDefault="001B292E">
      <w:pPr>
        <w:spacing w:line="480" w:lineRule="auto"/>
        <w:rPr>
          <w:color w:val="0E101A"/>
          <w:sz w:val="24"/>
          <w:szCs w:val="24"/>
        </w:rPr>
      </w:pPr>
      <w:r>
        <w:rPr>
          <w:color w:val="0E101A"/>
          <w:sz w:val="24"/>
          <w:szCs w:val="24"/>
        </w:rPr>
        <w:t>Semi-structured interviews were chosen for this study. Participants were interviewed using a guide of questions (Refer to Appendix __). According to Brinkman (2014), semi-structured interview questions are pre-planned beforehand, however, t</w:t>
      </w:r>
      <w:r>
        <w:rPr>
          <w:color w:val="0E101A"/>
          <w:sz w:val="24"/>
          <w:szCs w:val="24"/>
        </w:rPr>
        <w:t xml:space="preserve">he answers provided by the participants are open-ended and unstructured. This format was selected to avoid being restricted to certain questions and to allow for follow-up questions if interesting data emerged (Petrescu </w:t>
      </w:r>
      <w:r>
        <w:rPr>
          <w:i/>
          <w:color w:val="0E101A"/>
          <w:sz w:val="24"/>
          <w:szCs w:val="24"/>
        </w:rPr>
        <w:t>et al</w:t>
      </w:r>
      <w:r>
        <w:rPr>
          <w:color w:val="0E101A"/>
          <w:sz w:val="24"/>
          <w:szCs w:val="24"/>
        </w:rPr>
        <w:t>., 2017). One disadvantage of s</w:t>
      </w:r>
      <w:r>
        <w:rPr>
          <w:color w:val="0E101A"/>
          <w:sz w:val="24"/>
          <w:szCs w:val="24"/>
        </w:rPr>
        <w:t>emi-structured interviews is the potential for interviewer bias (</w:t>
      </w:r>
      <w:proofErr w:type="spellStart"/>
      <w:r>
        <w:rPr>
          <w:color w:val="0E101A"/>
          <w:sz w:val="24"/>
          <w:szCs w:val="24"/>
        </w:rPr>
        <w:t>Ruslin</w:t>
      </w:r>
      <w:proofErr w:type="spellEnd"/>
      <w:r>
        <w:rPr>
          <w:color w:val="0E101A"/>
          <w:sz w:val="24"/>
          <w:szCs w:val="24"/>
        </w:rPr>
        <w:t xml:space="preserve"> </w:t>
      </w:r>
      <w:r>
        <w:rPr>
          <w:i/>
          <w:color w:val="0E101A"/>
          <w:sz w:val="24"/>
          <w:szCs w:val="24"/>
        </w:rPr>
        <w:t>et al</w:t>
      </w:r>
      <w:r>
        <w:rPr>
          <w:color w:val="0E101A"/>
          <w:sz w:val="24"/>
          <w:szCs w:val="24"/>
        </w:rPr>
        <w:t>., 2022).</w:t>
      </w:r>
    </w:p>
    <w:p w14:paraId="00000018" w14:textId="77777777" w:rsidR="007B4C30" w:rsidRDefault="007B4C30">
      <w:pPr>
        <w:spacing w:line="480" w:lineRule="auto"/>
        <w:rPr>
          <w:color w:val="0E101A"/>
          <w:sz w:val="24"/>
          <w:szCs w:val="24"/>
        </w:rPr>
      </w:pPr>
    </w:p>
    <w:p w14:paraId="00000019" w14:textId="77777777" w:rsidR="007B4C30" w:rsidRDefault="001B292E">
      <w:pPr>
        <w:spacing w:line="480" w:lineRule="auto"/>
        <w:rPr>
          <w:color w:val="0E101A"/>
          <w:sz w:val="24"/>
          <w:szCs w:val="24"/>
        </w:rPr>
      </w:pPr>
      <w:r>
        <w:rPr>
          <w:color w:val="0E101A"/>
          <w:sz w:val="24"/>
          <w:szCs w:val="24"/>
        </w:rPr>
        <w:t xml:space="preserve">3.5 Sampling </w:t>
      </w:r>
    </w:p>
    <w:p w14:paraId="0000001A" w14:textId="5BA3605B" w:rsidR="007B4C30" w:rsidRDefault="001B292E">
      <w:pPr>
        <w:spacing w:line="480" w:lineRule="auto"/>
        <w:rPr>
          <w:color w:val="0E101A"/>
          <w:sz w:val="24"/>
          <w:szCs w:val="24"/>
        </w:rPr>
      </w:pPr>
      <w:r>
        <w:rPr>
          <w:color w:val="0E101A"/>
          <w:sz w:val="24"/>
          <w:szCs w:val="24"/>
        </w:rPr>
        <w:t>To be involved in this study, the following criteria were used for selecting participants.</w:t>
      </w:r>
      <w:r>
        <w:rPr>
          <w:color w:val="0E101A"/>
          <w:sz w:val="24"/>
          <w:szCs w:val="24"/>
        </w:rPr>
        <w:t xml:space="preserve"> </w:t>
      </w:r>
    </w:p>
    <w:p w14:paraId="0000001B" w14:textId="77777777" w:rsidR="007B4C30" w:rsidRDefault="001B292E">
      <w:pPr>
        <w:spacing w:line="480" w:lineRule="auto"/>
        <w:rPr>
          <w:color w:val="0E101A"/>
          <w:sz w:val="24"/>
          <w:szCs w:val="24"/>
        </w:rPr>
      </w:pPr>
      <w:r>
        <w:rPr>
          <w:color w:val="0E101A"/>
          <w:sz w:val="24"/>
          <w:szCs w:val="24"/>
        </w:rPr>
        <w:t xml:space="preserve">a) must be a police officer, </w:t>
      </w:r>
    </w:p>
    <w:p w14:paraId="0000001C" w14:textId="77777777" w:rsidR="007B4C30" w:rsidRDefault="001B292E">
      <w:pPr>
        <w:spacing w:line="480" w:lineRule="auto"/>
        <w:rPr>
          <w:color w:val="0E101A"/>
          <w:sz w:val="24"/>
          <w:szCs w:val="24"/>
        </w:rPr>
      </w:pPr>
      <w:r>
        <w:rPr>
          <w:color w:val="0E101A"/>
          <w:sz w:val="24"/>
          <w:szCs w:val="24"/>
        </w:rPr>
        <w:t>b) actively engaged in the serv</w:t>
      </w:r>
      <w:r>
        <w:rPr>
          <w:color w:val="0E101A"/>
          <w:sz w:val="24"/>
          <w:szCs w:val="24"/>
        </w:rPr>
        <w:t xml:space="preserve">ice, </w:t>
      </w:r>
    </w:p>
    <w:p w14:paraId="0000001D" w14:textId="77777777" w:rsidR="007B4C30" w:rsidRDefault="001B292E">
      <w:pPr>
        <w:spacing w:line="480" w:lineRule="auto"/>
        <w:rPr>
          <w:color w:val="0E101A"/>
          <w:sz w:val="24"/>
          <w:szCs w:val="24"/>
        </w:rPr>
      </w:pPr>
      <w:r>
        <w:rPr>
          <w:color w:val="0E101A"/>
          <w:sz w:val="24"/>
          <w:szCs w:val="24"/>
        </w:rPr>
        <w:t xml:space="preserve">c) be 18 years and above, and </w:t>
      </w:r>
    </w:p>
    <w:p w14:paraId="0000001E" w14:textId="4B0A6C51" w:rsidR="007B4C30" w:rsidRDefault="001B292E">
      <w:pPr>
        <w:spacing w:line="480" w:lineRule="auto"/>
        <w:rPr>
          <w:color w:val="0E101A"/>
          <w:sz w:val="24"/>
          <w:szCs w:val="24"/>
        </w:rPr>
      </w:pPr>
      <w:r>
        <w:rPr>
          <w:color w:val="0E101A"/>
          <w:sz w:val="24"/>
          <w:szCs w:val="24"/>
        </w:rPr>
        <w:t xml:space="preserve">d) be in a stable state of mind and health. </w:t>
      </w:r>
    </w:p>
    <w:p w14:paraId="0000001F" w14:textId="77777777" w:rsidR="007B4C30" w:rsidRDefault="001B292E">
      <w:pPr>
        <w:spacing w:line="480" w:lineRule="auto"/>
        <w:rPr>
          <w:color w:val="0E101A"/>
          <w:sz w:val="24"/>
          <w:szCs w:val="24"/>
        </w:rPr>
      </w:pPr>
      <w:r>
        <w:rPr>
          <w:color w:val="0E101A"/>
          <w:sz w:val="24"/>
          <w:szCs w:val="24"/>
        </w:rPr>
        <w:t>For this research project, non-probability sampling was employed due to convenience sampling, which involves selecting participants who are readily available and willing to participate (Rahman, 2023). While non-probability sampling often results in samples</w:t>
      </w:r>
      <w:r>
        <w:rPr>
          <w:color w:val="0E101A"/>
          <w:sz w:val="24"/>
          <w:szCs w:val="24"/>
        </w:rPr>
        <w:t xml:space="preserve"> that are not fully representative of the entire population, it was the most feasible option for this study given police officers' tight schedules, the </w:t>
      </w:r>
      <w:r>
        <w:rPr>
          <w:color w:val="0E101A"/>
          <w:sz w:val="24"/>
          <w:szCs w:val="24"/>
        </w:rPr>
        <w:lastRenderedPageBreak/>
        <w:t>sensitive nature of the topic, the small scale of the study, and the lack of funding (Schreuder, 2001).</w:t>
      </w:r>
    </w:p>
    <w:p w14:paraId="00000020" w14:textId="77777777" w:rsidR="007B4C30" w:rsidRDefault="007B4C30">
      <w:pPr>
        <w:spacing w:line="480" w:lineRule="auto"/>
        <w:rPr>
          <w:color w:val="0E101A"/>
          <w:sz w:val="24"/>
          <w:szCs w:val="24"/>
        </w:rPr>
      </w:pPr>
    </w:p>
    <w:p w14:paraId="00000021" w14:textId="77777777" w:rsidR="007B4C30" w:rsidRDefault="001B292E">
      <w:pPr>
        <w:spacing w:line="480" w:lineRule="auto"/>
        <w:rPr>
          <w:color w:val="0E101A"/>
          <w:sz w:val="24"/>
          <w:szCs w:val="24"/>
        </w:rPr>
      </w:pPr>
      <w:r>
        <w:rPr>
          <w:color w:val="0E101A"/>
          <w:sz w:val="24"/>
          <w:szCs w:val="24"/>
        </w:rPr>
        <w:t xml:space="preserve">3.5.1 Sample Size </w:t>
      </w:r>
    </w:p>
    <w:p w14:paraId="00000022" w14:textId="77777777" w:rsidR="007B4C30" w:rsidRDefault="001B292E">
      <w:pPr>
        <w:spacing w:line="480" w:lineRule="auto"/>
        <w:rPr>
          <w:color w:val="0E101A"/>
          <w:sz w:val="24"/>
          <w:szCs w:val="24"/>
        </w:rPr>
      </w:pPr>
      <w:r>
        <w:rPr>
          <w:color w:val="0E101A"/>
          <w:sz w:val="24"/>
          <w:szCs w:val="24"/>
        </w:rPr>
        <w:t>Fifty questionnaires were distributed to various police officers in Gwent Police. The goal was to achieve a 50% response rate or approximately twenty or more completed questionnaires. All participants were aged between 25 and 50. Additi</w:t>
      </w:r>
      <w:r>
        <w:rPr>
          <w:color w:val="0E101A"/>
          <w:sz w:val="24"/>
          <w:szCs w:val="24"/>
        </w:rPr>
        <w:t>onally, semi-structured interviews were conducted with four police officers all aged between 28 to 39.</w:t>
      </w:r>
    </w:p>
    <w:p w14:paraId="00000023" w14:textId="77777777" w:rsidR="007B4C30" w:rsidRDefault="007B4C30">
      <w:pPr>
        <w:spacing w:line="480" w:lineRule="auto"/>
        <w:rPr>
          <w:color w:val="0E101A"/>
          <w:sz w:val="24"/>
          <w:szCs w:val="24"/>
        </w:rPr>
      </w:pPr>
    </w:p>
    <w:p w14:paraId="00000024" w14:textId="77777777" w:rsidR="007B4C30" w:rsidRDefault="001B292E">
      <w:pPr>
        <w:spacing w:line="480" w:lineRule="auto"/>
        <w:rPr>
          <w:color w:val="0E101A"/>
          <w:sz w:val="24"/>
          <w:szCs w:val="24"/>
        </w:rPr>
      </w:pPr>
      <w:r>
        <w:rPr>
          <w:color w:val="0E101A"/>
          <w:sz w:val="24"/>
          <w:szCs w:val="24"/>
        </w:rPr>
        <w:t xml:space="preserve">3.6 Data Collection Procedure </w:t>
      </w:r>
    </w:p>
    <w:p w14:paraId="00000025" w14:textId="77777777" w:rsidR="007B4C30" w:rsidRDefault="001B292E">
      <w:pPr>
        <w:spacing w:line="480" w:lineRule="auto"/>
        <w:rPr>
          <w:color w:val="0E101A"/>
          <w:sz w:val="24"/>
          <w:szCs w:val="24"/>
        </w:rPr>
      </w:pPr>
      <w:r>
        <w:rPr>
          <w:color w:val="0E101A"/>
          <w:sz w:val="24"/>
          <w:szCs w:val="24"/>
        </w:rPr>
        <w:t>Questionnaires were distributed online using a survey platform. Participants were invited via email to complete the quest</w:t>
      </w:r>
      <w:r>
        <w:rPr>
          <w:color w:val="0E101A"/>
          <w:sz w:val="24"/>
          <w:szCs w:val="24"/>
        </w:rPr>
        <w:t xml:space="preserve">ionnaire. Participation was voluntary, and respondents were assured of their anonymity and the confidentiality of their responses. Interviews were conducted </w:t>
      </w:r>
      <w:proofErr w:type="gramStart"/>
      <w:r>
        <w:rPr>
          <w:color w:val="0E101A"/>
          <w:sz w:val="24"/>
          <w:szCs w:val="24"/>
        </w:rPr>
        <w:t>face-to-face</w:t>
      </w:r>
      <w:proofErr w:type="gramEnd"/>
      <w:r>
        <w:rPr>
          <w:color w:val="0E101A"/>
          <w:sz w:val="24"/>
          <w:szCs w:val="24"/>
        </w:rPr>
        <w:t xml:space="preserve"> and each interview lasted approximately 45-60 minutes. They were audio recorded with p</w:t>
      </w:r>
      <w:r>
        <w:rPr>
          <w:color w:val="0E101A"/>
          <w:sz w:val="24"/>
          <w:szCs w:val="24"/>
        </w:rPr>
        <w:t>articipants' knowledge and later transcribed electronically.</w:t>
      </w:r>
    </w:p>
    <w:p w14:paraId="00000026" w14:textId="77777777" w:rsidR="007B4C30" w:rsidRDefault="007B4C30">
      <w:pPr>
        <w:spacing w:line="480" w:lineRule="auto"/>
        <w:rPr>
          <w:color w:val="0E101A"/>
          <w:sz w:val="24"/>
          <w:szCs w:val="24"/>
        </w:rPr>
      </w:pPr>
    </w:p>
    <w:p w14:paraId="00000027" w14:textId="77777777" w:rsidR="007B4C30" w:rsidRDefault="001B292E">
      <w:pPr>
        <w:spacing w:line="480" w:lineRule="auto"/>
        <w:rPr>
          <w:color w:val="0E101A"/>
          <w:sz w:val="24"/>
          <w:szCs w:val="24"/>
        </w:rPr>
      </w:pPr>
      <w:r>
        <w:rPr>
          <w:color w:val="0E101A"/>
          <w:sz w:val="24"/>
          <w:szCs w:val="24"/>
        </w:rPr>
        <w:t xml:space="preserve">3.7 Validity and Reliability </w:t>
      </w:r>
    </w:p>
    <w:p w14:paraId="00000028" w14:textId="77777777" w:rsidR="007B4C30" w:rsidRDefault="001B292E">
      <w:pPr>
        <w:spacing w:line="480" w:lineRule="auto"/>
        <w:rPr>
          <w:color w:val="0E101A"/>
          <w:sz w:val="24"/>
          <w:szCs w:val="24"/>
        </w:rPr>
      </w:pPr>
      <w:r>
        <w:rPr>
          <w:color w:val="0E101A"/>
          <w:sz w:val="24"/>
          <w:szCs w:val="24"/>
        </w:rPr>
        <w:t>Reliability refers to the consistency of a measurement tool, specifically whether it produces the same results when used multiple times (Cook &amp; Beckman, 2006; Kimbe</w:t>
      </w:r>
      <w:r>
        <w:rPr>
          <w:color w:val="0E101A"/>
          <w:sz w:val="24"/>
          <w:szCs w:val="24"/>
        </w:rPr>
        <w:t xml:space="preserve">rlin &amp; </w:t>
      </w:r>
      <w:proofErr w:type="spellStart"/>
      <w:r>
        <w:rPr>
          <w:color w:val="0E101A"/>
          <w:sz w:val="24"/>
          <w:szCs w:val="24"/>
        </w:rPr>
        <w:t>Winterstein</w:t>
      </w:r>
      <w:proofErr w:type="spellEnd"/>
      <w:r>
        <w:rPr>
          <w:color w:val="0E101A"/>
          <w:sz w:val="24"/>
          <w:szCs w:val="24"/>
        </w:rPr>
        <w:t xml:space="preserve">, 2008; </w:t>
      </w:r>
      <w:proofErr w:type="spellStart"/>
      <w:r>
        <w:rPr>
          <w:color w:val="0E101A"/>
          <w:sz w:val="24"/>
          <w:szCs w:val="24"/>
        </w:rPr>
        <w:t>Zohrabi</w:t>
      </w:r>
      <w:proofErr w:type="spellEnd"/>
      <w:r>
        <w:rPr>
          <w:color w:val="0E101A"/>
          <w:sz w:val="24"/>
          <w:szCs w:val="24"/>
        </w:rPr>
        <w:t>, 2013). In other words, it indicates the extent to which repeated applications of the same method produce identical outcomes. Validity concerns the degree to which your findings accurately reflect the data you are measurin</w:t>
      </w:r>
      <w:r>
        <w:rPr>
          <w:color w:val="0E101A"/>
          <w:sz w:val="24"/>
          <w:szCs w:val="24"/>
        </w:rPr>
        <w:t>g (</w:t>
      </w:r>
      <w:proofErr w:type="spellStart"/>
      <w:r>
        <w:rPr>
          <w:color w:val="0E101A"/>
          <w:sz w:val="24"/>
          <w:szCs w:val="24"/>
        </w:rPr>
        <w:t>MacKenzie</w:t>
      </w:r>
      <w:proofErr w:type="spellEnd"/>
      <w:r>
        <w:rPr>
          <w:color w:val="0E101A"/>
          <w:sz w:val="24"/>
          <w:szCs w:val="24"/>
        </w:rPr>
        <w:t xml:space="preserve"> </w:t>
      </w:r>
      <w:r>
        <w:rPr>
          <w:i/>
          <w:color w:val="0E101A"/>
          <w:sz w:val="24"/>
          <w:szCs w:val="24"/>
        </w:rPr>
        <w:t>et al</w:t>
      </w:r>
      <w:r>
        <w:rPr>
          <w:color w:val="0E101A"/>
          <w:sz w:val="24"/>
          <w:szCs w:val="24"/>
        </w:rPr>
        <w:t xml:space="preserve">., 2011; Kimberlin &amp; </w:t>
      </w:r>
      <w:proofErr w:type="spellStart"/>
      <w:r>
        <w:rPr>
          <w:color w:val="0E101A"/>
          <w:sz w:val="24"/>
          <w:szCs w:val="24"/>
        </w:rPr>
        <w:t>Winterstein</w:t>
      </w:r>
      <w:proofErr w:type="spellEnd"/>
      <w:r>
        <w:rPr>
          <w:color w:val="0E101A"/>
          <w:sz w:val="24"/>
          <w:szCs w:val="24"/>
        </w:rPr>
        <w:t xml:space="preserve">, 2008). Both validity </w:t>
      </w:r>
      <w:r>
        <w:rPr>
          <w:color w:val="0E101A"/>
          <w:sz w:val="24"/>
          <w:szCs w:val="24"/>
        </w:rPr>
        <w:lastRenderedPageBreak/>
        <w:t>and reliability are crucial for research; without validity, the research lacks value (Noble &amp; Smith, 2015). For research and data to be valid, there must be a sound rationale behind t</w:t>
      </w:r>
      <w:r>
        <w:rPr>
          <w:color w:val="0E101A"/>
          <w:sz w:val="24"/>
          <w:szCs w:val="24"/>
        </w:rPr>
        <w:t xml:space="preserve">he questions being asked (Brod, </w:t>
      </w:r>
      <w:proofErr w:type="spellStart"/>
      <w:r>
        <w:rPr>
          <w:color w:val="0E101A"/>
          <w:sz w:val="24"/>
          <w:szCs w:val="24"/>
        </w:rPr>
        <w:t>Tesler</w:t>
      </w:r>
      <w:proofErr w:type="spellEnd"/>
      <w:r>
        <w:rPr>
          <w:color w:val="0E101A"/>
          <w:sz w:val="24"/>
          <w:szCs w:val="24"/>
        </w:rPr>
        <w:t xml:space="preserve"> &amp; Christensen, 2009).</w:t>
      </w:r>
    </w:p>
    <w:p w14:paraId="00000029" w14:textId="77777777" w:rsidR="007B4C30" w:rsidRDefault="007B4C30">
      <w:pPr>
        <w:spacing w:line="480" w:lineRule="auto"/>
        <w:rPr>
          <w:color w:val="0E101A"/>
          <w:sz w:val="24"/>
          <w:szCs w:val="24"/>
        </w:rPr>
      </w:pPr>
    </w:p>
    <w:p w14:paraId="0000002A" w14:textId="77777777" w:rsidR="007B4C30" w:rsidRDefault="001B292E">
      <w:pPr>
        <w:spacing w:line="480" w:lineRule="auto"/>
        <w:rPr>
          <w:color w:val="0E101A"/>
          <w:sz w:val="24"/>
          <w:szCs w:val="24"/>
        </w:rPr>
      </w:pPr>
      <w:r>
        <w:rPr>
          <w:color w:val="0E101A"/>
          <w:sz w:val="24"/>
          <w:szCs w:val="24"/>
        </w:rPr>
        <w:t xml:space="preserve">3.8 Ethical Considerations </w:t>
      </w:r>
    </w:p>
    <w:p w14:paraId="0000002B" w14:textId="61834164" w:rsidR="007B4C30" w:rsidRDefault="001B292E">
      <w:pPr>
        <w:spacing w:line="480" w:lineRule="auto"/>
        <w:rPr>
          <w:color w:val="0E101A"/>
          <w:sz w:val="24"/>
          <w:szCs w:val="24"/>
        </w:rPr>
      </w:pPr>
      <w:r>
        <w:rPr>
          <w:color w:val="0E101A"/>
          <w:sz w:val="24"/>
          <w:szCs w:val="24"/>
        </w:rPr>
        <w:t>This study will involve police officers from the UK with specific reference to Gwent Police. This study adhered to the ethical guidelines set forth by the British Edu</w:t>
      </w:r>
      <w:r>
        <w:rPr>
          <w:color w:val="0E101A"/>
          <w:sz w:val="24"/>
          <w:szCs w:val="24"/>
        </w:rPr>
        <w:t>cational Research Association (BERA, 2018</w:t>
      </w:r>
      <w:r>
        <w:rPr>
          <w:color w:val="0E101A"/>
          <w:sz w:val="24"/>
          <w:szCs w:val="24"/>
        </w:rPr>
        <w:t>). Ethics in research involve maintaining values and morals during data collection and dissemination of findings (Bell &amp; Waters, 2018). Key ethical considerations include ensuring the confidentiality of data and pre</w:t>
      </w:r>
      <w:r>
        <w:rPr>
          <w:color w:val="0E101A"/>
          <w:sz w:val="24"/>
          <w:szCs w:val="24"/>
        </w:rPr>
        <w:t>serving participant anonymity (Bell &amp; Waters, 2018). Bryman and Bell (2007) emphasise that research ethics hinge on the agreement between the researcher and participants. For this research project, an ethics form was completed and signed by all relevant pa</w:t>
      </w:r>
      <w:r>
        <w:rPr>
          <w:color w:val="0E101A"/>
          <w:sz w:val="24"/>
          <w:szCs w:val="24"/>
        </w:rPr>
        <w:t xml:space="preserve">rties (see Appendix ___).  </w:t>
      </w:r>
    </w:p>
    <w:p w14:paraId="0000002C" w14:textId="77777777" w:rsidR="007B4C30" w:rsidRDefault="007B4C30">
      <w:pPr>
        <w:spacing w:line="480" w:lineRule="auto"/>
        <w:rPr>
          <w:color w:val="0E101A"/>
          <w:sz w:val="24"/>
          <w:szCs w:val="24"/>
        </w:rPr>
      </w:pPr>
    </w:p>
    <w:p w14:paraId="0000002D" w14:textId="77777777" w:rsidR="007B4C30" w:rsidRDefault="001B292E">
      <w:pPr>
        <w:spacing w:line="480" w:lineRule="auto"/>
        <w:rPr>
          <w:color w:val="0E101A"/>
          <w:sz w:val="24"/>
          <w:szCs w:val="24"/>
        </w:rPr>
      </w:pPr>
      <w:r>
        <w:rPr>
          <w:color w:val="0E101A"/>
          <w:sz w:val="24"/>
          <w:szCs w:val="24"/>
        </w:rPr>
        <w:t>3.8.1 Informed Consent and Right to Withdraw</w:t>
      </w:r>
    </w:p>
    <w:p w14:paraId="0000002F" w14:textId="1BC9192D" w:rsidR="007B4C30" w:rsidRDefault="001B292E">
      <w:pPr>
        <w:spacing w:line="480" w:lineRule="auto"/>
        <w:rPr>
          <w:color w:val="0E101A"/>
          <w:sz w:val="24"/>
          <w:szCs w:val="24"/>
        </w:rPr>
      </w:pPr>
      <w:r>
        <w:rPr>
          <w:color w:val="0E101A"/>
          <w:sz w:val="24"/>
          <w:szCs w:val="24"/>
        </w:rPr>
        <w:t>Informed consent involves participants fully understanding and agreeing to their involvement in the research (BERA, 2018</w:t>
      </w:r>
      <w:r>
        <w:rPr>
          <w:color w:val="0E101A"/>
          <w:sz w:val="24"/>
          <w:szCs w:val="24"/>
        </w:rPr>
        <w:t>). Participants must be provided with detailed information abo</w:t>
      </w:r>
      <w:r>
        <w:rPr>
          <w:color w:val="0E101A"/>
          <w:sz w:val="24"/>
          <w:szCs w:val="24"/>
        </w:rPr>
        <w:t xml:space="preserve">ut the research, including its purpose, their role, and their rights. A consent letter (see Appendix __) explains these rights, including the right to withdraw from the study at any time without needing to provide a reason. If a participant withdraws, all </w:t>
      </w:r>
      <w:r>
        <w:rPr>
          <w:color w:val="0E101A"/>
          <w:sz w:val="24"/>
          <w:szCs w:val="24"/>
        </w:rPr>
        <w:t>their data will be promptly destroyed and not used in the dissertation.</w:t>
      </w:r>
      <w:r>
        <w:rPr>
          <w:color w:val="0E101A"/>
          <w:sz w:val="24"/>
          <w:szCs w:val="24"/>
        </w:rPr>
        <w:br/>
      </w:r>
    </w:p>
    <w:p w14:paraId="00000030" w14:textId="77777777" w:rsidR="007B4C30" w:rsidRDefault="001B292E">
      <w:pPr>
        <w:spacing w:line="480" w:lineRule="auto"/>
        <w:rPr>
          <w:color w:val="0E101A"/>
          <w:sz w:val="24"/>
          <w:szCs w:val="24"/>
        </w:rPr>
      </w:pPr>
      <w:r>
        <w:rPr>
          <w:color w:val="0E101A"/>
          <w:sz w:val="24"/>
          <w:szCs w:val="24"/>
        </w:rPr>
        <w:t>3.8.2 Confidentiality and Privacy</w:t>
      </w:r>
    </w:p>
    <w:p w14:paraId="00000031" w14:textId="77777777" w:rsidR="007B4C30" w:rsidRDefault="001B292E">
      <w:pPr>
        <w:spacing w:line="480" w:lineRule="auto"/>
        <w:rPr>
          <w:color w:val="0E101A"/>
          <w:sz w:val="24"/>
          <w:szCs w:val="24"/>
        </w:rPr>
      </w:pPr>
      <w:r>
        <w:rPr>
          <w:color w:val="0E101A"/>
          <w:sz w:val="24"/>
          <w:szCs w:val="24"/>
        </w:rPr>
        <w:lastRenderedPageBreak/>
        <w:t>To maintain confidentiality, participant names will be anonymized (e.g., referred to as 'participant 1'). Interviews were recorded with participant c</w:t>
      </w:r>
      <w:r>
        <w:rPr>
          <w:color w:val="0E101A"/>
          <w:sz w:val="24"/>
          <w:szCs w:val="24"/>
        </w:rPr>
        <w:t>onsent, and participants were assured that recordings would be destroyed after transcription.</w:t>
      </w:r>
    </w:p>
    <w:p w14:paraId="00000032" w14:textId="77777777" w:rsidR="007B4C30" w:rsidRDefault="007B4C30">
      <w:pPr>
        <w:spacing w:line="480" w:lineRule="auto"/>
        <w:rPr>
          <w:color w:val="0E101A"/>
          <w:sz w:val="24"/>
          <w:szCs w:val="24"/>
        </w:rPr>
      </w:pPr>
    </w:p>
    <w:p w14:paraId="00000033" w14:textId="77777777" w:rsidR="007B4C30" w:rsidRDefault="001B292E">
      <w:pPr>
        <w:spacing w:line="480" w:lineRule="auto"/>
        <w:rPr>
          <w:color w:val="0E101A"/>
          <w:sz w:val="24"/>
          <w:szCs w:val="24"/>
        </w:rPr>
      </w:pPr>
      <w:r>
        <w:rPr>
          <w:color w:val="0E101A"/>
          <w:sz w:val="24"/>
          <w:szCs w:val="24"/>
        </w:rPr>
        <w:t>3.9 Limitations</w:t>
      </w:r>
    </w:p>
    <w:p w14:paraId="00000034" w14:textId="77777777" w:rsidR="007B4C30" w:rsidRDefault="001B292E">
      <w:pPr>
        <w:spacing w:line="480" w:lineRule="auto"/>
        <w:rPr>
          <w:color w:val="0E101A"/>
          <w:sz w:val="24"/>
          <w:szCs w:val="24"/>
        </w:rPr>
      </w:pPr>
      <w:r>
        <w:rPr>
          <w:color w:val="0E101A"/>
          <w:sz w:val="24"/>
          <w:szCs w:val="24"/>
        </w:rPr>
        <w:t>It is important to acknowledge the limitations of the study, which include potential response bias, the limitations of self-reported data, and th</w:t>
      </w:r>
      <w:r>
        <w:rPr>
          <w:color w:val="0E101A"/>
          <w:sz w:val="24"/>
          <w:szCs w:val="24"/>
        </w:rPr>
        <w:t>e generalisability of the findings to other populations. Additionally, the qualitative findings are not generalisable but provide in-depth insights that complement the quantitative results.</w:t>
      </w:r>
    </w:p>
    <w:p w14:paraId="00000035" w14:textId="77777777" w:rsidR="007B4C30" w:rsidRDefault="007B4C30">
      <w:pPr>
        <w:spacing w:line="480" w:lineRule="auto"/>
        <w:rPr>
          <w:color w:val="0E101A"/>
          <w:sz w:val="24"/>
          <w:szCs w:val="24"/>
        </w:rPr>
      </w:pPr>
    </w:p>
    <w:p w14:paraId="00000036" w14:textId="77777777" w:rsidR="007B4C30" w:rsidRDefault="001B292E">
      <w:pPr>
        <w:spacing w:line="480" w:lineRule="auto"/>
        <w:rPr>
          <w:color w:val="0E101A"/>
          <w:sz w:val="24"/>
          <w:szCs w:val="24"/>
        </w:rPr>
      </w:pPr>
      <w:r>
        <w:rPr>
          <w:color w:val="0E101A"/>
          <w:sz w:val="24"/>
          <w:szCs w:val="24"/>
        </w:rPr>
        <w:t>3.10 Analysis of Data</w:t>
      </w:r>
    </w:p>
    <w:p w14:paraId="00000037" w14:textId="77777777" w:rsidR="007B4C30" w:rsidRDefault="001B292E">
      <w:pPr>
        <w:spacing w:line="480" w:lineRule="auto"/>
        <w:rPr>
          <w:color w:val="0E101A"/>
          <w:sz w:val="24"/>
          <w:szCs w:val="24"/>
        </w:rPr>
      </w:pPr>
      <w:r>
        <w:rPr>
          <w:color w:val="0E101A"/>
          <w:sz w:val="24"/>
          <w:szCs w:val="24"/>
        </w:rPr>
        <w:t>Initial analysis of the questionnaire revea</w:t>
      </w:r>
      <w:r>
        <w:rPr>
          <w:color w:val="0E101A"/>
          <w:sz w:val="24"/>
          <w:szCs w:val="24"/>
        </w:rPr>
        <w:t xml:space="preserve">led that many questions were overly simplistic and did not yield in-depth responses. Therefore, the decision was made to reduce the number of questions and conduct follow-up interviews for more detailed insights to obtain richer data. Following completion </w:t>
      </w:r>
      <w:r>
        <w:rPr>
          <w:color w:val="0E101A"/>
          <w:sz w:val="24"/>
          <w:szCs w:val="24"/>
        </w:rPr>
        <w:t>of four interviews, transcripts were generated (see Appendix ___). A thematic analysis was conducted to identify recurring themes and align responses with specific research questions. Direct quotes from police officers that closely related to each research</w:t>
      </w:r>
      <w:r>
        <w:rPr>
          <w:color w:val="0E101A"/>
          <w:sz w:val="24"/>
          <w:szCs w:val="24"/>
        </w:rPr>
        <w:t xml:space="preserve"> question were extracted to enrich the discussion and results chapters, ensuring clarity and relevance to the study's objectives.</w:t>
      </w:r>
    </w:p>
    <w:p w14:paraId="00000038" w14:textId="77777777" w:rsidR="007B4C30" w:rsidRDefault="007B4C30">
      <w:pPr>
        <w:spacing w:before="120" w:line="480" w:lineRule="auto"/>
        <w:rPr>
          <w:color w:val="222222"/>
          <w:sz w:val="24"/>
          <w:szCs w:val="24"/>
        </w:rPr>
      </w:pPr>
    </w:p>
    <w:p w14:paraId="452249E4" w14:textId="77777777" w:rsidR="001B292E" w:rsidRDefault="001B292E">
      <w:pPr>
        <w:spacing w:before="120" w:line="480" w:lineRule="auto"/>
        <w:rPr>
          <w:color w:val="222222"/>
          <w:sz w:val="24"/>
          <w:szCs w:val="24"/>
        </w:rPr>
      </w:pPr>
    </w:p>
    <w:p w14:paraId="04BA35C3" w14:textId="77777777" w:rsidR="001B292E" w:rsidRDefault="001B292E">
      <w:pPr>
        <w:spacing w:before="120" w:line="480" w:lineRule="auto"/>
        <w:rPr>
          <w:color w:val="222222"/>
          <w:sz w:val="24"/>
          <w:szCs w:val="24"/>
        </w:rPr>
      </w:pPr>
    </w:p>
    <w:p w14:paraId="6D6E058F" w14:textId="77777777" w:rsidR="001B292E" w:rsidRDefault="001B292E">
      <w:pPr>
        <w:spacing w:before="120" w:line="480" w:lineRule="auto"/>
        <w:rPr>
          <w:color w:val="222222"/>
          <w:sz w:val="24"/>
          <w:szCs w:val="24"/>
        </w:rPr>
      </w:pPr>
    </w:p>
    <w:p w14:paraId="00000039" w14:textId="77777777" w:rsidR="007B4C30" w:rsidRDefault="001B292E">
      <w:pPr>
        <w:spacing w:before="120" w:line="480" w:lineRule="auto"/>
        <w:rPr>
          <w:color w:val="222222"/>
          <w:sz w:val="24"/>
          <w:szCs w:val="24"/>
        </w:rPr>
      </w:pPr>
      <w:r>
        <w:rPr>
          <w:color w:val="222222"/>
          <w:sz w:val="24"/>
          <w:szCs w:val="24"/>
        </w:rPr>
        <w:lastRenderedPageBreak/>
        <w:t>Reference List</w:t>
      </w:r>
    </w:p>
    <w:p w14:paraId="2F6AE55C" w14:textId="7CDE53D9" w:rsidR="001B292E" w:rsidRPr="001B292E" w:rsidRDefault="001B292E">
      <w:pPr>
        <w:spacing w:before="120" w:line="480" w:lineRule="auto"/>
        <w:rPr>
          <w:color w:val="222222"/>
          <w:sz w:val="24"/>
          <w:szCs w:val="24"/>
          <w:highlight w:val="white"/>
        </w:rPr>
      </w:pPr>
      <w:r w:rsidRPr="001B292E">
        <w:rPr>
          <w:color w:val="222222"/>
          <w:sz w:val="24"/>
          <w:szCs w:val="24"/>
          <w:highlight w:val="white"/>
        </w:rPr>
        <w:t xml:space="preserve">BERA. (2018). </w:t>
      </w:r>
      <w:r w:rsidRPr="001B292E">
        <w:rPr>
          <w:i/>
          <w:iCs/>
          <w:color w:val="222222"/>
          <w:sz w:val="24"/>
          <w:szCs w:val="24"/>
          <w:highlight w:val="white"/>
        </w:rPr>
        <w:t xml:space="preserve">Ethical Guidance for Educational Research, fourth edition (2018). </w:t>
      </w:r>
      <w:r w:rsidRPr="001B292E">
        <w:rPr>
          <w:color w:val="222222"/>
          <w:sz w:val="24"/>
          <w:szCs w:val="24"/>
          <w:highlight w:val="white"/>
        </w:rPr>
        <w:t xml:space="preserve">Available at: </w:t>
      </w:r>
      <w:hyperlink r:id="rId4" w:history="1">
        <w:r w:rsidRPr="001B292E">
          <w:rPr>
            <w:rStyle w:val="Hyperlink"/>
            <w:sz w:val="24"/>
            <w:szCs w:val="24"/>
          </w:rPr>
          <w:t>Ethical Guidelines for Educational Research, fourth edition (2018) | BERA</w:t>
        </w:r>
      </w:hyperlink>
      <w:r w:rsidRPr="001B292E">
        <w:rPr>
          <w:color w:val="222222"/>
          <w:sz w:val="24"/>
          <w:szCs w:val="24"/>
          <w:highlight w:val="white"/>
        </w:rPr>
        <w:t xml:space="preserve"> (Accessed on: 09 June 2024)</w:t>
      </w:r>
    </w:p>
    <w:p w14:paraId="0000003A" w14:textId="5D7A1455" w:rsidR="007B4C30" w:rsidRDefault="001B292E">
      <w:pPr>
        <w:spacing w:before="120" w:line="480" w:lineRule="auto"/>
        <w:rPr>
          <w:color w:val="222222"/>
          <w:sz w:val="24"/>
          <w:szCs w:val="24"/>
          <w:highlight w:val="white"/>
        </w:rPr>
      </w:pPr>
      <w:r>
        <w:rPr>
          <w:color w:val="222222"/>
          <w:sz w:val="24"/>
          <w:szCs w:val="24"/>
          <w:highlight w:val="white"/>
        </w:rPr>
        <w:t xml:space="preserve">Brinkmann, S. (2014). Unstructured and semi-structured interviewing. </w:t>
      </w:r>
      <w:r>
        <w:rPr>
          <w:i/>
          <w:color w:val="222222"/>
          <w:sz w:val="24"/>
          <w:szCs w:val="24"/>
          <w:highlight w:val="white"/>
        </w:rPr>
        <w:t>The Oxford handbook of qualitative research</w:t>
      </w:r>
      <w:r>
        <w:rPr>
          <w:color w:val="222222"/>
          <w:sz w:val="24"/>
          <w:szCs w:val="24"/>
          <w:highlight w:val="white"/>
        </w:rPr>
        <w:t xml:space="preserve">, </w:t>
      </w:r>
      <w:r>
        <w:rPr>
          <w:i/>
          <w:color w:val="222222"/>
          <w:sz w:val="24"/>
          <w:szCs w:val="24"/>
          <w:highlight w:val="white"/>
        </w:rPr>
        <w:t>2</w:t>
      </w:r>
      <w:r>
        <w:rPr>
          <w:color w:val="222222"/>
          <w:sz w:val="24"/>
          <w:szCs w:val="24"/>
          <w:highlight w:val="white"/>
        </w:rPr>
        <w:t>, pp.277-299.</w:t>
      </w:r>
    </w:p>
    <w:p w14:paraId="0000003B" w14:textId="1D248E93" w:rsidR="007B4C30" w:rsidRDefault="001B292E">
      <w:pPr>
        <w:spacing w:before="120" w:line="480" w:lineRule="auto"/>
        <w:rPr>
          <w:color w:val="222222"/>
          <w:sz w:val="24"/>
          <w:szCs w:val="24"/>
          <w:highlight w:val="white"/>
        </w:rPr>
      </w:pPr>
      <w:r>
        <w:rPr>
          <w:color w:val="222222"/>
          <w:sz w:val="24"/>
          <w:szCs w:val="24"/>
          <w:highlight w:val="white"/>
        </w:rPr>
        <w:t xml:space="preserve">Brod, M., </w:t>
      </w:r>
      <w:proofErr w:type="spellStart"/>
      <w:r>
        <w:rPr>
          <w:color w:val="222222"/>
          <w:sz w:val="24"/>
          <w:szCs w:val="24"/>
          <w:highlight w:val="white"/>
        </w:rPr>
        <w:t>Tesler</w:t>
      </w:r>
      <w:proofErr w:type="spellEnd"/>
      <w:r>
        <w:rPr>
          <w:color w:val="222222"/>
          <w:sz w:val="24"/>
          <w:szCs w:val="24"/>
          <w:highlight w:val="white"/>
        </w:rPr>
        <w:t>, L.E. and Christensen, T.L. (</w:t>
      </w:r>
      <w:r>
        <w:rPr>
          <w:color w:val="222222"/>
          <w:sz w:val="24"/>
          <w:szCs w:val="24"/>
          <w:highlight w:val="white"/>
        </w:rPr>
        <w:t>2009)</w:t>
      </w:r>
      <w:r>
        <w:rPr>
          <w:color w:val="222222"/>
          <w:sz w:val="24"/>
          <w:szCs w:val="24"/>
          <w:highlight w:val="white"/>
        </w:rPr>
        <w:t xml:space="preserve">. Qualitative research and content validity: developing best practices based </w:t>
      </w:r>
      <w:r>
        <w:rPr>
          <w:color w:val="222222"/>
          <w:sz w:val="24"/>
          <w:szCs w:val="24"/>
          <w:highlight w:val="white"/>
        </w:rPr>
        <w:t xml:space="preserve">on science and experience. </w:t>
      </w:r>
      <w:r>
        <w:rPr>
          <w:i/>
          <w:color w:val="222222"/>
          <w:sz w:val="24"/>
          <w:szCs w:val="24"/>
          <w:highlight w:val="white"/>
        </w:rPr>
        <w:t>Quality of life research</w:t>
      </w:r>
      <w:r>
        <w:rPr>
          <w:color w:val="222222"/>
          <w:sz w:val="24"/>
          <w:szCs w:val="24"/>
          <w:highlight w:val="white"/>
        </w:rPr>
        <w:t xml:space="preserve">, </w:t>
      </w:r>
      <w:r>
        <w:rPr>
          <w:i/>
          <w:color w:val="222222"/>
          <w:sz w:val="24"/>
          <w:szCs w:val="24"/>
          <w:highlight w:val="white"/>
        </w:rPr>
        <w:t>18</w:t>
      </w:r>
      <w:r>
        <w:rPr>
          <w:color w:val="222222"/>
          <w:sz w:val="24"/>
          <w:szCs w:val="24"/>
          <w:highlight w:val="white"/>
        </w:rPr>
        <w:t>, pp.1263-1278.</w:t>
      </w:r>
    </w:p>
    <w:p w14:paraId="0000003C" w14:textId="0E955488" w:rsidR="007B4C30" w:rsidRDefault="001B292E">
      <w:pPr>
        <w:spacing w:before="120" w:line="480" w:lineRule="auto"/>
        <w:rPr>
          <w:color w:val="222222"/>
          <w:sz w:val="24"/>
          <w:szCs w:val="24"/>
          <w:highlight w:val="white"/>
        </w:rPr>
      </w:pPr>
      <w:r>
        <w:rPr>
          <w:color w:val="222222"/>
          <w:sz w:val="24"/>
          <w:szCs w:val="24"/>
          <w:highlight w:val="white"/>
        </w:rPr>
        <w:t>Bell, E. and Bryman, A. (</w:t>
      </w:r>
      <w:r>
        <w:rPr>
          <w:color w:val="222222"/>
          <w:sz w:val="24"/>
          <w:szCs w:val="24"/>
          <w:highlight w:val="white"/>
        </w:rPr>
        <w:t>2007)</w:t>
      </w:r>
      <w:r>
        <w:rPr>
          <w:color w:val="222222"/>
          <w:sz w:val="24"/>
          <w:szCs w:val="24"/>
          <w:highlight w:val="white"/>
        </w:rPr>
        <w:t xml:space="preserve">. The ethics of management research: an exploratory content analysis. </w:t>
      </w:r>
      <w:r>
        <w:rPr>
          <w:i/>
          <w:color w:val="222222"/>
          <w:sz w:val="24"/>
          <w:szCs w:val="24"/>
          <w:highlight w:val="white"/>
        </w:rPr>
        <w:t>British journal of management</w:t>
      </w:r>
      <w:r>
        <w:rPr>
          <w:color w:val="222222"/>
          <w:sz w:val="24"/>
          <w:szCs w:val="24"/>
          <w:highlight w:val="white"/>
        </w:rPr>
        <w:t xml:space="preserve">, </w:t>
      </w:r>
      <w:r>
        <w:rPr>
          <w:i/>
          <w:color w:val="222222"/>
          <w:sz w:val="24"/>
          <w:szCs w:val="24"/>
          <w:highlight w:val="white"/>
        </w:rPr>
        <w:t>18</w:t>
      </w:r>
      <w:r>
        <w:rPr>
          <w:color w:val="222222"/>
          <w:sz w:val="24"/>
          <w:szCs w:val="24"/>
          <w:highlight w:val="white"/>
        </w:rPr>
        <w:t>(1), pp.63-77.</w:t>
      </w:r>
    </w:p>
    <w:p w14:paraId="0000003D" w14:textId="77777777" w:rsidR="007B4C30" w:rsidRDefault="001B292E">
      <w:pPr>
        <w:spacing w:before="120" w:line="480" w:lineRule="auto"/>
        <w:rPr>
          <w:color w:val="222222"/>
          <w:sz w:val="24"/>
          <w:szCs w:val="24"/>
          <w:highlight w:val="white"/>
        </w:rPr>
      </w:pPr>
      <w:r>
        <w:rPr>
          <w:color w:val="222222"/>
          <w:sz w:val="24"/>
          <w:szCs w:val="24"/>
          <w:highlight w:val="white"/>
        </w:rPr>
        <w:t xml:space="preserve">Burton, N., </w:t>
      </w:r>
      <w:proofErr w:type="spellStart"/>
      <w:r>
        <w:rPr>
          <w:color w:val="222222"/>
          <w:sz w:val="24"/>
          <w:szCs w:val="24"/>
          <w:highlight w:val="white"/>
        </w:rPr>
        <w:t>Brundrett</w:t>
      </w:r>
      <w:proofErr w:type="spellEnd"/>
      <w:r>
        <w:rPr>
          <w:color w:val="222222"/>
          <w:sz w:val="24"/>
          <w:szCs w:val="24"/>
          <w:highlight w:val="white"/>
        </w:rPr>
        <w:t>, M. and Jones, M</w:t>
      </w:r>
      <w:r>
        <w:rPr>
          <w:color w:val="222222"/>
          <w:sz w:val="24"/>
          <w:szCs w:val="24"/>
          <w:highlight w:val="white"/>
        </w:rPr>
        <w:t xml:space="preserve">. (2014). </w:t>
      </w:r>
      <w:r>
        <w:rPr>
          <w:i/>
          <w:color w:val="222222"/>
          <w:sz w:val="24"/>
          <w:szCs w:val="24"/>
          <w:highlight w:val="white"/>
        </w:rPr>
        <w:t>Doing your education research project</w:t>
      </w:r>
      <w:r>
        <w:rPr>
          <w:color w:val="222222"/>
          <w:sz w:val="24"/>
          <w:szCs w:val="24"/>
          <w:highlight w:val="white"/>
        </w:rPr>
        <w:t>. London: Sage.</w:t>
      </w:r>
    </w:p>
    <w:p w14:paraId="0000003E" w14:textId="77777777" w:rsidR="007B4C30" w:rsidRDefault="001B292E">
      <w:pPr>
        <w:spacing w:before="120" w:line="480" w:lineRule="auto"/>
        <w:rPr>
          <w:color w:val="222222"/>
          <w:sz w:val="24"/>
          <w:szCs w:val="24"/>
          <w:highlight w:val="white"/>
        </w:rPr>
      </w:pPr>
      <w:r>
        <w:rPr>
          <w:color w:val="222222"/>
          <w:sz w:val="24"/>
          <w:szCs w:val="24"/>
          <w:highlight w:val="white"/>
        </w:rPr>
        <w:t xml:space="preserve">Carminati, L. (2018). Generalizability in qualitative research: A tale of two traditions. </w:t>
      </w:r>
      <w:r>
        <w:rPr>
          <w:i/>
          <w:color w:val="222222"/>
          <w:sz w:val="24"/>
          <w:szCs w:val="24"/>
          <w:highlight w:val="white"/>
        </w:rPr>
        <w:t>Qualitative health research</w:t>
      </w:r>
      <w:r>
        <w:rPr>
          <w:color w:val="222222"/>
          <w:sz w:val="24"/>
          <w:szCs w:val="24"/>
          <w:highlight w:val="white"/>
        </w:rPr>
        <w:t xml:space="preserve">, </w:t>
      </w:r>
      <w:r>
        <w:rPr>
          <w:i/>
          <w:color w:val="222222"/>
          <w:sz w:val="24"/>
          <w:szCs w:val="24"/>
          <w:highlight w:val="white"/>
        </w:rPr>
        <w:t>28</w:t>
      </w:r>
      <w:r>
        <w:rPr>
          <w:color w:val="222222"/>
          <w:sz w:val="24"/>
          <w:szCs w:val="24"/>
          <w:highlight w:val="white"/>
        </w:rPr>
        <w:t>(13), pp.2094-2101.</w:t>
      </w:r>
    </w:p>
    <w:p w14:paraId="0000003F" w14:textId="579C0AE3" w:rsidR="007B4C30" w:rsidRDefault="001B292E">
      <w:pPr>
        <w:spacing w:before="120" w:line="480" w:lineRule="auto"/>
        <w:rPr>
          <w:color w:val="222222"/>
          <w:sz w:val="24"/>
          <w:szCs w:val="24"/>
          <w:highlight w:val="white"/>
        </w:rPr>
      </w:pPr>
      <w:r>
        <w:rPr>
          <w:color w:val="222222"/>
          <w:sz w:val="24"/>
          <w:szCs w:val="24"/>
          <w:highlight w:val="white"/>
        </w:rPr>
        <w:t>Cook, D.A. and Beckman, T.J. (</w:t>
      </w:r>
      <w:r>
        <w:rPr>
          <w:color w:val="222222"/>
          <w:sz w:val="24"/>
          <w:szCs w:val="24"/>
          <w:highlight w:val="white"/>
        </w:rPr>
        <w:t>2006)</w:t>
      </w:r>
      <w:r>
        <w:rPr>
          <w:color w:val="222222"/>
          <w:sz w:val="24"/>
          <w:szCs w:val="24"/>
          <w:highlight w:val="white"/>
        </w:rPr>
        <w:t>. Current concepts</w:t>
      </w:r>
      <w:r>
        <w:rPr>
          <w:color w:val="222222"/>
          <w:sz w:val="24"/>
          <w:szCs w:val="24"/>
          <w:highlight w:val="white"/>
        </w:rPr>
        <w:t xml:space="preserve"> in validity and reliability for psychometric instruments: theory and application. </w:t>
      </w:r>
      <w:r>
        <w:rPr>
          <w:i/>
          <w:color w:val="222222"/>
          <w:sz w:val="24"/>
          <w:szCs w:val="24"/>
          <w:highlight w:val="white"/>
        </w:rPr>
        <w:t>The American journal of medicine</w:t>
      </w:r>
      <w:r>
        <w:rPr>
          <w:color w:val="222222"/>
          <w:sz w:val="24"/>
          <w:szCs w:val="24"/>
          <w:highlight w:val="white"/>
        </w:rPr>
        <w:t xml:space="preserve">, </w:t>
      </w:r>
      <w:r>
        <w:rPr>
          <w:i/>
          <w:color w:val="222222"/>
          <w:sz w:val="24"/>
          <w:szCs w:val="24"/>
          <w:highlight w:val="white"/>
        </w:rPr>
        <w:t>119</w:t>
      </w:r>
      <w:r>
        <w:rPr>
          <w:color w:val="222222"/>
          <w:sz w:val="24"/>
          <w:szCs w:val="24"/>
          <w:highlight w:val="white"/>
        </w:rPr>
        <w:t>(2), pp.166-e7.</w:t>
      </w:r>
    </w:p>
    <w:p w14:paraId="00000040" w14:textId="77777777" w:rsidR="007B4C30" w:rsidRDefault="001B292E">
      <w:pPr>
        <w:spacing w:before="120" w:line="480" w:lineRule="auto"/>
        <w:rPr>
          <w:color w:val="222222"/>
          <w:sz w:val="24"/>
          <w:szCs w:val="24"/>
          <w:highlight w:val="white"/>
        </w:rPr>
      </w:pPr>
      <w:proofErr w:type="spellStart"/>
      <w:r>
        <w:rPr>
          <w:color w:val="222222"/>
          <w:sz w:val="24"/>
          <w:szCs w:val="24"/>
          <w:highlight w:val="white"/>
        </w:rPr>
        <w:t>Dewaele</w:t>
      </w:r>
      <w:proofErr w:type="spellEnd"/>
      <w:r>
        <w:rPr>
          <w:color w:val="222222"/>
          <w:sz w:val="24"/>
          <w:szCs w:val="24"/>
          <w:highlight w:val="white"/>
        </w:rPr>
        <w:t xml:space="preserve">, J.M. (2018). Online questionnaires. </w:t>
      </w:r>
      <w:r>
        <w:rPr>
          <w:i/>
          <w:color w:val="222222"/>
          <w:sz w:val="24"/>
          <w:szCs w:val="24"/>
          <w:highlight w:val="white"/>
        </w:rPr>
        <w:t>The Palgrave handbook of applied linguistics research methodology</w:t>
      </w:r>
      <w:r>
        <w:rPr>
          <w:color w:val="222222"/>
          <w:sz w:val="24"/>
          <w:szCs w:val="24"/>
          <w:highlight w:val="white"/>
        </w:rPr>
        <w:t>, pp.269-2</w:t>
      </w:r>
      <w:r>
        <w:rPr>
          <w:color w:val="222222"/>
          <w:sz w:val="24"/>
          <w:szCs w:val="24"/>
          <w:highlight w:val="white"/>
        </w:rPr>
        <w:t>86.</w:t>
      </w:r>
    </w:p>
    <w:p w14:paraId="00000041" w14:textId="77777777" w:rsidR="007B4C30" w:rsidRDefault="001B292E">
      <w:pPr>
        <w:spacing w:before="120" w:line="480" w:lineRule="auto"/>
        <w:rPr>
          <w:color w:val="222222"/>
          <w:sz w:val="24"/>
          <w:szCs w:val="24"/>
          <w:highlight w:val="white"/>
        </w:rPr>
      </w:pPr>
      <w:r>
        <w:rPr>
          <w:color w:val="222222"/>
          <w:sz w:val="24"/>
          <w:szCs w:val="24"/>
          <w:highlight w:val="white"/>
        </w:rPr>
        <w:t xml:space="preserve">DiCicco‐Bloom, B. and Crabtree, B.F. (2006). The qualitative research </w:t>
      </w:r>
      <w:proofErr w:type="gramStart"/>
      <w:r>
        <w:rPr>
          <w:color w:val="222222"/>
          <w:sz w:val="24"/>
          <w:szCs w:val="24"/>
          <w:highlight w:val="white"/>
        </w:rPr>
        <w:t>interview</w:t>
      </w:r>
      <w:proofErr w:type="gramEnd"/>
      <w:r>
        <w:rPr>
          <w:color w:val="222222"/>
          <w:sz w:val="24"/>
          <w:szCs w:val="24"/>
          <w:highlight w:val="white"/>
        </w:rPr>
        <w:t xml:space="preserve">. </w:t>
      </w:r>
      <w:r>
        <w:rPr>
          <w:i/>
          <w:color w:val="222222"/>
          <w:sz w:val="24"/>
          <w:szCs w:val="24"/>
          <w:highlight w:val="white"/>
        </w:rPr>
        <w:t>Medical education</w:t>
      </w:r>
      <w:r>
        <w:rPr>
          <w:color w:val="222222"/>
          <w:sz w:val="24"/>
          <w:szCs w:val="24"/>
          <w:highlight w:val="white"/>
        </w:rPr>
        <w:t xml:space="preserve">, </w:t>
      </w:r>
      <w:r>
        <w:rPr>
          <w:i/>
          <w:color w:val="222222"/>
          <w:sz w:val="24"/>
          <w:szCs w:val="24"/>
          <w:highlight w:val="white"/>
        </w:rPr>
        <w:t>40</w:t>
      </w:r>
      <w:r>
        <w:rPr>
          <w:color w:val="222222"/>
          <w:sz w:val="24"/>
          <w:szCs w:val="24"/>
          <w:highlight w:val="white"/>
        </w:rPr>
        <w:t>(4), pp.314-321.</w:t>
      </w:r>
    </w:p>
    <w:p w14:paraId="00000042" w14:textId="77777777" w:rsidR="007B4C30" w:rsidRDefault="001B292E">
      <w:pPr>
        <w:spacing w:before="120" w:line="480" w:lineRule="auto"/>
        <w:rPr>
          <w:color w:val="222222"/>
          <w:sz w:val="24"/>
          <w:szCs w:val="24"/>
          <w:highlight w:val="white"/>
        </w:rPr>
      </w:pPr>
      <w:proofErr w:type="spellStart"/>
      <w:r>
        <w:rPr>
          <w:color w:val="222222"/>
          <w:sz w:val="24"/>
          <w:szCs w:val="24"/>
          <w:highlight w:val="white"/>
        </w:rPr>
        <w:lastRenderedPageBreak/>
        <w:t>Hennink</w:t>
      </w:r>
      <w:proofErr w:type="spellEnd"/>
      <w:r>
        <w:rPr>
          <w:color w:val="222222"/>
          <w:sz w:val="24"/>
          <w:szCs w:val="24"/>
          <w:highlight w:val="white"/>
        </w:rPr>
        <w:t xml:space="preserve">, M., </w:t>
      </w:r>
      <w:proofErr w:type="spellStart"/>
      <w:r>
        <w:rPr>
          <w:color w:val="222222"/>
          <w:sz w:val="24"/>
          <w:szCs w:val="24"/>
          <w:highlight w:val="white"/>
        </w:rPr>
        <w:t>Hutter</w:t>
      </w:r>
      <w:proofErr w:type="spellEnd"/>
      <w:r>
        <w:rPr>
          <w:color w:val="222222"/>
          <w:sz w:val="24"/>
          <w:szCs w:val="24"/>
          <w:highlight w:val="white"/>
        </w:rPr>
        <w:t xml:space="preserve">, I. and Bailey, A. (2020). </w:t>
      </w:r>
      <w:r>
        <w:rPr>
          <w:i/>
          <w:color w:val="222222"/>
          <w:sz w:val="24"/>
          <w:szCs w:val="24"/>
          <w:highlight w:val="white"/>
        </w:rPr>
        <w:t>Qualitative research methods</w:t>
      </w:r>
      <w:r>
        <w:rPr>
          <w:color w:val="222222"/>
          <w:sz w:val="24"/>
          <w:szCs w:val="24"/>
          <w:highlight w:val="white"/>
        </w:rPr>
        <w:t>. London: Sage.</w:t>
      </w:r>
    </w:p>
    <w:p w14:paraId="00000043" w14:textId="77777777" w:rsidR="007B4C30" w:rsidRDefault="001B292E">
      <w:pPr>
        <w:spacing w:before="120" w:line="480" w:lineRule="auto"/>
        <w:rPr>
          <w:color w:val="222222"/>
          <w:sz w:val="24"/>
          <w:szCs w:val="24"/>
          <w:highlight w:val="white"/>
        </w:rPr>
      </w:pPr>
      <w:proofErr w:type="spellStart"/>
      <w:r>
        <w:rPr>
          <w:color w:val="222222"/>
          <w:sz w:val="24"/>
          <w:szCs w:val="24"/>
          <w:highlight w:val="white"/>
        </w:rPr>
        <w:t>Igwenagu</w:t>
      </w:r>
      <w:proofErr w:type="spellEnd"/>
      <w:r>
        <w:rPr>
          <w:color w:val="222222"/>
          <w:sz w:val="24"/>
          <w:szCs w:val="24"/>
          <w:highlight w:val="white"/>
        </w:rPr>
        <w:t xml:space="preserve">, C. (2016). </w:t>
      </w:r>
      <w:r>
        <w:rPr>
          <w:i/>
          <w:color w:val="222222"/>
          <w:sz w:val="24"/>
          <w:szCs w:val="24"/>
          <w:highlight w:val="white"/>
        </w:rPr>
        <w:t>Fundamentals of resea</w:t>
      </w:r>
      <w:r>
        <w:rPr>
          <w:i/>
          <w:color w:val="222222"/>
          <w:sz w:val="24"/>
          <w:szCs w:val="24"/>
          <w:highlight w:val="white"/>
        </w:rPr>
        <w:t>rch methodology and data collection</w:t>
      </w:r>
      <w:r>
        <w:rPr>
          <w:color w:val="222222"/>
          <w:sz w:val="24"/>
          <w:szCs w:val="24"/>
          <w:highlight w:val="white"/>
        </w:rPr>
        <w:t>. LAP: Lambert Academic Publishing.</w:t>
      </w:r>
    </w:p>
    <w:p w14:paraId="00000044" w14:textId="77777777" w:rsidR="007B4C30" w:rsidRDefault="001B292E">
      <w:pPr>
        <w:spacing w:before="120" w:line="480" w:lineRule="auto"/>
        <w:rPr>
          <w:color w:val="222222"/>
          <w:sz w:val="24"/>
          <w:szCs w:val="24"/>
          <w:highlight w:val="white"/>
        </w:rPr>
      </w:pPr>
      <w:r>
        <w:rPr>
          <w:color w:val="222222"/>
          <w:sz w:val="24"/>
          <w:szCs w:val="24"/>
          <w:highlight w:val="white"/>
        </w:rPr>
        <w:t xml:space="preserve">Irvine, A. (2011). Duration, dominance and depth in telephone and face-to-face interviews: A comparative exploration. </w:t>
      </w:r>
      <w:r>
        <w:rPr>
          <w:i/>
          <w:color w:val="222222"/>
          <w:sz w:val="24"/>
          <w:szCs w:val="24"/>
          <w:highlight w:val="white"/>
        </w:rPr>
        <w:t>International Journal of Qualitative Methods</w:t>
      </w:r>
      <w:r>
        <w:rPr>
          <w:color w:val="222222"/>
          <w:sz w:val="24"/>
          <w:szCs w:val="24"/>
          <w:highlight w:val="white"/>
        </w:rPr>
        <w:t xml:space="preserve">, </w:t>
      </w:r>
      <w:r>
        <w:rPr>
          <w:i/>
          <w:color w:val="222222"/>
          <w:sz w:val="24"/>
          <w:szCs w:val="24"/>
          <w:highlight w:val="white"/>
        </w:rPr>
        <w:t>10</w:t>
      </w:r>
      <w:r>
        <w:rPr>
          <w:color w:val="222222"/>
          <w:sz w:val="24"/>
          <w:szCs w:val="24"/>
          <w:highlight w:val="white"/>
        </w:rPr>
        <w:t>(3), pp.202-220.</w:t>
      </w:r>
    </w:p>
    <w:p w14:paraId="00000045" w14:textId="77777777" w:rsidR="007B4C30" w:rsidRDefault="001B292E">
      <w:pPr>
        <w:spacing w:before="120" w:line="480" w:lineRule="auto"/>
        <w:rPr>
          <w:color w:val="222222"/>
          <w:sz w:val="24"/>
          <w:szCs w:val="24"/>
          <w:highlight w:val="white"/>
        </w:rPr>
      </w:pPr>
      <w:r>
        <w:rPr>
          <w:color w:val="222222"/>
          <w:sz w:val="24"/>
          <w:szCs w:val="24"/>
          <w:highlight w:val="white"/>
        </w:rPr>
        <w:t>Ja</w:t>
      </w:r>
      <w:r>
        <w:rPr>
          <w:color w:val="222222"/>
          <w:sz w:val="24"/>
          <w:szCs w:val="24"/>
          <w:highlight w:val="white"/>
        </w:rPr>
        <w:t xml:space="preserve">in, N. (2021). Survey versus interviews: Comparing data collection tools for exploratory research. </w:t>
      </w:r>
      <w:r>
        <w:rPr>
          <w:i/>
          <w:color w:val="222222"/>
          <w:sz w:val="24"/>
          <w:szCs w:val="24"/>
          <w:highlight w:val="white"/>
        </w:rPr>
        <w:t>The Qualitative Report</w:t>
      </w:r>
      <w:r>
        <w:rPr>
          <w:color w:val="222222"/>
          <w:sz w:val="24"/>
          <w:szCs w:val="24"/>
          <w:highlight w:val="white"/>
        </w:rPr>
        <w:t xml:space="preserve">, </w:t>
      </w:r>
      <w:r>
        <w:rPr>
          <w:i/>
          <w:color w:val="222222"/>
          <w:sz w:val="24"/>
          <w:szCs w:val="24"/>
          <w:highlight w:val="white"/>
        </w:rPr>
        <w:t>26</w:t>
      </w:r>
      <w:r>
        <w:rPr>
          <w:color w:val="222222"/>
          <w:sz w:val="24"/>
          <w:szCs w:val="24"/>
          <w:highlight w:val="white"/>
        </w:rPr>
        <w:t>(2), pp.541-554.</w:t>
      </w:r>
    </w:p>
    <w:p w14:paraId="00000046" w14:textId="1B38221E" w:rsidR="007B4C30" w:rsidRDefault="001B292E">
      <w:pPr>
        <w:spacing w:before="120" w:line="480" w:lineRule="auto"/>
        <w:rPr>
          <w:color w:val="222222"/>
          <w:sz w:val="24"/>
          <w:szCs w:val="24"/>
          <w:highlight w:val="white"/>
        </w:rPr>
      </w:pPr>
      <w:r>
        <w:rPr>
          <w:color w:val="222222"/>
          <w:sz w:val="24"/>
          <w:szCs w:val="24"/>
          <w:highlight w:val="white"/>
        </w:rPr>
        <w:t xml:space="preserve">Kimberlin, C.L. and </w:t>
      </w:r>
      <w:proofErr w:type="spellStart"/>
      <w:r>
        <w:rPr>
          <w:color w:val="222222"/>
          <w:sz w:val="24"/>
          <w:szCs w:val="24"/>
          <w:highlight w:val="white"/>
        </w:rPr>
        <w:t>Winterstein</w:t>
      </w:r>
      <w:proofErr w:type="spellEnd"/>
      <w:r>
        <w:rPr>
          <w:color w:val="222222"/>
          <w:sz w:val="24"/>
          <w:szCs w:val="24"/>
          <w:highlight w:val="white"/>
        </w:rPr>
        <w:t>, A.G. (</w:t>
      </w:r>
      <w:r>
        <w:rPr>
          <w:color w:val="222222"/>
          <w:sz w:val="24"/>
          <w:szCs w:val="24"/>
          <w:highlight w:val="white"/>
        </w:rPr>
        <w:t>2008)</w:t>
      </w:r>
      <w:r>
        <w:rPr>
          <w:color w:val="222222"/>
          <w:sz w:val="24"/>
          <w:szCs w:val="24"/>
          <w:highlight w:val="white"/>
        </w:rPr>
        <w:t>. Validity and reliability of measurement instruments used in research.</w:t>
      </w:r>
      <w:r>
        <w:rPr>
          <w:color w:val="222222"/>
          <w:sz w:val="24"/>
          <w:szCs w:val="24"/>
          <w:highlight w:val="white"/>
        </w:rPr>
        <w:t xml:space="preserve"> </w:t>
      </w:r>
      <w:r>
        <w:rPr>
          <w:i/>
          <w:color w:val="222222"/>
          <w:sz w:val="24"/>
          <w:szCs w:val="24"/>
          <w:highlight w:val="white"/>
        </w:rPr>
        <w:t>American journal of health-system pharmacy</w:t>
      </w:r>
      <w:r>
        <w:rPr>
          <w:color w:val="222222"/>
          <w:sz w:val="24"/>
          <w:szCs w:val="24"/>
          <w:highlight w:val="white"/>
        </w:rPr>
        <w:t xml:space="preserve">, </w:t>
      </w:r>
      <w:r>
        <w:rPr>
          <w:i/>
          <w:color w:val="222222"/>
          <w:sz w:val="24"/>
          <w:szCs w:val="24"/>
          <w:highlight w:val="white"/>
        </w:rPr>
        <w:t>65</w:t>
      </w:r>
      <w:r>
        <w:rPr>
          <w:color w:val="222222"/>
          <w:sz w:val="24"/>
          <w:szCs w:val="24"/>
          <w:highlight w:val="white"/>
        </w:rPr>
        <w:t>(23), pp.2276-2284.</w:t>
      </w:r>
    </w:p>
    <w:p w14:paraId="00000048" w14:textId="526BCB35" w:rsidR="007B4C30" w:rsidRDefault="001B292E">
      <w:pPr>
        <w:spacing w:line="480" w:lineRule="auto"/>
        <w:jc w:val="both"/>
        <w:rPr>
          <w:sz w:val="24"/>
          <w:szCs w:val="24"/>
        </w:rPr>
      </w:pPr>
      <w:r>
        <w:rPr>
          <w:sz w:val="24"/>
          <w:szCs w:val="24"/>
        </w:rPr>
        <w:t xml:space="preserve">Leavy, P. (2022). Research design: Quantitative, qualitative, mixed methods, arts-based, and </w:t>
      </w:r>
      <w:r>
        <w:rPr>
          <w:sz w:val="24"/>
          <w:szCs w:val="24"/>
        </w:rPr>
        <w:t xml:space="preserve">community-based participatory research approaches. London: </w:t>
      </w:r>
      <w:r>
        <w:rPr>
          <w:sz w:val="24"/>
          <w:szCs w:val="24"/>
        </w:rPr>
        <w:t>Guilford Publications.</w:t>
      </w:r>
    </w:p>
    <w:p w14:paraId="00000049" w14:textId="77777777" w:rsidR="007B4C30" w:rsidRDefault="001B292E">
      <w:pPr>
        <w:spacing w:line="480" w:lineRule="auto"/>
        <w:jc w:val="both"/>
        <w:rPr>
          <w:sz w:val="24"/>
          <w:szCs w:val="24"/>
        </w:rPr>
      </w:pPr>
      <w:proofErr w:type="spellStart"/>
      <w:r>
        <w:rPr>
          <w:color w:val="222222"/>
          <w:sz w:val="24"/>
          <w:szCs w:val="24"/>
          <w:highlight w:val="white"/>
        </w:rPr>
        <w:t>MacKenzie</w:t>
      </w:r>
      <w:proofErr w:type="spellEnd"/>
      <w:r>
        <w:rPr>
          <w:color w:val="222222"/>
          <w:sz w:val="24"/>
          <w:szCs w:val="24"/>
          <w:highlight w:val="white"/>
        </w:rPr>
        <w:t xml:space="preserve">, S.B., Podsakoff, P.M. and Podsakoff, N.P. (2011). Construct measurement and validation procedures in MIS and </w:t>
      </w:r>
      <w:proofErr w:type="spellStart"/>
      <w:r>
        <w:rPr>
          <w:color w:val="222222"/>
          <w:sz w:val="24"/>
          <w:szCs w:val="24"/>
          <w:highlight w:val="white"/>
        </w:rPr>
        <w:t>behavioral</w:t>
      </w:r>
      <w:proofErr w:type="spellEnd"/>
      <w:r>
        <w:rPr>
          <w:color w:val="222222"/>
          <w:sz w:val="24"/>
          <w:szCs w:val="24"/>
          <w:highlight w:val="white"/>
        </w:rPr>
        <w:t xml:space="preserve"> research: Integrating new and existing techniques. </w:t>
      </w:r>
      <w:r>
        <w:rPr>
          <w:i/>
          <w:color w:val="222222"/>
          <w:sz w:val="24"/>
          <w:szCs w:val="24"/>
          <w:highlight w:val="white"/>
        </w:rPr>
        <w:t>MIS quarterly</w:t>
      </w:r>
      <w:r>
        <w:rPr>
          <w:color w:val="222222"/>
          <w:sz w:val="24"/>
          <w:szCs w:val="24"/>
          <w:highlight w:val="white"/>
        </w:rPr>
        <w:t>, pp.293-334.</w:t>
      </w:r>
    </w:p>
    <w:p w14:paraId="0000004A" w14:textId="77777777" w:rsidR="007B4C30" w:rsidRDefault="001B292E">
      <w:pPr>
        <w:spacing w:before="120" w:line="480" w:lineRule="auto"/>
        <w:rPr>
          <w:color w:val="222222"/>
          <w:sz w:val="24"/>
          <w:szCs w:val="24"/>
          <w:highlight w:val="white"/>
        </w:rPr>
      </w:pPr>
      <w:proofErr w:type="spellStart"/>
      <w:r>
        <w:rPr>
          <w:color w:val="222222"/>
          <w:sz w:val="24"/>
          <w:szCs w:val="24"/>
          <w:highlight w:val="white"/>
        </w:rPr>
        <w:t>Nardi</w:t>
      </w:r>
      <w:proofErr w:type="spellEnd"/>
      <w:r>
        <w:rPr>
          <w:color w:val="222222"/>
          <w:sz w:val="24"/>
          <w:szCs w:val="24"/>
          <w:highlight w:val="white"/>
        </w:rPr>
        <w:t xml:space="preserve">, P.M. (2018). </w:t>
      </w:r>
      <w:r>
        <w:rPr>
          <w:i/>
          <w:color w:val="222222"/>
          <w:sz w:val="24"/>
          <w:szCs w:val="24"/>
          <w:highlight w:val="white"/>
        </w:rPr>
        <w:t>Doing survey research: A guide to quantitative methods</w:t>
      </w:r>
      <w:r>
        <w:rPr>
          <w:color w:val="222222"/>
          <w:sz w:val="24"/>
          <w:szCs w:val="24"/>
          <w:highlight w:val="white"/>
        </w:rPr>
        <w:t>. London: Routledge.</w:t>
      </w:r>
    </w:p>
    <w:p w14:paraId="0000004B" w14:textId="77777777" w:rsidR="007B4C30" w:rsidRDefault="001B292E">
      <w:pPr>
        <w:spacing w:before="120" w:line="480" w:lineRule="auto"/>
        <w:rPr>
          <w:color w:val="222222"/>
          <w:sz w:val="24"/>
          <w:szCs w:val="24"/>
          <w:highlight w:val="white"/>
        </w:rPr>
      </w:pPr>
      <w:r>
        <w:rPr>
          <w:color w:val="222222"/>
          <w:sz w:val="24"/>
          <w:szCs w:val="24"/>
          <w:highlight w:val="white"/>
        </w:rPr>
        <w:t xml:space="preserve">Noble, H. and Smith, J. (2015). Issues of validity and reliability in qualitative research. </w:t>
      </w:r>
      <w:r>
        <w:rPr>
          <w:i/>
          <w:color w:val="222222"/>
          <w:sz w:val="24"/>
          <w:szCs w:val="24"/>
          <w:highlight w:val="white"/>
        </w:rPr>
        <w:t>Evidence-based nursing</w:t>
      </w:r>
      <w:r>
        <w:rPr>
          <w:color w:val="222222"/>
          <w:sz w:val="24"/>
          <w:szCs w:val="24"/>
          <w:highlight w:val="white"/>
        </w:rPr>
        <w:t xml:space="preserve">, </w:t>
      </w:r>
      <w:r>
        <w:rPr>
          <w:i/>
          <w:color w:val="222222"/>
          <w:sz w:val="24"/>
          <w:szCs w:val="24"/>
          <w:highlight w:val="white"/>
        </w:rPr>
        <w:t>18</w:t>
      </w:r>
      <w:r>
        <w:rPr>
          <w:color w:val="222222"/>
          <w:sz w:val="24"/>
          <w:szCs w:val="24"/>
          <w:highlight w:val="white"/>
        </w:rPr>
        <w:t>(2), pp.34-35.</w:t>
      </w:r>
    </w:p>
    <w:p w14:paraId="0000004C" w14:textId="77777777" w:rsidR="007B4C30" w:rsidRDefault="001B292E">
      <w:pPr>
        <w:spacing w:before="120" w:line="480" w:lineRule="auto"/>
        <w:rPr>
          <w:color w:val="222222"/>
          <w:sz w:val="24"/>
          <w:szCs w:val="24"/>
          <w:highlight w:val="white"/>
        </w:rPr>
      </w:pPr>
      <w:r>
        <w:rPr>
          <w:color w:val="222222"/>
          <w:sz w:val="24"/>
          <w:szCs w:val="24"/>
          <w:highlight w:val="white"/>
        </w:rPr>
        <w:t>O</w:t>
      </w:r>
      <w:r>
        <w:rPr>
          <w:color w:val="222222"/>
          <w:sz w:val="24"/>
          <w:szCs w:val="24"/>
          <w:highlight w:val="white"/>
        </w:rPr>
        <w:t xml:space="preserve">lson, K. and </w:t>
      </w:r>
      <w:proofErr w:type="spellStart"/>
      <w:r>
        <w:rPr>
          <w:color w:val="222222"/>
          <w:sz w:val="24"/>
          <w:szCs w:val="24"/>
          <w:highlight w:val="white"/>
        </w:rPr>
        <w:t>Bilgen</w:t>
      </w:r>
      <w:proofErr w:type="spellEnd"/>
      <w:r>
        <w:rPr>
          <w:color w:val="222222"/>
          <w:sz w:val="24"/>
          <w:szCs w:val="24"/>
          <w:highlight w:val="white"/>
        </w:rPr>
        <w:t xml:space="preserve">, I. (2011). The role of interviewer experience on acquiescence. </w:t>
      </w:r>
      <w:r>
        <w:rPr>
          <w:i/>
          <w:color w:val="222222"/>
          <w:sz w:val="24"/>
          <w:szCs w:val="24"/>
          <w:highlight w:val="white"/>
        </w:rPr>
        <w:t>Public opinion quarterly</w:t>
      </w:r>
      <w:r>
        <w:rPr>
          <w:color w:val="222222"/>
          <w:sz w:val="24"/>
          <w:szCs w:val="24"/>
          <w:highlight w:val="white"/>
        </w:rPr>
        <w:t xml:space="preserve">, </w:t>
      </w:r>
      <w:r>
        <w:rPr>
          <w:i/>
          <w:color w:val="222222"/>
          <w:sz w:val="24"/>
          <w:szCs w:val="24"/>
          <w:highlight w:val="white"/>
        </w:rPr>
        <w:t>75</w:t>
      </w:r>
      <w:r>
        <w:rPr>
          <w:color w:val="222222"/>
          <w:sz w:val="24"/>
          <w:szCs w:val="24"/>
          <w:highlight w:val="white"/>
        </w:rPr>
        <w:t>(1), pp.99-114.</w:t>
      </w:r>
    </w:p>
    <w:p w14:paraId="0000004D" w14:textId="77777777" w:rsidR="007B4C30" w:rsidRDefault="001B292E">
      <w:pPr>
        <w:spacing w:before="120" w:line="480" w:lineRule="auto"/>
        <w:rPr>
          <w:color w:val="222222"/>
          <w:sz w:val="24"/>
          <w:szCs w:val="24"/>
          <w:highlight w:val="white"/>
        </w:rPr>
      </w:pPr>
      <w:r>
        <w:rPr>
          <w:color w:val="222222"/>
          <w:sz w:val="24"/>
          <w:szCs w:val="24"/>
          <w:highlight w:val="white"/>
        </w:rPr>
        <w:lastRenderedPageBreak/>
        <w:t xml:space="preserve">Petrescu, S.H., Lazar, A., </w:t>
      </w:r>
      <w:proofErr w:type="spellStart"/>
      <w:r>
        <w:rPr>
          <w:color w:val="222222"/>
          <w:sz w:val="24"/>
          <w:szCs w:val="24"/>
          <w:highlight w:val="white"/>
        </w:rPr>
        <w:t>Cioban</w:t>
      </w:r>
      <w:proofErr w:type="spellEnd"/>
      <w:r>
        <w:rPr>
          <w:color w:val="222222"/>
          <w:sz w:val="24"/>
          <w:szCs w:val="24"/>
          <w:highlight w:val="white"/>
        </w:rPr>
        <w:t xml:space="preserve">, C. and </w:t>
      </w:r>
      <w:proofErr w:type="spellStart"/>
      <w:r>
        <w:rPr>
          <w:color w:val="222222"/>
          <w:sz w:val="24"/>
          <w:szCs w:val="24"/>
          <w:highlight w:val="white"/>
        </w:rPr>
        <w:t>Doroftei</w:t>
      </w:r>
      <w:proofErr w:type="spellEnd"/>
      <w:r>
        <w:rPr>
          <w:color w:val="222222"/>
          <w:sz w:val="24"/>
          <w:szCs w:val="24"/>
          <w:highlight w:val="white"/>
        </w:rPr>
        <w:t xml:space="preserve">, I. (2017). Semi-structured interview. </w:t>
      </w:r>
      <w:r>
        <w:rPr>
          <w:i/>
          <w:color w:val="222222"/>
          <w:sz w:val="24"/>
          <w:szCs w:val="24"/>
          <w:highlight w:val="white"/>
        </w:rPr>
        <w:t>Qualitative Research in Regional Geogr</w:t>
      </w:r>
      <w:r>
        <w:rPr>
          <w:i/>
          <w:color w:val="222222"/>
          <w:sz w:val="24"/>
          <w:szCs w:val="24"/>
          <w:highlight w:val="white"/>
        </w:rPr>
        <w:t>aphy: A Methodological Approach</w:t>
      </w:r>
      <w:r>
        <w:rPr>
          <w:color w:val="222222"/>
          <w:sz w:val="24"/>
          <w:szCs w:val="24"/>
          <w:highlight w:val="white"/>
        </w:rPr>
        <w:t>, pp.37-50.</w:t>
      </w:r>
    </w:p>
    <w:p w14:paraId="0000004E" w14:textId="77777777" w:rsidR="007B4C30" w:rsidRDefault="001B292E">
      <w:pPr>
        <w:spacing w:before="120" w:line="480" w:lineRule="auto"/>
        <w:rPr>
          <w:color w:val="222222"/>
          <w:sz w:val="24"/>
          <w:szCs w:val="24"/>
          <w:highlight w:val="white"/>
        </w:rPr>
      </w:pPr>
      <w:proofErr w:type="spellStart"/>
      <w:r>
        <w:rPr>
          <w:color w:val="222222"/>
          <w:sz w:val="24"/>
          <w:szCs w:val="24"/>
          <w:highlight w:val="white"/>
        </w:rPr>
        <w:t>Phakiti</w:t>
      </w:r>
      <w:proofErr w:type="spellEnd"/>
      <w:r>
        <w:rPr>
          <w:color w:val="222222"/>
          <w:sz w:val="24"/>
          <w:szCs w:val="24"/>
          <w:highlight w:val="white"/>
        </w:rPr>
        <w:t xml:space="preserve">, A. (2015). Quantitative research and analysis. </w:t>
      </w:r>
      <w:r>
        <w:rPr>
          <w:i/>
          <w:color w:val="222222"/>
          <w:sz w:val="24"/>
          <w:szCs w:val="24"/>
          <w:highlight w:val="white"/>
        </w:rPr>
        <w:t>Research methods in applied linguistics: A practical resource</w:t>
      </w:r>
      <w:r>
        <w:rPr>
          <w:color w:val="222222"/>
          <w:sz w:val="24"/>
          <w:szCs w:val="24"/>
          <w:highlight w:val="white"/>
        </w:rPr>
        <w:t>, pp.27-48.</w:t>
      </w:r>
    </w:p>
    <w:p w14:paraId="0000004F" w14:textId="77777777" w:rsidR="007B4C30" w:rsidRDefault="001B292E">
      <w:pPr>
        <w:spacing w:before="120" w:line="480" w:lineRule="auto"/>
        <w:rPr>
          <w:color w:val="222222"/>
          <w:sz w:val="24"/>
          <w:szCs w:val="24"/>
          <w:highlight w:val="white"/>
        </w:rPr>
      </w:pPr>
      <w:r>
        <w:rPr>
          <w:color w:val="222222"/>
          <w:sz w:val="24"/>
          <w:szCs w:val="24"/>
          <w:highlight w:val="white"/>
        </w:rPr>
        <w:t>Rahman, M.M. (2023). Sample size determination for survey research and non-probabili</w:t>
      </w:r>
      <w:r>
        <w:rPr>
          <w:color w:val="222222"/>
          <w:sz w:val="24"/>
          <w:szCs w:val="24"/>
          <w:highlight w:val="white"/>
        </w:rPr>
        <w:t xml:space="preserve">ty sampling techniques: A review and set of recommendations. </w:t>
      </w:r>
      <w:r>
        <w:rPr>
          <w:i/>
          <w:color w:val="222222"/>
          <w:sz w:val="24"/>
          <w:szCs w:val="24"/>
          <w:highlight w:val="white"/>
        </w:rPr>
        <w:t>Journal of Entrepreneurship, Business and Economics</w:t>
      </w:r>
      <w:r>
        <w:rPr>
          <w:color w:val="222222"/>
          <w:sz w:val="24"/>
          <w:szCs w:val="24"/>
          <w:highlight w:val="white"/>
        </w:rPr>
        <w:t xml:space="preserve">, </w:t>
      </w:r>
      <w:r>
        <w:rPr>
          <w:i/>
          <w:color w:val="222222"/>
          <w:sz w:val="24"/>
          <w:szCs w:val="24"/>
          <w:highlight w:val="white"/>
        </w:rPr>
        <w:t>11</w:t>
      </w:r>
      <w:r>
        <w:rPr>
          <w:color w:val="222222"/>
          <w:sz w:val="24"/>
          <w:szCs w:val="24"/>
          <w:highlight w:val="white"/>
        </w:rPr>
        <w:t>(1), pp.42-62.</w:t>
      </w:r>
    </w:p>
    <w:p w14:paraId="00000050" w14:textId="77777777" w:rsidR="007B4C30" w:rsidRDefault="001B292E">
      <w:pPr>
        <w:spacing w:before="120" w:line="480" w:lineRule="auto"/>
        <w:rPr>
          <w:color w:val="222222"/>
          <w:sz w:val="24"/>
          <w:szCs w:val="24"/>
          <w:highlight w:val="white"/>
        </w:rPr>
      </w:pPr>
      <w:proofErr w:type="spellStart"/>
      <w:r>
        <w:rPr>
          <w:color w:val="222222"/>
          <w:sz w:val="24"/>
          <w:szCs w:val="24"/>
          <w:highlight w:val="white"/>
        </w:rPr>
        <w:t>Regehr</w:t>
      </w:r>
      <w:proofErr w:type="spellEnd"/>
      <w:r>
        <w:rPr>
          <w:color w:val="222222"/>
          <w:sz w:val="24"/>
          <w:szCs w:val="24"/>
          <w:highlight w:val="white"/>
        </w:rPr>
        <w:t xml:space="preserve">, C., Carey, M.G., Wagner, S., Alden, L.E., Buys, N., Corneil, W., Fyfe, T., Matthews, L., Randall, C., White, M. and </w:t>
      </w:r>
      <w:proofErr w:type="spellStart"/>
      <w:r>
        <w:rPr>
          <w:color w:val="222222"/>
          <w:sz w:val="24"/>
          <w:szCs w:val="24"/>
          <w:highlight w:val="white"/>
        </w:rPr>
        <w:t>F</w:t>
      </w:r>
      <w:r>
        <w:rPr>
          <w:color w:val="222222"/>
          <w:sz w:val="24"/>
          <w:szCs w:val="24"/>
          <w:highlight w:val="white"/>
        </w:rPr>
        <w:t>raess</w:t>
      </w:r>
      <w:proofErr w:type="spellEnd"/>
      <w:r>
        <w:rPr>
          <w:color w:val="222222"/>
          <w:sz w:val="24"/>
          <w:szCs w:val="24"/>
          <w:highlight w:val="white"/>
        </w:rPr>
        <w:t xml:space="preserve">-Phillips, A. (2021). A systematic review of mental health symptoms in police officers following extreme traumatic exposures. </w:t>
      </w:r>
      <w:r>
        <w:rPr>
          <w:i/>
          <w:color w:val="222222"/>
          <w:sz w:val="24"/>
          <w:szCs w:val="24"/>
          <w:highlight w:val="white"/>
        </w:rPr>
        <w:t>Police practice and research</w:t>
      </w:r>
      <w:r>
        <w:rPr>
          <w:color w:val="222222"/>
          <w:sz w:val="24"/>
          <w:szCs w:val="24"/>
          <w:highlight w:val="white"/>
        </w:rPr>
        <w:t xml:space="preserve">, </w:t>
      </w:r>
      <w:r>
        <w:rPr>
          <w:i/>
          <w:color w:val="222222"/>
          <w:sz w:val="24"/>
          <w:szCs w:val="24"/>
          <w:highlight w:val="white"/>
        </w:rPr>
        <w:t>22</w:t>
      </w:r>
      <w:r>
        <w:rPr>
          <w:color w:val="222222"/>
          <w:sz w:val="24"/>
          <w:szCs w:val="24"/>
          <w:highlight w:val="white"/>
        </w:rPr>
        <w:t>(1), pp.225-239.</w:t>
      </w:r>
    </w:p>
    <w:p w14:paraId="00000051" w14:textId="77777777" w:rsidR="007B4C30" w:rsidRDefault="001B292E">
      <w:pPr>
        <w:spacing w:before="120" w:line="480" w:lineRule="auto"/>
        <w:rPr>
          <w:color w:val="222222"/>
          <w:sz w:val="24"/>
          <w:szCs w:val="24"/>
          <w:highlight w:val="white"/>
        </w:rPr>
      </w:pPr>
      <w:proofErr w:type="spellStart"/>
      <w:r>
        <w:rPr>
          <w:color w:val="222222"/>
          <w:sz w:val="24"/>
          <w:szCs w:val="24"/>
          <w:highlight w:val="white"/>
        </w:rPr>
        <w:t>Regmi</w:t>
      </w:r>
      <w:proofErr w:type="spellEnd"/>
      <w:r>
        <w:rPr>
          <w:color w:val="222222"/>
          <w:sz w:val="24"/>
          <w:szCs w:val="24"/>
          <w:highlight w:val="white"/>
        </w:rPr>
        <w:t xml:space="preserve">, P.R., </w:t>
      </w:r>
      <w:proofErr w:type="spellStart"/>
      <w:r>
        <w:rPr>
          <w:color w:val="222222"/>
          <w:sz w:val="24"/>
          <w:szCs w:val="24"/>
          <w:highlight w:val="white"/>
        </w:rPr>
        <w:t>Waithaka</w:t>
      </w:r>
      <w:proofErr w:type="spellEnd"/>
      <w:r>
        <w:rPr>
          <w:color w:val="222222"/>
          <w:sz w:val="24"/>
          <w:szCs w:val="24"/>
          <w:highlight w:val="white"/>
        </w:rPr>
        <w:t xml:space="preserve">, E., </w:t>
      </w:r>
      <w:proofErr w:type="spellStart"/>
      <w:r>
        <w:rPr>
          <w:color w:val="222222"/>
          <w:sz w:val="24"/>
          <w:szCs w:val="24"/>
          <w:highlight w:val="white"/>
        </w:rPr>
        <w:t>Paudyal</w:t>
      </w:r>
      <w:proofErr w:type="spellEnd"/>
      <w:r>
        <w:rPr>
          <w:color w:val="222222"/>
          <w:sz w:val="24"/>
          <w:szCs w:val="24"/>
          <w:highlight w:val="white"/>
        </w:rPr>
        <w:t xml:space="preserve">, A., </w:t>
      </w:r>
      <w:proofErr w:type="spellStart"/>
      <w:r>
        <w:rPr>
          <w:color w:val="222222"/>
          <w:sz w:val="24"/>
          <w:szCs w:val="24"/>
          <w:highlight w:val="white"/>
        </w:rPr>
        <w:t>Simkhada</w:t>
      </w:r>
      <w:proofErr w:type="spellEnd"/>
      <w:r>
        <w:rPr>
          <w:color w:val="222222"/>
          <w:sz w:val="24"/>
          <w:szCs w:val="24"/>
          <w:highlight w:val="white"/>
        </w:rPr>
        <w:t xml:space="preserve">, P. and Van </w:t>
      </w:r>
      <w:proofErr w:type="spellStart"/>
      <w:r>
        <w:rPr>
          <w:color w:val="222222"/>
          <w:sz w:val="24"/>
          <w:szCs w:val="24"/>
          <w:highlight w:val="white"/>
        </w:rPr>
        <w:t>Teijlingen</w:t>
      </w:r>
      <w:proofErr w:type="spellEnd"/>
      <w:r>
        <w:rPr>
          <w:color w:val="222222"/>
          <w:sz w:val="24"/>
          <w:szCs w:val="24"/>
          <w:highlight w:val="white"/>
        </w:rPr>
        <w:t xml:space="preserve">, E. </w:t>
      </w:r>
      <w:r>
        <w:rPr>
          <w:color w:val="222222"/>
          <w:sz w:val="24"/>
          <w:szCs w:val="24"/>
          <w:highlight w:val="white"/>
        </w:rPr>
        <w:t xml:space="preserve">(2016). Guide to the design and application of online questionnaire surveys. </w:t>
      </w:r>
      <w:r>
        <w:rPr>
          <w:i/>
          <w:color w:val="222222"/>
          <w:sz w:val="24"/>
          <w:szCs w:val="24"/>
          <w:highlight w:val="white"/>
        </w:rPr>
        <w:t>Nepal journal of epidemiology</w:t>
      </w:r>
      <w:r>
        <w:rPr>
          <w:color w:val="222222"/>
          <w:sz w:val="24"/>
          <w:szCs w:val="24"/>
          <w:highlight w:val="white"/>
        </w:rPr>
        <w:t xml:space="preserve">, </w:t>
      </w:r>
      <w:r>
        <w:rPr>
          <w:i/>
          <w:color w:val="222222"/>
          <w:sz w:val="24"/>
          <w:szCs w:val="24"/>
          <w:highlight w:val="white"/>
        </w:rPr>
        <w:t>6</w:t>
      </w:r>
      <w:r>
        <w:rPr>
          <w:color w:val="222222"/>
          <w:sz w:val="24"/>
          <w:szCs w:val="24"/>
          <w:highlight w:val="white"/>
        </w:rPr>
        <w:t>(4), p.640.</w:t>
      </w:r>
    </w:p>
    <w:p w14:paraId="00000052" w14:textId="77777777" w:rsidR="007B4C30" w:rsidRDefault="001B292E">
      <w:pPr>
        <w:spacing w:before="120" w:line="480" w:lineRule="auto"/>
        <w:rPr>
          <w:color w:val="222222"/>
          <w:sz w:val="24"/>
          <w:szCs w:val="24"/>
          <w:highlight w:val="white"/>
        </w:rPr>
      </w:pPr>
      <w:r>
        <w:rPr>
          <w:color w:val="222222"/>
          <w:sz w:val="24"/>
          <w:szCs w:val="24"/>
          <w:highlight w:val="white"/>
        </w:rPr>
        <w:t xml:space="preserve">Rea, L.M. and Parker, R.A. (2014). </w:t>
      </w:r>
      <w:r>
        <w:rPr>
          <w:i/>
          <w:color w:val="222222"/>
          <w:sz w:val="24"/>
          <w:szCs w:val="24"/>
          <w:highlight w:val="white"/>
        </w:rPr>
        <w:t>Designing and conducting survey research: A comprehensive guide</w:t>
      </w:r>
      <w:r>
        <w:rPr>
          <w:color w:val="222222"/>
          <w:sz w:val="24"/>
          <w:szCs w:val="24"/>
          <w:highlight w:val="white"/>
        </w:rPr>
        <w:t>. New York: John Wiley &amp; Sons.</w:t>
      </w:r>
    </w:p>
    <w:p w14:paraId="00000053" w14:textId="77777777" w:rsidR="007B4C30" w:rsidRDefault="001B292E">
      <w:pPr>
        <w:spacing w:before="120" w:line="480" w:lineRule="auto"/>
        <w:rPr>
          <w:color w:val="222222"/>
          <w:sz w:val="24"/>
          <w:szCs w:val="24"/>
          <w:highlight w:val="white"/>
        </w:rPr>
      </w:pPr>
      <w:r>
        <w:rPr>
          <w:color w:val="222222"/>
          <w:sz w:val="24"/>
          <w:szCs w:val="24"/>
          <w:highlight w:val="white"/>
        </w:rPr>
        <w:t>Rosent</w:t>
      </w:r>
      <w:r>
        <w:rPr>
          <w:color w:val="222222"/>
          <w:sz w:val="24"/>
          <w:szCs w:val="24"/>
          <w:highlight w:val="white"/>
        </w:rPr>
        <w:t xml:space="preserve">hal, M. (2016). Qualitative research methods: Why, when, and how to conduct interviews and focus groups in pharmacy research. </w:t>
      </w:r>
      <w:r>
        <w:rPr>
          <w:i/>
          <w:color w:val="222222"/>
          <w:sz w:val="24"/>
          <w:szCs w:val="24"/>
          <w:highlight w:val="white"/>
        </w:rPr>
        <w:t>Currents in pharmacy teaching and learning</w:t>
      </w:r>
      <w:r>
        <w:rPr>
          <w:color w:val="222222"/>
          <w:sz w:val="24"/>
          <w:szCs w:val="24"/>
          <w:highlight w:val="white"/>
        </w:rPr>
        <w:t xml:space="preserve">, </w:t>
      </w:r>
      <w:r>
        <w:rPr>
          <w:i/>
          <w:color w:val="222222"/>
          <w:sz w:val="24"/>
          <w:szCs w:val="24"/>
          <w:highlight w:val="white"/>
        </w:rPr>
        <w:t>8</w:t>
      </w:r>
      <w:r>
        <w:rPr>
          <w:color w:val="222222"/>
          <w:sz w:val="24"/>
          <w:szCs w:val="24"/>
          <w:highlight w:val="white"/>
        </w:rPr>
        <w:t>(4), pp.509-516.</w:t>
      </w:r>
    </w:p>
    <w:p w14:paraId="00000054" w14:textId="77777777" w:rsidR="007B4C30" w:rsidRDefault="001B292E">
      <w:pPr>
        <w:spacing w:before="120" w:line="480" w:lineRule="auto"/>
        <w:rPr>
          <w:color w:val="222222"/>
          <w:sz w:val="24"/>
          <w:szCs w:val="24"/>
          <w:highlight w:val="white"/>
        </w:rPr>
      </w:pPr>
      <w:proofErr w:type="spellStart"/>
      <w:r>
        <w:rPr>
          <w:color w:val="222222"/>
          <w:sz w:val="24"/>
          <w:szCs w:val="24"/>
          <w:highlight w:val="white"/>
        </w:rPr>
        <w:t>Ruslin</w:t>
      </w:r>
      <w:proofErr w:type="spellEnd"/>
      <w:r>
        <w:rPr>
          <w:color w:val="222222"/>
          <w:sz w:val="24"/>
          <w:szCs w:val="24"/>
          <w:highlight w:val="white"/>
        </w:rPr>
        <w:t xml:space="preserve">, R., </w:t>
      </w:r>
      <w:proofErr w:type="spellStart"/>
      <w:r>
        <w:rPr>
          <w:color w:val="222222"/>
          <w:sz w:val="24"/>
          <w:szCs w:val="24"/>
          <w:highlight w:val="white"/>
        </w:rPr>
        <w:t>Mashuri</w:t>
      </w:r>
      <w:proofErr w:type="spellEnd"/>
      <w:r>
        <w:rPr>
          <w:color w:val="222222"/>
          <w:sz w:val="24"/>
          <w:szCs w:val="24"/>
          <w:highlight w:val="white"/>
        </w:rPr>
        <w:t xml:space="preserve">, S., </w:t>
      </w:r>
      <w:proofErr w:type="spellStart"/>
      <w:r>
        <w:rPr>
          <w:color w:val="222222"/>
          <w:sz w:val="24"/>
          <w:szCs w:val="24"/>
          <w:highlight w:val="white"/>
        </w:rPr>
        <w:t>Rasak</w:t>
      </w:r>
      <w:proofErr w:type="spellEnd"/>
      <w:r>
        <w:rPr>
          <w:color w:val="222222"/>
          <w:sz w:val="24"/>
          <w:szCs w:val="24"/>
          <w:highlight w:val="white"/>
        </w:rPr>
        <w:t xml:space="preserve">, M.S.A., </w:t>
      </w:r>
      <w:proofErr w:type="spellStart"/>
      <w:r>
        <w:rPr>
          <w:color w:val="222222"/>
          <w:sz w:val="24"/>
          <w:szCs w:val="24"/>
          <w:highlight w:val="white"/>
        </w:rPr>
        <w:t>Alhabsyi</w:t>
      </w:r>
      <w:proofErr w:type="spellEnd"/>
      <w:r>
        <w:rPr>
          <w:color w:val="222222"/>
          <w:sz w:val="24"/>
          <w:szCs w:val="24"/>
          <w:highlight w:val="white"/>
        </w:rPr>
        <w:t xml:space="preserve">, F. and </w:t>
      </w:r>
      <w:proofErr w:type="spellStart"/>
      <w:r>
        <w:rPr>
          <w:color w:val="222222"/>
          <w:sz w:val="24"/>
          <w:szCs w:val="24"/>
          <w:highlight w:val="white"/>
        </w:rPr>
        <w:t>Syam</w:t>
      </w:r>
      <w:proofErr w:type="spellEnd"/>
      <w:r>
        <w:rPr>
          <w:color w:val="222222"/>
          <w:sz w:val="24"/>
          <w:szCs w:val="24"/>
          <w:highlight w:val="white"/>
        </w:rPr>
        <w:t>, H. (2</w:t>
      </w:r>
      <w:r>
        <w:rPr>
          <w:color w:val="222222"/>
          <w:sz w:val="24"/>
          <w:szCs w:val="24"/>
          <w:highlight w:val="white"/>
        </w:rPr>
        <w:t xml:space="preserve">022). Semi-structured Interview: A methodological reflection on the development of a qualitative research instrument in educational studies. </w:t>
      </w:r>
      <w:r>
        <w:rPr>
          <w:i/>
          <w:color w:val="222222"/>
          <w:sz w:val="24"/>
          <w:szCs w:val="24"/>
          <w:highlight w:val="white"/>
        </w:rPr>
        <w:t>IOSR Journal of Research &amp; Method in Education</w:t>
      </w:r>
      <w:r>
        <w:rPr>
          <w:color w:val="222222"/>
          <w:sz w:val="24"/>
          <w:szCs w:val="24"/>
          <w:highlight w:val="white"/>
        </w:rPr>
        <w:t xml:space="preserve">, </w:t>
      </w:r>
      <w:r>
        <w:rPr>
          <w:i/>
          <w:color w:val="222222"/>
          <w:sz w:val="24"/>
          <w:szCs w:val="24"/>
          <w:highlight w:val="white"/>
        </w:rPr>
        <w:t>12</w:t>
      </w:r>
      <w:r>
        <w:rPr>
          <w:color w:val="222222"/>
          <w:sz w:val="24"/>
          <w:szCs w:val="24"/>
          <w:highlight w:val="white"/>
        </w:rPr>
        <w:t>(1), pp.22-29.</w:t>
      </w:r>
    </w:p>
    <w:p w14:paraId="00000055" w14:textId="77777777" w:rsidR="007B4C30" w:rsidRDefault="001B292E">
      <w:pPr>
        <w:spacing w:before="120" w:line="480" w:lineRule="auto"/>
        <w:rPr>
          <w:color w:val="222222"/>
          <w:sz w:val="24"/>
          <w:szCs w:val="24"/>
          <w:highlight w:val="white"/>
        </w:rPr>
      </w:pPr>
      <w:r>
        <w:rPr>
          <w:color w:val="222222"/>
          <w:sz w:val="24"/>
          <w:szCs w:val="24"/>
          <w:highlight w:val="white"/>
        </w:rPr>
        <w:lastRenderedPageBreak/>
        <w:t xml:space="preserve">Schreuder, H.T., Gregoire, T.G. and </w:t>
      </w:r>
      <w:proofErr w:type="spellStart"/>
      <w:r>
        <w:rPr>
          <w:color w:val="222222"/>
          <w:sz w:val="24"/>
          <w:szCs w:val="24"/>
          <w:highlight w:val="white"/>
        </w:rPr>
        <w:t>Weyer</w:t>
      </w:r>
      <w:proofErr w:type="spellEnd"/>
      <w:r>
        <w:rPr>
          <w:color w:val="222222"/>
          <w:sz w:val="24"/>
          <w:szCs w:val="24"/>
          <w:highlight w:val="white"/>
        </w:rPr>
        <w:t>, J.P. (2</w:t>
      </w:r>
      <w:r>
        <w:rPr>
          <w:color w:val="222222"/>
          <w:sz w:val="24"/>
          <w:szCs w:val="24"/>
          <w:highlight w:val="white"/>
        </w:rPr>
        <w:t xml:space="preserve">001). For what applications can probability and non-probability sampling be </w:t>
      </w:r>
      <w:proofErr w:type="gramStart"/>
      <w:r>
        <w:rPr>
          <w:color w:val="222222"/>
          <w:sz w:val="24"/>
          <w:szCs w:val="24"/>
          <w:highlight w:val="white"/>
        </w:rPr>
        <w:t>used?.</w:t>
      </w:r>
      <w:proofErr w:type="gramEnd"/>
      <w:r>
        <w:rPr>
          <w:color w:val="222222"/>
          <w:sz w:val="24"/>
          <w:szCs w:val="24"/>
          <w:highlight w:val="white"/>
        </w:rPr>
        <w:t xml:space="preserve"> </w:t>
      </w:r>
      <w:r>
        <w:rPr>
          <w:i/>
          <w:color w:val="222222"/>
          <w:sz w:val="24"/>
          <w:szCs w:val="24"/>
          <w:highlight w:val="white"/>
        </w:rPr>
        <w:t>Environmental Monitoring and Assessment</w:t>
      </w:r>
      <w:r>
        <w:rPr>
          <w:color w:val="222222"/>
          <w:sz w:val="24"/>
          <w:szCs w:val="24"/>
          <w:highlight w:val="white"/>
        </w:rPr>
        <w:t xml:space="preserve">, </w:t>
      </w:r>
      <w:r>
        <w:rPr>
          <w:i/>
          <w:color w:val="222222"/>
          <w:sz w:val="24"/>
          <w:szCs w:val="24"/>
          <w:highlight w:val="white"/>
        </w:rPr>
        <w:t>66</w:t>
      </w:r>
      <w:r>
        <w:rPr>
          <w:color w:val="222222"/>
          <w:sz w:val="24"/>
          <w:szCs w:val="24"/>
          <w:highlight w:val="white"/>
        </w:rPr>
        <w:t>, pp.281-291.</w:t>
      </w:r>
    </w:p>
    <w:p w14:paraId="00000056" w14:textId="77777777" w:rsidR="007B4C30" w:rsidRDefault="001B292E">
      <w:pPr>
        <w:spacing w:before="120" w:line="480" w:lineRule="auto"/>
        <w:rPr>
          <w:color w:val="222222"/>
          <w:sz w:val="24"/>
          <w:szCs w:val="24"/>
          <w:highlight w:val="white"/>
        </w:rPr>
      </w:pPr>
      <w:r>
        <w:rPr>
          <w:color w:val="222222"/>
          <w:sz w:val="24"/>
          <w:szCs w:val="24"/>
          <w:highlight w:val="white"/>
        </w:rPr>
        <w:t xml:space="preserve">Stokes, P. and Wall, T. (2017). </w:t>
      </w:r>
      <w:r>
        <w:rPr>
          <w:i/>
          <w:color w:val="222222"/>
          <w:sz w:val="24"/>
          <w:szCs w:val="24"/>
          <w:highlight w:val="white"/>
        </w:rPr>
        <w:t>Research methods</w:t>
      </w:r>
      <w:r>
        <w:rPr>
          <w:color w:val="222222"/>
          <w:sz w:val="24"/>
          <w:szCs w:val="24"/>
          <w:highlight w:val="white"/>
        </w:rPr>
        <w:t>. London: Bloomsbury Publishing.</w:t>
      </w:r>
    </w:p>
    <w:p w14:paraId="00000057" w14:textId="77777777" w:rsidR="007B4C30" w:rsidRDefault="001B292E">
      <w:pPr>
        <w:spacing w:before="120" w:line="480" w:lineRule="auto"/>
        <w:rPr>
          <w:color w:val="222222"/>
          <w:sz w:val="24"/>
          <w:szCs w:val="24"/>
          <w:highlight w:val="white"/>
        </w:rPr>
      </w:pPr>
      <w:r>
        <w:rPr>
          <w:color w:val="222222"/>
          <w:sz w:val="24"/>
          <w:szCs w:val="24"/>
          <w:highlight w:val="white"/>
        </w:rPr>
        <w:t xml:space="preserve">Thomas, G (2009). </w:t>
      </w:r>
      <w:r>
        <w:rPr>
          <w:i/>
          <w:color w:val="222222"/>
          <w:sz w:val="24"/>
          <w:szCs w:val="24"/>
          <w:highlight w:val="white"/>
        </w:rPr>
        <w:t>How to do your Research Project.</w:t>
      </w:r>
      <w:r>
        <w:rPr>
          <w:color w:val="222222"/>
          <w:sz w:val="24"/>
          <w:szCs w:val="24"/>
          <w:highlight w:val="white"/>
        </w:rPr>
        <w:t xml:space="preserve"> London: SAGE.</w:t>
      </w:r>
    </w:p>
    <w:p w14:paraId="00000058" w14:textId="77777777" w:rsidR="007B4C30" w:rsidRDefault="001B292E">
      <w:pPr>
        <w:spacing w:before="120" w:line="480" w:lineRule="auto"/>
        <w:rPr>
          <w:color w:val="222222"/>
          <w:sz w:val="24"/>
          <w:szCs w:val="24"/>
          <w:highlight w:val="white"/>
        </w:rPr>
      </w:pPr>
      <w:r>
        <w:rPr>
          <w:color w:val="222222"/>
          <w:sz w:val="24"/>
          <w:szCs w:val="24"/>
          <w:highlight w:val="white"/>
        </w:rPr>
        <w:t xml:space="preserve">Tsang, E.W. (2014). Generalizing from research findings: The merits of case studies. </w:t>
      </w:r>
      <w:r>
        <w:rPr>
          <w:i/>
          <w:color w:val="222222"/>
          <w:sz w:val="24"/>
          <w:szCs w:val="24"/>
          <w:highlight w:val="white"/>
        </w:rPr>
        <w:t>International Journal of Management Reviews</w:t>
      </w:r>
      <w:r>
        <w:rPr>
          <w:color w:val="222222"/>
          <w:sz w:val="24"/>
          <w:szCs w:val="24"/>
          <w:highlight w:val="white"/>
        </w:rPr>
        <w:t xml:space="preserve">, </w:t>
      </w:r>
      <w:r>
        <w:rPr>
          <w:i/>
          <w:color w:val="222222"/>
          <w:sz w:val="24"/>
          <w:szCs w:val="24"/>
          <w:highlight w:val="white"/>
        </w:rPr>
        <w:t>16</w:t>
      </w:r>
      <w:r>
        <w:rPr>
          <w:color w:val="222222"/>
          <w:sz w:val="24"/>
          <w:szCs w:val="24"/>
          <w:highlight w:val="white"/>
        </w:rPr>
        <w:t>(4), pp.369-383.</w:t>
      </w:r>
    </w:p>
    <w:p w14:paraId="00000059" w14:textId="77777777" w:rsidR="007B4C30" w:rsidRDefault="001B292E">
      <w:pPr>
        <w:spacing w:before="120" w:line="480" w:lineRule="auto"/>
        <w:rPr>
          <w:color w:val="222222"/>
          <w:sz w:val="24"/>
          <w:szCs w:val="24"/>
          <w:highlight w:val="white"/>
        </w:rPr>
      </w:pPr>
      <w:r>
        <w:rPr>
          <w:color w:val="222222"/>
          <w:sz w:val="24"/>
          <w:szCs w:val="24"/>
          <w:highlight w:val="white"/>
        </w:rPr>
        <w:t xml:space="preserve">Yardley, </w:t>
      </w:r>
      <w:proofErr w:type="gramStart"/>
      <w:r>
        <w:rPr>
          <w:color w:val="222222"/>
          <w:sz w:val="24"/>
          <w:szCs w:val="24"/>
          <w:highlight w:val="white"/>
        </w:rPr>
        <w:t>L.</w:t>
      </w:r>
      <w:proofErr w:type="gramEnd"/>
      <w:r>
        <w:rPr>
          <w:color w:val="222222"/>
          <w:sz w:val="24"/>
          <w:szCs w:val="24"/>
          <w:highlight w:val="white"/>
        </w:rPr>
        <w:t xml:space="preserve"> and Bishop, F.L. (2017). Mixing qualitative and quantitative methods: A pragmatic approach. </w:t>
      </w:r>
      <w:r>
        <w:rPr>
          <w:i/>
          <w:color w:val="222222"/>
          <w:sz w:val="24"/>
          <w:szCs w:val="24"/>
          <w:highlight w:val="white"/>
        </w:rPr>
        <w:t>The Sage handbook of qualitative research in psychology</w:t>
      </w:r>
      <w:r>
        <w:rPr>
          <w:color w:val="222222"/>
          <w:sz w:val="24"/>
          <w:szCs w:val="24"/>
          <w:highlight w:val="white"/>
        </w:rPr>
        <w:t>, pp.398-413.</w:t>
      </w:r>
    </w:p>
    <w:p w14:paraId="0000005A" w14:textId="77777777" w:rsidR="007B4C30" w:rsidRDefault="001B292E">
      <w:pPr>
        <w:spacing w:before="120" w:line="480" w:lineRule="auto"/>
        <w:rPr>
          <w:color w:val="222222"/>
          <w:sz w:val="24"/>
          <w:szCs w:val="24"/>
          <w:highlight w:val="white"/>
        </w:rPr>
      </w:pPr>
      <w:r>
        <w:rPr>
          <w:color w:val="222222"/>
          <w:sz w:val="24"/>
          <w:szCs w:val="24"/>
          <w:highlight w:val="white"/>
        </w:rPr>
        <w:t xml:space="preserve">Yilmaz, K. (2013). Comparison of quantitative and qualitative research traditions: </w:t>
      </w:r>
      <w:r>
        <w:rPr>
          <w:color w:val="222222"/>
          <w:sz w:val="24"/>
          <w:szCs w:val="24"/>
          <w:highlight w:val="white"/>
        </w:rPr>
        <w:t xml:space="preserve">Epistemological, theoretical, and methodological differences. </w:t>
      </w:r>
      <w:r>
        <w:rPr>
          <w:i/>
          <w:color w:val="222222"/>
          <w:sz w:val="24"/>
          <w:szCs w:val="24"/>
          <w:highlight w:val="white"/>
        </w:rPr>
        <w:t>European journal of education</w:t>
      </w:r>
      <w:r>
        <w:rPr>
          <w:color w:val="222222"/>
          <w:sz w:val="24"/>
          <w:szCs w:val="24"/>
          <w:highlight w:val="white"/>
        </w:rPr>
        <w:t xml:space="preserve">, </w:t>
      </w:r>
      <w:r>
        <w:rPr>
          <w:i/>
          <w:color w:val="222222"/>
          <w:sz w:val="24"/>
          <w:szCs w:val="24"/>
          <w:highlight w:val="white"/>
        </w:rPr>
        <w:t>48</w:t>
      </w:r>
      <w:r>
        <w:rPr>
          <w:color w:val="222222"/>
          <w:sz w:val="24"/>
          <w:szCs w:val="24"/>
          <w:highlight w:val="white"/>
        </w:rPr>
        <w:t>(2), pp.311-325.</w:t>
      </w:r>
    </w:p>
    <w:p w14:paraId="0000005B" w14:textId="77777777" w:rsidR="007B4C30" w:rsidRDefault="001B292E">
      <w:pPr>
        <w:spacing w:before="120" w:line="480" w:lineRule="auto"/>
        <w:rPr>
          <w:color w:val="222222"/>
          <w:sz w:val="24"/>
          <w:szCs w:val="24"/>
          <w:highlight w:val="white"/>
        </w:rPr>
      </w:pPr>
      <w:proofErr w:type="spellStart"/>
      <w:r>
        <w:rPr>
          <w:color w:val="222222"/>
          <w:sz w:val="24"/>
          <w:szCs w:val="24"/>
          <w:highlight w:val="white"/>
        </w:rPr>
        <w:t>Zohrabi</w:t>
      </w:r>
      <w:proofErr w:type="spellEnd"/>
      <w:r>
        <w:rPr>
          <w:color w:val="222222"/>
          <w:sz w:val="24"/>
          <w:szCs w:val="24"/>
          <w:highlight w:val="white"/>
        </w:rPr>
        <w:t xml:space="preserve">, M. (2013). Mixed method research: Instruments, validity, </w:t>
      </w:r>
      <w:proofErr w:type="gramStart"/>
      <w:r>
        <w:rPr>
          <w:color w:val="222222"/>
          <w:sz w:val="24"/>
          <w:szCs w:val="24"/>
          <w:highlight w:val="white"/>
        </w:rPr>
        <w:t>reliability</w:t>
      </w:r>
      <w:proofErr w:type="gramEnd"/>
      <w:r>
        <w:rPr>
          <w:color w:val="222222"/>
          <w:sz w:val="24"/>
          <w:szCs w:val="24"/>
          <w:highlight w:val="white"/>
        </w:rPr>
        <w:t xml:space="preserve"> and reporting findings. </w:t>
      </w:r>
      <w:r>
        <w:rPr>
          <w:i/>
          <w:color w:val="222222"/>
          <w:sz w:val="24"/>
          <w:szCs w:val="24"/>
          <w:highlight w:val="white"/>
        </w:rPr>
        <w:t>Theory and practice in language studies</w:t>
      </w:r>
      <w:r>
        <w:rPr>
          <w:color w:val="222222"/>
          <w:sz w:val="24"/>
          <w:szCs w:val="24"/>
          <w:highlight w:val="white"/>
        </w:rPr>
        <w:t xml:space="preserve">, </w:t>
      </w:r>
      <w:r>
        <w:rPr>
          <w:i/>
          <w:color w:val="222222"/>
          <w:sz w:val="24"/>
          <w:szCs w:val="24"/>
          <w:highlight w:val="white"/>
        </w:rPr>
        <w:t>3</w:t>
      </w:r>
      <w:r>
        <w:rPr>
          <w:color w:val="222222"/>
          <w:sz w:val="24"/>
          <w:szCs w:val="24"/>
          <w:highlight w:val="white"/>
        </w:rPr>
        <w:t>(2), p.254.</w:t>
      </w:r>
    </w:p>
    <w:p w14:paraId="0000005C" w14:textId="77777777" w:rsidR="007B4C30" w:rsidRDefault="007B4C30">
      <w:pPr>
        <w:spacing w:before="120" w:line="360" w:lineRule="auto"/>
        <w:rPr>
          <w:color w:val="222222"/>
          <w:highlight w:val="white"/>
        </w:rPr>
      </w:pPr>
    </w:p>
    <w:p w14:paraId="0000005D" w14:textId="77777777" w:rsidR="007B4C30" w:rsidRDefault="007B4C30"/>
    <w:sectPr w:rsidR="007B4C3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C30"/>
    <w:rsid w:val="001B292E"/>
    <w:rsid w:val="007B4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AAF3B"/>
  <w15:docId w15:val="{A4C16B81-C6DC-4A94-BBE9-02941E141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uiPriority w:val="1"/>
    <w:qFormat/>
    <w:rsid w:val="001B292E"/>
    <w:pPr>
      <w:spacing w:line="240" w:lineRule="auto"/>
    </w:pPr>
  </w:style>
  <w:style w:type="character" w:styleId="Hyperlink">
    <w:name w:val="Hyperlink"/>
    <w:basedOn w:val="DefaultParagraphFont"/>
    <w:uiPriority w:val="99"/>
    <w:semiHidden/>
    <w:unhideWhenUsed/>
    <w:rsid w:val="001B29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era.ac.uk/publication/ethical-guidelines-for-educational-research-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2164</Words>
  <Characters>12339</Characters>
  <Application>Microsoft Office Word</Application>
  <DocSecurity>4</DocSecurity>
  <Lines>102</Lines>
  <Paragraphs>28</Paragraphs>
  <ScaleCrop>false</ScaleCrop>
  <Company>Gwent Police</Company>
  <LinksUpToDate>false</LinksUpToDate>
  <CharactersWithSpaces>14475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Hall-Moore, Geraint</dc:creator>
  <cp:lastModifiedBy>Geraint Hall-Moore</cp:lastModifiedBy>
  <cp:revision>2</cp:revision>
  <dcterms:created xsi:type="dcterms:W3CDTF">2024-06-17T20:46:00Z</dcterms:created>
  <dcterms:modified xsi:type="dcterms:W3CDTF">2024-06-17T20:46:00Z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2024-06-17T20:46:03Z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38aaa680-0255-4667-baf7-4b1f83781a1c</vt:lpwstr>
  </property>
  <property fmtid="{D5CDD505-2E9C-101B-9397-08002B2CF9AE}" pid="8" name="MSIP_Label_f2acd28b-79a3-4a0f-b0ff-4b75658b1549_ContentBits">
    <vt:lpwstr>0</vt:lpwstr>
  </property>
</Properties>
</file>