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593DD7B4">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0C60F56" w:rsidR="00A60F09" w:rsidRPr="000A7D84" w:rsidRDefault="00602C4B" w:rsidP="593DD7B4">
            <w:pPr>
              <w:rPr>
                <w:rFonts w:cs="Times New Roman"/>
                <w:b/>
                <w:bCs/>
                <w:i/>
                <w:iCs/>
                <w:color w:val="BFBFBF" w:themeColor="background1" w:themeShade="BF"/>
                <w:sz w:val="22"/>
              </w:rPr>
            </w:pPr>
            <w:r w:rsidRPr="593DD7B4">
              <w:rPr>
                <w:rFonts w:eastAsia="Times New Roman" w:cs="Times New Roman"/>
                <w:b/>
                <w:bCs/>
                <w:color w:val="auto"/>
                <w:sz w:val="22"/>
              </w:rPr>
              <w:t>Student Name:</w:t>
            </w:r>
            <w:r w:rsidR="00A60F09" w:rsidRPr="593DD7B4">
              <w:rPr>
                <w:rFonts w:eastAsia="Times New Roman" w:cs="Times New Roman"/>
                <w:b/>
                <w:bCs/>
                <w:color w:val="auto"/>
                <w:sz w:val="22"/>
              </w:rPr>
              <w:t xml:space="preserve"> </w:t>
            </w:r>
            <w:r w:rsidR="19FE9B49" w:rsidRPr="593DD7B4">
              <w:rPr>
                <w:rFonts w:eastAsia="Times New Roman" w:cs="Times New Roman"/>
                <w:b/>
                <w:bCs/>
                <w:color w:val="auto"/>
                <w:sz w:val="22"/>
              </w:rPr>
              <w:t>Syntyche Ndikita</w:t>
            </w:r>
          </w:p>
          <w:p w14:paraId="0225E82F" w14:textId="393D6698" w:rsidR="00602C4B" w:rsidRPr="000A7D84" w:rsidRDefault="00602C4B" w:rsidP="593DD7B4">
            <w:pPr>
              <w:keepNext/>
              <w:spacing w:before="120" w:after="0" w:line="276" w:lineRule="auto"/>
              <w:rPr>
                <w:rFonts w:cs="Times New Roman"/>
                <w:b/>
                <w:bCs/>
                <w:i/>
                <w:iCs/>
                <w:noProof/>
                <w:color w:val="BFBFBF" w:themeColor="background1" w:themeShade="BF"/>
                <w:sz w:val="22"/>
                <w:lang w:eastAsia="en-GB"/>
              </w:rPr>
            </w:pPr>
            <w:r w:rsidRPr="593DD7B4">
              <w:rPr>
                <w:rFonts w:eastAsia="Times New Roman" w:cs="Times New Roman"/>
                <w:b/>
                <w:bCs/>
                <w:color w:val="auto"/>
                <w:sz w:val="22"/>
                <w:lang w:val="en-AU"/>
              </w:rPr>
              <w:t>Student ID:</w:t>
            </w:r>
            <w:r w:rsidRPr="593DD7B4">
              <w:rPr>
                <w:rFonts w:cs="Times New Roman"/>
                <w:b/>
                <w:bCs/>
                <w:noProof/>
                <w:sz w:val="22"/>
                <w:lang w:eastAsia="en-GB"/>
              </w:rPr>
              <w:t xml:space="preserve"> </w:t>
            </w:r>
            <w:r w:rsidR="4B8E2044" w:rsidRPr="593DD7B4">
              <w:rPr>
                <w:rFonts w:eastAsia="Times New Roman" w:cs="Times New Roman"/>
                <w:b/>
                <w:bCs/>
                <w:noProof/>
                <w:sz w:val="22"/>
              </w:rPr>
              <w:t>2228869</w:t>
            </w:r>
          </w:p>
          <w:p w14:paraId="0348FFA9" w14:textId="2B3BAB56" w:rsidR="00602C4B" w:rsidRPr="000A7D84" w:rsidRDefault="00602C4B" w:rsidP="593DD7B4">
            <w:pPr>
              <w:keepNext/>
              <w:spacing w:before="120" w:after="0" w:line="276" w:lineRule="auto"/>
              <w:rPr>
                <w:rFonts w:eastAsia="Times New Roman" w:cs="Times New Roman"/>
                <w:sz w:val="22"/>
              </w:rPr>
            </w:pPr>
            <w:r w:rsidRPr="593DD7B4">
              <w:rPr>
                <w:rFonts w:eastAsia="Times New Roman" w:cs="Times New Roman"/>
                <w:b/>
                <w:bCs/>
                <w:color w:val="auto"/>
                <w:sz w:val="22"/>
                <w:lang w:val="en-AU"/>
              </w:rPr>
              <w:t>Module Title:</w:t>
            </w:r>
            <w:r w:rsidR="000A7D84" w:rsidRPr="593DD7B4">
              <w:rPr>
                <w:rFonts w:cs="Times New Roman"/>
                <w:b/>
                <w:bCs/>
                <w:i/>
                <w:iCs/>
                <w:color w:val="BFBFBF" w:themeColor="background1" w:themeShade="BF"/>
                <w:sz w:val="22"/>
              </w:rPr>
              <w:t xml:space="preserve"> </w:t>
            </w:r>
            <w:r w:rsidR="02AC11EB" w:rsidRPr="593DD7B4">
              <w:rPr>
                <w:rFonts w:eastAsia="Times New Roman" w:cs="Times New Roman"/>
                <w:b/>
                <w:bCs/>
                <w:i/>
                <w:iCs/>
                <w:sz w:val="22"/>
              </w:rPr>
              <w:t>Foreign Language &amp; Cultural Awareness</w:t>
            </w:r>
          </w:p>
          <w:p w14:paraId="12D76E9F" w14:textId="39D2B816" w:rsidR="00602C4B" w:rsidRPr="000A7D84" w:rsidRDefault="00602C4B" w:rsidP="593DD7B4">
            <w:pPr>
              <w:keepNext/>
              <w:spacing w:before="120" w:after="0" w:line="276" w:lineRule="auto"/>
              <w:rPr>
                <w:rFonts w:eastAsia="Times New Roman" w:cs="Times New Roman"/>
                <w:b/>
                <w:bCs/>
                <w:color w:val="auto"/>
                <w:sz w:val="22"/>
                <w:lang w:val="en-AU"/>
              </w:rPr>
            </w:pPr>
            <w:r w:rsidRPr="593DD7B4">
              <w:rPr>
                <w:rFonts w:eastAsia="Times New Roman" w:cs="Times New Roman"/>
                <w:b/>
                <w:bCs/>
                <w:color w:val="auto"/>
                <w:sz w:val="22"/>
                <w:lang w:val="en-AU"/>
              </w:rPr>
              <w:t>Module Code:</w:t>
            </w:r>
            <w:r w:rsidR="000A7D84" w:rsidRPr="593DD7B4">
              <w:rPr>
                <w:rFonts w:cs="Times New Roman"/>
                <w:b/>
                <w:bCs/>
                <w:i/>
                <w:iCs/>
                <w:color w:val="BFBFBF" w:themeColor="background1" w:themeShade="BF"/>
                <w:sz w:val="22"/>
              </w:rPr>
              <w:t xml:space="preserve"> </w:t>
            </w:r>
            <w:r w:rsidR="7A84B5A6" w:rsidRPr="593DD7B4">
              <w:rPr>
                <w:rFonts w:eastAsia="Times New Roman" w:cs="Times New Roman"/>
                <w:b/>
                <w:bCs/>
                <w:i/>
                <w:iCs/>
                <w:sz w:val="22"/>
              </w:rPr>
              <w:t>BMIH5003</w:t>
            </w:r>
          </w:p>
          <w:p w14:paraId="489EC369" w14:textId="2CD7A619" w:rsidR="00602C4B" w:rsidRPr="000A7D84" w:rsidRDefault="00602C4B" w:rsidP="593DD7B4">
            <w:pPr>
              <w:keepNext/>
              <w:spacing w:before="120" w:after="0" w:line="276" w:lineRule="auto"/>
              <w:rPr>
                <w:rFonts w:eastAsia="Times New Roman" w:cs="Times New Roman"/>
                <w:b/>
                <w:bCs/>
                <w:color w:val="auto"/>
                <w:sz w:val="22"/>
                <w:lang w:val="en-AU"/>
              </w:rPr>
            </w:pPr>
            <w:r w:rsidRPr="593DD7B4">
              <w:rPr>
                <w:rFonts w:eastAsia="Times New Roman" w:cs="Times New Roman"/>
                <w:b/>
                <w:bCs/>
                <w:color w:val="auto"/>
                <w:sz w:val="22"/>
                <w:lang w:val="en-AU"/>
              </w:rPr>
              <w:t>Lecturer:</w:t>
            </w:r>
            <w:r w:rsidR="000A7D84" w:rsidRPr="593DD7B4">
              <w:rPr>
                <w:rFonts w:cs="Times New Roman"/>
                <w:b/>
                <w:bCs/>
                <w:i/>
                <w:iCs/>
                <w:color w:val="BFBFBF" w:themeColor="background1" w:themeShade="BF"/>
                <w:sz w:val="22"/>
              </w:rPr>
              <w:t xml:space="preserve"> </w:t>
            </w:r>
            <w:r w:rsidR="47313C84" w:rsidRPr="593DD7B4">
              <w:rPr>
                <w:rFonts w:eastAsia="Times New Roman" w:cs="Times New Roman"/>
                <w:b/>
                <w:bCs/>
                <w:i/>
                <w:iCs/>
                <w:sz w:val="22"/>
              </w:rPr>
              <w:t>Heidi Prosser</w:t>
            </w:r>
          </w:p>
          <w:p w14:paraId="0260DAF0" w14:textId="29FF2A46" w:rsidR="00DA485D" w:rsidRDefault="00DA485D" w:rsidP="593DD7B4">
            <w:pPr>
              <w:keepNext/>
              <w:spacing w:before="120" w:after="0" w:line="276" w:lineRule="auto"/>
              <w:rPr>
                <w:rFonts w:cs="Times New Roman"/>
                <w:b/>
                <w:bCs/>
                <w:noProof/>
                <w:sz w:val="22"/>
              </w:rPr>
            </w:pP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5824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593DD7B4">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593DD7B4">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593DD7B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704F0874" w:rsidR="00DA485D" w:rsidRPr="00E95FE6" w:rsidRDefault="00DA485D" w:rsidP="4959E646">
            <w:pPr>
              <w:rPr>
                <w:b/>
                <w:bCs/>
                <w:i/>
                <w:iCs/>
                <w:color w:val="BFBFBF" w:themeColor="background1" w:themeShade="BF"/>
                <w:sz w:val="28"/>
                <w:szCs w:val="28"/>
              </w:rPr>
            </w:pPr>
          </w:p>
          <w:p w14:paraId="0C379E0D" w14:textId="1650B783" w:rsidR="00136D1F" w:rsidRDefault="5FBA2755" w:rsidP="4959E646">
            <w:pPr>
              <w:spacing w:after="200" w:line="360" w:lineRule="auto"/>
              <w:jc w:val="both"/>
              <w:rPr>
                <w:rFonts w:ascii="Arial" w:eastAsia="Arial" w:hAnsi="Arial" w:cs="Arial"/>
                <w:szCs w:val="24"/>
              </w:rPr>
            </w:pPr>
            <w:r w:rsidRPr="4959E646">
              <w:rPr>
                <w:rFonts w:ascii="Arial" w:eastAsia="Arial" w:hAnsi="Arial" w:cs="Arial"/>
                <w:szCs w:val="24"/>
              </w:rPr>
              <w:t xml:space="preserve">Whilst working in the hospitality industry, in food and beverage department it presented a dynamic environment where cultural misunderstandings can unexpectedly arise. One vivid scenario that comes to mind is a breakfast service encounter with a guest from Japan. </w:t>
            </w:r>
          </w:p>
          <w:p w14:paraId="2D0A6B54" w14:textId="3C43C332"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During a breakfast service, a guest from Japan approached me slightly agitated. Despite the extensive buffet offerings available, the guest seemed dissatisfied with the way the breakfast options were presented. The misunderstanding with this guest from Japan stemmed from a misalignment of cultural expectations regarding hospitality norms. Japanese hospitality culture which is also known as "</w:t>
            </w:r>
            <w:bookmarkStart w:id="0" w:name="_Int_sTYnheUA"/>
            <w:r w:rsidRPr="4959E646">
              <w:rPr>
                <w:rFonts w:ascii="Arial" w:eastAsia="Arial" w:hAnsi="Arial" w:cs="Arial"/>
                <w:szCs w:val="24"/>
              </w:rPr>
              <w:t>omotenashi</w:t>
            </w:r>
            <w:bookmarkEnd w:id="0"/>
            <w:r w:rsidRPr="4959E646">
              <w:rPr>
                <w:rFonts w:ascii="Arial" w:eastAsia="Arial" w:hAnsi="Arial" w:cs="Arial"/>
                <w:szCs w:val="24"/>
              </w:rPr>
              <w:t xml:space="preserve">," is a cultural that exemplifies the Japanese commitment in providing unparalleled service to guests. The guest expected anticipatory service, where their needs are intuitively met, in contrast to the self-service model of the breakfast service. </w:t>
            </w:r>
          </w:p>
          <w:p w14:paraId="47E66CC1" w14:textId="3396A241"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The guest's discomfort arose from feeling overlooked and underserved due to the mismatch between their cultural expectations and then the type of service style that was offered. This highlights the importance of understanding and accommodating diverse cultural norms to ensure exceptional guest experiences. This fundamental difference in service styles inadvertently led to a cultural mismatch, leaving the Japanese guest feeling overlooked and underserved.</w:t>
            </w:r>
          </w:p>
          <w:p w14:paraId="6CFA639D" w14:textId="7E857BE4"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This encounter served as a reminder of the significance of cultural competence in the hospitality industry. It illuminated the need for heightened awareness and sensitivity to the diverse cultural backgrounds of guests. Understanding that cultural norms and expectations vary widely is paramount in delivering truly exceptional service experiences (Mariani et al., 2020).</w:t>
            </w:r>
          </w:p>
          <w:p w14:paraId="24E4E8F1" w14:textId="52311087"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Effective communication emerged as a key factor in bridging cultural divides. Instead of relying solely on verbal exchanges, I realised the importance of non-verbal cues, active listening, and empathy in deciphering guest needs and preferences. Engaging in meaningful dialogue allows for a deeper understanding of cultural nuances and fosters stronger connections with guests from all levels of society (Koc, 2020).</w:t>
            </w:r>
          </w:p>
          <w:p w14:paraId="10F255DE" w14:textId="4B7828F2"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Moreover, adaptability emerged as a critical skill in navigating cultural diversity within the hospitality landscape. Recognising that one size does not fit all, I learned to tailor my approach to accommodate the unique preferences and expectations of each guest (Abramson &amp; Moran, 2017). This might involve subtle adjustments in service delivery, offering personalised recommendations, or simply being more attuned to the subtle cues of guest satisfaction (García-Rodríguez et al., 2020).</w:t>
            </w:r>
          </w:p>
          <w:p w14:paraId="623CF91E" w14:textId="5CB8E7CD"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Moving forward, this experience reinforced my commitment to continuous learning and professional development. Embracing cultural diversity not only enriches the guest experience but also enhances personal and professional growth (Park &amp; Min, 2020). Through ongoing training, exposure to diverse perspectives, and a willingness to embrace cultural differences, I aspire to cultivate a more inclusive and welcoming hospitality environment for all guests.</w:t>
            </w:r>
          </w:p>
          <w:p w14:paraId="49CFDEEE" w14:textId="7E66EAC3" w:rsidR="00136D1F" w:rsidRDefault="5FBA2755" w:rsidP="4959E646">
            <w:pPr>
              <w:spacing w:after="200" w:line="360" w:lineRule="auto"/>
              <w:jc w:val="both"/>
              <w:rPr>
                <w:rFonts w:ascii="Arial" w:eastAsia="Arial" w:hAnsi="Arial" w:cs="Arial"/>
                <w:szCs w:val="24"/>
                <w:lang w:val="en-US"/>
              </w:rPr>
            </w:pPr>
            <w:r w:rsidRPr="4959E646">
              <w:rPr>
                <w:rFonts w:ascii="Arial" w:eastAsia="Arial" w:hAnsi="Arial" w:cs="Arial"/>
                <w:szCs w:val="24"/>
              </w:rPr>
              <w:t>Cultural misunderstandings in the hospitality industry can arise unexpectedly, often stemming from differences in expectations, communication styles, and cultural norms. By cultivating cultural competence, fostering effective communication, and embracing adaptability, food and beverage professionals can navigate diverse cultural landscapes with grace and sensitivity, enriching the guest experience and elevating the standards of hospitality excellence.</w:t>
            </w:r>
          </w:p>
          <w:p w14:paraId="0165466E" w14:textId="0D32D286" w:rsidR="005C77A4" w:rsidRDefault="003164B2" w:rsidP="007C2128">
            <w:pPr>
              <w:rPr>
                <w:b/>
                <w:bCs/>
                <w:sz w:val="28"/>
                <w:szCs w:val="28"/>
              </w:rPr>
            </w:pPr>
            <w:r w:rsidRPr="4959E646">
              <w:rPr>
                <w:b/>
                <w:bCs/>
                <w:sz w:val="28"/>
                <w:szCs w:val="28"/>
              </w:rPr>
              <w:t>References:</w:t>
            </w:r>
          </w:p>
          <w:p w14:paraId="3C6DAF76" w14:textId="6AE3D300" w:rsidR="00DA485D" w:rsidRDefault="00AC9F6A" w:rsidP="4959E646">
            <w:pPr>
              <w:spacing w:after="200" w:line="360" w:lineRule="auto"/>
              <w:jc w:val="both"/>
              <w:rPr>
                <w:rFonts w:ascii="Arial" w:eastAsia="Arial" w:hAnsi="Arial" w:cs="Arial"/>
                <w:szCs w:val="24"/>
              </w:rPr>
            </w:pPr>
            <w:r w:rsidRPr="4959E646">
              <w:rPr>
                <w:rFonts w:ascii="Arial" w:eastAsia="Arial" w:hAnsi="Arial" w:cs="Arial"/>
                <w:szCs w:val="24"/>
              </w:rPr>
              <w:t xml:space="preserve">Mariani, M. M., Borghi, M., &amp; </w:t>
            </w:r>
            <w:bookmarkStart w:id="1" w:name="_Int_6xW2esLH"/>
            <w:r w:rsidRPr="4959E646">
              <w:rPr>
                <w:rFonts w:ascii="Arial" w:eastAsia="Arial" w:hAnsi="Arial" w:cs="Arial"/>
                <w:szCs w:val="24"/>
              </w:rPr>
              <w:t>Okumus</w:t>
            </w:r>
            <w:bookmarkEnd w:id="1"/>
            <w:r w:rsidRPr="4959E646">
              <w:rPr>
                <w:rFonts w:ascii="Arial" w:eastAsia="Arial" w:hAnsi="Arial" w:cs="Arial"/>
                <w:szCs w:val="24"/>
              </w:rPr>
              <w:t>, F. (2020). Unravelling the effects of cultural differences in the online appraisal of hospitality and tourism services. International Journal of Hospitality Management, 90, p.102606.</w:t>
            </w:r>
          </w:p>
          <w:p w14:paraId="455E6156" w14:textId="17489F77" w:rsidR="00DA485D" w:rsidRDefault="00AC9F6A" w:rsidP="4959E646">
            <w:pPr>
              <w:spacing w:after="200" w:line="360" w:lineRule="auto"/>
              <w:jc w:val="both"/>
              <w:rPr>
                <w:rFonts w:ascii="Arial" w:eastAsia="Arial" w:hAnsi="Arial" w:cs="Arial"/>
                <w:szCs w:val="24"/>
              </w:rPr>
            </w:pPr>
            <w:r w:rsidRPr="4959E646">
              <w:rPr>
                <w:rFonts w:ascii="Arial" w:eastAsia="Arial" w:hAnsi="Arial" w:cs="Arial"/>
                <w:szCs w:val="24"/>
              </w:rPr>
              <w:t>Koc, E. (2020). Cross-cultural aspects of tourism and hospitality: A services marketing and management perspective. Routledge.</w:t>
            </w:r>
          </w:p>
          <w:p w14:paraId="3EA82D17" w14:textId="4B531F69" w:rsidR="00DA485D" w:rsidRDefault="00AC9F6A" w:rsidP="4959E646">
            <w:pPr>
              <w:spacing w:after="200" w:line="360" w:lineRule="auto"/>
              <w:jc w:val="both"/>
              <w:rPr>
                <w:rFonts w:ascii="Arial" w:eastAsia="Arial" w:hAnsi="Arial" w:cs="Arial"/>
                <w:szCs w:val="24"/>
              </w:rPr>
            </w:pPr>
            <w:r w:rsidRPr="4959E646">
              <w:rPr>
                <w:rFonts w:ascii="Arial" w:eastAsia="Arial" w:hAnsi="Arial" w:cs="Arial"/>
                <w:szCs w:val="24"/>
              </w:rPr>
              <w:t>Abramson, N.R. and Moran, R.T., 2017. Managing cultural differences: Global leadership for the 21st century. Routledge.</w:t>
            </w:r>
          </w:p>
          <w:p w14:paraId="699367FC" w14:textId="7C98FDF9" w:rsidR="00DA485D" w:rsidRDefault="00AC9F6A" w:rsidP="4959E646">
            <w:pPr>
              <w:spacing w:after="200" w:line="360" w:lineRule="auto"/>
              <w:jc w:val="both"/>
              <w:rPr>
                <w:rFonts w:ascii="Arial" w:eastAsia="Arial" w:hAnsi="Arial" w:cs="Arial"/>
                <w:szCs w:val="24"/>
              </w:rPr>
            </w:pPr>
            <w:r w:rsidRPr="4959E646">
              <w:rPr>
                <w:rFonts w:ascii="Arial" w:eastAsia="Arial" w:hAnsi="Arial" w:cs="Arial"/>
                <w:szCs w:val="24"/>
              </w:rPr>
              <w:t>García-Rodríguez, F. J., Dorta-Afonso, D., &amp; Gonzalez-de-la-Rosa, M. (2020). Hospitality diversity management and job satisfaction: The mediating role of organizational commitment across individual differences. International Journal of Hospitality Management, 91, p.102698.</w:t>
            </w:r>
          </w:p>
          <w:p w14:paraId="3AF9C13B" w14:textId="09A497F4" w:rsidR="00DA485D" w:rsidRDefault="00AC9F6A" w:rsidP="4959E646">
            <w:pPr>
              <w:spacing w:after="200" w:line="360" w:lineRule="auto"/>
              <w:jc w:val="both"/>
              <w:rPr>
                <w:rFonts w:ascii="Arial" w:eastAsia="Arial" w:hAnsi="Arial" w:cs="Arial"/>
                <w:szCs w:val="24"/>
              </w:rPr>
            </w:pPr>
            <w:r w:rsidRPr="4959E646">
              <w:rPr>
                <w:rFonts w:ascii="Arial" w:eastAsia="Arial" w:hAnsi="Arial" w:cs="Arial"/>
                <w:szCs w:val="24"/>
              </w:rPr>
              <w:t>Park, J., &amp; Min, H. K. (2020) Turnover intention in the hospitality industry: A meta-analysis. International Journal of Hospitality Management, 90, p.102599.</w:t>
            </w:r>
          </w:p>
          <w:p w14:paraId="4119FBB0" w14:textId="5AB0AD61" w:rsidR="00DA485D" w:rsidRDefault="00DA485D" w:rsidP="4959E646">
            <w:pPr>
              <w:rPr>
                <w:b/>
                <w:bCs/>
                <w:sz w:val="28"/>
                <w:szCs w:val="28"/>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34A2BAD0" w:rsidR="005C77A4" w:rsidRDefault="00723301" w:rsidP="005C77A4">
            <w:pPr>
              <w:rPr>
                <w:b/>
                <w:bCs/>
                <w:sz w:val="28"/>
                <w:szCs w:val="28"/>
              </w:rPr>
            </w:pPr>
            <w:r w:rsidRPr="4959E646">
              <w:rPr>
                <w:b/>
                <w:bCs/>
                <w:sz w:val="28"/>
                <w:szCs w:val="28"/>
              </w:rPr>
              <w:t>Identified</w:t>
            </w:r>
            <w:r w:rsidR="00B3346C" w:rsidRPr="4959E646">
              <w:rPr>
                <w:b/>
                <w:bCs/>
                <w:sz w:val="28"/>
                <w:szCs w:val="28"/>
              </w:rPr>
              <w:t xml:space="preserve"> cultural misunderstanding</w:t>
            </w:r>
            <w:r w:rsidRPr="4959E646">
              <w:rPr>
                <w:b/>
                <w:bCs/>
                <w:sz w:val="28"/>
                <w:szCs w:val="28"/>
              </w:rPr>
              <w:t xml:space="preserve"> (in a few words</w:t>
            </w:r>
            <w:r w:rsidR="746EAF96" w:rsidRPr="4959E646">
              <w:rPr>
                <w:b/>
                <w:bCs/>
                <w:sz w:val="28"/>
                <w:szCs w:val="28"/>
              </w:rPr>
              <w:t>):</w:t>
            </w:r>
          </w:p>
          <w:p w14:paraId="6B452404" w14:textId="574B69B2" w:rsidR="00B3346C" w:rsidRDefault="7BDA5EDC" w:rsidP="593DD7B4">
            <w:pPr>
              <w:spacing w:line="360" w:lineRule="auto"/>
              <w:jc w:val="both"/>
              <w:rPr>
                <w:rFonts w:ascii="Arial" w:eastAsia="Arial" w:hAnsi="Arial" w:cs="Arial"/>
                <w:color w:val="BFBFBF" w:themeColor="background1" w:themeShade="BF"/>
                <w:szCs w:val="24"/>
              </w:rPr>
            </w:pPr>
            <w:r w:rsidRPr="593DD7B4">
              <w:rPr>
                <w:rFonts w:ascii="Arial" w:eastAsia="Arial" w:hAnsi="Arial" w:cs="Arial"/>
                <w:color w:val="auto"/>
                <w:szCs w:val="24"/>
              </w:rPr>
              <w:t>Thi</w:t>
            </w:r>
            <w:r w:rsidR="6EA2CEC0" w:rsidRPr="593DD7B4">
              <w:rPr>
                <w:rFonts w:ascii="Arial" w:eastAsia="Arial" w:hAnsi="Arial" w:cs="Arial"/>
                <w:color w:val="auto"/>
                <w:szCs w:val="24"/>
              </w:rPr>
              <w:t>s is when different words</w:t>
            </w:r>
            <w:r w:rsidR="4CF62C4D" w:rsidRPr="593DD7B4">
              <w:rPr>
                <w:rFonts w:ascii="Arial" w:eastAsia="Arial" w:hAnsi="Arial" w:cs="Arial"/>
                <w:color w:val="auto"/>
                <w:szCs w:val="24"/>
              </w:rPr>
              <w:t>/</w:t>
            </w:r>
            <w:r w:rsidR="6EA2CEC0" w:rsidRPr="593DD7B4">
              <w:rPr>
                <w:rFonts w:ascii="Arial" w:eastAsia="Arial" w:hAnsi="Arial" w:cs="Arial"/>
                <w:color w:val="auto"/>
                <w:szCs w:val="24"/>
              </w:rPr>
              <w:t>gesture</w:t>
            </w:r>
            <w:r w:rsidR="374BB696" w:rsidRPr="593DD7B4">
              <w:rPr>
                <w:rFonts w:ascii="Arial" w:eastAsia="Arial" w:hAnsi="Arial" w:cs="Arial"/>
                <w:color w:val="auto"/>
                <w:szCs w:val="24"/>
              </w:rPr>
              <w:t>s</w:t>
            </w:r>
            <w:r w:rsidR="79FEEF8B" w:rsidRPr="593DD7B4">
              <w:rPr>
                <w:rFonts w:ascii="Arial" w:eastAsia="Arial" w:hAnsi="Arial" w:cs="Arial"/>
                <w:color w:val="auto"/>
                <w:szCs w:val="24"/>
              </w:rPr>
              <w:t xml:space="preserve"> etc</w:t>
            </w:r>
            <w:r w:rsidR="374BB696" w:rsidRPr="593DD7B4">
              <w:rPr>
                <w:rFonts w:ascii="Arial" w:eastAsia="Arial" w:hAnsi="Arial" w:cs="Arial"/>
                <w:color w:val="auto"/>
                <w:szCs w:val="24"/>
              </w:rPr>
              <w:t xml:space="preserve"> have different meanings in </w:t>
            </w:r>
            <w:r w:rsidR="60564267" w:rsidRPr="593DD7B4">
              <w:rPr>
                <w:rFonts w:ascii="Arial" w:eastAsia="Arial" w:hAnsi="Arial" w:cs="Arial"/>
                <w:color w:val="auto"/>
                <w:szCs w:val="24"/>
              </w:rPr>
              <w:t>diverse cultures.</w:t>
            </w: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sidRPr="4959E646">
              <w:rPr>
                <w:b/>
                <w:bCs/>
                <w:sz w:val="28"/>
                <w:szCs w:val="28"/>
              </w:rPr>
              <w:t>Training plan (Why/What</w:t>
            </w:r>
            <w:r w:rsidR="00A135A5" w:rsidRPr="4959E646">
              <w:rPr>
                <w:b/>
                <w:bCs/>
                <w:sz w:val="28"/>
                <w:szCs w:val="28"/>
              </w:rPr>
              <w:t>/</w:t>
            </w:r>
            <w:r w:rsidRPr="4959E646">
              <w:rPr>
                <w:b/>
                <w:bCs/>
                <w:sz w:val="28"/>
                <w:szCs w:val="28"/>
              </w:rPr>
              <w:t>/Who/Where/When):</w:t>
            </w:r>
          </w:p>
          <w:p w14:paraId="7B9D5C7D" w14:textId="23A173FD"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This training plan is aimed at bolstering our collective ability to navigate diverse cultural landscapes and deliver exceptional guest experiences. Our encounters with guests from various backgrounds have underscored the importance of cultural competence in fostering meaningful connections and ensuring guest satisfaction. Through this training plan, we aim to equip ourselves with the skills and knowledge necessary to effectively engage with guests from diverse cultural backgrounds (Gui et al., 2020)</w:t>
            </w:r>
          </w:p>
          <w:p w14:paraId="4AFA9A68" w14:textId="25524BFF"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1. Cultural Awareness and Sensitivity (Pham et al., 2020):</w:t>
            </w:r>
          </w:p>
          <w:p w14:paraId="6E2F46EF" w14:textId="120B8D5E"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Understanding cultural diversity: Exploring the mosaic of cultures represented among our guests and the significance of cultural differences in shaping guest expectations.</w:t>
            </w:r>
          </w:p>
          <w:p w14:paraId="2169D9A7" w14:textId="62BE8B44" w:rsidR="00A135A5" w:rsidRPr="00E95FE6" w:rsidRDefault="1D6F4002" w:rsidP="4959E646">
            <w:pPr>
              <w:spacing w:after="0" w:line="360" w:lineRule="auto"/>
              <w:jc w:val="both"/>
              <w:rPr>
                <w:rFonts w:ascii="Arial" w:eastAsia="Arial" w:hAnsi="Arial" w:cs="Arial"/>
                <w:szCs w:val="24"/>
                <w:lang w:val="en-US"/>
              </w:rPr>
            </w:pPr>
            <w:r w:rsidRPr="4959E646">
              <w:rPr>
                <w:rFonts w:ascii="Arial" w:eastAsia="Arial" w:hAnsi="Arial" w:cs="Arial"/>
                <w:szCs w:val="24"/>
              </w:rPr>
              <w:t xml:space="preserve">   - Recognising cultural cues: Engaging in interactive exercises and case studies to identify and interpret cultural nuances in guest behaviour and communication styles.</w:t>
            </w:r>
          </w:p>
          <w:p w14:paraId="2DBC69E8" w14:textId="0385BB25"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Embracing cultural humility: Cultivating an attitude of openness and respect towards cultural differences, fostering deeper connections with our guests.</w:t>
            </w:r>
          </w:p>
          <w:p w14:paraId="24429211" w14:textId="08D71E83"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2. Effective Communication Strategies (Ghaderi et al., 2022):</w:t>
            </w:r>
          </w:p>
          <w:p w14:paraId="0F6FDE7E" w14:textId="02A8ABB1"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Active listening techniques: Practicing active listening skills, emphasising the importance of non-verbal cues, paraphrasing, and clarifying to ensure mutual understanding in guest interactions.</w:t>
            </w:r>
          </w:p>
          <w:p w14:paraId="3681E7B4" w14:textId="1449968F"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Empathetic communication: Learning to empathise with guests' perspectives and tailor communication styles to meet their needs and expectations.</w:t>
            </w:r>
          </w:p>
          <w:p w14:paraId="2B38E6CA" w14:textId="5A521BDD"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Cultural sensitivity in language use: Exploring the impact of language choices and cultural references on guest interactions, promoting clarity, sensitivity, and inclusivity in communication.</w:t>
            </w:r>
          </w:p>
          <w:p w14:paraId="3BA2C943" w14:textId="18230739"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3. Adaptability and Flexibility (Leta &amp; Chan, 2021):</w:t>
            </w:r>
          </w:p>
          <w:p w14:paraId="654BB772" w14:textId="7A126F56"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Tailoring service to guest preferences: Exploring strategies for adapting service approaches to accommodate diverse cultural preferences and expectations.</w:t>
            </w:r>
          </w:p>
          <w:p w14:paraId="211E4EA3" w14:textId="5944D55E"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Problem-solving and conflict resolution: Equipping staff with effective problem-solving skills to navigate cultural misunderstandings and guest complaints with professionalism and grace.</w:t>
            </w:r>
          </w:p>
          <w:p w14:paraId="0304AFF8" w14:textId="3A93EC2C"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 xml:space="preserve">   - Continuous learning and growth: Encouraging a growth mindset, fostering a culture of self-reflection, feedback, and ongoing learning opportunities to continuously improve cultural competence and service delivery.</w:t>
            </w:r>
          </w:p>
          <w:p w14:paraId="6714B267" w14:textId="5A10C6F2" w:rsidR="00A135A5" w:rsidRPr="00E95FE6" w:rsidRDefault="00A135A5" w:rsidP="4959E646">
            <w:pPr>
              <w:rPr>
                <w:rFonts w:eastAsia="Times New Roman" w:cs="Times New Roman"/>
                <w:sz w:val="28"/>
                <w:szCs w:val="28"/>
                <w:lang w:val="en-US"/>
              </w:rPr>
            </w:pPr>
          </w:p>
          <w:p w14:paraId="374B3F2F" w14:textId="04496EE3" w:rsidR="00A135A5" w:rsidRPr="00E95FE6" w:rsidRDefault="1D6F4002" w:rsidP="4959E646">
            <w:pPr>
              <w:rPr>
                <w:rFonts w:eastAsia="Times New Roman" w:cs="Times New Roman"/>
                <w:sz w:val="28"/>
                <w:szCs w:val="28"/>
              </w:rPr>
            </w:pPr>
            <w:r w:rsidRPr="4959E646">
              <w:rPr>
                <w:rFonts w:eastAsia="Times New Roman" w:cs="Times New Roman"/>
                <w:b/>
                <w:bCs/>
                <w:sz w:val="28"/>
                <w:szCs w:val="28"/>
              </w:rPr>
              <w:t>References:</w:t>
            </w:r>
          </w:p>
          <w:p w14:paraId="73B542C0" w14:textId="31090895"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Ghaderi, Z., King, B., &amp; Hall, C. M. (2022). Crisis preparedness of hospitality managers: Evidence from Malaysia. Journal of Hospitality and Tourism Insights, 5(2), pp.292-310.</w:t>
            </w:r>
          </w:p>
          <w:p w14:paraId="0CE8AE00" w14:textId="27BD14FA"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Leta, S. D, &amp; Chan, I. C. C. (2021). Learn from the past and prepare for the future: A critical assessment of crisis management research in hospitality. International Journal of Hospitality Management, 95, p.102915.</w:t>
            </w:r>
          </w:p>
          <w:p w14:paraId="41F1A668" w14:textId="439AB84E" w:rsidR="00A135A5" w:rsidRPr="00E95FE6" w:rsidRDefault="1D6F4002" w:rsidP="4959E646">
            <w:pPr>
              <w:spacing w:after="200" w:line="360" w:lineRule="auto"/>
              <w:jc w:val="both"/>
              <w:rPr>
                <w:rFonts w:ascii="Arial" w:eastAsia="Arial" w:hAnsi="Arial" w:cs="Arial"/>
                <w:szCs w:val="24"/>
                <w:lang w:val="en-US"/>
              </w:rPr>
            </w:pPr>
            <w:r w:rsidRPr="4959E646">
              <w:rPr>
                <w:rFonts w:ascii="Arial" w:eastAsia="Arial" w:hAnsi="Arial" w:cs="Arial"/>
                <w:szCs w:val="24"/>
              </w:rPr>
              <w:t>Pham, N. T., Vo-Thanh, T., Shahbaz, M., Huynh, T. L. D., &amp; Usman, M. (2020). Managing environmental challenges: Training as a solution to improve employee green performance. Journal of Environmental Management, 269, p.110781.</w:t>
            </w:r>
          </w:p>
          <w:p w14:paraId="5F7C240C" w14:textId="437FF640" w:rsidR="00A135A5" w:rsidRPr="00E95FE6" w:rsidRDefault="402C795C" w:rsidP="4959E646">
            <w:pPr>
              <w:spacing w:after="200" w:line="360" w:lineRule="auto"/>
              <w:jc w:val="both"/>
              <w:rPr>
                <w:rFonts w:ascii="Arial" w:eastAsia="Arial" w:hAnsi="Arial" w:cs="Arial"/>
                <w:szCs w:val="24"/>
                <w:lang w:val="en-US"/>
              </w:rPr>
            </w:pPr>
            <w:r w:rsidRPr="4959E646">
              <w:rPr>
                <w:rFonts w:ascii="Arial" w:eastAsia="Arial" w:hAnsi="Arial" w:cs="Arial"/>
                <w:szCs w:val="24"/>
              </w:rPr>
              <w:t>Gui, C., Luo, A., Zhang, P., &amp; Deng, A. (2020). A meta-analysis of transformational leadership in hospitality research. International Journal of Contemporary Hospitality Management, 32(6), pp.2137-2154.</w:t>
            </w:r>
          </w:p>
          <w:p w14:paraId="1B81E738" w14:textId="0092646E" w:rsidR="00A135A5" w:rsidRPr="00E95FE6" w:rsidRDefault="00A135A5" w:rsidP="4959E646">
            <w:pPr>
              <w:rPr>
                <w:rFonts w:eastAsia="Times New Roman" w:cs="Times New Roman"/>
                <w:sz w:val="28"/>
                <w:szCs w:val="28"/>
                <w:lang w:val="en-US"/>
              </w:rPr>
            </w:pPr>
          </w:p>
          <w:p w14:paraId="5699D0FB" w14:textId="7CBC4E93" w:rsidR="00A135A5" w:rsidRPr="00E95FE6" w:rsidRDefault="00A135A5" w:rsidP="4959E646">
            <w:pPr>
              <w:rPr>
                <w:rFonts w:eastAsia="Times New Roman" w:cs="Times New Roman"/>
                <w:sz w:val="28"/>
                <w:szCs w:val="28"/>
              </w:rPr>
            </w:pPr>
          </w:p>
          <w:p w14:paraId="05112560" w14:textId="3558EFCD" w:rsidR="00A135A5" w:rsidRPr="00E95FE6" w:rsidRDefault="00A135A5" w:rsidP="4959E646">
            <w:pPr>
              <w:rPr>
                <w:b/>
                <w:bCs/>
                <w:i/>
                <w:iCs/>
                <w:color w:val="BFBFBF" w:themeColor="background1" w:themeShade="BF"/>
                <w:sz w:val="28"/>
                <w:szCs w:val="28"/>
              </w:rPr>
            </w:pPr>
          </w:p>
          <w:p w14:paraId="114B7E94" w14:textId="6FB06F02" w:rsidR="00B3346C" w:rsidRDefault="00B3346C" w:rsidP="005C77A4">
            <w:pPr>
              <w:rPr>
                <w:b/>
                <w:bCs/>
                <w:sz w:val="28"/>
                <w:szCs w:val="24"/>
              </w:rPr>
            </w:pP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F392F1B" w14:textId="38FA9968" w:rsidR="7D5139CD" w:rsidRDefault="7D5139CD" w:rsidP="1E995A69">
            <w:pPr>
              <w:spacing w:after="200" w:line="360" w:lineRule="auto"/>
              <w:jc w:val="both"/>
              <w:rPr>
                <w:rFonts w:ascii="Arial" w:eastAsia="Arial" w:hAnsi="Arial" w:cs="Arial"/>
              </w:rPr>
            </w:pPr>
            <w:r w:rsidRPr="1E995A69">
              <w:rPr>
                <w:rFonts w:ascii="Arial" w:eastAsia="Arial" w:hAnsi="Arial" w:cs="Arial"/>
              </w:rPr>
              <w:t>In</w:t>
            </w:r>
            <w:r w:rsidR="5FC0CE21" w:rsidRPr="1E995A69">
              <w:rPr>
                <w:rFonts w:ascii="Arial" w:eastAsia="Arial" w:hAnsi="Arial" w:cs="Arial"/>
              </w:rPr>
              <w:t xml:space="preserve"> the</w:t>
            </w:r>
            <w:r w:rsidRPr="1E995A69">
              <w:rPr>
                <w:rFonts w:ascii="Arial" w:eastAsia="Arial" w:hAnsi="Arial" w:cs="Arial"/>
              </w:rPr>
              <w:t xml:space="preserve"> hospitality</w:t>
            </w:r>
            <w:r w:rsidR="1C6D7809" w:rsidRPr="1E995A69">
              <w:rPr>
                <w:rFonts w:ascii="Arial" w:eastAsia="Arial" w:hAnsi="Arial" w:cs="Arial"/>
              </w:rPr>
              <w:t xml:space="preserve"> industry</w:t>
            </w:r>
            <w:r w:rsidRPr="1E995A69">
              <w:rPr>
                <w:rFonts w:ascii="Arial" w:eastAsia="Arial" w:hAnsi="Arial" w:cs="Arial"/>
              </w:rPr>
              <w:t>, interactions with guests from diverse cultural backgrounds are common</w:t>
            </w:r>
            <w:r w:rsidR="15C5E916" w:rsidRPr="1E995A69">
              <w:rPr>
                <w:rFonts w:ascii="Arial" w:eastAsia="Arial" w:hAnsi="Arial" w:cs="Arial"/>
              </w:rPr>
              <w:t xml:space="preserve"> and</w:t>
            </w:r>
            <w:r w:rsidRPr="1E995A69">
              <w:rPr>
                <w:rFonts w:ascii="Arial" w:eastAsia="Arial" w:hAnsi="Arial" w:cs="Arial"/>
              </w:rPr>
              <w:t xml:space="preserve"> my journey towards cultural awareness has been transformative.</w:t>
            </w:r>
            <w:r w:rsidR="503D6BBC" w:rsidRPr="1E995A69">
              <w:rPr>
                <w:rFonts w:ascii="Arial" w:eastAsia="Arial" w:hAnsi="Arial" w:cs="Arial"/>
              </w:rPr>
              <w:t xml:space="preserve"> Initially, my perception of cultural awareness within the hospitality indu</w:t>
            </w:r>
            <w:r w:rsidR="503D6BBC" w:rsidRPr="1E995A69">
              <w:rPr>
                <w:rFonts w:ascii="Arial" w:eastAsia="Arial" w:hAnsi="Arial" w:cs="Arial"/>
                <w:szCs w:val="24"/>
              </w:rPr>
              <w:t xml:space="preserve">stry </w:t>
            </w:r>
            <w:r w:rsidR="503D6BBC" w:rsidRPr="1E995A69">
              <w:rPr>
                <w:rFonts w:ascii="Arial" w:eastAsia="Arial" w:hAnsi="Arial" w:cs="Arial"/>
              </w:rPr>
              <w:t>was rudimentary, overshadowed by operational concerns. However, encounters with guests from various cultural backgrounds challenged this perspective, igniting a curiosity to explore cultural dynamics more deeply.</w:t>
            </w:r>
            <w:r w:rsidR="0A48FDE9" w:rsidRPr="1E995A69">
              <w:rPr>
                <w:rFonts w:ascii="Arial" w:eastAsia="Arial" w:hAnsi="Arial" w:cs="Arial"/>
              </w:rPr>
              <w:t xml:space="preserve"> </w:t>
            </w:r>
          </w:p>
          <w:p w14:paraId="01086C9B" w14:textId="4FAC6A4B" w:rsidR="0A48FDE9" w:rsidRDefault="0A48FDE9" w:rsidP="1E995A69">
            <w:pPr>
              <w:spacing w:after="200" w:line="360" w:lineRule="auto"/>
              <w:jc w:val="both"/>
              <w:rPr>
                <w:rFonts w:ascii="Arial" w:eastAsia="Arial" w:hAnsi="Arial" w:cs="Arial"/>
                <w:szCs w:val="24"/>
              </w:rPr>
            </w:pPr>
            <w:r w:rsidRPr="1E995A69">
              <w:rPr>
                <w:rFonts w:ascii="Arial" w:eastAsia="Arial" w:hAnsi="Arial" w:cs="Arial"/>
              </w:rPr>
              <w:t>I recognised the intrinsic value of cultural awareness in fostering meaningful connections with guests. Each interaction became a learning opportunity, with profound impact of cultural considerations on guest perceptions and experiences (Abdullah et al., 2023)</w:t>
            </w:r>
            <w:r w:rsidR="54A6915E" w:rsidRPr="1E995A69">
              <w:rPr>
                <w:rFonts w:ascii="Arial" w:eastAsia="Arial" w:hAnsi="Arial" w:cs="Arial"/>
              </w:rPr>
              <w:t xml:space="preserve"> Like</w:t>
            </w:r>
            <w:r w:rsidR="24C9FC68" w:rsidRPr="1E995A69">
              <w:rPr>
                <w:rFonts w:ascii="Arial" w:eastAsia="Arial" w:hAnsi="Arial" w:cs="Arial"/>
              </w:rPr>
              <w:t xml:space="preserve"> the way</w:t>
            </w:r>
            <w:r w:rsidR="54A6915E" w:rsidRPr="1E995A69">
              <w:rPr>
                <w:rFonts w:ascii="Arial" w:eastAsia="Arial" w:hAnsi="Arial" w:cs="Arial"/>
              </w:rPr>
              <w:t xml:space="preserve"> the Japanese guest who is accustomed to </w:t>
            </w:r>
            <w:r w:rsidR="427B3276" w:rsidRPr="1E995A69">
              <w:rPr>
                <w:rFonts w:ascii="Arial" w:eastAsia="Arial" w:hAnsi="Arial" w:cs="Arial"/>
              </w:rPr>
              <w:t xml:space="preserve">a particular way of </w:t>
            </w:r>
            <w:r w:rsidR="54A6915E" w:rsidRPr="1E995A69">
              <w:rPr>
                <w:rFonts w:ascii="Arial" w:eastAsia="Arial" w:hAnsi="Arial" w:cs="Arial"/>
              </w:rPr>
              <w:t xml:space="preserve">personalised service ("omotenashi"), felt overlooked </w:t>
            </w:r>
            <w:r w:rsidR="21CDA50F" w:rsidRPr="1E995A69">
              <w:rPr>
                <w:rFonts w:ascii="Arial" w:eastAsia="Arial" w:hAnsi="Arial" w:cs="Arial"/>
              </w:rPr>
              <w:t xml:space="preserve">by our </w:t>
            </w:r>
            <w:r w:rsidR="012017A8" w:rsidRPr="1E995A69">
              <w:rPr>
                <w:rFonts w:ascii="Arial" w:eastAsia="Arial" w:hAnsi="Arial" w:cs="Arial"/>
              </w:rPr>
              <w:t>type of</w:t>
            </w:r>
            <w:r w:rsidR="75D37747" w:rsidRPr="1E995A69">
              <w:rPr>
                <w:rFonts w:ascii="Arial" w:eastAsia="Arial" w:hAnsi="Arial" w:cs="Arial"/>
              </w:rPr>
              <w:t xml:space="preserve"> self</w:t>
            </w:r>
            <w:r w:rsidR="54A6915E" w:rsidRPr="1E995A69">
              <w:rPr>
                <w:rFonts w:ascii="Arial" w:eastAsia="Arial" w:hAnsi="Arial" w:cs="Arial"/>
              </w:rPr>
              <w:t xml:space="preserve">-service </w:t>
            </w:r>
            <w:r w:rsidR="15DE4276" w:rsidRPr="1E995A69">
              <w:rPr>
                <w:rFonts w:ascii="Arial" w:eastAsia="Arial" w:hAnsi="Arial" w:cs="Arial"/>
              </w:rPr>
              <w:t>presentation</w:t>
            </w:r>
            <w:r w:rsidR="6CBB84E6" w:rsidRPr="1E995A69">
              <w:rPr>
                <w:rFonts w:ascii="Arial" w:eastAsia="Arial" w:hAnsi="Arial" w:cs="Arial"/>
              </w:rPr>
              <w:t xml:space="preserve"> style. </w:t>
            </w:r>
            <w:r w:rsidR="6BE7C083" w:rsidRPr="1E995A69">
              <w:rPr>
                <w:rFonts w:ascii="Arial" w:eastAsia="Arial" w:hAnsi="Arial" w:cs="Arial"/>
              </w:rPr>
              <w:t>This specific encounter shaped my understanding</w:t>
            </w:r>
            <w:r w:rsidR="78E84222" w:rsidRPr="1E995A69">
              <w:rPr>
                <w:rFonts w:ascii="Arial" w:eastAsia="Arial" w:hAnsi="Arial" w:cs="Arial"/>
              </w:rPr>
              <w:t xml:space="preserve"> for cultural traditions and values</w:t>
            </w:r>
            <w:r w:rsidR="6BE7C083" w:rsidRPr="1E995A69">
              <w:rPr>
                <w:rFonts w:ascii="Arial" w:eastAsia="Arial" w:hAnsi="Arial" w:cs="Arial"/>
              </w:rPr>
              <w:t>. For instance, interactions with guests from Japan highlighted the importance of anticipatory service and personali</w:t>
            </w:r>
            <w:r w:rsidR="583AB4BB" w:rsidRPr="1E995A69">
              <w:rPr>
                <w:rFonts w:ascii="Arial" w:eastAsia="Arial" w:hAnsi="Arial" w:cs="Arial"/>
              </w:rPr>
              <w:t>s</w:t>
            </w:r>
            <w:r w:rsidR="6BE7C083" w:rsidRPr="1E995A69">
              <w:rPr>
                <w:rFonts w:ascii="Arial" w:eastAsia="Arial" w:hAnsi="Arial" w:cs="Arial"/>
              </w:rPr>
              <w:t>ed attention.</w:t>
            </w:r>
            <w:r w:rsidR="43A8B277" w:rsidRPr="1E995A69">
              <w:rPr>
                <w:rFonts w:ascii="Arial" w:eastAsia="Arial" w:hAnsi="Arial" w:cs="Arial"/>
              </w:rPr>
              <w:t xml:space="preserve"> This culminated in a profound appreciation for cultural awareness within the hospitality industry. Cultural competence </w:t>
            </w:r>
            <w:r w:rsidR="43A8B277" w:rsidRPr="1E995A69">
              <w:rPr>
                <w:rFonts w:ascii="Arial" w:eastAsia="Arial" w:hAnsi="Arial" w:cs="Arial"/>
                <w:szCs w:val="24"/>
              </w:rPr>
              <w:t>emerged as fundamental, enriching guest experiences, and fostering inclusivity (Christiansen et al., 2020). Recogni</w:t>
            </w:r>
            <w:r w:rsidR="6DE904E7" w:rsidRPr="1E995A69">
              <w:rPr>
                <w:rFonts w:ascii="Arial" w:eastAsia="Arial" w:hAnsi="Arial" w:cs="Arial"/>
                <w:szCs w:val="24"/>
              </w:rPr>
              <w:t>s</w:t>
            </w:r>
            <w:r w:rsidR="43A8B277" w:rsidRPr="1E995A69">
              <w:rPr>
                <w:rFonts w:ascii="Arial" w:eastAsia="Arial" w:hAnsi="Arial" w:cs="Arial"/>
                <w:szCs w:val="24"/>
              </w:rPr>
              <w:t>ing cultural awareness as a catalyst for meaningful connections,</w:t>
            </w:r>
          </w:p>
          <w:p w14:paraId="70616F0A" w14:textId="7710FD2B" w:rsidR="7AB1A4B7" w:rsidRDefault="7AB1A4B7" w:rsidP="1E995A69">
            <w:pPr>
              <w:spacing w:line="360" w:lineRule="auto"/>
              <w:jc w:val="both"/>
              <w:rPr>
                <w:rFonts w:ascii="Arial" w:eastAsia="Arial" w:hAnsi="Arial" w:cs="Arial"/>
                <w:szCs w:val="24"/>
              </w:rPr>
            </w:pPr>
            <w:r w:rsidRPr="1E995A69">
              <w:rPr>
                <w:rFonts w:ascii="Arial" w:eastAsia="Arial" w:hAnsi="Arial" w:cs="Arial"/>
                <w:szCs w:val="24"/>
              </w:rPr>
              <w:t xml:space="preserve"> Through this transformative journey, I recogni</w:t>
            </w:r>
            <w:r w:rsidR="01864ACB" w:rsidRPr="1E995A69">
              <w:rPr>
                <w:rFonts w:ascii="Arial" w:eastAsia="Arial" w:hAnsi="Arial" w:cs="Arial"/>
                <w:szCs w:val="24"/>
              </w:rPr>
              <w:t>s</w:t>
            </w:r>
            <w:r w:rsidRPr="1E995A69">
              <w:rPr>
                <w:rFonts w:ascii="Arial" w:eastAsia="Arial" w:hAnsi="Arial" w:cs="Arial"/>
                <w:szCs w:val="24"/>
              </w:rPr>
              <w:t>e</w:t>
            </w:r>
            <w:r w:rsidR="6E93FA88" w:rsidRPr="1E995A69">
              <w:rPr>
                <w:rFonts w:ascii="Arial" w:eastAsia="Arial" w:hAnsi="Arial" w:cs="Arial"/>
                <w:szCs w:val="24"/>
              </w:rPr>
              <w:t>d</w:t>
            </w:r>
            <w:r w:rsidRPr="1E995A69">
              <w:rPr>
                <w:rFonts w:ascii="Arial" w:eastAsia="Arial" w:hAnsi="Arial" w:cs="Arial"/>
                <w:szCs w:val="24"/>
              </w:rPr>
              <w:t xml:space="preserve"> the power of self-awareness and introspection.</w:t>
            </w:r>
            <w:r w:rsidR="4318D027" w:rsidRPr="1E995A69">
              <w:rPr>
                <w:rFonts w:ascii="Arial" w:eastAsia="Arial" w:hAnsi="Arial" w:cs="Arial"/>
                <w:szCs w:val="24"/>
              </w:rPr>
              <w:t xml:space="preserve"> </w:t>
            </w:r>
            <w:r w:rsidR="61037FBC" w:rsidRPr="1E995A69">
              <w:rPr>
                <w:rFonts w:ascii="Arial" w:eastAsia="Arial" w:hAnsi="Arial" w:cs="Arial"/>
                <w:szCs w:val="24"/>
              </w:rPr>
              <w:t xml:space="preserve">By </w:t>
            </w:r>
            <w:r w:rsidRPr="1E995A69">
              <w:rPr>
                <w:rFonts w:ascii="Arial" w:eastAsia="Arial" w:hAnsi="Arial" w:cs="Arial"/>
                <w:szCs w:val="24"/>
              </w:rPr>
              <w:t>embracing principles of cultural awareness, empathy, and inclusivity, I aspire to contribute to a hospitality environment that celebrates diversity and fosters genuine connections (Markkanen et al., 2020).</w:t>
            </w:r>
          </w:p>
          <w:p w14:paraId="44F8565E" w14:textId="77777777" w:rsidR="005C77A4" w:rsidRDefault="005C77A4" w:rsidP="005C77A4">
            <w:pPr>
              <w:rPr>
                <w:b/>
                <w:bCs/>
                <w:sz w:val="28"/>
                <w:szCs w:val="24"/>
              </w:rPr>
            </w:pPr>
          </w:p>
          <w:p w14:paraId="2C6F710B" w14:textId="1C06943C" w:rsidR="005C77A4" w:rsidRDefault="005C77A4" w:rsidP="005C77A4">
            <w:pPr>
              <w:rPr>
                <w:b/>
                <w:sz w:val="28"/>
                <w:szCs w:val="28"/>
              </w:rPr>
            </w:pPr>
            <w:r w:rsidRPr="1E995A69">
              <w:rPr>
                <w:b/>
                <w:sz w:val="28"/>
                <w:szCs w:val="28"/>
              </w:rPr>
              <w:t>References:</w:t>
            </w:r>
          </w:p>
          <w:p w14:paraId="3E088FD8" w14:textId="0EC8D517" w:rsidR="005C77A4" w:rsidRDefault="5B1A723E" w:rsidP="1E995A69">
            <w:pPr>
              <w:spacing w:after="200" w:line="360" w:lineRule="auto"/>
              <w:jc w:val="both"/>
              <w:rPr>
                <w:rFonts w:ascii="Arial" w:eastAsia="Arial" w:hAnsi="Arial" w:cs="Arial"/>
                <w:szCs w:val="24"/>
              </w:rPr>
            </w:pPr>
            <w:r w:rsidRPr="1E995A69">
              <w:rPr>
                <w:rFonts w:ascii="Arial" w:eastAsia="Arial" w:hAnsi="Arial" w:cs="Arial"/>
                <w:szCs w:val="24"/>
              </w:rPr>
              <w:t>Abdullah, M., Al Foori, R., &amp; Al Abri, K. (2023). PRE-SERVICE TEACHERS’ CRITICAL SELF-REFLECTION IN MICROTEACHING CONTEXT AT UNIVERSITY OF TECHNOLOGY AND APPLIED SCIENCES–RUSTAQ, OMAN. Journal of Teaching English for Specific and Academic Purposes, pp.539-554.</w:t>
            </w:r>
          </w:p>
          <w:p w14:paraId="6F67D357" w14:textId="6B27F4E3" w:rsidR="005C77A4" w:rsidRDefault="5B1A723E" w:rsidP="1E995A69">
            <w:pPr>
              <w:spacing w:after="200" w:line="360" w:lineRule="auto"/>
              <w:jc w:val="both"/>
              <w:rPr>
                <w:rFonts w:ascii="Arial" w:eastAsia="Arial" w:hAnsi="Arial" w:cs="Arial"/>
                <w:szCs w:val="24"/>
              </w:rPr>
            </w:pPr>
            <w:r w:rsidRPr="1E995A69">
              <w:rPr>
                <w:rFonts w:ascii="Arial" w:eastAsia="Arial" w:hAnsi="Arial" w:cs="Arial"/>
                <w:szCs w:val="24"/>
              </w:rPr>
              <w:t>Christiansen, B., Branch, J.D. and Karmowska, J. eds., 2020. Cultural Factors and Performance in 21st Century Businesses. IGI Global.</w:t>
            </w:r>
          </w:p>
          <w:p w14:paraId="0A721662" w14:textId="5DE1CC73" w:rsidR="005C77A4" w:rsidRDefault="005C77A4" w:rsidP="005C77A4">
            <w:pPr>
              <w:rPr>
                <w:b/>
                <w:sz w:val="28"/>
                <w:szCs w:val="28"/>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0C86EF3" w14:textId="77777777" w:rsidR="00E73500" w:rsidRDefault="00E73500" w:rsidP="006C0FE2">
            <w:pPr>
              <w:rPr>
                <w:b/>
                <w:bCs/>
                <w:i/>
                <w:iCs/>
                <w:color w:val="BFBFBF" w:themeColor="background1" w:themeShade="BF"/>
                <w:sz w:val="28"/>
                <w:szCs w:val="24"/>
              </w:rPr>
            </w:pPr>
            <w:r w:rsidRPr="72DC95FB">
              <w:rPr>
                <w:b/>
                <w:i/>
                <w:color w:val="BFBFBF" w:themeColor="background1" w:themeShade="BF"/>
                <w:sz w:val="28"/>
                <w:szCs w:val="28"/>
              </w:rPr>
              <w:t>[</w:t>
            </w:r>
            <w:r w:rsidR="003164B2" w:rsidRPr="72DC95FB">
              <w:rPr>
                <w:b/>
                <w:i/>
                <w:color w:val="BFBFBF" w:themeColor="background1" w:themeShade="BF"/>
                <w:sz w:val="28"/>
                <w:szCs w:val="28"/>
              </w:rPr>
              <w:t>Introduction slide, e.g. assignment title, student name/ID, module title/code, date, hotel logo</w:t>
            </w:r>
            <w:r w:rsidRPr="72DC95FB">
              <w:rPr>
                <w:b/>
                <w:i/>
                <w:color w:val="BFBFBF" w:themeColor="background1" w:themeShade="BF"/>
                <w:sz w:val="28"/>
                <w:szCs w:val="28"/>
              </w:rPr>
              <w:t>]</w:t>
            </w:r>
          </w:p>
          <w:p w14:paraId="7129C94D" w14:textId="7F4091EA" w:rsidR="00403EAE" w:rsidRDefault="5F7D1014" w:rsidP="006C0FE2">
            <w:pPr>
              <w:rPr>
                <w:b/>
                <w:sz w:val="28"/>
                <w:szCs w:val="28"/>
              </w:rPr>
            </w:pPr>
            <w:r>
              <w:rPr>
                <w:noProof/>
              </w:rPr>
              <w:drawing>
                <wp:inline distT="0" distB="0" distL="0" distR="0" wp14:anchorId="2D282DE0" wp14:editId="72DC95FB">
                  <wp:extent cx="4622800" cy="2717800"/>
                  <wp:effectExtent l="0" t="0" r="0" b="0"/>
                  <wp:docPr id="41201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622800" cy="2717800"/>
                          </a:xfrm>
                          <a:prstGeom prst="rect">
                            <a:avLst/>
                          </a:prstGeom>
                        </pic:spPr>
                      </pic:pic>
                    </a:graphicData>
                  </a:graphic>
                </wp:inline>
              </w:drawing>
            </w:r>
          </w:p>
        </w:tc>
      </w:tr>
      <w:tr w:rsidR="003164B2" w:rsidRPr="00330917" w14:paraId="61677AAC"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3658F0B1" w:rsidR="003164B2" w:rsidRDefault="003164B2" w:rsidP="003164B2">
            <w:pPr>
              <w:rPr>
                <w:b/>
                <w:sz w:val="28"/>
                <w:szCs w:val="28"/>
              </w:rPr>
            </w:pPr>
            <w:r w:rsidRPr="19B88D14">
              <w:rPr>
                <w:b/>
                <w:i/>
                <w:color w:val="BFBFBF" w:themeColor="background1" w:themeShade="BF"/>
                <w:sz w:val="28"/>
                <w:szCs w:val="28"/>
              </w:rPr>
              <w:t>[</w:t>
            </w:r>
            <w:r w:rsidR="005671B3" w:rsidRPr="19B88D14">
              <w:rPr>
                <w:b/>
                <w:i/>
                <w:color w:val="BFBFBF" w:themeColor="background1" w:themeShade="BF"/>
                <w:sz w:val="28"/>
                <w:szCs w:val="28"/>
              </w:rPr>
              <w:t xml:space="preserve">Content </w:t>
            </w:r>
            <w:r w:rsidR="3B691E17">
              <w:rPr>
                <w:noProof/>
              </w:rPr>
              <w:drawing>
                <wp:inline distT="0" distB="0" distL="0" distR="0" wp14:anchorId="2BFFCA50" wp14:editId="08E42A74">
                  <wp:extent cx="4635500" cy="2603500"/>
                  <wp:effectExtent l="0" t="0" r="0" b="0"/>
                  <wp:docPr id="896720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635500" cy="2603500"/>
                          </a:xfrm>
                          <a:prstGeom prst="rect">
                            <a:avLst/>
                          </a:prstGeom>
                        </pic:spPr>
                      </pic:pic>
                    </a:graphicData>
                  </a:graphic>
                </wp:inline>
              </w:drawing>
            </w:r>
            <w:r w:rsidRPr="19B88D14">
              <w:rPr>
                <w:b/>
                <w:i/>
                <w:color w:val="BFBFBF" w:themeColor="background1" w:themeShade="BF"/>
                <w:sz w:val="28"/>
                <w:szCs w:val="28"/>
              </w:rPr>
              <w:t>Slide 1]</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10DD8F4E" w:rsidR="003164B2" w:rsidRDefault="003164B2" w:rsidP="003164B2">
            <w:pPr>
              <w:rPr>
                <w:b/>
                <w:sz w:val="28"/>
                <w:szCs w:val="28"/>
              </w:rPr>
            </w:pPr>
            <w:r w:rsidRPr="19B88D14">
              <w:rPr>
                <w:b/>
                <w:i/>
                <w:color w:val="BFBFBF" w:themeColor="background1" w:themeShade="BF"/>
                <w:sz w:val="28"/>
                <w:szCs w:val="28"/>
              </w:rPr>
              <w:t>[</w:t>
            </w:r>
            <w:r w:rsidR="005671B3" w:rsidRPr="19B88D14">
              <w:rPr>
                <w:b/>
                <w:i/>
                <w:color w:val="BFBFBF" w:themeColor="background1" w:themeShade="BF"/>
                <w:sz w:val="28"/>
                <w:szCs w:val="28"/>
              </w:rPr>
              <w:t xml:space="preserve">Content </w:t>
            </w:r>
            <w:r w:rsidRPr="19B88D14">
              <w:rPr>
                <w:b/>
                <w:i/>
                <w:color w:val="BFBFBF" w:themeColor="background1" w:themeShade="BF"/>
                <w:sz w:val="28"/>
                <w:szCs w:val="28"/>
              </w:rPr>
              <w:t>Slide 2]</w:t>
            </w:r>
          </w:p>
          <w:p w14:paraId="309CF798" w14:textId="007A1B2E" w:rsidR="003164B2" w:rsidRDefault="016A096A" w:rsidP="003164B2">
            <w:pPr>
              <w:rPr>
                <w:b/>
                <w:i/>
                <w:color w:val="BFBFBF" w:themeColor="background1" w:themeShade="BF"/>
                <w:sz w:val="28"/>
                <w:szCs w:val="28"/>
              </w:rPr>
            </w:pPr>
            <w:r>
              <w:rPr>
                <w:noProof/>
              </w:rPr>
              <w:drawing>
                <wp:inline distT="0" distB="0" distL="0" distR="0" wp14:anchorId="7EF25A93" wp14:editId="790724E4">
                  <wp:extent cx="4673599" cy="2616200"/>
                  <wp:effectExtent l="0" t="0" r="0" b="0"/>
                  <wp:docPr id="11773914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673599" cy="2616200"/>
                          </a:xfrm>
                          <a:prstGeom prst="rect">
                            <a:avLst/>
                          </a:prstGeom>
                        </pic:spPr>
                      </pic:pic>
                    </a:graphicData>
                  </a:graphic>
                </wp:inline>
              </w:drawing>
            </w:r>
          </w:p>
        </w:tc>
      </w:tr>
      <w:tr w:rsidR="003164B2" w:rsidRPr="00330917" w14:paraId="52D72DD4"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083FD31A" w:rsidR="003164B2" w:rsidRDefault="003164B2" w:rsidP="003164B2">
            <w:pPr>
              <w:rPr>
                <w:b/>
                <w:sz w:val="28"/>
                <w:szCs w:val="28"/>
              </w:rPr>
            </w:pPr>
            <w:r w:rsidRPr="6710F195">
              <w:rPr>
                <w:b/>
                <w:i/>
                <w:color w:val="BFBFBF" w:themeColor="background1" w:themeShade="BF"/>
                <w:sz w:val="28"/>
                <w:szCs w:val="28"/>
              </w:rPr>
              <w:t>[</w:t>
            </w:r>
            <w:r w:rsidR="005671B3" w:rsidRPr="6710F195">
              <w:rPr>
                <w:b/>
                <w:i/>
                <w:color w:val="BFBFBF" w:themeColor="background1" w:themeShade="BF"/>
                <w:sz w:val="28"/>
                <w:szCs w:val="28"/>
              </w:rPr>
              <w:t xml:space="preserve">Content </w:t>
            </w:r>
            <w:r w:rsidR="63E8AAA7">
              <w:rPr>
                <w:noProof/>
              </w:rPr>
              <w:drawing>
                <wp:inline distT="0" distB="0" distL="0" distR="0" wp14:anchorId="1B49D94C" wp14:editId="7C027408">
                  <wp:extent cx="4597402" cy="2628900"/>
                  <wp:effectExtent l="0" t="0" r="0" b="0"/>
                  <wp:docPr id="2009828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4597402" cy="2628900"/>
                          </a:xfrm>
                          <a:prstGeom prst="rect">
                            <a:avLst/>
                          </a:prstGeom>
                        </pic:spPr>
                      </pic:pic>
                    </a:graphicData>
                  </a:graphic>
                </wp:inline>
              </w:drawing>
            </w:r>
            <w:r w:rsidRPr="6710F195">
              <w:rPr>
                <w:b/>
                <w:i/>
                <w:color w:val="BFBFBF" w:themeColor="background1" w:themeShade="BF"/>
                <w:sz w:val="28"/>
                <w:szCs w:val="28"/>
              </w:rPr>
              <w:t>Slide 3]</w:t>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593DD7B4">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0337BBE" w:rsidR="003164B2" w:rsidRDefault="003164B2" w:rsidP="003164B2">
            <w:pPr>
              <w:rPr>
                <w:b/>
                <w:sz w:val="28"/>
                <w:szCs w:val="28"/>
              </w:rPr>
            </w:pPr>
            <w:r w:rsidRPr="0B1B21ED">
              <w:rPr>
                <w:b/>
                <w:i/>
                <w:color w:val="BFBFBF" w:themeColor="background1" w:themeShade="BF"/>
                <w:sz w:val="28"/>
                <w:szCs w:val="28"/>
              </w:rPr>
              <w:t>[</w:t>
            </w:r>
            <w:r w:rsidR="005671B3" w:rsidRPr="0B1B21ED">
              <w:rPr>
                <w:b/>
                <w:i/>
                <w:color w:val="BFBFBF" w:themeColor="background1" w:themeShade="BF"/>
                <w:sz w:val="28"/>
                <w:szCs w:val="28"/>
              </w:rPr>
              <w:t xml:space="preserve">Content </w:t>
            </w:r>
            <w:r w:rsidRPr="0B1B21ED">
              <w:rPr>
                <w:b/>
                <w:i/>
                <w:color w:val="BFBFBF" w:themeColor="background1" w:themeShade="BF"/>
                <w:sz w:val="28"/>
                <w:szCs w:val="28"/>
              </w:rPr>
              <w:t xml:space="preserve">Slide </w:t>
            </w:r>
            <w:r w:rsidR="7DF89A00">
              <w:rPr>
                <w:noProof/>
              </w:rPr>
              <w:drawing>
                <wp:inline distT="0" distB="0" distL="0" distR="0" wp14:anchorId="1FEDA286" wp14:editId="6208663C">
                  <wp:extent cx="4952998" cy="2641600"/>
                  <wp:effectExtent l="0" t="0" r="0" b="0"/>
                  <wp:docPr id="19977351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4952998" cy="2641600"/>
                          </a:xfrm>
                          <a:prstGeom prst="rect">
                            <a:avLst/>
                          </a:prstGeom>
                        </pic:spPr>
                      </pic:pic>
                    </a:graphicData>
                  </a:graphic>
                </wp:inline>
              </w:drawing>
            </w:r>
            <w:r w:rsidRPr="0B1B21ED">
              <w:rPr>
                <w:b/>
                <w:i/>
                <w:color w:val="BFBFBF" w:themeColor="background1" w:themeShade="BF"/>
                <w:sz w:val="28"/>
                <w:szCs w:val="28"/>
              </w:rPr>
              <w:t>4]</w:t>
            </w:r>
          </w:p>
          <w:p w14:paraId="59A6DDC8" w14:textId="6AF67AFB" w:rsidR="003164B2" w:rsidRDefault="003164B2" w:rsidP="003164B2">
            <w:pPr>
              <w:rPr>
                <w:b/>
                <w:bCs/>
                <w:i/>
                <w:iCs/>
                <w:color w:val="BFBFBF" w:themeColor="background1" w:themeShade="BF"/>
                <w:sz w:val="28"/>
                <w:szCs w:val="24"/>
              </w:rPr>
            </w:pPr>
          </w:p>
        </w:tc>
      </w:tr>
      <w:tr w:rsidR="003164B2" w:rsidRPr="00330917" w14:paraId="3F35D0A1" w14:textId="77777777" w:rsidTr="593DD7B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2774A5B" w:rsidR="003164B2" w:rsidRPr="003164B2" w:rsidRDefault="003164B2" w:rsidP="006C0FE2">
            <w:pPr>
              <w:rPr>
                <w:b/>
                <w:sz w:val="28"/>
                <w:szCs w:val="28"/>
              </w:rPr>
            </w:pPr>
            <w:r w:rsidRPr="0B1B21ED">
              <w:rPr>
                <w:b/>
                <w:i/>
                <w:color w:val="BFBFBF" w:themeColor="background1" w:themeShade="BF"/>
                <w:sz w:val="28"/>
                <w:szCs w:val="28"/>
              </w:rPr>
              <w:t>[</w:t>
            </w:r>
            <w:r w:rsidR="005671B3" w:rsidRPr="0B1B21ED">
              <w:rPr>
                <w:b/>
                <w:i/>
                <w:color w:val="BFBFBF" w:themeColor="background1" w:themeShade="BF"/>
                <w:sz w:val="28"/>
                <w:szCs w:val="28"/>
              </w:rPr>
              <w:t xml:space="preserve">Content </w:t>
            </w:r>
            <w:r w:rsidRPr="0B1B21ED">
              <w:rPr>
                <w:b/>
                <w:i/>
                <w:color w:val="BFBFBF" w:themeColor="background1" w:themeShade="BF"/>
                <w:sz w:val="28"/>
                <w:szCs w:val="28"/>
              </w:rPr>
              <w:t xml:space="preserve">Slide </w:t>
            </w:r>
            <w:r w:rsidR="48039B63">
              <w:rPr>
                <w:noProof/>
              </w:rPr>
              <w:drawing>
                <wp:inline distT="0" distB="0" distL="0" distR="0" wp14:anchorId="35EFB223" wp14:editId="2956D786">
                  <wp:extent cx="4952998" cy="2552700"/>
                  <wp:effectExtent l="0" t="0" r="0" b="0"/>
                  <wp:docPr id="473741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952998" cy="2552700"/>
                          </a:xfrm>
                          <a:prstGeom prst="rect">
                            <a:avLst/>
                          </a:prstGeom>
                        </pic:spPr>
                      </pic:pic>
                    </a:graphicData>
                  </a:graphic>
                </wp:inline>
              </w:drawing>
            </w:r>
            <w:r w:rsidRPr="0B1B21ED">
              <w:rPr>
                <w:b/>
                <w:i/>
                <w:color w:val="BFBFBF" w:themeColor="background1" w:themeShade="BF"/>
                <w:sz w:val="28"/>
                <w:szCs w:val="28"/>
              </w:rPr>
              <w:t>5]</w:t>
            </w:r>
          </w:p>
        </w:tc>
      </w:tr>
      <w:tr w:rsidR="006C0FE2" w:rsidRPr="00330917" w14:paraId="1DE8B5AD" w14:textId="77777777" w:rsidTr="593DD7B4">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7879583C" w14:textId="53FCAF95" w:rsidR="006C0FE2" w:rsidRDefault="006C0FE2" w:rsidP="006C0FE2">
            <w:pPr>
              <w:rPr>
                <w:b/>
                <w:bCs/>
                <w:sz w:val="28"/>
                <w:szCs w:val="24"/>
              </w:rPr>
            </w:pPr>
          </w:p>
          <w:p w14:paraId="001F3BA7"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Tripkit (Moonis,M 2021) The importance of multilingualism in modern hospitality </w:t>
            </w:r>
          </w:p>
          <w:p w14:paraId="1C563866" w14:textId="10740C77" w:rsidR="00BD3628" w:rsidRPr="00BD3628" w:rsidRDefault="46CD7EAD" w:rsidP="593DD7B4">
            <w:pPr>
              <w:spacing w:after="0" w:line="360" w:lineRule="auto"/>
              <w:jc w:val="both"/>
              <w:divId w:val="505444417"/>
              <w:rPr>
                <w:rFonts w:ascii="Arial" w:eastAsia="Arial" w:hAnsi="Arial" w:cs="Arial"/>
                <w:color w:val="auto"/>
                <w:szCs w:val="24"/>
                <w:lang w:val="en-US" w:eastAsia="en-GB"/>
              </w:rPr>
            </w:pPr>
            <w:r w:rsidRPr="593DD7B4">
              <w:rPr>
                <w:rFonts w:ascii="Arial" w:eastAsia="Arial" w:hAnsi="Arial" w:cs="Arial"/>
                <w:color w:val="404040" w:themeColor="text1" w:themeTint="BF"/>
                <w:kern w:val="24"/>
                <w:szCs w:val="24"/>
                <w:lang w:val="en-US" w:eastAsia="en-GB"/>
              </w:rPr>
              <w:t>Available at</w:t>
            </w:r>
            <w:r w:rsidR="00BD3628" w:rsidRPr="593DD7B4">
              <w:rPr>
                <w:rFonts w:ascii="Arial" w:eastAsia="Arial" w:hAnsi="Arial" w:cs="Arial"/>
                <w:color w:val="404040" w:themeColor="text1" w:themeTint="BF"/>
                <w:kern w:val="24"/>
                <w:szCs w:val="24"/>
                <w:lang w:val="en-US" w:eastAsia="en-GB"/>
              </w:rPr>
              <w:t>: </w:t>
            </w:r>
            <w:hyperlink r:id="rId13" w:history="1">
              <w:r w:rsidR="00BD3628" w:rsidRPr="593DD7B4">
                <w:rPr>
                  <w:rFonts w:ascii="Arial" w:eastAsia="Arial" w:hAnsi="Arial" w:cs="Arial"/>
                  <w:color w:val="404040" w:themeColor="text1" w:themeTint="BF"/>
                  <w:kern w:val="24"/>
                  <w:szCs w:val="24"/>
                  <w:u w:val="single"/>
                  <w:lang w:val="en-US" w:eastAsia="en-GB"/>
                </w:rPr>
                <w:t>https://blog.trip-kit.com/the-importance-of-multilingualism-in-the-modern-world/</w:t>
              </w:r>
            </w:hyperlink>
            <w:r w:rsidR="00BD3628" w:rsidRPr="593DD7B4">
              <w:rPr>
                <w:rFonts w:ascii="Arial" w:eastAsia="Arial" w:hAnsi="Arial" w:cs="Arial"/>
                <w:color w:val="404040" w:themeColor="text1" w:themeTint="BF"/>
                <w:kern w:val="24"/>
                <w:szCs w:val="24"/>
                <w:lang w:val="en-US" w:eastAsia="en-GB"/>
              </w:rPr>
              <w:t> </w:t>
            </w:r>
          </w:p>
          <w:p w14:paraId="2E12848A" w14:textId="77777777" w:rsidR="00BD3628" w:rsidRPr="00BD3628" w:rsidRDefault="00BD3628" w:rsidP="593DD7B4">
            <w:pPr>
              <w:spacing w:after="0" w:line="360" w:lineRule="auto"/>
              <w:jc w:val="both"/>
              <w:divId w:val="505444417"/>
              <w:rPr>
                <w:rFonts w:ascii="Arial" w:eastAsia="Arial" w:hAnsi="Arial" w:cs="Arial"/>
                <w:color w:val="auto"/>
                <w:szCs w:val="24"/>
                <w:lang w:val="en-US" w:eastAsia="en-GB"/>
              </w:rPr>
            </w:pPr>
            <w:r w:rsidRPr="593DD7B4">
              <w:rPr>
                <w:rFonts w:ascii="Arial" w:eastAsia="Arial" w:hAnsi="Arial" w:cs="Arial"/>
                <w:color w:val="404040" w:themeColor="text1" w:themeTint="BF"/>
                <w:kern w:val="24"/>
                <w:szCs w:val="24"/>
                <w:lang w:val="en-US" w:eastAsia="en-GB"/>
              </w:rPr>
              <w:t>(Accessed 23rd Jan 2024)</w:t>
            </w:r>
          </w:p>
          <w:p w14:paraId="4B0B49A2" w14:textId="6D47CA59" w:rsidR="593DD7B4" w:rsidRDefault="593DD7B4" w:rsidP="593DD7B4">
            <w:pPr>
              <w:spacing w:after="0" w:line="360" w:lineRule="auto"/>
              <w:jc w:val="both"/>
              <w:rPr>
                <w:rFonts w:ascii="Arial" w:eastAsia="Arial" w:hAnsi="Arial" w:cs="Arial"/>
                <w:color w:val="auto"/>
                <w:szCs w:val="24"/>
                <w:lang w:val="en-US" w:eastAsia="en-GB"/>
              </w:rPr>
            </w:pPr>
          </w:p>
          <w:p w14:paraId="21C5CAAD"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Tripkit (Moonis, M 2021) Benefits of multilingual service at your hotel </w:t>
            </w:r>
          </w:p>
          <w:p w14:paraId="3BFD1C79"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Available at: </w:t>
            </w:r>
            <w:hyperlink r:id="rId14" w:history="1">
              <w:r w:rsidRPr="593DD7B4">
                <w:rPr>
                  <w:rFonts w:ascii="Arial" w:eastAsia="Arial" w:hAnsi="Arial" w:cs="Arial"/>
                  <w:color w:val="404040" w:themeColor="text1" w:themeTint="BF"/>
                  <w:kern w:val="24"/>
                  <w:szCs w:val="24"/>
                  <w:u w:val="single"/>
                  <w:lang w:val="en-US" w:eastAsia="en-GB"/>
                </w:rPr>
                <w:t>https://blog.trip-kit.com/4-benefits-of-multilingual-service-at-your-hotel/</w:t>
              </w:r>
            </w:hyperlink>
            <w:r w:rsidRPr="593DD7B4">
              <w:rPr>
                <w:rFonts w:ascii="Arial" w:eastAsia="Arial" w:hAnsi="Arial" w:cs="Arial"/>
                <w:color w:val="404040" w:themeColor="text1" w:themeTint="BF"/>
                <w:kern w:val="24"/>
                <w:szCs w:val="24"/>
                <w:lang w:val="en-US" w:eastAsia="en-GB"/>
              </w:rPr>
              <w:t> </w:t>
            </w:r>
          </w:p>
          <w:p w14:paraId="783A2EB0"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(Accessed 23rd Jan 2024)</w:t>
            </w:r>
          </w:p>
          <w:p w14:paraId="279ADBC6" w14:textId="6B2B0E57" w:rsidR="593DD7B4" w:rsidRDefault="593DD7B4" w:rsidP="593DD7B4">
            <w:pPr>
              <w:spacing w:after="0" w:line="360" w:lineRule="auto"/>
              <w:jc w:val="both"/>
              <w:rPr>
                <w:rFonts w:ascii="Arial" w:eastAsia="Arial" w:hAnsi="Arial" w:cs="Arial"/>
                <w:color w:val="auto"/>
                <w:szCs w:val="24"/>
                <w:lang w:val="en-US" w:eastAsia="en-GB"/>
              </w:rPr>
            </w:pPr>
          </w:p>
          <w:p w14:paraId="6B1E02E2"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Preply Business (Batham-Hendrei, O 2023) 8 Key benefits of multilingualism in today's workplace </w:t>
            </w:r>
          </w:p>
          <w:p w14:paraId="796175FC" w14:textId="57133AC3" w:rsidR="00BD3628" w:rsidRPr="00BD3628" w:rsidRDefault="00BD3628" w:rsidP="593DD7B4">
            <w:pPr>
              <w:spacing w:after="0" w:line="360" w:lineRule="auto"/>
              <w:jc w:val="both"/>
              <w:divId w:val="505444417"/>
              <w:rPr>
                <w:rFonts w:ascii="Arial" w:eastAsia="Arial" w:hAnsi="Arial" w:cs="Arial"/>
                <w:color w:val="auto"/>
                <w:szCs w:val="24"/>
                <w:lang w:val="en-US" w:eastAsia="en-GB"/>
              </w:rPr>
            </w:pPr>
            <w:r w:rsidRPr="593DD7B4">
              <w:rPr>
                <w:rFonts w:ascii="Arial" w:eastAsia="Arial" w:hAnsi="Arial" w:cs="Arial"/>
                <w:color w:val="404040" w:themeColor="text1" w:themeTint="BF"/>
                <w:kern w:val="24"/>
                <w:szCs w:val="24"/>
                <w:lang w:val="en-US" w:eastAsia="en-GB"/>
              </w:rPr>
              <w:t>Available at: </w:t>
            </w:r>
            <w:hyperlink r:id="rId15" w:history="1">
              <w:r w:rsidRPr="593DD7B4">
                <w:rPr>
                  <w:rFonts w:ascii="Arial" w:eastAsia="Arial" w:hAnsi="Arial" w:cs="Arial"/>
                  <w:color w:val="404040" w:themeColor="text1" w:themeTint="BF"/>
                  <w:kern w:val="24"/>
                  <w:szCs w:val="24"/>
                  <w:u w:val="single"/>
                  <w:lang w:val="en-US" w:eastAsia="en-GB"/>
                </w:rPr>
                <w:t>https://preply.com/en/blog/b2b-multilingual-workforce/</w:t>
              </w:r>
            </w:hyperlink>
            <w:r w:rsidRPr="593DD7B4">
              <w:rPr>
                <w:rFonts w:ascii="Arial" w:eastAsia="Arial" w:hAnsi="Arial" w:cs="Arial"/>
                <w:color w:val="404040" w:themeColor="text1" w:themeTint="BF"/>
                <w:kern w:val="24"/>
                <w:szCs w:val="24"/>
                <w:lang w:val="en-US" w:eastAsia="en-GB"/>
              </w:rPr>
              <w:t> </w:t>
            </w:r>
            <w:r w:rsidR="0677EFF3" w:rsidRPr="593DD7B4">
              <w:rPr>
                <w:rFonts w:ascii="Arial" w:eastAsia="Arial" w:hAnsi="Arial" w:cs="Arial"/>
                <w:color w:val="404040" w:themeColor="text1" w:themeTint="BF"/>
                <w:kern w:val="24"/>
                <w:szCs w:val="24"/>
                <w:lang w:val="en-US" w:eastAsia="en-GB"/>
              </w:rPr>
              <w:t xml:space="preserve"> </w:t>
            </w:r>
          </w:p>
          <w:p w14:paraId="2AF83551"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(Accessed 23rd Jan 2024)</w:t>
            </w:r>
          </w:p>
          <w:p w14:paraId="361D8663" w14:textId="2E652EDD" w:rsidR="593DD7B4" w:rsidRDefault="593DD7B4" w:rsidP="593DD7B4">
            <w:pPr>
              <w:spacing w:after="0" w:line="360" w:lineRule="auto"/>
              <w:jc w:val="both"/>
              <w:rPr>
                <w:rFonts w:ascii="Arial" w:eastAsia="Arial" w:hAnsi="Arial" w:cs="Arial"/>
                <w:color w:val="auto"/>
                <w:szCs w:val="24"/>
                <w:lang w:val="en-US" w:eastAsia="en-GB"/>
              </w:rPr>
            </w:pPr>
          </w:p>
          <w:p w14:paraId="0F222624"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Mews (Lacalle,E 2021) What is cultural diversity and why is it important in the hospitality </w:t>
            </w:r>
          </w:p>
          <w:p w14:paraId="2C1DF205" w14:textId="0BF83E8F"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Available</w:t>
            </w:r>
            <w:r w:rsidR="12AFBED5" w:rsidRPr="593DD7B4">
              <w:rPr>
                <w:rFonts w:ascii="Arial" w:eastAsia="Arial" w:hAnsi="Arial" w:cs="Arial"/>
                <w:color w:val="404040" w:themeColor="text1" w:themeTint="BF"/>
                <w:kern w:val="24"/>
                <w:szCs w:val="24"/>
                <w:lang w:val="en-US" w:eastAsia="en-GB"/>
              </w:rPr>
              <w:t xml:space="preserve"> </w:t>
            </w:r>
            <w:r w:rsidRPr="593DD7B4">
              <w:rPr>
                <w:rFonts w:ascii="Arial" w:eastAsia="Arial" w:hAnsi="Arial" w:cs="Arial"/>
                <w:color w:val="404040" w:themeColor="text1" w:themeTint="BF"/>
                <w:kern w:val="24"/>
                <w:szCs w:val="24"/>
                <w:lang w:val="en-US" w:eastAsia="en-GB"/>
              </w:rPr>
              <w:t>at: </w:t>
            </w:r>
            <w:hyperlink r:id="rId16" w:history="1">
              <w:r w:rsidRPr="593DD7B4">
                <w:rPr>
                  <w:rFonts w:ascii="Arial" w:eastAsia="Arial" w:hAnsi="Arial" w:cs="Arial"/>
                  <w:color w:val="404040" w:themeColor="text1" w:themeTint="BF"/>
                  <w:kern w:val="24"/>
                  <w:szCs w:val="24"/>
                  <w:u w:val="single"/>
                  <w:lang w:val="en-US" w:eastAsia="en-GB"/>
                </w:rPr>
                <w:t>https://www.mews.com/en/blog/cultural-diversity-in-hospitality-industry</w:t>
              </w:r>
            </w:hyperlink>
            <w:r w:rsidRPr="593DD7B4">
              <w:rPr>
                <w:rFonts w:ascii="Arial" w:eastAsia="Arial" w:hAnsi="Arial" w:cs="Arial"/>
                <w:color w:val="404040" w:themeColor="text1" w:themeTint="BF"/>
                <w:kern w:val="24"/>
                <w:szCs w:val="24"/>
                <w:lang w:val="en-US" w:eastAsia="en-GB"/>
              </w:rPr>
              <w:t> </w:t>
            </w:r>
          </w:p>
          <w:p w14:paraId="13DA7379"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(Accessed 23rd Jan 2024)</w:t>
            </w:r>
          </w:p>
          <w:p w14:paraId="265B7AE6" w14:textId="2976CB00" w:rsidR="593DD7B4" w:rsidRDefault="593DD7B4" w:rsidP="593DD7B4">
            <w:pPr>
              <w:spacing w:after="0" w:line="360" w:lineRule="auto"/>
              <w:jc w:val="both"/>
              <w:rPr>
                <w:rFonts w:ascii="Arial" w:eastAsia="Arial" w:hAnsi="Arial" w:cs="Arial"/>
                <w:color w:val="auto"/>
                <w:szCs w:val="24"/>
                <w:lang w:val="en-US" w:eastAsia="en-GB"/>
              </w:rPr>
            </w:pPr>
          </w:p>
          <w:p w14:paraId="3E8CB1A3" w14:textId="77777777"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Italianpod101 (Jan 2020) Everything you should know about Italian customs and etiquette </w:t>
            </w:r>
          </w:p>
          <w:p w14:paraId="36879B66" w14:textId="785E732C" w:rsidR="00BD3628" w:rsidRPr="00BD3628" w:rsidRDefault="00BD3628" w:rsidP="593DD7B4">
            <w:pPr>
              <w:spacing w:after="0" w:line="360" w:lineRule="auto"/>
              <w:jc w:val="both"/>
              <w:divId w:val="505444417"/>
              <w:rPr>
                <w:rFonts w:ascii="Arial" w:eastAsia="Arial" w:hAnsi="Arial" w:cs="Arial"/>
                <w:color w:val="auto"/>
                <w:szCs w:val="24"/>
                <w:lang w:eastAsia="en-GB"/>
              </w:rPr>
            </w:pPr>
            <w:r w:rsidRPr="593DD7B4">
              <w:rPr>
                <w:rFonts w:ascii="Arial" w:eastAsia="Arial" w:hAnsi="Arial" w:cs="Arial"/>
                <w:color w:val="404040" w:themeColor="text1" w:themeTint="BF"/>
                <w:kern w:val="24"/>
                <w:szCs w:val="24"/>
                <w:lang w:val="en-US" w:eastAsia="en-GB"/>
              </w:rPr>
              <w:t>Available at: </w:t>
            </w:r>
            <w:hyperlink r:id="rId17" w:history="1">
              <w:r w:rsidRPr="593DD7B4">
                <w:rPr>
                  <w:rFonts w:ascii="Arial" w:eastAsia="Arial" w:hAnsi="Arial" w:cs="Arial"/>
                  <w:color w:val="404040" w:themeColor="text1" w:themeTint="BF"/>
                  <w:kern w:val="24"/>
                  <w:szCs w:val="24"/>
                  <w:u w:val="single"/>
                  <w:lang w:val="en-US" w:eastAsia="en-GB"/>
                </w:rPr>
                <w:t>https://www.italianpod101.com/blog/2020/01/06/italian-etiquette/</w:t>
              </w:r>
            </w:hyperlink>
            <w:r w:rsidRPr="593DD7B4">
              <w:rPr>
                <w:rFonts w:ascii="Arial" w:eastAsia="Arial" w:hAnsi="Arial" w:cs="Arial"/>
                <w:color w:val="404040" w:themeColor="text1" w:themeTint="BF"/>
                <w:kern w:val="24"/>
                <w:szCs w:val="24"/>
                <w:lang w:val="en-US" w:eastAsia="en-GB"/>
              </w:rPr>
              <w:t> </w:t>
            </w:r>
            <w:r w:rsidR="697B1969" w:rsidRPr="593DD7B4">
              <w:rPr>
                <w:rFonts w:ascii="Arial" w:eastAsia="Arial" w:hAnsi="Arial" w:cs="Arial"/>
                <w:color w:val="404040" w:themeColor="text1" w:themeTint="BF"/>
                <w:kern w:val="24"/>
                <w:szCs w:val="24"/>
                <w:lang w:val="en-US" w:eastAsia="en-GB"/>
              </w:rPr>
              <w:t xml:space="preserve"> </w:t>
            </w:r>
          </w:p>
          <w:p w14:paraId="0980C0D2" w14:textId="0B616216" w:rsidR="0064455E" w:rsidRDefault="00BD3628" w:rsidP="593DD7B4">
            <w:pPr>
              <w:spacing w:line="360" w:lineRule="auto"/>
              <w:jc w:val="both"/>
              <w:rPr>
                <w:rFonts w:ascii="Arial" w:eastAsia="Arial" w:hAnsi="Arial" w:cs="Arial"/>
                <w:b/>
                <w:bCs/>
                <w:color w:val="auto"/>
                <w:szCs w:val="24"/>
              </w:rPr>
            </w:pPr>
            <w:r w:rsidRPr="593DD7B4">
              <w:rPr>
                <w:rFonts w:ascii="Arial" w:eastAsia="Arial" w:hAnsi="Arial" w:cs="Arial"/>
                <w:color w:val="404040" w:themeColor="text1" w:themeTint="BF"/>
                <w:kern w:val="24"/>
                <w:szCs w:val="24"/>
                <w:lang w:val="en-US" w:eastAsia="en-GB"/>
              </w:rPr>
              <w:t>(Accessed 23rd Jan 2024)</w:t>
            </w:r>
          </w:p>
          <w:p w14:paraId="4E7118BA" w14:textId="77777777" w:rsidR="0064455E" w:rsidRDefault="0064455E" w:rsidP="593DD7B4">
            <w:pPr>
              <w:spacing w:line="360" w:lineRule="auto"/>
              <w:jc w:val="both"/>
              <w:rPr>
                <w:rFonts w:ascii="Arial" w:eastAsia="Arial" w:hAnsi="Arial" w:cs="Arial"/>
                <w:b/>
                <w:bCs/>
                <w:color w:val="auto"/>
                <w:szCs w:val="24"/>
              </w:rPr>
            </w:pPr>
          </w:p>
          <w:p w14:paraId="00800ABA" w14:textId="77777777" w:rsidR="0064455E" w:rsidRDefault="0064455E" w:rsidP="593DD7B4">
            <w:pPr>
              <w:spacing w:line="360" w:lineRule="auto"/>
              <w:jc w:val="both"/>
              <w:rPr>
                <w:rFonts w:ascii="Arial" w:eastAsia="Arial" w:hAnsi="Arial" w:cs="Arial"/>
                <w:b/>
                <w:bCs/>
                <w:color w:val="auto"/>
                <w:szCs w:val="24"/>
              </w:rPr>
            </w:pPr>
          </w:p>
          <w:p w14:paraId="0CD767EF" w14:textId="77777777" w:rsidR="0064455E" w:rsidRDefault="0064455E" w:rsidP="593DD7B4">
            <w:pPr>
              <w:spacing w:line="360" w:lineRule="auto"/>
              <w:jc w:val="both"/>
              <w:rPr>
                <w:rFonts w:ascii="Arial" w:eastAsia="Arial" w:hAnsi="Arial" w:cs="Arial"/>
                <w:b/>
                <w:bCs/>
                <w:color w:val="auto"/>
                <w:szCs w:val="24"/>
              </w:rPr>
            </w:pPr>
          </w:p>
          <w:p w14:paraId="69F50AFE" w14:textId="77777777" w:rsidR="003164B2" w:rsidRDefault="003164B2" w:rsidP="593DD7B4">
            <w:pPr>
              <w:spacing w:line="360" w:lineRule="auto"/>
              <w:jc w:val="both"/>
              <w:rPr>
                <w:rFonts w:ascii="Arial" w:eastAsia="Arial" w:hAnsi="Arial" w:cs="Arial"/>
                <w:b/>
                <w:bCs/>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5A1D96" w14:textId="77777777" w:rsidR="00B7436D" w:rsidRDefault="00B7436D" w:rsidP="007C2128">
      <w:pPr>
        <w:spacing w:after="0" w:line="240" w:lineRule="auto"/>
      </w:pPr>
      <w:r>
        <w:separator/>
      </w:r>
    </w:p>
  </w:endnote>
  <w:endnote w:type="continuationSeparator" w:id="0">
    <w:p w14:paraId="090C71FE" w14:textId="77777777" w:rsidR="00B7436D" w:rsidRDefault="00B7436D" w:rsidP="007C2128">
      <w:pPr>
        <w:spacing w:after="0" w:line="240" w:lineRule="auto"/>
      </w:pPr>
      <w:r>
        <w:continuationSeparator/>
      </w:r>
    </w:p>
  </w:endnote>
  <w:endnote w:type="continuationNotice" w:id="1">
    <w:p w14:paraId="20DD6EFB" w14:textId="77777777" w:rsidR="00B7436D" w:rsidRDefault="00B743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70CFC" w14:textId="77777777" w:rsidR="00B7436D" w:rsidRDefault="00B7436D" w:rsidP="007C2128">
      <w:pPr>
        <w:spacing w:after="0" w:line="240" w:lineRule="auto"/>
      </w:pPr>
      <w:r>
        <w:separator/>
      </w:r>
    </w:p>
  </w:footnote>
  <w:footnote w:type="continuationSeparator" w:id="0">
    <w:p w14:paraId="2325EE06" w14:textId="77777777" w:rsidR="00B7436D" w:rsidRDefault="00B7436D" w:rsidP="007C2128">
      <w:pPr>
        <w:spacing w:after="0" w:line="240" w:lineRule="auto"/>
      </w:pPr>
      <w:r>
        <w:continuationSeparator/>
      </w:r>
    </w:p>
  </w:footnote>
  <w:footnote w:type="continuationNotice" w:id="1">
    <w:p w14:paraId="242CD973" w14:textId="77777777" w:rsidR="00B7436D" w:rsidRDefault="00B7436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QLy4EnV1Cf/Dlt" int2:id="zaI2l28P">
      <int2:state int2:value="Rejected" int2:type="AugLoop_Text_Critique"/>
    </int2:textHash>
    <int2:textHash int2:hashCode="1hkVBUg0mlXDHD" int2:id="gWsWYYl4">
      <int2:state int2:value="Rejected" int2:type="AugLoop_Text_Critique"/>
    </int2:textHash>
    <int2:textHash int2:hashCode="uXe66q/2q2E5QZ" int2:id="MWXnDCsl">
      <int2:state int2:value="Rejected" int2:type="AugLoop_Text_Critique"/>
    </int2:textHash>
    <int2:textHash int2:hashCode="BW2StV4dNTi3Px" int2:id="7wP9VXXE">
      <int2:state int2:value="Rejected" int2:type="AugLoop_Text_Critique"/>
    </int2:textHash>
    <int2:textHash int2:hashCode="ku+C24Gx6XrU00" int2:id="KZytD7rI">
      <int2:state int2:value="Rejected" int2:type="AugLoop_Text_Critique"/>
    </int2:textHash>
    <int2:textHash int2:hashCode="sjwZwbvqZLw4F+" int2:id="NjSJr7HE">
      <int2:state int2:value="Rejected" int2:type="AugLoop_Text_Critique"/>
    </int2:textHash>
    <int2:textHash int2:hashCode="IgIlXSavMkDMFy" int2:id="hpeTDIuG">
      <int2:state int2:value="Rejected" int2:type="AugLoop_Text_Critique"/>
    </int2:textHash>
    <int2:textHash int2:hashCode="MrDsKmJWC5lgtZ" int2:id="iBMEFxli">
      <int2:state int2:value="Rejected" int2:type="AugLoop_Text_Critique"/>
    </int2:textHash>
    <int2:bookmark int2:bookmarkName="_Int_sTYnheUA" int2:invalidationBookmarkName="" int2:hashCode="MrDsKmJWC5lgtZ" int2:id="DUIoYcDX">
      <int2:state int2:value="Rejected" int2:type="AugLoop_Text_Critique"/>
    </int2:bookmark>
    <int2:bookmark int2:bookmarkName="_Int_6xW2esLH" int2:invalidationBookmarkName="" int2:hashCode="eDndtyJLq7/3aP" int2:id="kxc7kZY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C2061"/>
    <w:rsid w:val="00136D1F"/>
    <w:rsid w:val="001C05B9"/>
    <w:rsid w:val="002F762E"/>
    <w:rsid w:val="003058C2"/>
    <w:rsid w:val="003164B2"/>
    <w:rsid w:val="003439EA"/>
    <w:rsid w:val="00373FD2"/>
    <w:rsid w:val="003C6357"/>
    <w:rsid w:val="00403EAE"/>
    <w:rsid w:val="00452F90"/>
    <w:rsid w:val="00471A74"/>
    <w:rsid w:val="004F3356"/>
    <w:rsid w:val="005671B3"/>
    <w:rsid w:val="005816AF"/>
    <w:rsid w:val="0059363C"/>
    <w:rsid w:val="005C77A4"/>
    <w:rsid w:val="005D0BD2"/>
    <w:rsid w:val="00602C4B"/>
    <w:rsid w:val="006278FF"/>
    <w:rsid w:val="0064455E"/>
    <w:rsid w:val="00675DCB"/>
    <w:rsid w:val="006B575E"/>
    <w:rsid w:val="006B5C81"/>
    <w:rsid w:val="006C0FE2"/>
    <w:rsid w:val="006D765B"/>
    <w:rsid w:val="006F1E37"/>
    <w:rsid w:val="00723301"/>
    <w:rsid w:val="0078170F"/>
    <w:rsid w:val="007A0095"/>
    <w:rsid w:val="007C2128"/>
    <w:rsid w:val="007F1B43"/>
    <w:rsid w:val="00833B1F"/>
    <w:rsid w:val="00834656"/>
    <w:rsid w:val="00847B3C"/>
    <w:rsid w:val="008C0A30"/>
    <w:rsid w:val="008C1E11"/>
    <w:rsid w:val="00903A18"/>
    <w:rsid w:val="00910929"/>
    <w:rsid w:val="00970C57"/>
    <w:rsid w:val="009C4960"/>
    <w:rsid w:val="009C5BA7"/>
    <w:rsid w:val="009E5789"/>
    <w:rsid w:val="009E74DD"/>
    <w:rsid w:val="00A135A5"/>
    <w:rsid w:val="00A16B69"/>
    <w:rsid w:val="00A60F09"/>
    <w:rsid w:val="00AA645D"/>
    <w:rsid w:val="00AC9F6A"/>
    <w:rsid w:val="00B3346C"/>
    <w:rsid w:val="00B7436D"/>
    <w:rsid w:val="00BC5738"/>
    <w:rsid w:val="00BD3628"/>
    <w:rsid w:val="00C66B0E"/>
    <w:rsid w:val="00C91424"/>
    <w:rsid w:val="00C974B9"/>
    <w:rsid w:val="00CA5E71"/>
    <w:rsid w:val="00CD483B"/>
    <w:rsid w:val="00CF7946"/>
    <w:rsid w:val="00DA485D"/>
    <w:rsid w:val="00DC5569"/>
    <w:rsid w:val="00E3535F"/>
    <w:rsid w:val="00E73500"/>
    <w:rsid w:val="00E95FE6"/>
    <w:rsid w:val="00EB6BC3"/>
    <w:rsid w:val="00F67068"/>
    <w:rsid w:val="012017A8"/>
    <w:rsid w:val="016A096A"/>
    <w:rsid w:val="01864ACB"/>
    <w:rsid w:val="02AC11EB"/>
    <w:rsid w:val="02EE43A9"/>
    <w:rsid w:val="03535DF9"/>
    <w:rsid w:val="04D8C884"/>
    <w:rsid w:val="067498E5"/>
    <w:rsid w:val="0677EFF3"/>
    <w:rsid w:val="08106946"/>
    <w:rsid w:val="0A48FDE9"/>
    <w:rsid w:val="0B1B21ED"/>
    <w:rsid w:val="0D5AEE46"/>
    <w:rsid w:val="12498C0D"/>
    <w:rsid w:val="12AFBED5"/>
    <w:rsid w:val="12BC00B7"/>
    <w:rsid w:val="155D8632"/>
    <w:rsid w:val="15C5E916"/>
    <w:rsid w:val="15DE4276"/>
    <w:rsid w:val="15DFC11C"/>
    <w:rsid w:val="19B88D14"/>
    <w:rsid w:val="19FE9B49"/>
    <w:rsid w:val="1A0AEACD"/>
    <w:rsid w:val="1A4E438D"/>
    <w:rsid w:val="1BA2F1F0"/>
    <w:rsid w:val="1C6D7809"/>
    <w:rsid w:val="1D6F4002"/>
    <w:rsid w:val="1D85E44F"/>
    <w:rsid w:val="1E995A69"/>
    <w:rsid w:val="21CDA50F"/>
    <w:rsid w:val="22A809EC"/>
    <w:rsid w:val="23DCF995"/>
    <w:rsid w:val="244117C6"/>
    <w:rsid w:val="24B28A64"/>
    <w:rsid w:val="24C9FC68"/>
    <w:rsid w:val="2578C9F6"/>
    <w:rsid w:val="2AFB6E5F"/>
    <w:rsid w:val="3302B903"/>
    <w:rsid w:val="33509650"/>
    <w:rsid w:val="35205898"/>
    <w:rsid w:val="374BB696"/>
    <w:rsid w:val="3B691E17"/>
    <w:rsid w:val="402C795C"/>
    <w:rsid w:val="41416AC4"/>
    <w:rsid w:val="427B3276"/>
    <w:rsid w:val="4318D027"/>
    <w:rsid w:val="43A8B277"/>
    <w:rsid w:val="46CD7EAD"/>
    <w:rsid w:val="47313C84"/>
    <w:rsid w:val="48039B63"/>
    <w:rsid w:val="489F81A5"/>
    <w:rsid w:val="4959E646"/>
    <w:rsid w:val="4B184EDE"/>
    <w:rsid w:val="4B8E2044"/>
    <w:rsid w:val="4CAAFE67"/>
    <w:rsid w:val="4CF62C4D"/>
    <w:rsid w:val="4F4A9DA2"/>
    <w:rsid w:val="503D6BBC"/>
    <w:rsid w:val="54178300"/>
    <w:rsid w:val="54A6915E"/>
    <w:rsid w:val="583AB4BB"/>
    <w:rsid w:val="58DDAAC3"/>
    <w:rsid w:val="593DD7B4"/>
    <w:rsid w:val="5B1A723E"/>
    <w:rsid w:val="5C645E1E"/>
    <w:rsid w:val="5E9AC644"/>
    <w:rsid w:val="5F7D1014"/>
    <w:rsid w:val="5FBA2755"/>
    <w:rsid w:val="5FC0CE21"/>
    <w:rsid w:val="603696A5"/>
    <w:rsid w:val="60564267"/>
    <w:rsid w:val="61037FBC"/>
    <w:rsid w:val="622F2491"/>
    <w:rsid w:val="626B64AC"/>
    <w:rsid w:val="6321EB65"/>
    <w:rsid w:val="63CAF4F2"/>
    <w:rsid w:val="63E8AAA7"/>
    <w:rsid w:val="6710F195"/>
    <w:rsid w:val="697B1969"/>
    <w:rsid w:val="6BE7C083"/>
    <w:rsid w:val="6CBB84E6"/>
    <w:rsid w:val="6DE904E7"/>
    <w:rsid w:val="6E0AD447"/>
    <w:rsid w:val="6E93FA88"/>
    <w:rsid w:val="6EA2CEC0"/>
    <w:rsid w:val="72DC95FB"/>
    <w:rsid w:val="72F8D839"/>
    <w:rsid w:val="746EAF96"/>
    <w:rsid w:val="75D37747"/>
    <w:rsid w:val="78E84222"/>
    <w:rsid w:val="79FEEF8B"/>
    <w:rsid w:val="7A2FAEA2"/>
    <w:rsid w:val="7A84B5A6"/>
    <w:rsid w:val="7AB1A4B7"/>
    <w:rsid w:val="7BDA5EDC"/>
    <w:rsid w:val="7C7F0224"/>
    <w:rsid w:val="7D5139CD"/>
    <w:rsid w:val="7DCFF1E1"/>
    <w:rsid w:val="7DF89A00"/>
    <w:rsid w:val="7E1AD285"/>
    <w:rsid w:val="7FB6A2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4DE4AD8C-BF07-47E8-9883-56CD3BD7E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semiHidden/>
    <w:unhideWhenUsed/>
    <w:rsid w:val="00BD3628"/>
    <w:pPr>
      <w:spacing w:before="100" w:beforeAutospacing="1" w:after="100" w:afterAutospacing="1" w:line="240" w:lineRule="auto"/>
    </w:pPr>
    <w:rPr>
      <w:rFonts w:eastAsiaTheme="minorEastAsia" w:cs="Times New Roman"/>
      <w:color w:val="auto"/>
      <w:szCs w:val="24"/>
      <w:lang w:eastAsia="en-GB"/>
    </w:rPr>
  </w:style>
  <w:style w:type="character" w:styleId="Hyperlink">
    <w:name w:val="Hyperlink"/>
    <w:basedOn w:val="DefaultParagraphFont"/>
    <w:uiPriority w:val="99"/>
    <w:semiHidden/>
    <w:unhideWhenUsed/>
    <w:rsid w:val="00BD36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444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log.trip-kit.com/the-importance-of-multilingualism-in-the-modern-world/" TargetMode="External"/><Relationship Id="rId18" Type="http://schemas.openxmlformats.org/officeDocument/2006/relationships/footer" Target="foot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italianpod101.com/blog/2020/01/06/italian-etiquette/" TargetMode="External"/><Relationship Id="rId2" Type="http://schemas.openxmlformats.org/officeDocument/2006/relationships/settings" Target="settings.xml"/><Relationship Id="rId16" Type="http://schemas.openxmlformats.org/officeDocument/2006/relationships/hyperlink" Target="https://www.mews.com/en/blog/cultural-diversity-in-hospitality-industr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preply.com/en/blog/b2b-multilingual-workforce/"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blog.trip-kit.com/4-benefits-of-multilingual-service-at-your-hot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1807</Words>
  <Characters>10305</Characters>
  <Application>Microsoft Office Word</Application>
  <DocSecurity>4</DocSecurity>
  <Lines>85</Lines>
  <Paragraphs>24</Paragraphs>
  <ScaleCrop>false</ScaleCrop>
  <Company>University of Wales Trinity Saint David</Company>
  <LinksUpToDate>false</LinksUpToDate>
  <CharactersWithSpaces>12088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Syntyche Ndikita (2228869)</cp:lastModifiedBy>
  <cp:revision>14</cp:revision>
  <dcterms:created xsi:type="dcterms:W3CDTF">2024-02-10T06:43:00Z</dcterms:created>
  <dcterms:modified xsi:type="dcterms:W3CDTF">2024-02-10T00:15:00Z</dcterms:modified>
</cp:coreProperties>
</file>