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3279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74AE68E5"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5052BA">
        <w:rPr>
          <w:rFonts w:ascii="Arial" w:hAnsi="Arial" w:cs="Arial"/>
          <w:sz w:val="28"/>
          <w:szCs w:val="28"/>
          <w:lang w:val="nl-NL"/>
        </w:rPr>
        <w:t>Introduction to Health and Social Ca</w:t>
      </w:r>
      <w:r w:rsidR="00B52BE3">
        <w:rPr>
          <w:rFonts w:ascii="Arial" w:hAnsi="Arial" w:cs="Arial"/>
          <w:sz w:val="28"/>
          <w:szCs w:val="28"/>
          <w:lang w:val="nl-NL"/>
        </w:rPr>
        <w:t>re</w:t>
      </w:r>
    </w:p>
    <w:p w14:paraId="537571AF" w14:textId="6942B663"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5052BA">
        <w:rPr>
          <w:rFonts w:ascii="Arial" w:hAnsi="Arial" w:cs="Arial"/>
          <w:sz w:val="28"/>
          <w:szCs w:val="28"/>
        </w:rPr>
        <w:t xml:space="preserve"> LCHS 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384D81F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5052BA">
        <w:rPr>
          <w:rFonts w:ascii="Arial" w:hAnsi="Arial" w:cs="Arial"/>
          <w:sz w:val="28"/>
          <w:szCs w:val="28"/>
          <w:lang w:val="nl-NL"/>
        </w:rPr>
        <w:t xml:space="preserve"> Minchi </w:t>
      </w:r>
      <w:r w:rsidR="00A547FF">
        <w:rPr>
          <w:rFonts w:ascii="Arial" w:hAnsi="Arial" w:cs="Arial"/>
          <w:sz w:val="28"/>
          <w:szCs w:val="28"/>
          <w:lang w:val="nl-NL"/>
        </w:rPr>
        <w:t>C. Chandler</w:t>
      </w:r>
    </w:p>
    <w:p w14:paraId="39AA4413" w14:textId="02CDA0BF"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A547FF">
        <w:rPr>
          <w:rFonts w:ascii="Arial" w:hAnsi="Arial" w:cs="Arial"/>
          <w:sz w:val="28"/>
          <w:szCs w:val="28"/>
          <w:lang w:val="nl-NL"/>
        </w:rPr>
        <w:t xml:space="preserve"> 2532181</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6AA4F810"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A547FF">
        <w:rPr>
          <w:rFonts w:ascii="Arial" w:hAnsi="Arial" w:cs="Arial"/>
          <w:sz w:val="28"/>
          <w:szCs w:val="28"/>
        </w:rPr>
        <w:t xml:space="preserve"> Umma Su</w:t>
      </w:r>
      <w:r w:rsidR="00343375">
        <w:rPr>
          <w:rFonts w:ascii="Arial" w:hAnsi="Arial" w:cs="Arial"/>
          <w:sz w:val="28"/>
          <w:szCs w:val="28"/>
        </w:rPr>
        <w:t>l</w:t>
      </w:r>
      <w:r w:rsidR="006E20A8">
        <w:rPr>
          <w:rFonts w:ascii="Arial" w:hAnsi="Arial" w:cs="Arial"/>
          <w:sz w:val="28"/>
          <w:szCs w:val="28"/>
        </w:rPr>
        <w:t>eiman</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313F4085" w:rsidR="00B87E75" w:rsidRPr="00853341" w:rsidRDefault="00B87E75" w:rsidP="00853341">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color w:val="auto"/>
          <w:sz w:val="24"/>
          <w:szCs w:val="22"/>
          <w:lang w:eastAsia="en-US"/>
        </w:rPr>
        <w:id w:val="1595822222"/>
        <w:docPartObj>
          <w:docPartGallery w:val="Table of Contents"/>
          <w:docPartUnique/>
        </w:docPartObj>
      </w:sdtPr>
      <w:sdtEndPr>
        <w:rPr>
          <w:b/>
          <w:bCs/>
        </w:rPr>
      </w:sdtEndPr>
      <w:sdtContent>
        <w:p w14:paraId="6EC9A682" w14:textId="30EDD84A" w:rsidR="00327BF6" w:rsidRPr="00571B3D" w:rsidRDefault="00327BF6">
          <w:pPr>
            <w:pStyle w:val="TOCHeading"/>
            <w:rPr>
              <w:rFonts w:ascii="Arial" w:hAnsi="Arial" w:cs="Arial"/>
              <w:b/>
              <w:bCs/>
              <w:color w:val="auto"/>
            </w:rPr>
          </w:pPr>
          <w:r w:rsidRPr="00571B3D">
            <w:rPr>
              <w:rFonts w:ascii="Arial" w:hAnsi="Arial" w:cs="Arial"/>
              <w:b/>
              <w:bCs/>
              <w:color w:val="auto"/>
            </w:rPr>
            <w:t>Table of Contents</w:t>
          </w:r>
        </w:p>
        <w:p w14:paraId="0B19F089" w14:textId="77777777" w:rsidR="00327BF6" w:rsidRPr="00327BF6" w:rsidRDefault="00327BF6" w:rsidP="00327BF6">
          <w:pPr>
            <w:rPr>
              <w:lang w:eastAsia="en-GB"/>
            </w:rPr>
          </w:pPr>
        </w:p>
        <w:p w14:paraId="05353612" w14:textId="686AC9A1"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r>
            <w:fldChar w:fldCharType="begin"/>
          </w:r>
          <w:r>
            <w:instrText xml:space="preserve"> TOC \o "1-3" \h \z \u </w:instrText>
          </w:r>
          <w:r>
            <w:fldChar w:fldCharType="separate"/>
          </w:r>
          <w:hyperlink w:anchor="_Toc238080549" w:history="1">
            <w:r w:rsidRPr="00327BF6">
              <w:rPr>
                <w:rStyle w:val="Hyperlink"/>
                <w:rFonts w:ascii="Arial" w:hAnsi="Arial" w:cs="Arial"/>
                <w:noProof/>
                <w:sz w:val="28"/>
                <w:szCs w:val="28"/>
              </w:rPr>
              <w:t>Introduction</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_Toc238080549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3</w:t>
            </w:r>
            <w:r w:rsidRPr="00327BF6">
              <w:rPr>
                <w:rFonts w:ascii="Arial" w:hAnsi="Arial" w:cs="Arial"/>
                <w:noProof/>
                <w:webHidden/>
                <w:sz w:val="28"/>
                <w:szCs w:val="28"/>
              </w:rPr>
              <w:fldChar w:fldCharType="end"/>
            </w:r>
          </w:hyperlink>
        </w:p>
        <w:p w14:paraId="65680D14" w14:textId="42C652CD"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hyperlink w:anchor="_Toc238080550" w:history="1">
            <w:r w:rsidRPr="00327BF6">
              <w:rPr>
                <w:rStyle w:val="Hyperlink"/>
                <w:rFonts w:ascii="Arial" w:hAnsi="Arial" w:cs="Arial"/>
                <w:noProof/>
                <w:sz w:val="28"/>
                <w:szCs w:val="28"/>
              </w:rPr>
              <w:t>Importance of Effective Communication</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_Toc238080550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3</w:t>
            </w:r>
            <w:r w:rsidRPr="00327BF6">
              <w:rPr>
                <w:rFonts w:ascii="Arial" w:hAnsi="Arial" w:cs="Arial"/>
                <w:noProof/>
                <w:webHidden/>
                <w:sz w:val="28"/>
                <w:szCs w:val="28"/>
              </w:rPr>
              <w:fldChar w:fldCharType="end"/>
            </w:r>
          </w:hyperlink>
        </w:p>
        <w:p w14:paraId="63CAAF7A" w14:textId="78B970A5"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hyperlink w:anchor="_Toc238080551" w:history="1">
            <w:r w:rsidRPr="00327BF6">
              <w:rPr>
                <w:rStyle w:val="Hyperlink"/>
                <w:rFonts w:ascii="Arial" w:hAnsi="Arial" w:cs="Arial"/>
                <w:noProof/>
                <w:sz w:val="28"/>
                <w:szCs w:val="28"/>
              </w:rPr>
              <w:t>Importance of Good Administrative Skills</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_Toc238080551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4</w:t>
            </w:r>
            <w:r w:rsidRPr="00327BF6">
              <w:rPr>
                <w:rFonts w:ascii="Arial" w:hAnsi="Arial" w:cs="Arial"/>
                <w:noProof/>
                <w:webHidden/>
                <w:sz w:val="28"/>
                <w:szCs w:val="28"/>
              </w:rPr>
              <w:fldChar w:fldCharType="end"/>
            </w:r>
          </w:hyperlink>
        </w:p>
        <w:p w14:paraId="71BAB4C8" w14:textId="506CF90D"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hyperlink w:anchor="_Toc238080552" w:history="1">
            <w:r w:rsidRPr="00327BF6">
              <w:rPr>
                <w:rStyle w:val="Hyperlink"/>
                <w:rFonts w:ascii="Arial" w:hAnsi="Arial" w:cs="Arial"/>
                <w:noProof/>
                <w:sz w:val="28"/>
                <w:szCs w:val="28"/>
              </w:rPr>
              <w:t>Importance of Working Collaboratively</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_Toc238080552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5</w:t>
            </w:r>
            <w:r w:rsidRPr="00327BF6">
              <w:rPr>
                <w:rFonts w:ascii="Arial" w:hAnsi="Arial" w:cs="Arial"/>
                <w:noProof/>
                <w:webHidden/>
                <w:sz w:val="28"/>
                <w:szCs w:val="28"/>
              </w:rPr>
              <w:fldChar w:fldCharType="end"/>
            </w:r>
          </w:hyperlink>
        </w:p>
        <w:p w14:paraId="22B65837" w14:textId="05F4D789"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hyperlink w:anchor="_Toc238080553" w:history="1">
            <w:r w:rsidRPr="00327BF6">
              <w:rPr>
                <w:rStyle w:val="Hyperlink"/>
                <w:rFonts w:ascii="Arial" w:hAnsi="Arial" w:cs="Arial"/>
                <w:noProof/>
                <w:sz w:val="28"/>
                <w:szCs w:val="28"/>
              </w:rPr>
              <w:t>Conclusion</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_Toc238080553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6</w:t>
            </w:r>
            <w:r w:rsidRPr="00327BF6">
              <w:rPr>
                <w:rFonts w:ascii="Arial" w:hAnsi="Arial" w:cs="Arial"/>
                <w:noProof/>
                <w:webHidden/>
                <w:sz w:val="28"/>
                <w:szCs w:val="28"/>
              </w:rPr>
              <w:fldChar w:fldCharType="end"/>
            </w:r>
          </w:hyperlink>
        </w:p>
        <w:p w14:paraId="4862FDB0" w14:textId="3D4D0749" w:rsidR="00327BF6" w:rsidRPr="00327BF6" w:rsidRDefault="00327BF6">
          <w:pPr>
            <w:pStyle w:val="TOC1"/>
            <w:tabs>
              <w:tab w:val="right" w:leader="dot" w:pos="9016"/>
            </w:tabs>
            <w:rPr>
              <w:rFonts w:ascii="Arial" w:eastAsiaTheme="minorEastAsia" w:hAnsi="Arial" w:cs="Arial"/>
              <w:noProof/>
              <w:kern w:val="2"/>
              <w:sz w:val="28"/>
              <w:szCs w:val="28"/>
              <w:lang w:eastAsia="en-GB"/>
              <w14:ligatures w14:val="standardContextual"/>
            </w:rPr>
          </w:pPr>
          <w:hyperlink w:anchor="_Toc238080554" w:history="1">
            <w:r w:rsidRPr="00327BF6">
              <w:rPr>
                <w:rStyle w:val="Hyperlink"/>
                <w:rFonts w:ascii="Arial" w:hAnsi="Arial" w:cs="Arial"/>
                <w:noProof/>
                <w:sz w:val="28"/>
                <w:szCs w:val="28"/>
              </w:rPr>
              <w:t>References</w:t>
            </w:r>
            <w:r w:rsidRPr="00327BF6">
              <w:rPr>
                <w:rFonts w:ascii="Arial" w:hAnsi="Arial" w:cs="Arial"/>
                <w:noProof/>
                <w:webHidden/>
                <w:sz w:val="28"/>
                <w:szCs w:val="28"/>
              </w:rPr>
              <w:tab/>
            </w:r>
            <w:r w:rsidRPr="00327BF6">
              <w:rPr>
                <w:rFonts w:ascii="Arial" w:hAnsi="Arial" w:cs="Arial"/>
                <w:noProof/>
                <w:webHidden/>
                <w:sz w:val="28"/>
                <w:szCs w:val="28"/>
              </w:rPr>
              <w:fldChar w:fldCharType="begin"/>
            </w:r>
            <w:r w:rsidRPr="00327BF6">
              <w:rPr>
                <w:rFonts w:ascii="Arial" w:hAnsi="Arial" w:cs="Arial"/>
                <w:noProof/>
                <w:webHidden/>
                <w:sz w:val="28"/>
                <w:szCs w:val="28"/>
              </w:rPr>
              <w:instrText xml:space="preserve"> PAGEREF _Toc238080554 \h </w:instrText>
            </w:r>
            <w:r w:rsidRPr="00327BF6">
              <w:rPr>
                <w:rFonts w:ascii="Arial" w:hAnsi="Arial" w:cs="Arial"/>
                <w:noProof/>
                <w:webHidden/>
                <w:sz w:val="28"/>
                <w:szCs w:val="28"/>
              </w:rPr>
            </w:r>
            <w:r w:rsidRPr="00327BF6">
              <w:rPr>
                <w:rFonts w:ascii="Arial" w:hAnsi="Arial" w:cs="Arial"/>
                <w:noProof/>
                <w:webHidden/>
                <w:sz w:val="28"/>
                <w:szCs w:val="28"/>
              </w:rPr>
              <w:fldChar w:fldCharType="separate"/>
            </w:r>
            <w:r w:rsidRPr="00327BF6">
              <w:rPr>
                <w:rFonts w:ascii="Arial" w:hAnsi="Arial" w:cs="Arial"/>
                <w:noProof/>
                <w:webHidden/>
                <w:sz w:val="28"/>
                <w:szCs w:val="28"/>
              </w:rPr>
              <w:t>7</w:t>
            </w:r>
            <w:r w:rsidRPr="00327BF6">
              <w:rPr>
                <w:rFonts w:ascii="Arial" w:hAnsi="Arial" w:cs="Arial"/>
                <w:noProof/>
                <w:webHidden/>
                <w:sz w:val="28"/>
                <w:szCs w:val="28"/>
              </w:rPr>
              <w:fldChar w:fldCharType="end"/>
            </w:r>
          </w:hyperlink>
        </w:p>
        <w:p w14:paraId="4905B7E5" w14:textId="4F1D4506" w:rsidR="00327BF6" w:rsidRDefault="00327BF6">
          <w:r>
            <w:rPr>
              <w:b/>
              <w:bCs/>
            </w:rPr>
            <w:fldChar w:fldCharType="end"/>
          </w:r>
        </w:p>
      </w:sdtContent>
    </w:sdt>
    <w:p w14:paraId="2884A46E" w14:textId="77777777" w:rsidR="00343375" w:rsidRPr="00343375" w:rsidRDefault="00343375" w:rsidP="00343375"/>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67E89720" w:rsidR="00B87E75" w:rsidRDefault="00B87E75" w:rsidP="00E620E7">
      <w:pPr>
        <w:pStyle w:val="Heading1"/>
      </w:pPr>
      <w:bookmarkStart w:id="0" w:name="_Toc238079711"/>
      <w:bookmarkStart w:id="1" w:name="_Toc238080499"/>
      <w:bookmarkStart w:id="2" w:name="_Toc238080549"/>
      <w:r w:rsidRPr="00CD33A8">
        <w:lastRenderedPageBreak/>
        <w:t>Introduction</w:t>
      </w:r>
      <w:bookmarkEnd w:id="0"/>
      <w:bookmarkEnd w:id="1"/>
      <w:bookmarkEnd w:id="2"/>
    </w:p>
    <w:p w14:paraId="065B58AE" w14:textId="77777777" w:rsidR="008524D8" w:rsidRDefault="008524D8" w:rsidP="008524D8"/>
    <w:p w14:paraId="62039B96" w14:textId="77777777" w:rsidR="008524D8" w:rsidRPr="007A3479" w:rsidRDefault="008524D8" w:rsidP="008524D8">
      <w:pPr>
        <w:rPr>
          <w:rFonts w:ascii="Arial" w:hAnsi="Arial" w:cs="Arial"/>
          <w:sz w:val="22"/>
        </w:rPr>
      </w:pPr>
      <w:r w:rsidRPr="007A3479">
        <w:rPr>
          <w:rFonts w:ascii="Arial" w:hAnsi="Arial" w:cs="Arial"/>
          <w:sz w:val="22"/>
        </w:rPr>
        <w:t>Mrs Thompson, 84, lives with mild dementia and returned to sheltered housing after treatment for pneumonia, supported by twice-daily domiciliary care. Two recent incidents have raised concern: a two-day gap in her medication, after which her confusion measurably increased, and an occasion on which she was found outside without appropriate clothing in cold weather. The first has been logged through the service's incident-reporting process and has prompted a medication review; the second is under review by the local council. Both point to what can happen when communication, administration and multi-agency working around a vulnerable adult are not tightly coordinated. This report considers three interlinked areas of practice: the importance of communicating effectively with Mrs Thompson and her family, drawing on the Equality Act 2010 and Berlo's model of communication; the importance of sound administrative practice and record keeping under the Data Protection Act 2018; and the importance of collaborative working between her GP, community nurse and domiciliary care workers, including how that collaboration can be strengthened.</w:t>
      </w:r>
    </w:p>
    <w:p w14:paraId="68C53673" w14:textId="77777777" w:rsidR="008E3943" w:rsidRPr="00CD33A8" w:rsidRDefault="008E3943" w:rsidP="008E3943">
      <w:pPr>
        <w:tabs>
          <w:tab w:val="left" w:pos="6540"/>
        </w:tabs>
        <w:spacing w:line="360" w:lineRule="auto"/>
        <w:rPr>
          <w:rFonts w:ascii="Arial" w:hAnsi="Arial" w:cs="Arial"/>
          <w:sz w:val="22"/>
        </w:rPr>
      </w:pPr>
    </w:p>
    <w:p w14:paraId="73B07562" w14:textId="56151013" w:rsidR="008E3943" w:rsidRDefault="0026393A" w:rsidP="008E3943">
      <w:pPr>
        <w:pStyle w:val="Heading1"/>
      </w:pPr>
      <w:r w:rsidRPr="00CD33A8">
        <w:t xml:space="preserve"> </w:t>
      </w:r>
      <w:bookmarkStart w:id="3" w:name="_Toc238079712"/>
      <w:bookmarkStart w:id="4" w:name="_Toc238080500"/>
      <w:bookmarkStart w:id="5" w:name="_Toc238080550"/>
      <w:r w:rsidR="008E3943">
        <w:t>I</w:t>
      </w:r>
      <w:r w:rsidR="008E3943" w:rsidRPr="008E3943">
        <w:t xml:space="preserve">mportance of </w:t>
      </w:r>
      <w:r w:rsidR="002237AE">
        <w:t>E</w:t>
      </w:r>
      <w:r w:rsidR="008E3943" w:rsidRPr="008E3943">
        <w:t xml:space="preserve">ffective </w:t>
      </w:r>
      <w:r w:rsidR="002237AE">
        <w:t>C</w:t>
      </w:r>
      <w:r w:rsidR="008E3943" w:rsidRPr="008E3943">
        <w:t>ommunication</w:t>
      </w:r>
      <w:bookmarkEnd w:id="3"/>
      <w:bookmarkEnd w:id="4"/>
      <w:bookmarkEnd w:id="5"/>
    </w:p>
    <w:p w14:paraId="0537CEF5" w14:textId="77777777" w:rsidR="003E4ECF" w:rsidRPr="007A3479" w:rsidRDefault="003E4ECF" w:rsidP="00CD33A8">
      <w:pPr>
        <w:tabs>
          <w:tab w:val="left" w:pos="6540"/>
        </w:tabs>
        <w:spacing w:line="360" w:lineRule="auto"/>
        <w:rPr>
          <w:rFonts w:ascii="Arial" w:hAnsi="Arial" w:cs="Arial"/>
          <w:sz w:val="22"/>
        </w:rPr>
      </w:pPr>
    </w:p>
    <w:p w14:paraId="74467B97" w14:textId="77777777" w:rsidR="005A0218" w:rsidRPr="007A3479" w:rsidRDefault="005A0218" w:rsidP="005A0218">
      <w:pPr>
        <w:rPr>
          <w:rFonts w:ascii="Arial" w:hAnsi="Arial" w:cs="Arial"/>
          <w:sz w:val="22"/>
        </w:rPr>
      </w:pPr>
      <w:r w:rsidRPr="007A3479">
        <w:rPr>
          <w:rFonts w:ascii="Arial" w:hAnsi="Arial" w:cs="Arial"/>
          <w:sz w:val="22"/>
        </w:rPr>
        <w:t>Dementia affects memory, processing speed and, at times, expressive language, so small communication failures can have a disproportionate effect on someone in Mrs Thompson's position. The missed medication doses illustrate this: whichever point in the chain broke down – between a carer and Mrs Thompson, or between successive care visits – her confusion worsened as a result. Day-to-day communication with her needs to be paced to how she actually processes information: short, plain sentences rather than lengthy explanation; time left for her to respond rather than moving straight on; verbal information reinforced with a written or picture-based reminder, such as a medication chart; and close attention to non-verbal cues, since she may not always be able to voice discomfort or distress – something that may well have applied when she was found outdoors inadequately dressed. Consistency between care staff also matters, since a message understood at one visit can easily be lost by the next if it is not reinforced or handed over clearly.</w:t>
      </w:r>
    </w:p>
    <w:p w14:paraId="4F004C63" w14:textId="25A9463B" w:rsidR="005A0218" w:rsidRPr="007A3479" w:rsidRDefault="005A0218" w:rsidP="005A0218">
      <w:pPr>
        <w:rPr>
          <w:rFonts w:ascii="Arial" w:hAnsi="Arial" w:cs="Arial"/>
          <w:sz w:val="22"/>
        </w:rPr>
      </w:pPr>
      <w:r w:rsidRPr="007A3479">
        <w:rPr>
          <w:rFonts w:ascii="Arial" w:hAnsi="Arial" w:cs="Arial"/>
          <w:sz w:val="22"/>
        </w:rPr>
        <w:t xml:space="preserve">This is a legal requirement as well as good practice. Under the Equality Act 2010, both her age and her dementia, which falls within the Act's definition of disability, are protected characteristics; staff must not treat her less favourably because of them and must make reasonable adjustments so she is not excluded from care or information as a result (Equality Act 2010). For Mrs Thompson this means adapting how, when and at what pace information is delivered, rather than expecting her to keep pace with a standard </w:t>
      </w:r>
      <w:r w:rsidR="007A3479" w:rsidRPr="007A3479">
        <w:rPr>
          <w:rFonts w:ascii="Arial" w:hAnsi="Arial" w:cs="Arial"/>
          <w:sz w:val="22"/>
        </w:rPr>
        <w:t>service and</w:t>
      </w:r>
      <w:r w:rsidRPr="007A3479">
        <w:rPr>
          <w:rFonts w:ascii="Arial" w:hAnsi="Arial" w:cs="Arial"/>
          <w:sz w:val="22"/>
        </w:rPr>
        <w:t xml:space="preserve"> ensuring that decisions about her care are conveyed in ways she can understand, preserving her dignity and involvement wherever possible.</w:t>
      </w:r>
    </w:p>
    <w:p w14:paraId="597F479B" w14:textId="77777777" w:rsidR="005A0218" w:rsidRPr="007A3479" w:rsidRDefault="005A0218" w:rsidP="005A0218">
      <w:pPr>
        <w:rPr>
          <w:rFonts w:ascii="Arial" w:hAnsi="Arial" w:cs="Arial"/>
          <w:sz w:val="22"/>
        </w:rPr>
      </w:pPr>
      <w:r w:rsidRPr="007A3479">
        <w:rPr>
          <w:rFonts w:ascii="Arial" w:hAnsi="Arial" w:cs="Arial"/>
          <w:sz w:val="22"/>
        </w:rPr>
        <w:t>Communicating with her family involves balancing openness with confidentiality. Relatives arguably need to know about incidents such as the missed medication and</w:t>
      </w:r>
      <w:r w:rsidRPr="007A3479">
        <w:rPr>
          <w:rFonts w:ascii="Arial" w:hAnsi="Arial" w:cs="Arial"/>
        </w:rPr>
        <w:t xml:space="preserve"> </w:t>
      </w:r>
      <w:r w:rsidRPr="007A3479">
        <w:rPr>
          <w:rFonts w:ascii="Arial" w:hAnsi="Arial" w:cs="Arial"/>
          <w:sz w:val="22"/>
        </w:rPr>
        <w:t>the outdoor</w:t>
      </w:r>
      <w:r>
        <w:t xml:space="preserve"> </w:t>
      </w:r>
      <w:r w:rsidRPr="007A3479">
        <w:rPr>
          <w:rFonts w:ascii="Arial" w:hAnsi="Arial" w:cs="Arial"/>
          <w:sz w:val="22"/>
        </w:rPr>
        <w:t>incident, since this informs how future risk is managed, but any sharing should remain proportionate to that purpose. Where Mrs Thompson has capacity, her own consent should guide what is disclosed; where she does not, sharing should be judged as a best-interests decision under the Mental Capacity Act 2005.</w:t>
      </w:r>
    </w:p>
    <w:p w14:paraId="02EAF6C1" w14:textId="5AB8AD18" w:rsidR="005A0218" w:rsidRPr="007A3479" w:rsidRDefault="005A0218" w:rsidP="005A0218">
      <w:pPr>
        <w:rPr>
          <w:rFonts w:ascii="Arial" w:hAnsi="Arial" w:cs="Arial"/>
          <w:sz w:val="22"/>
        </w:rPr>
      </w:pPr>
      <w:r w:rsidRPr="007A3479">
        <w:rPr>
          <w:rFonts w:ascii="Arial" w:hAnsi="Arial" w:cs="Arial"/>
          <w:sz w:val="22"/>
        </w:rPr>
        <w:lastRenderedPageBreak/>
        <w:t xml:space="preserve">Berlo's Source-Message-Channel-Receiver (SMCR) model (Berlo, 1960) offers a useful lens on where these exchanges succeed or fail. The model separates communication into a Source, who encodes a message using their own knowledge, skills and attitudes; a Message, meaning its content and structure; a Channel, whether spoken, written or visual; and a Receiver, who decodes the message using their own knowledge and frame of reference. Communication works best when source and receiver are reasonably </w:t>
      </w:r>
      <w:r w:rsidR="007A3479" w:rsidRPr="007A3479">
        <w:rPr>
          <w:rFonts w:ascii="Arial" w:hAnsi="Arial" w:cs="Arial"/>
          <w:sz w:val="22"/>
        </w:rPr>
        <w:t>matched and</w:t>
      </w:r>
      <w:r w:rsidRPr="007A3479">
        <w:rPr>
          <w:rFonts w:ascii="Arial" w:hAnsi="Arial" w:cs="Arial"/>
          <w:sz w:val="22"/>
        </w:rPr>
        <w:t xml:space="preserve"> tends to break down where a gap opens between them (Berlo, 1960). Applied to Mrs Thompson, a GP or carer as Source brings professional knowledge that she, as Receiver, may no longer share; the Message therefore needs simplifying, and pairing a verbal Channel with a written or visual one improves the likelihood it is decoded correctly. Where this adjustment does not happen, the kind of breakdown Berlo describes becomes more likely – one plausible explanation for how her medication came to be missed.</w:t>
      </w:r>
    </w:p>
    <w:p w14:paraId="3398AF2B" w14:textId="77777777" w:rsidR="008E3943" w:rsidRDefault="008E3943" w:rsidP="00CD33A8">
      <w:pPr>
        <w:tabs>
          <w:tab w:val="left" w:pos="6540"/>
        </w:tabs>
        <w:spacing w:line="360" w:lineRule="auto"/>
        <w:rPr>
          <w:rFonts w:asciiTheme="minorBidi" w:hAnsiTheme="minorBidi"/>
          <w:sz w:val="22"/>
        </w:rPr>
      </w:pPr>
    </w:p>
    <w:p w14:paraId="5AE8B7B3" w14:textId="77777777" w:rsidR="00B52BE3" w:rsidRPr="00CD33A8" w:rsidRDefault="00B52BE3" w:rsidP="00CD33A8">
      <w:pPr>
        <w:tabs>
          <w:tab w:val="left" w:pos="6540"/>
        </w:tabs>
        <w:spacing w:line="360" w:lineRule="auto"/>
        <w:rPr>
          <w:rFonts w:asciiTheme="minorBidi" w:hAnsiTheme="minorBidi"/>
          <w:sz w:val="22"/>
        </w:rPr>
      </w:pPr>
    </w:p>
    <w:p w14:paraId="60B2CDC3" w14:textId="1644D52D" w:rsidR="00B87E75" w:rsidRDefault="008E3943" w:rsidP="00E620E7">
      <w:pPr>
        <w:pStyle w:val="Heading1"/>
      </w:pPr>
      <w:bookmarkStart w:id="6" w:name="_Toc238079713"/>
      <w:bookmarkStart w:id="7" w:name="_Toc238080501"/>
      <w:bookmarkStart w:id="8" w:name="_Toc238080551"/>
      <w:r>
        <w:t>I</w:t>
      </w:r>
      <w:r w:rsidRPr="008E3943">
        <w:t xml:space="preserve">mportance of </w:t>
      </w:r>
      <w:r w:rsidR="002237AE">
        <w:t>G</w:t>
      </w:r>
      <w:r w:rsidRPr="008E3943">
        <w:t xml:space="preserve">ood </w:t>
      </w:r>
      <w:r w:rsidR="002237AE">
        <w:t>A</w:t>
      </w:r>
      <w:r w:rsidRPr="008E3943">
        <w:t xml:space="preserve">dministrative </w:t>
      </w:r>
      <w:r w:rsidR="002237AE">
        <w:t>S</w:t>
      </w:r>
      <w:r w:rsidRPr="008E3943">
        <w:t>kills</w:t>
      </w:r>
      <w:bookmarkEnd w:id="6"/>
      <w:bookmarkEnd w:id="7"/>
      <w:bookmarkEnd w:id="8"/>
      <w:r w:rsidRPr="008E3943">
        <w:t xml:space="preserve"> </w:t>
      </w:r>
    </w:p>
    <w:p w14:paraId="111F1401" w14:textId="77777777" w:rsidR="007621B9" w:rsidRDefault="007621B9" w:rsidP="007621B9">
      <w:pPr>
        <w:pStyle w:val="Heading1"/>
      </w:pPr>
    </w:p>
    <w:p w14:paraId="704F1C30" w14:textId="58E78425" w:rsidR="007621B9" w:rsidRPr="007A3479" w:rsidRDefault="007621B9" w:rsidP="007621B9">
      <w:pPr>
        <w:rPr>
          <w:rFonts w:ascii="Arial" w:hAnsi="Arial" w:cs="Arial"/>
          <w:sz w:val="22"/>
        </w:rPr>
      </w:pPr>
      <w:r w:rsidRPr="007A3479">
        <w:rPr>
          <w:rFonts w:ascii="Arial" w:hAnsi="Arial" w:cs="Arial"/>
          <w:sz w:val="22"/>
        </w:rPr>
        <w:t xml:space="preserve">Administrative competence, and accurate record </w:t>
      </w:r>
      <w:r w:rsidR="007A3479" w:rsidRPr="007A3479">
        <w:rPr>
          <w:rFonts w:ascii="Arial" w:hAnsi="Arial" w:cs="Arial"/>
          <w:sz w:val="22"/>
        </w:rPr>
        <w:t>keeping, is</w:t>
      </w:r>
      <w:r w:rsidRPr="007A3479">
        <w:rPr>
          <w:rFonts w:ascii="Arial" w:hAnsi="Arial" w:cs="Arial"/>
          <w:sz w:val="22"/>
        </w:rPr>
        <w:t xml:space="preserve"> fundamental to safe care for Mrs Thompson. The incident process around her missed medication, and the report of her being found outside in cold weather, functions only because staff record events promptly, factually and in enough detail to support both immediate decisions and the subsequent council review. </w:t>
      </w:r>
      <w:r w:rsidR="007A3479" w:rsidRPr="007A3479">
        <w:rPr>
          <w:rFonts w:ascii="Arial" w:hAnsi="Arial" w:cs="Arial"/>
          <w:sz w:val="22"/>
        </w:rPr>
        <w:t>Vague</w:t>
      </w:r>
      <w:r w:rsidRPr="007A3479">
        <w:rPr>
          <w:rFonts w:ascii="Arial" w:hAnsi="Arial" w:cs="Arial"/>
          <w:sz w:val="22"/>
        </w:rPr>
        <w:t xml:space="preserve"> delayed or missing entries could allow a pattern of risk – earlier near-misses, for instance – to go unseen, weakening both her protection and the organisation's accountability. The Care Quality Commission's standards reflect this directly, requiring providers to keep accurate, secure records of the care and treatment given to each person they support (Care Quality Commission, 2022).</w:t>
      </w:r>
    </w:p>
    <w:p w14:paraId="25F955A0" w14:textId="6554AA6B" w:rsidR="007621B9" w:rsidRDefault="007621B9" w:rsidP="007621B9">
      <w:r w:rsidRPr="007A3479">
        <w:rPr>
          <w:rFonts w:ascii="Arial" w:hAnsi="Arial" w:cs="Arial"/>
          <w:sz w:val="22"/>
        </w:rPr>
        <w:t xml:space="preserve">Records kept about Mrs Thompson must also satisfy the Data Protection Act 2018, which brings the UK GDPR framework into domestic law. Information about her health, medication and the recorded incidents </w:t>
      </w:r>
      <w:r w:rsidR="007A3479" w:rsidRPr="007A3479">
        <w:rPr>
          <w:rFonts w:ascii="Arial" w:hAnsi="Arial" w:cs="Arial"/>
          <w:sz w:val="22"/>
        </w:rPr>
        <w:t>constitute</w:t>
      </w:r>
      <w:r w:rsidRPr="007A3479">
        <w:rPr>
          <w:rFonts w:ascii="Arial" w:hAnsi="Arial" w:cs="Arial"/>
          <w:sz w:val="22"/>
        </w:rPr>
        <w:t xml:space="preserve"> special category data requiring a higher standard of protection than ordinary personal information (Data Protection Act 2018). In practice this means processing information lawfully, fairly and transparently, so that Mrs Thompson, or her representative, understands what is recorded and why; using it only for the purposes it was collected for, such as care planning and safeguarding, rather than sharing it more widely than necessary; keeping entries accurate and current, which matters given how directly recent incidents feed into her ongoing risk assessment; not retaining records for longer than</w:t>
      </w:r>
      <w:r>
        <w:t xml:space="preserve"> </w:t>
      </w:r>
      <w:r w:rsidRPr="007A3479">
        <w:rPr>
          <w:rFonts w:ascii="Arial" w:hAnsi="Arial" w:cs="Arial"/>
          <w:sz w:val="22"/>
        </w:rPr>
        <w:t>organisational policy allows; and securing access through measures such as password protection and restricted permissions.</w:t>
      </w:r>
    </w:p>
    <w:p w14:paraId="69569C16" w14:textId="77777777" w:rsidR="007621B9" w:rsidRPr="007A3479" w:rsidRDefault="007621B9" w:rsidP="007621B9">
      <w:pPr>
        <w:rPr>
          <w:rFonts w:ascii="Arial" w:hAnsi="Arial" w:cs="Arial"/>
          <w:sz w:val="22"/>
        </w:rPr>
      </w:pPr>
      <w:r w:rsidRPr="007A3479">
        <w:rPr>
          <w:rFonts w:ascii="Arial" w:hAnsi="Arial" w:cs="Arial"/>
          <w:sz w:val="22"/>
        </w:rPr>
        <w:t xml:space="preserve">This discipline also underpins how the GP, community nurse and care workers share information with one another. Whoever next reads Mrs Thompson's file needs to understand her current needs, recent events and any actions already taken, while the file itself should avoid excessive or irrelevant detail, in line with the data-minimisation principle. Sharing safeguarding-relevant information between agencies must remain proportionate and justified, though data protection law permits it, typically on a safeguarding or vital-interests basis, without requiring explicit consent in every instance – reflecting that confidentiality can give way to the duty to protect someone at risk (Department of Health and Social Care, </w:t>
      </w:r>
      <w:r w:rsidRPr="007A3479">
        <w:rPr>
          <w:rFonts w:ascii="Arial" w:hAnsi="Arial" w:cs="Arial"/>
          <w:sz w:val="22"/>
        </w:rPr>
        <w:lastRenderedPageBreak/>
        <w:t>2022). Administrative competence is therefore not a peripheral task but a direct safeguard: it is what gives the medication review and the safeguarding review something solid to draw on.</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4AB644E2" w:rsidR="00B87E75" w:rsidRPr="00CD33A8" w:rsidRDefault="008E3943" w:rsidP="00E620E7">
      <w:pPr>
        <w:pStyle w:val="Heading1"/>
      </w:pPr>
      <w:bookmarkStart w:id="9" w:name="_Toc238079714"/>
      <w:bookmarkStart w:id="10" w:name="_Toc238080502"/>
      <w:bookmarkStart w:id="11" w:name="_Toc238080552"/>
      <w:r>
        <w:t>I</w:t>
      </w:r>
      <w:r w:rsidRPr="008E3943">
        <w:t xml:space="preserve">mportance of </w:t>
      </w:r>
      <w:r w:rsidR="00184DBD">
        <w:t>W</w:t>
      </w:r>
      <w:r w:rsidRPr="008E3943">
        <w:t xml:space="preserve">orking </w:t>
      </w:r>
      <w:r w:rsidR="00184DBD">
        <w:t>C</w:t>
      </w:r>
      <w:r w:rsidRPr="008E3943">
        <w:t>ollaboratively</w:t>
      </w:r>
      <w:bookmarkEnd w:id="9"/>
      <w:bookmarkEnd w:id="10"/>
      <w:bookmarkEnd w:id="11"/>
    </w:p>
    <w:p w14:paraId="37DD088E" w14:textId="77777777" w:rsidR="003C1D08" w:rsidRPr="00644B8F" w:rsidRDefault="003C1D08" w:rsidP="00CD33A8">
      <w:pPr>
        <w:tabs>
          <w:tab w:val="left" w:pos="6540"/>
        </w:tabs>
        <w:spacing w:line="360" w:lineRule="auto"/>
        <w:rPr>
          <w:rFonts w:ascii="Arial" w:hAnsi="Arial" w:cs="Arial"/>
          <w:sz w:val="22"/>
        </w:rPr>
      </w:pPr>
    </w:p>
    <w:p w14:paraId="239E9D08" w14:textId="76499BDB" w:rsidR="00644B8F" w:rsidRPr="00644B8F" w:rsidRDefault="00644B8F" w:rsidP="00644B8F">
      <w:pPr>
        <w:tabs>
          <w:tab w:val="left" w:pos="6540"/>
        </w:tabs>
        <w:spacing w:line="360" w:lineRule="auto"/>
        <w:rPr>
          <w:rFonts w:ascii="Arial" w:hAnsi="Arial" w:cs="Arial"/>
          <w:sz w:val="22"/>
        </w:rPr>
      </w:pPr>
      <w:r w:rsidRPr="00644B8F">
        <w:rPr>
          <w:rFonts w:ascii="Arial" w:hAnsi="Arial" w:cs="Arial"/>
          <w:sz w:val="22"/>
        </w:rPr>
        <w:t xml:space="preserve">Several practical measures help joint working around someone like Mrs Thompson function well. Bringing the GP, community nurse, domiciliary care provider and social worker together for a case conference or multidisciplinary meeting allows everyone involved to compare notes, raise concerns and agree a single plan for her ongoing care and any risks that need managing, rather than each service quietly running its own separate version of events. A structured meeting of this kind also creates space to discuss the medication review and the outdoor incident together, so decisions about her care take both into account rather than treating them as unconnected. Recording the agreed plan somewhere </w:t>
      </w:r>
      <w:r w:rsidR="00F647BA" w:rsidRPr="00644B8F">
        <w:rPr>
          <w:rFonts w:ascii="Arial" w:hAnsi="Arial" w:cs="Arial"/>
          <w:sz w:val="22"/>
        </w:rPr>
        <w:t>all</w:t>
      </w:r>
      <w:r w:rsidRPr="00644B8F">
        <w:rPr>
          <w:rFonts w:ascii="Arial" w:hAnsi="Arial" w:cs="Arial"/>
          <w:sz w:val="22"/>
        </w:rPr>
        <w:t xml:space="preserve"> these professionals can </w:t>
      </w:r>
      <w:r w:rsidR="00F647BA" w:rsidRPr="00644B8F">
        <w:rPr>
          <w:rFonts w:ascii="Arial" w:hAnsi="Arial" w:cs="Arial"/>
          <w:sz w:val="22"/>
        </w:rPr>
        <w:t>access and</w:t>
      </w:r>
      <w:r w:rsidRPr="00644B8F">
        <w:rPr>
          <w:rFonts w:ascii="Arial" w:hAnsi="Arial" w:cs="Arial"/>
          <w:sz w:val="22"/>
        </w:rPr>
        <w:t xml:space="preserve"> setting out clearly who is responsible for which action following the two incidents, closes the gaps in accountability where responsibility might otherwise fall silently between services. Naming a single key worker or point of contact adds a further layer of consistency: rather than Mrs Thompson or her family having to work out who to approach with a concern, they have one person who can coordinate a response and keep the wider team informed, particularly valuable given how easily someone with dementia can become confused by multiple unfamiliar contacts.</w:t>
      </w:r>
    </w:p>
    <w:p w14:paraId="16FAF8E7" w14:textId="77777777" w:rsidR="00644B8F" w:rsidRPr="00644B8F" w:rsidRDefault="00644B8F" w:rsidP="00644B8F">
      <w:pPr>
        <w:tabs>
          <w:tab w:val="left" w:pos="6540"/>
        </w:tabs>
        <w:spacing w:line="360" w:lineRule="auto"/>
        <w:rPr>
          <w:rFonts w:ascii="Arial" w:hAnsi="Arial" w:cs="Arial"/>
          <w:sz w:val="22"/>
        </w:rPr>
      </w:pPr>
      <w:r w:rsidRPr="00644B8F">
        <w:rPr>
          <w:rFonts w:ascii="Arial" w:hAnsi="Arial" w:cs="Arial"/>
          <w:sz w:val="22"/>
        </w:rPr>
        <w:t xml:space="preserve">Multi-agency working of this kind rarely runs smoothly by default. Health and social care staff often come from different professional backgrounds, each with its own terminology, priorities and ways of assessing risk, so a concern raised by a domiciliary care worker may not automatically be understood or acted on in the same way by a GP or nurse. Diaries across several organisations rarely align, which makes joint meetings genuinely difficult to schedule, particularly at short notice when a concern is urgent. IT systems frequently do not communicate with one another, so information recorded by one service can become effectively trapped within it, invisible to the others until someone manually passes it on. Staff can also be genuinely uncertain about how much they are permitted to share under data protection and confidentiality rules, and that uncertainty can lead to information being withheld out of caution rather than shared appropriately. Left unaddressed, these are exactly the kinds of gaps that allowed aspects of Mrs Thompson's case to fall between services: each incident was identified and recorded individually, but pulling the full picture together across the team clearly needed strengthening. High turnover among domiciliary care staff </w:t>
      </w:r>
      <w:r w:rsidRPr="00644B8F">
        <w:rPr>
          <w:rFonts w:ascii="Arial" w:hAnsi="Arial" w:cs="Arial"/>
          <w:sz w:val="22"/>
        </w:rPr>
        <w:lastRenderedPageBreak/>
        <w:t>compounds this further, since a rotating team of carers may each hold only a partial history of her recent presentation.</w:t>
      </w:r>
    </w:p>
    <w:p w14:paraId="352B63DA" w14:textId="77777777" w:rsidR="00644B8F" w:rsidRPr="00644B8F" w:rsidRDefault="00644B8F" w:rsidP="00644B8F">
      <w:pPr>
        <w:tabs>
          <w:tab w:val="left" w:pos="6540"/>
        </w:tabs>
        <w:spacing w:line="360" w:lineRule="auto"/>
        <w:rPr>
          <w:rFonts w:ascii="Arial" w:hAnsi="Arial" w:cs="Arial"/>
          <w:sz w:val="22"/>
        </w:rPr>
      </w:pPr>
      <w:r w:rsidRPr="00644B8F">
        <w:rPr>
          <w:rFonts w:ascii="Arial" w:hAnsi="Arial" w:cs="Arial"/>
          <w:sz w:val="22"/>
        </w:rPr>
        <w:t xml:space="preserve">Addressing these barriers tends to depend on a handful of concrete measures rather than any single fix. Agreeing information-sharing protocols in advance means nobody </w:t>
      </w:r>
      <w:proofErr w:type="gramStart"/>
      <w:r w:rsidRPr="00644B8F">
        <w:rPr>
          <w:rFonts w:ascii="Arial" w:hAnsi="Arial" w:cs="Arial"/>
          <w:sz w:val="22"/>
        </w:rPr>
        <w:t>has to</w:t>
      </w:r>
      <w:proofErr w:type="gramEnd"/>
      <w:r w:rsidRPr="00644B8F">
        <w:rPr>
          <w:rFonts w:ascii="Arial" w:hAnsi="Arial" w:cs="Arial"/>
          <w:sz w:val="22"/>
        </w:rPr>
        <w:t xml:space="preserve"> guess in the moment what can legally be passed on when a safeguarding issue comes up. Running joint training across services helps staff build a shared understanding of dementia, its risk indicators, and how a small change in presentation, such as increased confusion, should be interpreted and escalated. Using consistent handover and reporting formats ensures that what is observed during a routine twice-daily care visit lines up with what a nurse or GP records during clinical contact, rather than the two accounts drifting apart in style and detail. Drawing on the structures already established by local safeguarding adult boards gives services a shared framework to work within, since these boards exist specifically to put the Care Act 2014's duty to cooperate into everyday practice rather than leaving it as an abstract legal principle (Care Act 2014). Regular review meetings, of the kind now triggered by the council's investigation into Mrs Thompson's case, offer a further opportunity to test whether these measures are working, and to adjust them where gaps in communication or coordination remain.</w:t>
      </w:r>
    </w:p>
    <w:p w14:paraId="7F8583A8" w14:textId="77777777" w:rsidR="00644B8F" w:rsidRDefault="00644B8F" w:rsidP="00CD33A8">
      <w:pPr>
        <w:tabs>
          <w:tab w:val="left" w:pos="6540"/>
        </w:tabs>
        <w:spacing w:line="360" w:lineRule="auto"/>
        <w:rPr>
          <w:rFonts w:asciiTheme="minorBidi" w:hAnsiTheme="minorBidi"/>
          <w:sz w:val="22"/>
        </w:rPr>
      </w:pPr>
    </w:p>
    <w:p w14:paraId="16FAF0EA" w14:textId="65C67C65" w:rsidR="00B87E75" w:rsidRPr="00CD33A8" w:rsidRDefault="00B87E75" w:rsidP="00E620E7">
      <w:pPr>
        <w:pStyle w:val="Heading1"/>
      </w:pPr>
      <w:bookmarkStart w:id="12" w:name="_Toc238079715"/>
      <w:bookmarkStart w:id="13" w:name="_Toc238080503"/>
      <w:bookmarkStart w:id="14" w:name="_Toc238080553"/>
      <w:r w:rsidRPr="00CD33A8">
        <w:t>Conclusion</w:t>
      </w:r>
      <w:bookmarkEnd w:id="12"/>
      <w:bookmarkEnd w:id="13"/>
      <w:bookmarkEnd w:id="14"/>
      <w:r w:rsidR="00CD33A8">
        <w:t xml:space="preserve"> </w:t>
      </w:r>
    </w:p>
    <w:p w14:paraId="6DBC958B" w14:textId="454E0C50" w:rsidR="00CD33A8" w:rsidRPr="007C6708" w:rsidRDefault="00CD33A8" w:rsidP="008E3943">
      <w:pPr>
        <w:tabs>
          <w:tab w:val="left" w:pos="6540"/>
        </w:tabs>
        <w:spacing w:line="360" w:lineRule="auto"/>
        <w:rPr>
          <w:rFonts w:ascii="Arial" w:hAnsi="Arial" w:cs="Arial"/>
          <w:sz w:val="22"/>
        </w:rPr>
      </w:pPr>
    </w:p>
    <w:p w14:paraId="19572068" w14:textId="6F6B1E50" w:rsidR="00BD1AFA" w:rsidRDefault="0061190C" w:rsidP="008E3943">
      <w:pPr>
        <w:tabs>
          <w:tab w:val="left" w:pos="6540"/>
        </w:tabs>
        <w:spacing w:line="360" w:lineRule="auto"/>
        <w:rPr>
          <w:rFonts w:ascii="Arial" w:hAnsi="Arial" w:cs="Arial"/>
          <w:sz w:val="22"/>
        </w:rPr>
      </w:pPr>
      <w:r w:rsidRPr="007C6708">
        <w:rPr>
          <w:rFonts w:ascii="Arial" w:hAnsi="Arial" w:cs="Arial"/>
          <w:sz w:val="22"/>
        </w:rPr>
        <w:t>Mrs Thompson's case shows what tends to happen when communication, administration and joint working between services are not tightly aligned: medication is missed and confusion increases; a vulnerable woman ends up outside, underdressed, in cold weather. Communicating with her and her family in a way shaped by the Equality Act 2010 and understood through Berlo's SMCR model (Berlo, 1960) gives a far better chance of recognising distress or unmet need before it becomes an incident. Accurate record keeping, compliant with the Data Protection Act 2018, provides the evidential basis for sound decisions and accountability. Close collaboration between the GP, community nurse and domiciliary care workers, underpinned by the Care Act 2014's duty to cooperate, turns three</w:t>
      </w:r>
      <w:r w:rsidR="0039476B">
        <w:rPr>
          <w:rFonts w:ascii="Arial" w:hAnsi="Arial" w:cs="Arial"/>
          <w:sz w:val="22"/>
        </w:rPr>
        <w:t xml:space="preserve"> </w:t>
      </w:r>
      <w:r w:rsidR="0039476B" w:rsidRPr="0039476B">
        <w:rPr>
          <w:rFonts w:ascii="Arial" w:hAnsi="Arial" w:cs="Arial"/>
          <w:sz w:val="22"/>
        </w:rPr>
        <w:t>partial views of her situation into one complete picture. All three areas should sit at the centre of how the current council review is taken forward.</w:t>
      </w:r>
    </w:p>
    <w:p w14:paraId="4956E238" w14:textId="77777777" w:rsidR="0039476B" w:rsidRDefault="0039476B" w:rsidP="008E3943">
      <w:pPr>
        <w:tabs>
          <w:tab w:val="left" w:pos="6540"/>
        </w:tabs>
        <w:spacing w:line="360" w:lineRule="auto"/>
        <w:rPr>
          <w:rFonts w:ascii="Arial" w:hAnsi="Arial" w:cs="Arial"/>
          <w:sz w:val="22"/>
        </w:rPr>
      </w:pPr>
    </w:p>
    <w:p w14:paraId="54EBCCF3" w14:textId="77777777" w:rsidR="007C6E28" w:rsidRPr="007C6708" w:rsidRDefault="007C6E28" w:rsidP="008E3943">
      <w:pPr>
        <w:tabs>
          <w:tab w:val="left" w:pos="6540"/>
        </w:tabs>
        <w:spacing w:line="360" w:lineRule="auto"/>
        <w:rPr>
          <w:rFonts w:ascii="Arial" w:hAnsi="Arial" w:cs="Arial"/>
          <w:sz w:val="22"/>
        </w:rPr>
      </w:pPr>
    </w:p>
    <w:p w14:paraId="545227EE" w14:textId="77777777" w:rsidR="00B77BA8" w:rsidRDefault="00B77BA8" w:rsidP="00B77BA8">
      <w:pPr>
        <w:pStyle w:val="Heading1"/>
      </w:pPr>
      <w:bookmarkStart w:id="15" w:name="_Toc238079716"/>
      <w:bookmarkStart w:id="16" w:name="_Toc238080504"/>
      <w:bookmarkStart w:id="17" w:name="_Toc238080554"/>
      <w:r w:rsidRPr="00CD33A8">
        <w:lastRenderedPageBreak/>
        <w:t>References</w:t>
      </w:r>
      <w:bookmarkEnd w:id="15"/>
      <w:bookmarkEnd w:id="16"/>
      <w:bookmarkEnd w:id="17"/>
    </w:p>
    <w:p w14:paraId="56AF9511" w14:textId="77777777" w:rsidR="007C6E28" w:rsidRPr="007C6E28" w:rsidRDefault="007C6E28" w:rsidP="007C6E28"/>
    <w:p w14:paraId="1736A509" w14:textId="77777777" w:rsidR="00314D7E" w:rsidRPr="007C6E28" w:rsidRDefault="00314D7E" w:rsidP="00314D7E">
      <w:pPr>
        <w:rPr>
          <w:rFonts w:ascii="Arial" w:hAnsi="Arial" w:cs="Arial"/>
          <w:sz w:val="22"/>
        </w:rPr>
      </w:pPr>
    </w:p>
    <w:p w14:paraId="26660B16"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Berlo, D.K. (1960) The Process of Communication: An Introduction to Theory and Practice. New York: Holt, Rinehart &amp; Winston.</w:t>
      </w:r>
    </w:p>
    <w:p w14:paraId="33C4030A"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Care Act 2014, c. 23. London: The Stationery Office.</w:t>
      </w:r>
    </w:p>
    <w:p w14:paraId="01B56B61"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Care Quality Commission (2022) Regulation 17: Good Governance. Newcastle upon Tyne: CQC.</w:t>
      </w:r>
    </w:p>
    <w:p w14:paraId="27E52C6D"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Data Protection Act 2018, c. 12. London: The Stationery Office.</w:t>
      </w:r>
    </w:p>
    <w:p w14:paraId="1DE61051"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Department of Health and Social Care (2022) Care and Support Statutory Guidance. London: DHSC.</w:t>
      </w:r>
    </w:p>
    <w:p w14:paraId="1E0CBF2E"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Equality Act 2010, c. 15. London: The Stationery Office.</w:t>
      </w:r>
    </w:p>
    <w:p w14:paraId="6A0F13B0"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Mental Capacity Act 2005, c. 9. London: The Stationery Office.</w:t>
      </w:r>
    </w:p>
    <w:p w14:paraId="5F7327D1"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National Institute for Health and Care Excellence (2018) Dementia: Assessment, Management and Support for People Living with Dementia and their Carers (NG97). London: NICE.</w:t>
      </w:r>
    </w:p>
    <w:p w14:paraId="5FCB77CE"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Skills for Care (2021) Record Keeping: Guidance for Adult Social Care. Leeds: Skills for Care.</w:t>
      </w:r>
    </w:p>
    <w:p w14:paraId="1BC015D8" w14:textId="77777777" w:rsidR="00314D7E" w:rsidRPr="007C6E28" w:rsidRDefault="00314D7E" w:rsidP="00314D7E">
      <w:pPr>
        <w:spacing w:after="120"/>
        <w:ind w:left="480" w:hanging="480"/>
        <w:rPr>
          <w:rFonts w:ascii="Arial" w:hAnsi="Arial" w:cs="Arial"/>
          <w:sz w:val="22"/>
        </w:rPr>
      </w:pPr>
      <w:r w:rsidRPr="007C6E28">
        <w:rPr>
          <w:rFonts w:ascii="Arial" w:hAnsi="Arial" w:cs="Arial"/>
          <w:sz w:val="22"/>
        </w:rPr>
        <w:t>Social Care Institute for Excellence (2015) Effective Communication in Social Care. London: SCIE.</w:t>
      </w:r>
    </w:p>
    <w:p w14:paraId="51F86420" w14:textId="77777777" w:rsidR="00B77BA8" w:rsidRPr="00CD33A8" w:rsidRDefault="00B77BA8" w:rsidP="00B77BA8">
      <w:pPr>
        <w:tabs>
          <w:tab w:val="left" w:pos="6540"/>
        </w:tabs>
        <w:spacing w:line="360" w:lineRule="auto"/>
        <w:rPr>
          <w:rFonts w:asciiTheme="minorBidi" w:hAnsiTheme="minorBidi"/>
          <w:sz w:val="22"/>
        </w:rPr>
      </w:pPr>
    </w:p>
    <w:p w14:paraId="412605E7" w14:textId="77777777" w:rsidR="00B77BA8" w:rsidRPr="00CD33A8" w:rsidRDefault="00B77BA8" w:rsidP="00B77BA8">
      <w:pPr>
        <w:tabs>
          <w:tab w:val="left" w:pos="6540"/>
        </w:tabs>
        <w:spacing w:line="360" w:lineRule="auto"/>
        <w:rPr>
          <w:rFonts w:asciiTheme="minorBidi" w:hAnsiTheme="minorBidi"/>
          <w:sz w:val="22"/>
        </w:rPr>
      </w:pPr>
    </w:p>
    <w:p w14:paraId="6ABD466F" w14:textId="77777777" w:rsidR="00B77BA8" w:rsidRPr="00CD33A8" w:rsidRDefault="00B77BA8" w:rsidP="00B77BA8">
      <w:pPr>
        <w:tabs>
          <w:tab w:val="left" w:pos="6540"/>
        </w:tabs>
        <w:spacing w:line="360" w:lineRule="auto"/>
        <w:rPr>
          <w:rFonts w:asciiTheme="minorBidi" w:hAnsiTheme="minorBidi"/>
          <w:sz w:val="22"/>
        </w:rPr>
      </w:pPr>
    </w:p>
    <w:p w14:paraId="05ECAD1B" w14:textId="2C996D5E" w:rsidR="007C6E28" w:rsidRDefault="007C6E28" w:rsidP="007C6E28"/>
    <w:sectPr w:rsidR="007C6E2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47715" w14:textId="77777777" w:rsidR="00686817" w:rsidRDefault="00686817" w:rsidP="003E4ECF">
      <w:pPr>
        <w:spacing w:after="0" w:line="240" w:lineRule="auto"/>
      </w:pPr>
      <w:r>
        <w:separator/>
      </w:r>
    </w:p>
  </w:endnote>
  <w:endnote w:type="continuationSeparator" w:id="0">
    <w:p w14:paraId="6138B7E4" w14:textId="77777777" w:rsidR="00686817" w:rsidRDefault="0068681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F4E23" w14:textId="77777777" w:rsidR="00686817" w:rsidRDefault="00686817" w:rsidP="003E4ECF">
      <w:pPr>
        <w:spacing w:after="0" w:line="240" w:lineRule="auto"/>
      </w:pPr>
      <w:r>
        <w:separator/>
      </w:r>
    </w:p>
  </w:footnote>
  <w:footnote w:type="continuationSeparator" w:id="0">
    <w:p w14:paraId="48D1B4F7" w14:textId="77777777" w:rsidR="00686817" w:rsidRDefault="00686817"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4787D"/>
    <w:rsid w:val="000572BF"/>
    <w:rsid w:val="00074402"/>
    <w:rsid w:val="000A1BB2"/>
    <w:rsid w:val="000B2D37"/>
    <w:rsid w:val="00111DBB"/>
    <w:rsid w:val="00184DBD"/>
    <w:rsid w:val="00192FAF"/>
    <w:rsid w:val="001D7C03"/>
    <w:rsid w:val="00216C85"/>
    <w:rsid w:val="002237AE"/>
    <w:rsid w:val="002524BF"/>
    <w:rsid w:val="0026393A"/>
    <w:rsid w:val="00273EDD"/>
    <w:rsid w:val="00284D68"/>
    <w:rsid w:val="002B5276"/>
    <w:rsid w:val="002C3965"/>
    <w:rsid w:val="00314D7E"/>
    <w:rsid w:val="00321C4C"/>
    <w:rsid w:val="00327BF6"/>
    <w:rsid w:val="00343375"/>
    <w:rsid w:val="00356A34"/>
    <w:rsid w:val="00392BBC"/>
    <w:rsid w:val="0039476B"/>
    <w:rsid w:val="003C1D08"/>
    <w:rsid w:val="003E4ECF"/>
    <w:rsid w:val="00432791"/>
    <w:rsid w:val="004A736E"/>
    <w:rsid w:val="004F0C18"/>
    <w:rsid w:val="005052BA"/>
    <w:rsid w:val="00571B3D"/>
    <w:rsid w:val="005A0218"/>
    <w:rsid w:val="0061190C"/>
    <w:rsid w:val="00644B8F"/>
    <w:rsid w:val="00675AF9"/>
    <w:rsid w:val="00686817"/>
    <w:rsid w:val="006925AA"/>
    <w:rsid w:val="006E20A8"/>
    <w:rsid w:val="00725177"/>
    <w:rsid w:val="007621B9"/>
    <w:rsid w:val="00763C7B"/>
    <w:rsid w:val="007A1B8D"/>
    <w:rsid w:val="007A3479"/>
    <w:rsid w:val="007C6708"/>
    <w:rsid w:val="007C6E28"/>
    <w:rsid w:val="00814A9E"/>
    <w:rsid w:val="008524D8"/>
    <w:rsid w:val="00853341"/>
    <w:rsid w:val="008A488D"/>
    <w:rsid w:val="008E3943"/>
    <w:rsid w:val="0090040D"/>
    <w:rsid w:val="009D052C"/>
    <w:rsid w:val="009D1D1E"/>
    <w:rsid w:val="00A01E33"/>
    <w:rsid w:val="00A035FD"/>
    <w:rsid w:val="00A267D1"/>
    <w:rsid w:val="00A547FF"/>
    <w:rsid w:val="00AD23A0"/>
    <w:rsid w:val="00B1645E"/>
    <w:rsid w:val="00B52BE3"/>
    <w:rsid w:val="00B77BA8"/>
    <w:rsid w:val="00B87E75"/>
    <w:rsid w:val="00BD1AFA"/>
    <w:rsid w:val="00CA1F90"/>
    <w:rsid w:val="00CD33A8"/>
    <w:rsid w:val="00D54426"/>
    <w:rsid w:val="00DB3654"/>
    <w:rsid w:val="00E01187"/>
    <w:rsid w:val="00E569FD"/>
    <w:rsid w:val="00E620E7"/>
    <w:rsid w:val="00F35239"/>
    <w:rsid w:val="00F61B8F"/>
    <w:rsid w:val="00F647BA"/>
    <w:rsid w:val="00F66E1B"/>
    <w:rsid w:val="00F76EBB"/>
    <w:rsid w:val="00FE23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356A34"/>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356A34"/>
    <w:pPr>
      <w:spacing w:after="100"/>
    </w:pPr>
  </w:style>
  <w:style w:type="character" w:styleId="Hyperlink">
    <w:name w:val="Hyperlink"/>
    <w:basedOn w:val="DefaultParagraphFont"/>
    <w:uiPriority w:val="99"/>
    <w:unhideWhenUsed/>
    <w:rsid w:val="00356A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305BE-AFB1-434A-9C72-013B6FC6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Minchi Chandler</cp:lastModifiedBy>
  <cp:revision>44</cp:revision>
  <dcterms:created xsi:type="dcterms:W3CDTF">2026-08-19T20:46:00Z</dcterms:created>
  <dcterms:modified xsi:type="dcterms:W3CDTF">2026-08-20T00:25:00Z</dcterms:modified>
</cp:coreProperties>
</file>