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950238267"/>
        <w:docPartObj>
          <w:docPartGallery w:val="Cover Pages"/>
          <w:docPartUnique/>
        </w:docPartObj>
      </w:sdtPr>
      <w:sdtContent>
        <w:p w14:paraId="1747741F" w14:textId="23BE5BCF" w:rsidR="0065266C" w:rsidRDefault="005C5DE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F0F4A64" wp14:editId="651E7BA3">
                    <wp:simplePos x="0" y="0"/>
                    <wp:positionH relativeFrom="margin">
                      <wp:posOffset>4884420</wp:posOffset>
                    </wp:positionH>
                    <wp:positionV relativeFrom="page">
                      <wp:posOffset>243840</wp:posOffset>
                    </wp:positionV>
                    <wp:extent cx="848995" cy="987425"/>
                    <wp:effectExtent l="0" t="0" r="8255" b="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848995" cy="9874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C02486E" w14:textId="77777777" w:rsidR="005C5DED" w:rsidRDefault="005C5DED" w:rsidP="005C5DED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Module Code:</w:t>
                                </w:r>
                              </w:p>
                              <w:p w14:paraId="24AB720F" w14:textId="0E018970" w:rsidR="0065266C" w:rsidRDefault="005C5DED" w:rsidP="005C5DED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5C5DED"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BMHP5021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F0F4A64" id="Rectangle 132" o:spid="_x0000_s1026" style="position:absolute;margin-left:384.6pt;margin-top:19.2pt;width:66.85pt;height:77.75pt;z-index:251659264;visibility:visible;mso-wrap-style:square;mso-width-percent:0;mso-height-percent:98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" fillcolor="#156082 [3204]" stroked="f" strokeweight="1.5pt">
                    <o:lock v:ext="edit" aspectratio="t"/>
                    <v:textbox inset="3.6pt,,3.6pt">
                      <w:txbxContent>
                        <w:p w14:paraId="6C02486E" w14:textId="77777777" w:rsidR="005C5DED" w:rsidRDefault="005C5DED" w:rsidP="005C5DED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t>Module Code:</w:t>
                          </w:r>
                        </w:p>
                        <w:p w14:paraId="24AB720F" w14:textId="0E018970" w:rsidR="0065266C" w:rsidRDefault="005C5DED" w:rsidP="005C5DED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5C5DED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t>BMHP5021</w:t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6C377949" w14:textId="5B1730F7" w:rsidR="0065266C" w:rsidRDefault="0065266C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17A8CBCF" wp14:editId="21F33F4A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5554980" cy="6720840"/>
                    <wp:effectExtent l="0" t="0" r="7620" b="254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5498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1FF0BBC" w14:textId="157FFAC6" w:rsidR="0065266C" w:rsidRPr="005C5DED" w:rsidRDefault="005C5DED" w:rsidP="005C5DED">
                                <w:pPr>
                                  <w:pStyle w:val="NoSpacing"/>
                                  <w:spacing w:before="40" w:after="560" w:line="360" w:lineRule="auto"/>
                                  <w:jc w:val="center"/>
                                  <w:rPr>
                                    <w:color w:val="156082" w:themeColor="accent1"/>
                                    <w:sz w:val="68"/>
                                    <w:szCs w:val="68"/>
                                  </w:rPr>
                                </w:pPr>
                                <w:r w:rsidRPr="005C5DED">
                                  <w:rPr>
                                    <w:color w:val="156082" w:themeColor="accent1"/>
                                    <w:sz w:val="68"/>
                                    <w:szCs w:val="68"/>
                                  </w:rPr>
                                  <w:t>Component 1: Presentation (Refrences Only)</w:t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071E957" w14:textId="3CD43FBC" w:rsidR="0065266C" w:rsidRDefault="005C5DED" w:rsidP="005C5DED">
                                    <w:pPr>
                                      <w:pStyle w:val="NoSpacing"/>
                                      <w:spacing w:before="40" w:after="40" w:line="360" w:lineRule="auto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5C5DED"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Protecting and Supporting Families in Health and Care</w:t>
                                    </w:r>
                                  </w:p>
                                </w:sdtContent>
                              </w:sdt>
                              <w:p w14:paraId="4D11715E" w14:textId="3DD2C79E" w:rsidR="0065266C" w:rsidRDefault="005C5DED" w:rsidP="005C5DED">
                                <w:pPr>
                                  <w:pStyle w:val="NoSpacing"/>
                                  <w:spacing w:before="80" w:after="40" w:line="360" w:lineRule="auto"/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A02B93" w:themeColor="accent5"/>
                                    <w:sz w:val="24"/>
                                    <w:szCs w:val="24"/>
                                  </w:rPr>
                                  <w:t>Hira Ahmed</w:t>
                                </w:r>
                              </w:p>
                              <w:p w14:paraId="38A52385" w14:textId="013EDD53" w:rsidR="005C5DED" w:rsidRDefault="005C5DED" w:rsidP="005C5DED">
                                <w:pPr>
                                  <w:pStyle w:val="NoSpacing"/>
                                  <w:spacing w:before="80" w:after="40" w:line="360" w:lineRule="auto"/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A02B93" w:themeColor="accent5"/>
                                    <w:sz w:val="24"/>
                                    <w:szCs w:val="24"/>
                                  </w:rPr>
                                  <w:t>Student No. 2426399</w:t>
                                </w:r>
                              </w:p>
                              <w:p w14:paraId="2716C0F1" w14:textId="2CF1E947" w:rsidR="005C5DED" w:rsidRDefault="005C5DED" w:rsidP="005C5DED">
                                <w:pPr>
                                  <w:pStyle w:val="NoSpacing"/>
                                  <w:spacing w:before="80" w:after="40" w:line="360" w:lineRule="auto"/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A02B93" w:themeColor="accent5"/>
                                    <w:sz w:val="24"/>
                                    <w:szCs w:val="24"/>
                                  </w:rPr>
                                  <w:t xml:space="preserve">Lecturer: </w:t>
                                </w:r>
                                <w:r w:rsidR="00D76976" w:rsidRPr="00D76976">
                                  <w:rPr>
                                    <w:color w:val="A02B93" w:themeColor="accent5"/>
                                    <w:sz w:val="24"/>
                                    <w:szCs w:val="24"/>
                                    <w:lang w:val="en-GB"/>
                                  </w:rPr>
                                  <w:t>Gillian Weaver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17A8CBC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7" type="#_x0000_t202" style="position:absolute;margin-left:0;margin-top:0;width:437.4pt;height:529.2pt;z-index:251660288;visibility:visible;mso-wrap-style:square;mso-width-percent:0;mso-height-percent:350;mso-left-percent:77;mso-top-percent:540;mso-wrap-distance-left:14.4pt;mso-wrap-distance-top:0;mso-wrap-distance-right:14.4pt;mso-wrap-distance-bottom:0;mso-position-horizontal-relative:margin;mso-position-vertical-relative:page;mso-width-percent: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" filled="f" stroked="f" strokeweight=".5pt">
                    <v:textbox style="mso-fit-shape-to-text:t" inset="0,0,0,0">
                      <w:txbxContent>
                        <w:p w14:paraId="31FF0BBC" w14:textId="157FFAC6" w:rsidR="0065266C" w:rsidRPr="005C5DED" w:rsidRDefault="005C5DED" w:rsidP="005C5DED">
                          <w:pPr>
                            <w:pStyle w:val="NoSpacing"/>
                            <w:spacing w:before="40" w:after="560" w:line="360" w:lineRule="auto"/>
                            <w:jc w:val="center"/>
                            <w:rPr>
                              <w:color w:val="156082" w:themeColor="accent1"/>
                              <w:sz w:val="68"/>
                              <w:szCs w:val="68"/>
                            </w:rPr>
                          </w:pPr>
                          <w:r w:rsidRPr="005C5DED">
                            <w:rPr>
                              <w:color w:val="156082" w:themeColor="accent1"/>
                              <w:sz w:val="68"/>
                              <w:szCs w:val="68"/>
                            </w:rPr>
                            <w:t>Component 1: Presentation (Refrences Only)</w:t>
                          </w:r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071E957" w14:textId="3CD43FBC" w:rsidR="0065266C" w:rsidRDefault="005C5DED" w:rsidP="005C5DED">
                              <w:pPr>
                                <w:pStyle w:val="NoSpacing"/>
                                <w:spacing w:before="40" w:after="40" w:line="360" w:lineRule="auto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5C5DED"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Protecting and Supporting Families in Health and Care</w:t>
                              </w:r>
                            </w:p>
                          </w:sdtContent>
                        </w:sdt>
                        <w:p w14:paraId="4D11715E" w14:textId="3DD2C79E" w:rsidR="0065266C" w:rsidRDefault="005C5DED" w:rsidP="005C5DED">
                          <w:pPr>
                            <w:pStyle w:val="NoSpacing"/>
                            <w:spacing w:before="80" w:after="40" w:line="360" w:lineRule="auto"/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A02B93" w:themeColor="accent5"/>
                              <w:sz w:val="24"/>
                              <w:szCs w:val="24"/>
                            </w:rPr>
                            <w:t>Hira Ahmed</w:t>
                          </w:r>
                        </w:p>
                        <w:p w14:paraId="38A52385" w14:textId="013EDD53" w:rsidR="005C5DED" w:rsidRDefault="005C5DED" w:rsidP="005C5DED">
                          <w:pPr>
                            <w:pStyle w:val="NoSpacing"/>
                            <w:spacing w:before="80" w:after="40" w:line="360" w:lineRule="auto"/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A02B93" w:themeColor="accent5"/>
                              <w:sz w:val="24"/>
                              <w:szCs w:val="24"/>
                            </w:rPr>
                            <w:t>Student No. 2426399</w:t>
                          </w:r>
                        </w:p>
                        <w:p w14:paraId="2716C0F1" w14:textId="2CF1E947" w:rsidR="005C5DED" w:rsidRDefault="005C5DED" w:rsidP="005C5DED">
                          <w:pPr>
                            <w:pStyle w:val="NoSpacing"/>
                            <w:spacing w:before="80" w:after="40" w:line="360" w:lineRule="auto"/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A02B93" w:themeColor="accent5"/>
                              <w:sz w:val="24"/>
                              <w:szCs w:val="24"/>
                            </w:rPr>
                            <w:t xml:space="preserve">Lecturer: </w:t>
                          </w:r>
                          <w:r w:rsidR="00D76976" w:rsidRPr="00D76976">
                            <w:rPr>
                              <w:color w:val="A02B93" w:themeColor="accent5"/>
                              <w:sz w:val="24"/>
                              <w:szCs w:val="24"/>
                              <w:lang w:val="en-GB"/>
                            </w:rPr>
                            <w:t>Gillian Weaver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261C5174" w14:textId="77777777" w:rsidR="005C5DED" w:rsidRDefault="005C5DED" w:rsidP="005C5DED">
      <w:pPr>
        <w:pStyle w:val="Heading1"/>
      </w:pPr>
      <w:r>
        <w:lastRenderedPageBreak/>
        <w:t>Refrences:</w:t>
      </w:r>
    </w:p>
    <w:p w14:paraId="69DD2207" w14:textId="51EAB45F" w:rsidR="0065266C" w:rsidRPr="0065266C" w:rsidRDefault="0065266C" w:rsidP="0065266C">
      <w:r w:rsidRPr="0065266C">
        <w:t xml:space="preserve">British Association of Social Workers (BASW) (2021) </w:t>
      </w:r>
      <w:r w:rsidRPr="0065266C">
        <w:rPr>
          <w:i/>
          <w:iCs/>
        </w:rPr>
        <w:t>The BASW Code of Ethics for Social Work</w:t>
      </w:r>
      <w:r w:rsidRPr="0065266C">
        <w:t xml:space="preserve">. Birmingham: British Association of Social Workers. Available at: </w:t>
      </w:r>
      <w:hyperlink r:id="rId7" w:history="1">
        <w:r w:rsidRPr="0065266C">
          <w:rPr>
            <w:rStyle w:val="Hyperlink"/>
          </w:rPr>
          <w:t>https://new.basw.co.uk/about-basw/code-ethics</w:t>
        </w:r>
      </w:hyperlink>
      <w:r w:rsidRPr="0065266C">
        <w:t xml:space="preserve"> (Accessed: 14 June 2026).</w:t>
      </w:r>
    </w:p>
    <w:p w14:paraId="636F63E5" w14:textId="77777777" w:rsidR="0065266C" w:rsidRPr="0065266C" w:rsidRDefault="0065266C" w:rsidP="0065266C">
      <w:r w:rsidRPr="0065266C">
        <w:t xml:space="preserve">Bradford Safeguarding Children Partnership (2023) </w:t>
      </w:r>
      <w:r w:rsidRPr="0065266C">
        <w:rPr>
          <w:i/>
          <w:iCs/>
        </w:rPr>
        <w:t>Child Safeguarding Practice Review: Theo (Child A)</w:t>
      </w:r>
      <w:r w:rsidRPr="0065266C">
        <w:t xml:space="preserve">. Bradford: Bradford Safeguarding Children Partnership. Available at: </w:t>
      </w:r>
      <w:hyperlink r:id="rId8" w:history="1">
        <w:r w:rsidRPr="0065266C">
          <w:rPr>
            <w:rStyle w:val="Hyperlink"/>
          </w:rPr>
          <w:t>https://saferbradford.co.uk/media/k44hmjpy/child-a-final-report-for-publication.pdf</w:t>
        </w:r>
      </w:hyperlink>
      <w:r w:rsidRPr="0065266C">
        <w:t xml:space="preserve"> (Accessed: 17 June 2026).</w:t>
      </w:r>
    </w:p>
    <w:p w14:paraId="435843F9" w14:textId="77777777" w:rsidR="0065266C" w:rsidRPr="0065266C" w:rsidRDefault="0065266C" w:rsidP="0065266C">
      <w:r w:rsidRPr="0065266C">
        <w:t xml:space="preserve">Brandon, M., Sidebotham, P., Belderson, P., Cleaver, H., Dickens, J., Garstang, J., Harris, J., Sorensen, P. and Wate, R. (2020) </w:t>
      </w:r>
      <w:r w:rsidRPr="0065266C">
        <w:rPr>
          <w:i/>
          <w:iCs/>
        </w:rPr>
        <w:t>Complexity and Challenge: A Triennial Analysis of Serious Case Reviews 2014–2017</w:t>
      </w:r>
      <w:r w:rsidRPr="0065266C">
        <w:t xml:space="preserve">. London: Department for Education. Available at: </w:t>
      </w:r>
      <w:hyperlink r:id="rId9" w:history="1">
        <w:r w:rsidRPr="0065266C">
          <w:rPr>
            <w:rStyle w:val="Hyperlink"/>
          </w:rPr>
          <w:t>https://assets.publishing.service.gov.uk/media/5a7f0fd440f0b62305b85c1a/Triennial_Analysis_of_SCRs_2014-2017.pdf</w:t>
        </w:r>
      </w:hyperlink>
      <w:r w:rsidRPr="0065266C">
        <w:t xml:space="preserve"> (Accessed: 15 June 2026).</w:t>
      </w:r>
    </w:p>
    <w:p w14:paraId="2C3483FF" w14:textId="77777777" w:rsidR="0065266C" w:rsidRPr="0065266C" w:rsidRDefault="0065266C" w:rsidP="0065266C">
      <w:r w:rsidRPr="0065266C">
        <w:t xml:space="preserve">Care Act 2014 (c.23). London: The Stationery Office. Available at: </w:t>
      </w:r>
      <w:hyperlink r:id="rId10" w:history="1">
        <w:r w:rsidRPr="0065266C">
          <w:rPr>
            <w:rStyle w:val="Hyperlink"/>
          </w:rPr>
          <w:t>https://www.legislation.gov.uk/ukpga/2014/23/contents</w:t>
        </w:r>
      </w:hyperlink>
      <w:r w:rsidRPr="0065266C">
        <w:t xml:space="preserve"> (Accessed: 16 June 2026).</w:t>
      </w:r>
    </w:p>
    <w:p w14:paraId="75B88D9F" w14:textId="77777777" w:rsidR="0065266C" w:rsidRPr="0065266C" w:rsidRDefault="0065266C" w:rsidP="0065266C">
      <w:r w:rsidRPr="0065266C">
        <w:t xml:space="preserve">Children Act 1989 (c.41). London: The Stationery Office. Available at: </w:t>
      </w:r>
      <w:hyperlink r:id="rId11" w:history="1">
        <w:r w:rsidRPr="0065266C">
          <w:rPr>
            <w:rStyle w:val="Hyperlink"/>
          </w:rPr>
          <w:t>https://www.legislation.gov.uk/ukpga/1989/41/contents</w:t>
        </w:r>
      </w:hyperlink>
      <w:r w:rsidRPr="0065266C">
        <w:t xml:space="preserve"> (Accessed: 14 June 2026).</w:t>
      </w:r>
    </w:p>
    <w:p w14:paraId="441E119C" w14:textId="77777777" w:rsidR="0065266C" w:rsidRPr="0065266C" w:rsidRDefault="0065266C" w:rsidP="0065266C">
      <w:r w:rsidRPr="0065266C">
        <w:t xml:space="preserve">Department for Education (2024) </w:t>
      </w:r>
      <w:r w:rsidRPr="0065266C">
        <w:rPr>
          <w:i/>
          <w:iCs/>
        </w:rPr>
        <w:t>Working Together to Safeguard Children: A Guide to Multi-Agency Working to Help, Protect and Promote the Welfare of Children</w:t>
      </w:r>
      <w:r w:rsidRPr="0065266C">
        <w:t xml:space="preserve">. London: Department for Education. Available at: </w:t>
      </w:r>
      <w:hyperlink r:id="rId12" w:history="1">
        <w:r w:rsidRPr="0065266C">
          <w:rPr>
            <w:rStyle w:val="Hyperlink"/>
          </w:rPr>
          <w:t>https://www.gov.uk/government/publications/working-together-to-safeguard-children--2</w:t>
        </w:r>
      </w:hyperlink>
      <w:r w:rsidRPr="0065266C">
        <w:t xml:space="preserve"> (Accessed: 17 June 2026).</w:t>
      </w:r>
    </w:p>
    <w:p w14:paraId="50966975" w14:textId="77777777" w:rsidR="0065266C" w:rsidRPr="0065266C" w:rsidRDefault="0065266C" w:rsidP="0065266C">
      <w:r w:rsidRPr="0065266C">
        <w:t xml:space="preserve">HM Government (2023) </w:t>
      </w:r>
      <w:r w:rsidRPr="0065266C">
        <w:rPr>
          <w:i/>
          <w:iCs/>
        </w:rPr>
        <w:t>Working Together to Safeguard Children: A Guide to Multi-Agency Working to Help, Protect and Promote the Welfare of Children</w:t>
      </w:r>
      <w:r w:rsidRPr="0065266C">
        <w:t xml:space="preserve">. London: HMSO. Available at: </w:t>
      </w:r>
      <w:hyperlink r:id="rId13" w:history="1">
        <w:r w:rsidRPr="0065266C">
          <w:rPr>
            <w:rStyle w:val="Hyperlink"/>
          </w:rPr>
          <w:t>https://www.gov.uk/government/publications/working-together-to-safeguard-children--2</w:t>
        </w:r>
      </w:hyperlink>
      <w:r w:rsidRPr="0065266C">
        <w:t xml:space="preserve"> (Accessed: 15 June 2026).</w:t>
      </w:r>
    </w:p>
    <w:p w14:paraId="35589AE6" w14:textId="77777777" w:rsidR="0065266C" w:rsidRPr="0065266C" w:rsidRDefault="0065266C" w:rsidP="0065266C">
      <w:r w:rsidRPr="0065266C">
        <w:t xml:space="preserve">Munro, E. (2011) </w:t>
      </w:r>
      <w:r w:rsidRPr="0065266C">
        <w:rPr>
          <w:i/>
          <w:iCs/>
        </w:rPr>
        <w:t>The Munro Review of Child Protection: Final Report – A Child-Centred System</w:t>
      </w:r>
      <w:r w:rsidRPr="0065266C">
        <w:t xml:space="preserve">. London: Department for Education. Available at: </w:t>
      </w:r>
      <w:hyperlink r:id="rId14" w:history="1">
        <w:r w:rsidRPr="0065266C">
          <w:rPr>
            <w:rStyle w:val="Hyperlink"/>
          </w:rPr>
          <w:t>https://assets.publishing.service.gov.uk/media/5a7f0b8eed915d74e33f7b0d/Munro-Review.pdf</w:t>
        </w:r>
      </w:hyperlink>
      <w:r w:rsidRPr="0065266C">
        <w:t xml:space="preserve"> (Accessed: 16 June 2026).</w:t>
      </w:r>
    </w:p>
    <w:p w14:paraId="233B4AE3" w14:textId="77777777" w:rsidR="0065266C" w:rsidRPr="0065266C" w:rsidRDefault="0065266C" w:rsidP="0065266C">
      <w:r w:rsidRPr="0065266C">
        <w:t xml:space="preserve">NSPCC (2024) </w:t>
      </w:r>
      <w:r w:rsidRPr="0065266C">
        <w:rPr>
          <w:i/>
          <w:iCs/>
        </w:rPr>
        <w:t>Child Abuse and Neglect: Learning from Case Reviews</w:t>
      </w:r>
      <w:r w:rsidRPr="0065266C">
        <w:t xml:space="preserve">. London: NSPCC. Available at: </w:t>
      </w:r>
      <w:hyperlink r:id="rId15" w:history="1">
        <w:r w:rsidRPr="0065266C">
          <w:rPr>
            <w:rStyle w:val="Hyperlink"/>
          </w:rPr>
          <w:t>https://learning.nspcc.org.uk/case-reviews</w:t>
        </w:r>
      </w:hyperlink>
      <w:r w:rsidRPr="0065266C">
        <w:t xml:space="preserve"> (Accessed: 14 June 2026).</w:t>
      </w:r>
    </w:p>
    <w:p w14:paraId="1F5BBFED" w14:textId="50E2B583" w:rsidR="00F9432E" w:rsidRPr="0065266C" w:rsidRDefault="00F9432E" w:rsidP="0065266C"/>
    <w:sectPr w:rsidR="00F9432E" w:rsidRPr="0065266C" w:rsidSect="0065266C"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60E4C" w14:textId="77777777" w:rsidR="009B7018" w:rsidRDefault="009B7018" w:rsidP="005C5DED">
      <w:pPr>
        <w:spacing w:after="0" w:line="240" w:lineRule="auto"/>
      </w:pPr>
      <w:r>
        <w:separator/>
      </w:r>
    </w:p>
  </w:endnote>
  <w:endnote w:type="continuationSeparator" w:id="0">
    <w:p w14:paraId="0283A259" w14:textId="77777777" w:rsidR="009B7018" w:rsidRDefault="009B7018" w:rsidP="005C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2189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38FC2" w14:textId="10722BE3" w:rsidR="005C5DED" w:rsidRDefault="005C5D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B8FA1E" w14:textId="77777777" w:rsidR="005C5DED" w:rsidRDefault="005C5D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4B053" w14:textId="77777777" w:rsidR="009B7018" w:rsidRDefault="009B7018" w:rsidP="005C5DED">
      <w:pPr>
        <w:spacing w:after="0" w:line="240" w:lineRule="auto"/>
      </w:pPr>
      <w:r>
        <w:separator/>
      </w:r>
    </w:p>
  </w:footnote>
  <w:footnote w:type="continuationSeparator" w:id="0">
    <w:p w14:paraId="4845BF4B" w14:textId="77777777" w:rsidR="009B7018" w:rsidRDefault="009B7018" w:rsidP="005C5D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D00"/>
    <w:rsid w:val="003076FD"/>
    <w:rsid w:val="00460FB7"/>
    <w:rsid w:val="005C5DED"/>
    <w:rsid w:val="0065266C"/>
    <w:rsid w:val="00831D00"/>
    <w:rsid w:val="009B7018"/>
    <w:rsid w:val="00B3731C"/>
    <w:rsid w:val="00BA1F67"/>
    <w:rsid w:val="00D55746"/>
    <w:rsid w:val="00D76976"/>
    <w:rsid w:val="00F9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1C232"/>
  <w15:chartTrackingRefBased/>
  <w15:docId w15:val="{DD1E3593-66C8-4B72-9D02-1691BF088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1D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D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D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D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D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D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D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D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D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D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1D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D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D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D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D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D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D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D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D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D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D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D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D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D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D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D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D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D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D0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43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43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432E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65266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5266C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C5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DED"/>
  </w:style>
  <w:style w:type="paragraph" w:styleId="Footer">
    <w:name w:val="footer"/>
    <w:basedOn w:val="Normal"/>
    <w:link w:val="FooterChar"/>
    <w:uiPriority w:val="99"/>
    <w:unhideWhenUsed/>
    <w:rsid w:val="005C5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ferbradford.co.uk/media/k44hmjpy/child-a-final-report-for-publication.pdf" TargetMode="External"/><Relationship Id="rId13" Type="http://schemas.openxmlformats.org/officeDocument/2006/relationships/hyperlink" Target="https://www.gov.uk/government/publications/working-together-to-safeguard-children--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ew.basw.co.uk/about-basw/code-ethics" TargetMode="External"/><Relationship Id="rId12" Type="http://schemas.openxmlformats.org/officeDocument/2006/relationships/hyperlink" Target="https://www.gov.uk/government/publications/working-together-to-safeguard-children--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1989/41/conten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earning.nspcc.org.uk/case-reviews" TargetMode="External"/><Relationship Id="rId10" Type="http://schemas.openxmlformats.org/officeDocument/2006/relationships/hyperlink" Target="https://www.legislation.gov.uk/ukpga/2014/23/cont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media/5a7f0fd440f0b62305b85c1a/Triennial_Analysis_of_SCRs_2014-2017.pdf" TargetMode="External"/><Relationship Id="rId14" Type="http://schemas.openxmlformats.org/officeDocument/2006/relationships/hyperlink" Target="https://assets.publishing.service.gov.uk/media/5a7f0b8eed915d74e33f7b0d/Munro-Review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BMHP5021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 1: Presentation (Refrences Only)</dc:title>
  <dc:subject>Protecting and Supporting Families in Health and Care</dc:subject>
  <dc:creator>Iftekhar Rashid</dc:creator>
  <cp:keywords/>
  <dc:description/>
  <cp:lastModifiedBy>Iftekhar Rashid</cp:lastModifiedBy>
  <cp:revision>3</cp:revision>
  <dcterms:created xsi:type="dcterms:W3CDTF">2026-06-16T22:51:00Z</dcterms:created>
  <dcterms:modified xsi:type="dcterms:W3CDTF">2026-06-19T19:51:00Z</dcterms:modified>
</cp:coreProperties>
</file>