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3141BC" w14:textId="61A4D72C" w:rsidR="009F34D5" w:rsidRPr="00260DAC" w:rsidRDefault="00546C06" w:rsidP="00546C06">
      <w:pPr>
        <w:ind w:left="851" w:right="804"/>
        <w:rPr>
          <w:sz w:val="21"/>
          <w:szCs w:val="21"/>
        </w:rPr>
      </w:pPr>
      <w:bookmarkStart w:id="0" w:name="_Hlk165814354"/>
      <w:r w:rsidRPr="00211DA7">
        <w:rPr>
          <w:sz w:val="21"/>
          <w:szCs w:val="21"/>
        </w:rPr>
        <w:t xml:space="preserve">For so many lost to me I still had only you in recompense; you were my master, you my husband, you my brother. You swore to me by the godhead of your seaborn mother, and yourself said that my captive’s lot was gain—yes, that though I come to you with dowry, you may thrust me back, scorning’ the wealth that with me is tendered you! Nay, ’tis even said that when tomorrow’s dawn shall have shone forth, you mean to unfurl your linen sails to the cloud-bringing winds of the south. When the monstrous tale fell on my wretched and terror-stricken ears, the blood went from my breast, and with it my senses fled. You are going—ah me, wretched!—and to whom do you leave me, O hardened of heart? Who shall afford me gentle solace, left behind? May I be swallowed up, I pray, in sudden yawning of the earth, or consumed by the ruddy fire of careering thunderbolt, e’er that, without me, the seas foam white with </w:t>
      </w:r>
      <w:proofErr w:type="spellStart"/>
      <w:r w:rsidRPr="00211DA7">
        <w:rPr>
          <w:sz w:val="21"/>
          <w:szCs w:val="21"/>
        </w:rPr>
        <w:t>Phthian</w:t>
      </w:r>
      <w:proofErr w:type="spellEnd"/>
      <w:r w:rsidRPr="00211DA7">
        <w:rPr>
          <w:sz w:val="21"/>
          <w:szCs w:val="21"/>
        </w:rPr>
        <w:t xml:space="preserve"> oars, and I am left behind to see your ships fare forth! If it please you now to return to the hearth of your fathers, I am no great burden to your fleet. As captive let me follow my captor, not as wife my wedded lord; I have a hand well skilled to dress the wool. The most beauteous by far among the women of Achaea will come to the marriage-chamber as your bride—and may she come!—a bride worthy of her lord’s father, the grandchild of Jove and Aegina, and one whom ancient Nereus would welcome as his grandson’s bride. As for me, I shall be a lowly slave of yours and spin off the given task, and the full distaff shall grow slender at the drawing of my threads. Only let not your lady be harsh with me, I pray—for in some way I feel she will not be kind—and suffer her not to tear my hair before your eyes, while you lightly say of me: “She, too, once was mine.” Or, suffer it even so, if only I am not despised and left behind—this is the fear, ah woe is wretched me, that shakes my very bones!</w:t>
      </w:r>
      <w:r w:rsidR="00260DAC">
        <w:rPr>
          <w:sz w:val="21"/>
          <w:szCs w:val="21"/>
        </w:rPr>
        <w:t xml:space="preserve">        </w:t>
      </w:r>
      <w:r w:rsidR="00260DAC">
        <w:rPr>
          <w:b/>
          <w:bCs/>
          <w:sz w:val="21"/>
          <w:szCs w:val="21"/>
        </w:rPr>
        <w:t>(</w:t>
      </w:r>
      <w:r w:rsidR="00260DAC" w:rsidRPr="00260DAC">
        <w:rPr>
          <w:b/>
          <w:bCs/>
        </w:rPr>
        <w:t>Ov. Her. 3.51-82</w:t>
      </w:r>
      <w:r w:rsidR="00260DAC">
        <w:rPr>
          <w:b/>
          <w:bCs/>
        </w:rPr>
        <w:t>)</w:t>
      </w:r>
    </w:p>
    <w:bookmarkEnd w:id="0"/>
    <w:p w14:paraId="61C80A6A" w14:textId="77777777" w:rsidR="00546C06" w:rsidRPr="00211DA7" w:rsidRDefault="00546C06" w:rsidP="00546C06">
      <w:pPr>
        <w:ind w:left="851" w:right="804"/>
      </w:pPr>
    </w:p>
    <w:p w14:paraId="48EF9F31" w14:textId="2BBAEF9F" w:rsidR="00CD1220" w:rsidRDefault="00436996" w:rsidP="00546C06">
      <w:pPr>
        <w:ind w:right="-46"/>
      </w:pPr>
      <w:r>
        <w:t xml:space="preserve">The extract above is taken from </w:t>
      </w:r>
      <w:r w:rsidRPr="00E95E8C">
        <w:rPr>
          <w:i/>
          <w:iCs/>
        </w:rPr>
        <w:t>Heroides</w:t>
      </w:r>
      <w:r>
        <w:t xml:space="preserve"> 3, composed by </w:t>
      </w:r>
      <w:r w:rsidR="00FA55D7">
        <w:t>R</w:t>
      </w:r>
      <w:r w:rsidR="00546C06" w:rsidRPr="00211DA7">
        <w:t>oman poet</w:t>
      </w:r>
      <w:r>
        <w:t xml:space="preserve"> </w:t>
      </w:r>
      <w:r w:rsidR="00211DA7" w:rsidRPr="00211DA7">
        <w:t>Publius Ovidius Naso</w:t>
      </w:r>
      <w:r>
        <w:t>.</w:t>
      </w:r>
      <w:r w:rsidR="00211DA7" w:rsidRPr="00211DA7">
        <w:t xml:space="preserve"> </w:t>
      </w:r>
      <w:r w:rsidR="00E95E8C">
        <w:t xml:space="preserve">The </w:t>
      </w:r>
      <w:r w:rsidR="00E95E8C">
        <w:rPr>
          <w:i/>
          <w:iCs/>
        </w:rPr>
        <w:t>Heroides</w:t>
      </w:r>
      <w:r w:rsidR="00E95E8C">
        <w:t xml:space="preserve"> are one of Ovid’s earlier works, his </w:t>
      </w:r>
      <w:r w:rsidR="00211DA7">
        <w:t>oe</w:t>
      </w:r>
      <w:r w:rsidR="00211DA7" w:rsidRPr="00211DA7">
        <w:t xml:space="preserve">uvre </w:t>
      </w:r>
      <w:r w:rsidR="00211DA7">
        <w:t>span</w:t>
      </w:r>
      <w:r w:rsidR="00E95E8C">
        <w:t>ning</w:t>
      </w:r>
      <w:r w:rsidR="00211DA7">
        <w:t xml:space="preserve"> the late 1</w:t>
      </w:r>
      <w:r w:rsidR="00211DA7" w:rsidRPr="00211DA7">
        <w:rPr>
          <w:vertAlign w:val="superscript"/>
        </w:rPr>
        <w:t>st</w:t>
      </w:r>
      <w:r w:rsidR="00211DA7">
        <w:t xml:space="preserve"> century BCE and early 1</w:t>
      </w:r>
      <w:r w:rsidR="00211DA7" w:rsidRPr="00211DA7">
        <w:rPr>
          <w:vertAlign w:val="superscript"/>
        </w:rPr>
        <w:t>st</w:t>
      </w:r>
      <w:r w:rsidR="00211DA7">
        <w:t xml:space="preserve"> century CE</w:t>
      </w:r>
      <w:r w:rsidR="006E7277">
        <w:t xml:space="preserve">, </w:t>
      </w:r>
      <w:r w:rsidR="00E95E8C">
        <w:t xml:space="preserve">however, a precise date </w:t>
      </w:r>
      <w:r w:rsidR="005B7638">
        <w:t xml:space="preserve">for their publication </w:t>
      </w:r>
      <w:r w:rsidR="00E95E8C">
        <w:t>is not known and they can only be tentatively dated to around 20-13BCE.</w:t>
      </w:r>
      <w:r w:rsidR="00B91642">
        <w:rPr>
          <w:rStyle w:val="FootnoteReference"/>
        </w:rPr>
        <w:footnoteReference w:id="1"/>
      </w:r>
      <w:r w:rsidR="00B91642" w:rsidRPr="00E95E8C">
        <w:t xml:space="preserve"> </w:t>
      </w:r>
      <w:r w:rsidR="00DA2291">
        <w:t xml:space="preserve">Comprised of fifteen poems, the </w:t>
      </w:r>
      <w:r w:rsidR="00DA2291">
        <w:rPr>
          <w:i/>
          <w:iCs/>
        </w:rPr>
        <w:t>Heroides</w:t>
      </w:r>
      <w:r w:rsidR="00DA2291">
        <w:t xml:space="preserve"> are a series of epistolatory elegies </w:t>
      </w:r>
      <w:r w:rsidR="00E42AA6">
        <w:t>written from the perspective of, mostly mythological, women</w:t>
      </w:r>
      <w:r w:rsidR="003C0171">
        <w:t>, to their romantic partners</w:t>
      </w:r>
      <w:r w:rsidR="00D26307">
        <w:t>.</w:t>
      </w:r>
      <w:r w:rsidR="00D26307">
        <w:rPr>
          <w:rStyle w:val="FootnoteReference"/>
        </w:rPr>
        <w:footnoteReference w:id="2"/>
      </w:r>
      <w:r w:rsidR="00D26307" w:rsidRPr="00DA2291">
        <w:t xml:space="preserve"> </w:t>
      </w:r>
      <w:r w:rsidR="00291512">
        <w:rPr>
          <w:i/>
          <w:iCs/>
        </w:rPr>
        <w:t>Heroides</w:t>
      </w:r>
      <w:r w:rsidR="00291512">
        <w:t xml:space="preserve"> 3 gives voice to Briseis, </w:t>
      </w:r>
      <w:r w:rsidR="00E97F55">
        <w:t>a captive of the Greeks during the Trojan War. The poem is set during the time that Briseis is held in Agamemnon’s tent prior to her return to Achilles</w:t>
      </w:r>
      <w:r w:rsidR="009F6CC1">
        <w:t>, who</w:t>
      </w:r>
      <w:r w:rsidR="009C1055">
        <w:t>m</w:t>
      </w:r>
      <w:r w:rsidR="009F6CC1">
        <w:t xml:space="preserve"> her letter is for.</w:t>
      </w:r>
      <w:r w:rsidR="00817D42">
        <w:rPr>
          <w:rStyle w:val="FootnoteReference"/>
        </w:rPr>
        <w:footnoteReference w:id="3"/>
      </w:r>
      <w:r w:rsidR="007C35F4">
        <w:t xml:space="preserve"> Despite being the catalyst for mo</w:t>
      </w:r>
      <w:r w:rsidR="0039726B">
        <w:t>s</w:t>
      </w:r>
      <w:r w:rsidR="007C35F4">
        <w:t xml:space="preserve">t of the events of the </w:t>
      </w:r>
      <w:r w:rsidR="007C35F4">
        <w:rPr>
          <w:i/>
          <w:iCs/>
        </w:rPr>
        <w:t>Iliad</w:t>
      </w:r>
      <w:r w:rsidR="007C35F4">
        <w:t>, Briseis</w:t>
      </w:r>
      <w:r w:rsidR="0039726B">
        <w:t xml:space="preserve"> only has </w:t>
      </w:r>
      <w:r w:rsidR="00DA520B">
        <w:t>thirteen lines of speech</w:t>
      </w:r>
      <w:r w:rsidR="00F97BDF">
        <w:t xml:space="preserve"> in the </w:t>
      </w:r>
      <w:r w:rsidR="005A7A36">
        <w:t xml:space="preserve">entire </w:t>
      </w:r>
      <w:r w:rsidR="00F97BDF">
        <w:t>poem, spoken after the death of Patroclus</w:t>
      </w:r>
      <w:r w:rsidR="00DA520B">
        <w:t>.</w:t>
      </w:r>
      <w:r w:rsidR="00DA520B">
        <w:rPr>
          <w:rStyle w:val="FootnoteReference"/>
        </w:rPr>
        <w:footnoteReference w:id="4"/>
      </w:r>
      <w:r w:rsidR="00FA729F">
        <w:t xml:space="preserve"> </w:t>
      </w:r>
      <w:r w:rsidR="00FA729F">
        <w:rPr>
          <w:i/>
          <w:iCs/>
        </w:rPr>
        <w:t>Heroides</w:t>
      </w:r>
      <w:r w:rsidR="00FA729F">
        <w:t xml:space="preserve"> 3 </w:t>
      </w:r>
      <w:r w:rsidR="00B85842">
        <w:t xml:space="preserve">grants Briseis </w:t>
      </w:r>
      <w:r w:rsidR="00D960B7">
        <w:t>a much larger opportunity to discuss her plight</w:t>
      </w:r>
      <w:r w:rsidR="00EC5835">
        <w:t>.</w:t>
      </w:r>
      <w:r w:rsidR="00411B13">
        <w:t xml:space="preserve"> The section discussed here is 3.51-82, taken from around the middle of the poem.</w:t>
      </w:r>
    </w:p>
    <w:p w14:paraId="1029FEF8" w14:textId="519443EB" w:rsidR="00CD1220" w:rsidRDefault="00E23577" w:rsidP="00546C06">
      <w:pPr>
        <w:ind w:right="-46"/>
      </w:pPr>
      <w:r>
        <w:t>In line 52 Briseis refers to Achilles with “you were my master, you my husband, you my brother”, stating that she has lost every other person in her life and now only he remains.</w:t>
      </w:r>
      <w:r w:rsidR="002D4325">
        <w:rPr>
          <w:rStyle w:val="FootnoteReference"/>
        </w:rPr>
        <w:footnoteReference w:id="5"/>
      </w:r>
      <w:r>
        <w:t xml:space="preserve"> This </w:t>
      </w:r>
      <w:r w:rsidR="002D4325">
        <w:t xml:space="preserve">declaration is remarkably reminiscent of an encounter between Hector and Andromache in book 6 of the </w:t>
      </w:r>
      <w:r w:rsidR="002D4325">
        <w:rPr>
          <w:i/>
          <w:iCs/>
        </w:rPr>
        <w:t>Iliad</w:t>
      </w:r>
      <w:r w:rsidR="002D4325">
        <w:t xml:space="preserve"> where Andromache says of Hector, “you are father and mother and brother to me, as well as my strong husband”.</w:t>
      </w:r>
      <w:r w:rsidR="00107526">
        <w:rPr>
          <w:rStyle w:val="FootnoteReference"/>
        </w:rPr>
        <w:footnoteReference w:id="6"/>
      </w:r>
      <w:r w:rsidR="00094B75">
        <w:t xml:space="preserve"> Briseis and Andromache have both lost their families to the Trojan War and are left with only one person to fill the empty space that loss has left in their lives. Further to this, Briseis and </w:t>
      </w:r>
      <w:r w:rsidR="00094B75">
        <w:lastRenderedPageBreak/>
        <w:t>Andromache both lost their families to the same man, Achilles. In a</w:t>
      </w:r>
      <w:r w:rsidR="003B204B">
        <w:t xml:space="preserve"> painfully ironic twist on Andromache’s circumstance, while Andromache can seek comfort in her husband</w:t>
      </w:r>
      <w:r w:rsidR="008F61B0">
        <w:t xml:space="preserve">, </w:t>
      </w:r>
      <w:r w:rsidR="003B204B">
        <w:t xml:space="preserve">Hector, Briseis is forced to </w:t>
      </w:r>
      <w:r w:rsidR="00474B34">
        <w:t>substitute</w:t>
      </w:r>
      <w:r w:rsidR="003B204B">
        <w:t xml:space="preserve"> her family with the very man who murdered them</w:t>
      </w:r>
      <w:r w:rsidR="00474B34">
        <w:t>.</w:t>
      </w:r>
      <w:r w:rsidR="00474B34">
        <w:rPr>
          <w:rStyle w:val="FootnoteReference"/>
        </w:rPr>
        <w:footnoteReference w:id="7"/>
      </w:r>
      <w:r w:rsidR="00474B34" w:rsidRPr="002D4325">
        <w:t xml:space="preserve"> </w:t>
      </w:r>
      <w:r w:rsidR="00A02BDE">
        <w:t>This irony is not lost on Briseis, rather it is exactly why she mentions it. The lines immediately preceding the declaration of what Achilles is to her comprise of an evocative account of the fall of her city and the murder of her brothers and husband.</w:t>
      </w:r>
      <w:r w:rsidR="00B303FC">
        <w:rPr>
          <w:rStyle w:val="FootnoteReference"/>
        </w:rPr>
        <w:footnoteReference w:id="8"/>
      </w:r>
      <w:r w:rsidR="002419C2">
        <w:t xml:space="preserve"> Briseis’ words, while appearing to demonstrate the depth of her feeling towards Achilles, also serve to remind him that he is responsible for her current circumstances and her herself.</w:t>
      </w:r>
      <w:r w:rsidR="00314617">
        <w:t xml:space="preserve"> </w:t>
      </w:r>
      <w:r w:rsidR="002F7239">
        <w:t xml:space="preserve">It is also of note that Andromache issues her statement during a speech where </w:t>
      </w:r>
      <w:r w:rsidR="00640FC4">
        <w:t xml:space="preserve">she </w:t>
      </w:r>
      <w:r w:rsidR="002F7239">
        <w:t>pleas with Hector to leave the fight and stay with her, where he will be safe.</w:t>
      </w:r>
      <w:r w:rsidR="006B2527">
        <w:rPr>
          <w:rStyle w:val="FootnoteReference"/>
        </w:rPr>
        <w:footnoteReference w:id="9"/>
      </w:r>
      <w:r w:rsidR="009A6D70">
        <w:t xml:space="preserve"> This is subverted in the </w:t>
      </w:r>
      <w:r w:rsidR="009A6D70">
        <w:rPr>
          <w:i/>
          <w:iCs/>
        </w:rPr>
        <w:t>Heroides</w:t>
      </w:r>
      <w:r w:rsidR="009A6D70">
        <w:t>, where Briseis attempts to persuade Achilles to go back into battle, and indeed</w:t>
      </w:r>
      <w:r w:rsidR="001333CE">
        <w:t>,</w:t>
      </w:r>
      <w:r w:rsidR="009A6D70">
        <w:t xml:space="preserve"> kill Hector.</w:t>
      </w:r>
      <w:r w:rsidR="00FE56D6">
        <w:rPr>
          <w:rStyle w:val="FootnoteReference"/>
        </w:rPr>
        <w:footnoteReference w:id="10"/>
      </w:r>
    </w:p>
    <w:p w14:paraId="68D52844" w14:textId="31C5308D" w:rsidR="00E67613" w:rsidRDefault="006C6742" w:rsidP="00546C06">
      <w:pPr>
        <w:ind w:right="-46"/>
      </w:pPr>
      <w:r>
        <w:t>In lines 55-56, Briseis makes the claim that she had “come to you [Achilles] with dowry”</w:t>
      </w:r>
      <w:r w:rsidR="00184199">
        <w:t xml:space="preserve">, despite acknowledging immediately before this that </w:t>
      </w:r>
      <w:r w:rsidR="00894B47">
        <w:t xml:space="preserve">she </w:t>
      </w:r>
      <w:r w:rsidR="009369E8">
        <w:t xml:space="preserve">is with him because she </w:t>
      </w:r>
      <w:r w:rsidR="00184199">
        <w:t>was taken as a captive</w:t>
      </w:r>
      <w:r w:rsidR="00247199">
        <w:t>, and would therefore not be in possession of a dowry</w:t>
      </w:r>
      <w:r w:rsidR="00184199">
        <w:t>.</w:t>
      </w:r>
      <w:r w:rsidR="001C4977">
        <w:rPr>
          <w:rStyle w:val="FootnoteReference"/>
        </w:rPr>
        <w:footnoteReference w:id="11"/>
      </w:r>
      <w:r w:rsidR="009369E8">
        <w:t xml:space="preserve"> </w:t>
      </w:r>
      <w:r w:rsidR="00463392">
        <w:t xml:space="preserve">Later in the </w:t>
      </w:r>
      <w:r w:rsidR="00C51957">
        <w:t>extract</w:t>
      </w:r>
      <w:r w:rsidR="00463392">
        <w:t xml:space="preserve"> Briseis</w:t>
      </w:r>
      <w:r w:rsidR="009369E8">
        <w:t xml:space="preserve"> also</w:t>
      </w:r>
      <w:r w:rsidR="00463392">
        <w:t xml:space="preserve"> explicitly states that she is not Achilles’ wife, again </w:t>
      </w:r>
      <w:r w:rsidR="009369E8">
        <w:t xml:space="preserve">affirming </w:t>
      </w:r>
      <w:r w:rsidR="00463392">
        <w:t xml:space="preserve">that she </w:t>
      </w:r>
      <w:r w:rsidR="009369E8">
        <w:t xml:space="preserve">could not have actually come to him </w:t>
      </w:r>
      <w:r w:rsidR="00463392">
        <w:t>with a dowry</w:t>
      </w:r>
      <w:r w:rsidR="009369E8">
        <w:t xml:space="preserve"> as they are not and never have been married</w:t>
      </w:r>
      <w:r w:rsidR="00463392">
        <w:t>.</w:t>
      </w:r>
      <w:r w:rsidR="00660FC3">
        <w:rPr>
          <w:rStyle w:val="FootnoteReference"/>
        </w:rPr>
        <w:footnoteReference w:id="12"/>
      </w:r>
      <w:r w:rsidR="009369E8">
        <w:t xml:space="preserve"> </w:t>
      </w:r>
      <w:r w:rsidR="009369E8" w:rsidRPr="009369E8">
        <w:t>Instead, it appears that Briseis is perhaps interpreting the gifts Agamemnon has offered to Achilles, listed earlier in the poem, as her dowry.</w:t>
      </w:r>
      <w:r w:rsidR="008330AF">
        <w:rPr>
          <w:rStyle w:val="FootnoteReference"/>
        </w:rPr>
        <w:footnoteReference w:id="13"/>
      </w:r>
      <w:r w:rsidR="005C4207">
        <w:t xml:space="preserve"> This parody of a real marriage produces a comic effect, however it is also distinctly uncomfortable as it shows </w:t>
      </w:r>
      <w:r w:rsidR="00A137ED">
        <w:t>how Briseis is unravelling somewhat in her desperation.</w:t>
      </w:r>
      <w:r w:rsidR="00A90697">
        <w:rPr>
          <w:rStyle w:val="FootnoteReference"/>
        </w:rPr>
        <w:footnoteReference w:id="14"/>
      </w:r>
      <w:r w:rsidR="00A90697">
        <w:t xml:space="preserve"> </w:t>
      </w:r>
      <w:r w:rsidR="001B082B">
        <w:t xml:space="preserve">Lines </w:t>
      </w:r>
      <w:r w:rsidR="003F7557">
        <w:t xml:space="preserve">53-54 </w:t>
      </w:r>
      <w:r w:rsidR="001401E4">
        <w:t>say that Achilles “swore to me [Briseis] […] that my captive’s lot was gain”</w:t>
      </w:r>
      <w:r w:rsidR="00D17127">
        <w:t>,</w:t>
      </w:r>
      <w:r w:rsidR="001401E4">
        <w:t xml:space="preserve"> </w:t>
      </w:r>
      <w:r w:rsidR="00D17127">
        <w:t xml:space="preserve">perhaps implying that Achilles </w:t>
      </w:r>
      <w:r w:rsidR="003A6897">
        <w:t>had sworn</w:t>
      </w:r>
      <w:r w:rsidR="00D17127">
        <w:t xml:space="preserve"> to Briseis that he would marry her, therefore increasing her status once more. </w:t>
      </w:r>
      <w:r w:rsidR="007666F0">
        <w:t xml:space="preserve">This </w:t>
      </w:r>
      <w:r w:rsidR="00023021">
        <w:t xml:space="preserve">is reminiscent of the </w:t>
      </w:r>
      <w:r w:rsidR="00611BFF">
        <w:t xml:space="preserve">section </w:t>
      </w:r>
      <w:r w:rsidR="00290C47">
        <w:t xml:space="preserve">of Briseis’ speech in </w:t>
      </w:r>
      <w:r w:rsidR="00BC6E95">
        <w:t xml:space="preserve">the </w:t>
      </w:r>
      <w:r w:rsidR="00023021">
        <w:rPr>
          <w:i/>
          <w:iCs/>
        </w:rPr>
        <w:t>Iliad</w:t>
      </w:r>
      <w:r w:rsidR="00023021">
        <w:t xml:space="preserve"> where </w:t>
      </w:r>
      <w:r w:rsidR="00290C47">
        <w:t xml:space="preserve">she </w:t>
      </w:r>
      <w:r w:rsidR="00023021">
        <w:t xml:space="preserve">says that Patroclus </w:t>
      </w:r>
      <w:r w:rsidR="00BC6E95">
        <w:t>provided her with comfort when her family was killed and told her that he would make her the wife of Achilles.</w:t>
      </w:r>
      <w:r w:rsidR="0009267C">
        <w:rPr>
          <w:rStyle w:val="FootnoteReference"/>
        </w:rPr>
        <w:footnoteReference w:id="15"/>
      </w:r>
      <w:r w:rsidR="00EA348F">
        <w:t xml:space="preserve"> By replacing Patroclus with Achilles in the </w:t>
      </w:r>
      <w:r w:rsidR="00EA348F">
        <w:rPr>
          <w:i/>
          <w:iCs/>
        </w:rPr>
        <w:t>Heroides</w:t>
      </w:r>
      <w:r w:rsidR="00EA348F">
        <w:t xml:space="preserve"> Ovid </w:t>
      </w:r>
      <w:r w:rsidR="00D02F82">
        <w:t xml:space="preserve">again </w:t>
      </w:r>
      <w:r w:rsidR="00EA348F">
        <w:t xml:space="preserve">emphasises the </w:t>
      </w:r>
      <w:r w:rsidR="00D02F82">
        <w:t xml:space="preserve">responsibility Achilles </w:t>
      </w:r>
      <w:r w:rsidR="00D02F82" w:rsidRPr="00D02F82">
        <w:t>has for Briseis</w:t>
      </w:r>
      <w:r w:rsidR="00D02F82">
        <w:t xml:space="preserve"> as he has sworn an oath to her</w:t>
      </w:r>
      <w:r w:rsidR="00DD6FA6">
        <w:t>,</w:t>
      </w:r>
      <w:r w:rsidR="00D02F82">
        <w:t xml:space="preserve"> </w:t>
      </w:r>
      <w:r w:rsidR="00293038">
        <w:t xml:space="preserve">it also </w:t>
      </w:r>
      <w:r w:rsidR="00D02F82">
        <w:t>establishes a bond between the two and presents a more caring side to Achilles</w:t>
      </w:r>
      <w:r w:rsidR="00026F37">
        <w:t>, although this previous care does increase Briseis’ feeling of betrayal</w:t>
      </w:r>
      <w:r w:rsidR="00D02F82">
        <w:t>.</w:t>
      </w:r>
      <w:r w:rsidR="00152E56">
        <w:t xml:space="preserve"> </w:t>
      </w:r>
      <w:r w:rsidR="00293038">
        <w:t xml:space="preserve">The mention of a dowry may serve not only to remind Achilles of his promise but also to legitimise the relationship between </w:t>
      </w:r>
      <w:r w:rsidR="00B60B6D">
        <w:t>him and Briseis, and increase Briseis’ importance beyond that of simply one of his slaves.</w:t>
      </w:r>
      <w:r w:rsidR="00A92EBE">
        <w:t xml:space="preserve"> Briseis makes multiple attempts throughout the poem to assert her importance to Achilles, these attempts are however continually undermined by her own admission that her position is that of a slave and she does not have any real agency. Despite her posturing she is </w:t>
      </w:r>
      <w:r w:rsidR="00314380">
        <w:t xml:space="preserve">evidently just </w:t>
      </w:r>
      <w:r w:rsidR="00A92EBE">
        <w:t>a pawn in the larger scheme of the Trojan War.</w:t>
      </w:r>
      <w:r w:rsidR="00835C15">
        <w:rPr>
          <w:rStyle w:val="FootnoteReference"/>
        </w:rPr>
        <w:footnoteReference w:id="16"/>
      </w:r>
    </w:p>
    <w:p w14:paraId="68A3C581" w14:textId="3BF20138" w:rsidR="003A217F" w:rsidRDefault="002C66A5" w:rsidP="00546C06">
      <w:pPr>
        <w:ind w:right="-46"/>
      </w:pPr>
      <w:r>
        <w:t xml:space="preserve">A popular conceit </w:t>
      </w:r>
      <w:r w:rsidR="00933923">
        <w:t xml:space="preserve">in Roman elegy was that of </w:t>
      </w:r>
      <w:proofErr w:type="spellStart"/>
      <w:r w:rsidR="00640FC4" w:rsidRPr="00640FC4">
        <w:rPr>
          <w:i/>
          <w:iCs/>
        </w:rPr>
        <w:t>servitium</w:t>
      </w:r>
      <w:proofErr w:type="spellEnd"/>
      <w:r w:rsidR="00640FC4" w:rsidRPr="00640FC4">
        <w:rPr>
          <w:i/>
          <w:iCs/>
        </w:rPr>
        <w:t xml:space="preserve"> </w:t>
      </w:r>
      <w:proofErr w:type="spellStart"/>
      <w:r w:rsidR="00640FC4" w:rsidRPr="00640FC4">
        <w:rPr>
          <w:i/>
          <w:iCs/>
        </w:rPr>
        <w:t>amoris</w:t>
      </w:r>
      <w:proofErr w:type="spellEnd"/>
      <w:r w:rsidR="00640FC4">
        <w:t xml:space="preserve">, </w:t>
      </w:r>
      <w:r w:rsidR="00933923">
        <w:t>servile love. This metaphor involved the upper-class male Roman poets positioning themselves as slaves to their lovers</w:t>
      </w:r>
      <w:r w:rsidR="003E7E50">
        <w:t>, powerless to their love.</w:t>
      </w:r>
      <w:r w:rsidR="00DF1495">
        <w:rPr>
          <w:rStyle w:val="FootnoteReference"/>
        </w:rPr>
        <w:footnoteReference w:id="17"/>
      </w:r>
      <w:r w:rsidR="006E2C33">
        <w:t xml:space="preserve"> </w:t>
      </w:r>
      <w:r w:rsidR="002372A1">
        <w:t xml:space="preserve">Ovid turns this convention on its head </w:t>
      </w:r>
      <w:r w:rsidR="00DD03E3">
        <w:t xml:space="preserve">in this poem </w:t>
      </w:r>
      <w:r w:rsidR="002372A1">
        <w:t xml:space="preserve">by putting a woman in the </w:t>
      </w:r>
      <w:r w:rsidR="002A4AF5">
        <w:t xml:space="preserve">position of </w:t>
      </w:r>
      <w:r w:rsidR="009F028F">
        <w:t xml:space="preserve">servile </w:t>
      </w:r>
      <w:r w:rsidR="002A4AF5">
        <w:t>poet</w:t>
      </w:r>
      <w:r w:rsidR="002372A1">
        <w:t xml:space="preserve">, going against the norms of love elegy by </w:t>
      </w:r>
      <w:r w:rsidR="002A4AF5">
        <w:t xml:space="preserve">restoring traditional societal gender norms </w:t>
      </w:r>
      <w:r w:rsidR="003A217F">
        <w:t>and having a</w:t>
      </w:r>
      <w:r w:rsidR="009F028F">
        <w:t xml:space="preserve"> woman tak</w:t>
      </w:r>
      <w:r w:rsidR="003A217F">
        <w:t>e</w:t>
      </w:r>
      <w:r w:rsidR="009F028F">
        <w:t xml:space="preserve"> the more submissive role.</w:t>
      </w:r>
      <w:r w:rsidR="003A217F">
        <w:t xml:space="preserve"> Moreover, it puts a very literal spin on the genre, </w:t>
      </w:r>
      <w:r w:rsidR="003A217F">
        <w:lastRenderedPageBreak/>
        <w:t>with Briseis actually being Achilles’ slave.</w:t>
      </w:r>
      <w:r w:rsidR="00A82535">
        <w:rPr>
          <w:rStyle w:val="FootnoteReference"/>
        </w:rPr>
        <w:footnoteReference w:id="18"/>
      </w:r>
      <w:r w:rsidR="00A64D06">
        <w:t xml:space="preserve"> </w:t>
      </w:r>
      <w:r w:rsidR="009351E7">
        <w:t xml:space="preserve">Throughout this extract, and indeed the rest of the poem, Briseis however proves herself to be a </w:t>
      </w:r>
      <w:r w:rsidR="00927DAF">
        <w:t xml:space="preserve">rather </w:t>
      </w:r>
      <w:proofErr w:type="spellStart"/>
      <w:r w:rsidR="009351E7">
        <w:t>unslavelike</w:t>
      </w:r>
      <w:proofErr w:type="spellEnd"/>
      <w:r w:rsidR="009351E7">
        <w:t xml:space="preserve"> slave.</w:t>
      </w:r>
      <w:r w:rsidR="00927DAF">
        <w:t xml:space="preserve"> As previously discussed, Briseis </w:t>
      </w:r>
      <w:r w:rsidR="00E4785F">
        <w:t>oscillates between asserting herself and accepting servitude</w:t>
      </w:r>
      <w:r w:rsidR="00E506BE">
        <w:t xml:space="preserve">, </w:t>
      </w:r>
      <w:r w:rsidR="00065BAA">
        <w:t>struggling to find her place</w:t>
      </w:r>
      <w:r w:rsidR="004E1531">
        <w:t>.</w:t>
      </w:r>
      <w:r w:rsidR="000F391C">
        <w:t xml:space="preserve"> In addition to asserting herself, Briseis also makes demands of Achilles. In line 69</w:t>
      </w:r>
      <w:r w:rsidR="00C51957">
        <w:t xml:space="preserve">, she says </w:t>
      </w:r>
      <w:r w:rsidR="00FD10CB">
        <w:t xml:space="preserve">“let me follow my captor”, simultaneously issuing a </w:t>
      </w:r>
      <w:r w:rsidR="00661625">
        <w:t xml:space="preserve">request and </w:t>
      </w:r>
      <w:r w:rsidR="00047282">
        <w:t xml:space="preserve">conceding her position as </w:t>
      </w:r>
      <w:r w:rsidR="00FD3AB7">
        <w:t>captive</w:t>
      </w:r>
      <w:r w:rsidR="00047282">
        <w:t>.</w:t>
      </w:r>
      <w:r w:rsidR="00627CFB">
        <w:rPr>
          <w:rStyle w:val="FootnoteReference"/>
        </w:rPr>
        <w:footnoteReference w:id="19"/>
      </w:r>
      <w:r w:rsidR="00FD67E8">
        <w:t xml:space="preserve"> </w:t>
      </w:r>
      <w:r w:rsidR="00B97F50">
        <w:t>Later,</w:t>
      </w:r>
      <w:r w:rsidR="00FD67E8">
        <w:t xml:space="preserve"> in line 77</w:t>
      </w:r>
      <w:r w:rsidR="00B97F50">
        <w:t>, she commands that Achilles “let not your lady be harsh with me”</w:t>
      </w:r>
      <w:r w:rsidR="00FD3AB7">
        <w:t xml:space="preserve">, something she is not in a position to ask </w:t>
      </w:r>
      <w:r w:rsidR="00F30BED">
        <w:t xml:space="preserve">as in the scenario she is presenting </w:t>
      </w:r>
      <w:r w:rsidR="00185C15">
        <w:t>she says she “shall be a lowly slave”.</w:t>
      </w:r>
      <w:r w:rsidR="00E64CC6">
        <w:rPr>
          <w:rStyle w:val="FootnoteReference"/>
        </w:rPr>
        <w:footnoteReference w:id="20"/>
      </w:r>
      <w:r w:rsidR="001033B3">
        <w:t xml:space="preserve"> </w:t>
      </w:r>
      <w:r w:rsidR="00B03D1F">
        <w:t xml:space="preserve">She goes on to retract this request, “Or, suffer it even so”, </w:t>
      </w:r>
      <w:r w:rsidR="00912560">
        <w:t>perhaps belatedly remembering herself.</w:t>
      </w:r>
      <w:r w:rsidR="001D332F">
        <w:rPr>
          <w:rStyle w:val="FootnoteReference"/>
        </w:rPr>
        <w:footnoteReference w:id="21"/>
      </w:r>
      <w:r w:rsidR="004E123C">
        <w:t xml:space="preserve"> This pattern persists </w:t>
      </w:r>
      <w:r w:rsidR="005557F9">
        <w:t>across the whole poem.</w:t>
      </w:r>
      <w:r w:rsidR="00A025C7">
        <w:rPr>
          <w:rStyle w:val="FootnoteReference"/>
        </w:rPr>
        <w:footnoteReference w:id="22"/>
      </w:r>
      <w:r w:rsidR="00176A74">
        <w:t xml:space="preserve"> Despite her demands, Briseis </w:t>
      </w:r>
      <w:r w:rsidR="00314380">
        <w:t>does use</w:t>
      </w:r>
      <w:r w:rsidR="0006718A">
        <w:t xml:space="preserve"> primarily passive language </w:t>
      </w:r>
      <w:r w:rsidR="00314380">
        <w:t>across her letter, presenting herself as</w:t>
      </w:r>
      <w:r w:rsidR="00242741">
        <w:t xml:space="preserve"> little more than</w:t>
      </w:r>
      <w:r w:rsidR="00314380">
        <w:t xml:space="preserve"> an object.</w:t>
      </w:r>
      <w:r w:rsidR="002C4452">
        <w:rPr>
          <w:rStyle w:val="FootnoteReference"/>
        </w:rPr>
        <w:footnoteReference w:id="23"/>
      </w:r>
      <w:r w:rsidR="003173D9">
        <w:t xml:space="preserve"> These conflicting </w:t>
      </w:r>
      <w:r w:rsidR="00A672C2">
        <w:t xml:space="preserve">attitudes are reflective of the fact that Briseis has been, up until this point in her life, a free woman, and her current situation of servitude is new to her. Her </w:t>
      </w:r>
      <w:r w:rsidR="00EC1471">
        <w:t>distress at her change in status is most obviously seen later on in the poem when she recalls an incident where another slave mistakenly referred to her as mistress, something that increased her upset at her current status, presumably due to the reminder of the freedom she has lost.</w:t>
      </w:r>
      <w:r w:rsidR="00E11DD4">
        <w:rPr>
          <w:rStyle w:val="FootnoteReference"/>
        </w:rPr>
        <w:footnoteReference w:id="24"/>
      </w:r>
      <w:r w:rsidR="007045B1">
        <w:t xml:space="preserve"> Briseis is a living prize of war, painfully cognisant of her own dehumanisation, primarily at the hands of the man she is now forced to beg not to abandon her as he is all she has left.</w:t>
      </w:r>
    </w:p>
    <w:p w14:paraId="4B7D5099" w14:textId="4C9B1D2C" w:rsidR="006064F9" w:rsidRDefault="006C47E3" w:rsidP="00546C06">
      <w:pPr>
        <w:ind w:right="-46"/>
      </w:pPr>
      <w:r>
        <w:t>Another prominent theme throughout the text is Briseis’ repeated mentions of Achilles’ family. When referencing the oath Achilles swore to her she notes that he swore it by “the godhead of your seaborn mother”, when discussing his potential return home she phrases this as “</w:t>
      </w:r>
      <w:r w:rsidR="00FE62A5">
        <w:t>return to the</w:t>
      </w:r>
      <w:r>
        <w:t xml:space="preserve"> hearth of your fathers”</w:t>
      </w:r>
      <w:r w:rsidR="003431B8">
        <w:t>, relating Achilles’ actions back to his parents.</w:t>
      </w:r>
      <w:r w:rsidR="005F047C">
        <w:rPr>
          <w:rStyle w:val="FootnoteReference"/>
        </w:rPr>
        <w:footnoteReference w:id="25"/>
      </w:r>
      <w:r w:rsidR="00FE62A5">
        <w:t xml:space="preserve"> </w:t>
      </w:r>
      <w:r w:rsidR="008B608B">
        <w:t xml:space="preserve">In line 73 </w:t>
      </w:r>
      <w:r w:rsidR="00E127DB">
        <w:t>she again</w:t>
      </w:r>
      <w:r w:rsidR="00B77CA4">
        <w:t xml:space="preserve"> references Achilles’ father Peleus, however </w:t>
      </w:r>
      <w:r w:rsidR="006E1FBF">
        <w:t xml:space="preserve">she </w:t>
      </w:r>
      <w:r w:rsidR="00B77CA4">
        <w:t xml:space="preserve">then extends this mention to </w:t>
      </w:r>
      <w:r w:rsidR="006E1FBF">
        <w:t xml:space="preserve">Jove and Aegina, </w:t>
      </w:r>
      <w:r w:rsidR="00B77CA4">
        <w:t>the grandparents of Peleus.</w:t>
      </w:r>
      <w:r w:rsidR="00335AA7">
        <w:t xml:space="preserve"> Then in the following line she refers to “ancient Nereus”, the father of Achilles’ mother, Thetis.</w:t>
      </w:r>
      <w:r w:rsidR="001A17EF">
        <w:t xml:space="preserve"> In doing this she draws to mind Achilles’ divinity through his relation to Jove, Nereus, and Thetis</w:t>
      </w:r>
      <w:r w:rsidR="00925DD4">
        <w:t xml:space="preserve">, adding to the </w:t>
      </w:r>
      <w:r w:rsidR="00925DD4" w:rsidRPr="00925DD4">
        <w:t>obsequiousness</w:t>
      </w:r>
      <w:r w:rsidR="00925DD4">
        <w:t xml:space="preserve"> of the lines immediately prior to this </w:t>
      </w:r>
      <w:r w:rsidR="004069F1">
        <w:t>where she contemplates how beautiful his future bride will be.</w:t>
      </w:r>
      <w:r w:rsidR="005C17FF">
        <w:rPr>
          <w:rStyle w:val="FootnoteReference"/>
        </w:rPr>
        <w:footnoteReference w:id="26"/>
      </w:r>
      <w:r w:rsidR="00455477">
        <w:t xml:space="preserve"> Th</w:t>
      </w:r>
      <w:r w:rsidR="00895B9C">
        <w:t>is</w:t>
      </w:r>
      <w:r w:rsidR="00455477">
        <w:t xml:space="preserve"> focus on defining Achilles by his family highlights her</w:t>
      </w:r>
      <w:r w:rsidR="00A51520">
        <w:t xml:space="preserve"> </w:t>
      </w:r>
      <w:r w:rsidR="00CE4C50">
        <w:t>precarious</w:t>
      </w:r>
      <w:r w:rsidR="00455477">
        <w:t xml:space="preserve"> place in the world now she has lost her</w:t>
      </w:r>
      <w:r w:rsidR="00A51520">
        <w:t xml:space="preserve"> own</w:t>
      </w:r>
      <w:r w:rsidR="00455477">
        <w:t xml:space="preserve"> family.</w:t>
      </w:r>
      <w:r w:rsidR="001F1934">
        <w:rPr>
          <w:rStyle w:val="FootnoteReference"/>
        </w:rPr>
        <w:footnoteReference w:id="27"/>
      </w:r>
      <w:r w:rsidR="00455477">
        <w:t xml:space="preserve"> </w:t>
      </w:r>
      <w:r w:rsidR="00A51520">
        <w:t>Briseis</w:t>
      </w:r>
      <w:r w:rsidR="00673EC8">
        <w:t>’</w:t>
      </w:r>
      <w:r w:rsidR="00A51520">
        <w:t xml:space="preserve"> loss </w:t>
      </w:r>
      <w:r w:rsidR="001F1934">
        <w:t>echoes through her continual mentions of family, displaying how she values familial bonds and how keenly she feels the loss of hers</w:t>
      </w:r>
      <w:r w:rsidR="00312E8A">
        <w:t xml:space="preserve">. These mentions could also </w:t>
      </w:r>
      <w:r w:rsidR="001F1934">
        <w:t xml:space="preserve">potentially </w:t>
      </w:r>
      <w:r w:rsidR="00312E8A">
        <w:t>serve as a reminder to Achilles that he has his family and she does not have hers, maybe prompting him to feel some guilt and responsibility for her as she attempts to manoeuvre herself into a better position.</w:t>
      </w:r>
    </w:p>
    <w:p w14:paraId="2C4D3DD6" w14:textId="6172FBF8" w:rsidR="00D62F2A" w:rsidRDefault="00B62D2A" w:rsidP="00546C06">
      <w:pPr>
        <w:ind w:right="-46"/>
      </w:pPr>
      <w:r>
        <w:t>T</w:t>
      </w:r>
      <w:r w:rsidR="00124CB6">
        <w:t xml:space="preserve">his section of </w:t>
      </w:r>
      <w:r w:rsidR="00124CB6">
        <w:rPr>
          <w:i/>
          <w:iCs/>
        </w:rPr>
        <w:t>Heroides</w:t>
      </w:r>
      <w:r w:rsidR="00124CB6">
        <w:t xml:space="preserve"> 3</w:t>
      </w:r>
      <w:r>
        <w:t xml:space="preserve"> gives insight into Briseis’ predicament as a captive of war, highlighting how it is not just those on the battlefield who are suffering. </w:t>
      </w:r>
      <w:r w:rsidR="00AE2051">
        <w:t>The poem has a very unusual feel to it</w:t>
      </w:r>
      <w:r w:rsidR="00EB0F38">
        <w:t xml:space="preserve"> and fails entirely at coming across like love elegy</w:t>
      </w:r>
      <w:r w:rsidR="00FC602B">
        <w:t>, if it was ever meant to come across that way</w:t>
      </w:r>
      <w:r w:rsidR="00EB0F38">
        <w:t xml:space="preserve">. Rather, it is an unsettling account of the loss of a woman’s personhood and family. Briseis’ desperation is often uncomfortable </w:t>
      </w:r>
      <w:r w:rsidR="002A706B">
        <w:t xml:space="preserve">and as a reader you </w:t>
      </w:r>
      <w:r w:rsidR="00FE4A10">
        <w:t xml:space="preserve">sometimes have to </w:t>
      </w:r>
      <w:r w:rsidR="002A706B">
        <w:t>fight the urge cringe</w:t>
      </w:r>
      <w:r w:rsidR="00FE4A10">
        <w:t xml:space="preserve">, however it is exactly that which makes the poem so compelling, the intensity of emotion and discomfort it is able to instil. Whether it was the intent of Ovid or not, </w:t>
      </w:r>
      <w:r w:rsidR="0086732C">
        <w:t>inflicting the</w:t>
      </w:r>
      <w:r w:rsidR="00FE4A10">
        <w:t xml:space="preserve"> desire to cast your eyes away from the text </w:t>
      </w:r>
      <w:r w:rsidR="0086732C">
        <w:lastRenderedPageBreak/>
        <w:t>occasionally due to the overwhelming outpouring of emotion from Briseis is an effective tool in making the reader part of the experience of the poem. By reading this desperate letter and casting your eyes away, are you not also complicit in the suffering of Briseis</w:t>
      </w:r>
      <w:r w:rsidR="001A1774">
        <w:t>.</w:t>
      </w:r>
    </w:p>
    <w:p w14:paraId="7E7326AA" w14:textId="77777777" w:rsidR="007610EA" w:rsidRDefault="007610EA" w:rsidP="00546C06">
      <w:pPr>
        <w:ind w:right="-46"/>
      </w:pPr>
    </w:p>
    <w:p w14:paraId="514B34B3" w14:textId="77777777" w:rsidR="007610EA" w:rsidRDefault="007610EA" w:rsidP="00546C06">
      <w:pPr>
        <w:ind w:right="-46"/>
      </w:pPr>
    </w:p>
    <w:p w14:paraId="03B46D9F" w14:textId="77777777" w:rsidR="007610EA" w:rsidRDefault="007610EA" w:rsidP="00546C06">
      <w:pPr>
        <w:ind w:right="-46"/>
      </w:pPr>
    </w:p>
    <w:p w14:paraId="563C56AA" w14:textId="77777777" w:rsidR="007610EA" w:rsidRDefault="007610EA" w:rsidP="00546C06">
      <w:pPr>
        <w:ind w:right="-46"/>
      </w:pPr>
    </w:p>
    <w:p w14:paraId="13D205A9" w14:textId="77777777" w:rsidR="007610EA" w:rsidRDefault="007610EA" w:rsidP="00546C06">
      <w:pPr>
        <w:ind w:right="-46"/>
      </w:pPr>
    </w:p>
    <w:p w14:paraId="786795ED" w14:textId="77777777" w:rsidR="007610EA" w:rsidRDefault="007610EA" w:rsidP="00546C06">
      <w:pPr>
        <w:ind w:right="-46"/>
      </w:pPr>
    </w:p>
    <w:p w14:paraId="5C604FD2" w14:textId="77777777" w:rsidR="007610EA" w:rsidRDefault="007610EA" w:rsidP="00546C06">
      <w:pPr>
        <w:ind w:right="-46"/>
      </w:pPr>
    </w:p>
    <w:p w14:paraId="25958321" w14:textId="77777777" w:rsidR="007610EA" w:rsidRDefault="007610EA" w:rsidP="00546C06">
      <w:pPr>
        <w:ind w:right="-46"/>
      </w:pPr>
    </w:p>
    <w:p w14:paraId="34FFFAC7" w14:textId="77777777" w:rsidR="007610EA" w:rsidRDefault="007610EA" w:rsidP="00546C06">
      <w:pPr>
        <w:ind w:right="-46"/>
      </w:pPr>
    </w:p>
    <w:p w14:paraId="6A0459EC" w14:textId="77777777" w:rsidR="007610EA" w:rsidRDefault="007610EA" w:rsidP="00546C06">
      <w:pPr>
        <w:ind w:right="-46"/>
      </w:pPr>
    </w:p>
    <w:p w14:paraId="027EC092" w14:textId="77777777" w:rsidR="007610EA" w:rsidRDefault="007610EA" w:rsidP="00546C06">
      <w:pPr>
        <w:ind w:right="-46"/>
      </w:pPr>
    </w:p>
    <w:p w14:paraId="641504CB" w14:textId="77777777" w:rsidR="007610EA" w:rsidRDefault="007610EA" w:rsidP="00546C06">
      <w:pPr>
        <w:ind w:right="-46"/>
      </w:pPr>
    </w:p>
    <w:p w14:paraId="0016A169" w14:textId="77777777" w:rsidR="007610EA" w:rsidRDefault="007610EA" w:rsidP="00546C06">
      <w:pPr>
        <w:ind w:right="-46"/>
      </w:pPr>
    </w:p>
    <w:p w14:paraId="12BF7F80" w14:textId="77777777" w:rsidR="007610EA" w:rsidRDefault="007610EA" w:rsidP="00546C06">
      <w:pPr>
        <w:ind w:right="-46"/>
      </w:pPr>
    </w:p>
    <w:p w14:paraId="09C3CE16" w14:textId="77777777" w:rsidR="007610EA" w:rsidRDefault="007610EA" w:rsidP="00546C06">
      <w:pPr>
        <w:ind w:right="-46"/>
      </w:pPr>
    </w:p>
    <w:p w14:paraId="394B08E8" w14:textId="77777777" w:rsidR="007610EA" w:rsidRDefault="007610EA" w:rsidP="00546C06">
      <w:pPr>
        <w:ind w:right="-46"/>
      </w:pPr>
    </w:p>
    <w:p w14:paraId="664F9D2C" w14:textId="77777777" w:rsidR="007610EA" w:rsidRDefault="007610EA" w:rsidP="00546C06">
      <w:pPr>
        <w:ind w:right="-46"/>
      </w:pPr>
    </w:p>
    <w:p w14:paraId="158CDE60" w14:textId="77777777" w:rsidR="007610EA" w:rsidRDefault="007610EA" w:rsidP="00546C06">
      <w:pPr>
        <w:ind w:right="-46"/>
      </w:pPr>
    </w:p>
    <w:p w14:paraId="076D9218" w14:textId="77777777" w:rsidR="007610EA" w:rsidRDefault="007610EA" w:rsidP="00546C06">
      <w:pPr>
        <w:ind w:right="-46"/>
      </w:pPr>
    </w:p>
    <w:p w14:paraId="03C04657" w14:textId="77777777" w:rsidR="007610EA" w:rsidRDefault="007610EA" w:rsidP="00546C06">
      <w:pPr>
        <w:ind w:right="-46"/>
      </w:pPr>
    </w:p>
    <w:p w14:paraId="63B82656" w14:textId="77777777" w:rsidR="007610EA" w:rsidRDefault="007610EA" w:rsidP="00546C06">
      <w:pPr>
        <w:ind w:right="-46"/>
      </w:pPr>
    </w:p>
    <w:p w14:paraId="60E1B8DE" w14:textId="77777777" w:rsidR="007610EA" w:rsidRDefault="007610EA" w:rsidP="00546C06">
      <w:pPr>
        <w:ind w:right="-46"/>
      </w:pPr>
    </w:p>
    <w:p w14:paraId="55E0D77B" w14:textId="77777777" w:rsidR="007610EA" w:rsidRDefault="007610EA" w:rsidP="00546C06">
      <w:pPr>
        <w:ind w:right="-46"/>
      </w:pPr>
    </w:p>
    <w:p w14:paraId="702CB4F1" w14:textId="77777777" w:rsidR="007610EA" w:rsidRDefault="007610EA" w:rsidP="00546C06">
      <w:pPr>
        <w:ind w:right="-46"/>
      </w:pPr>
    </w:p>
    <w:p w14:paraId="26553A8D" w14:textId="77777777" w:rsidR="007610EA" w:rsidRDefault="007610EA" w:rsidP="00546C06">
      <w:pPr>
        <w:ind w:right="-46"/>
      </w:pPr>
    </w:p>
    <w:p w14:paraId="46D430A1" w14:textId="77777777" w:rsidR="007610EA" w:rsidRDefault="007610EA" w:rsidP="00546C06">
      <w:pPr>
        <w:ind w:right="-46"/>
      </w:pPr>
    </w:p>
    <w:p w14:paraId="0A3A9858" w14:textId="77777777" w:rsidR="007610EA" w:rsidRDefault="007610EA" w:rsidP="00546C06">
      <w:pPr>
        <w:ind w:right="-46"/>
      </w:pPr>
    </w:p>
    <w:p w14:paraId="7E622B38" w14:textId="77777777" w:rsidR="007610EA" w:rsidRDefault="007610EA" w:rsidP="00546C06">
      <w:pPr>
        <w:ind w:right="-46"/>
      </w:pPr>
    </w:p>
    <w:p w14:paraId="685E25EF" w14:textId="77777777" w:rsidR="007610EA" w:rsidRDefault="007610EA" w:rsidP="00546C06">
      <w:pPr>
        <w:ind w:right="-46"/>
      </w:pPr>
    </w:p>
    <w:p w14:paraId="1CF64264" w14:textId="081371D2" w:rsidR="00F45B12" w:rsidRDefault="00F45B12" w:rsidP="00F45B12">
      <w:pPr>
        <w:ind w:right="-46"/>
      </w:pPr>
      <w:r w:rsidRPr="00F45B12">
        <w:rPr>
          <w:b/>
          <w:bCs/>
        </w:rPr>
        <w:lastRenderedPageBreak/>
        <w:t>Bibliography</w:t>
      </w:r>
    </w:p>
    <w:p w14:paraId="0928EA4D" w14:textId="77777777" w:rsidR="00F45B12" w:rsidRDefault="00F45B12" w:rsidP="00F45B12">
      <w:pPr>
        <w:ind w:right="-46"/>
      </w:pPr>
    </w:p>
    <w:p w14:paraId="08D8E512" w14:textId="15B7CB76" w:rsidR="00F45B12" w:rsidRDefault="00F45B12" w:rsidP="00F45B12">
      <w:pPr>
        <w:ind w:right="-46"/>
      </w:pPr>
      <w:r w:rsidRPr="00F45B12">
        <w:t>Homer (2003) The Iliad. Edited by P. Jones. Translated by E.V. Rieu. London: Penguin Group</w:t>
      </w:r>
    </w:p>
    <w:p w14:paraId="50774293" w14:textId="63EBC8C4" w:rsidR="00F45B12" w:rsidRDefault="00F45B12" w:rsidP="00F45B12">
      <w:pPr>
        <w:ind w:right="-46"/>
      </w:pPr>
      <w:r w:rsidRPr="00F45B12">
        <w:t>Ovid (1914) Heroides. Amores. Translated by G. Showerman. Cambridge, MA: Harvard University Press (Loeb Classical Library, 41).</w:t>
      </w:r>
    </w:p>
    <w:p w14:paraId="6F461600" w14:textId="77777777" w:rsidR="00DA68C3" w:rsidRDefault="00DA68C3" w:rsidP="00F45B12">
      <w:pPr>
        <w:ind w:right="-46"/>
      </w:pPr>
    </w:p>
    <w:p w14:paraId="3DA47257" w14:textId="0997BB39" w:rsidR="00F45B12" w:rsidRDefault="00F45B12" w:rsidP="00F45B12">
      <w:pPr>
        <w:ind w:right="-46"/>
      </w:pPr>
      <w:r>
        <w:t>Fulkerson, L. (2005) ‘A feminine reading of epic: Briseis and Hermione’, in The Ovidian Heroine as Author: Reading, Writing, and Community in the Heroides. Cambridge: Cambridge University Press, pp. 87–106.</w:t>
      </w:r>
    </w:p>
    <w:p w14:paraId="68C34A38" w14:textId="77777777" w:rsidR="00F45B12" w:rsidRDefault="00F45B12" w:rsidP="00F45B12">
      <w:pPr>
        <w:ind w:right="-46"/>
      </w:pPr>
      <w:r>
        <w:t>Fulkerson, L. (2009) ‘The Heroides: Female Elegy?’, in A Companion to Ovid. Chichester: Wiley-Blackwell (Blackwell Companions to the Ancient World).</w:t>
      </w:r>
    </w:p>
    <w:p w14:paraId="4393BC15" w14:textId="3E23A9EB" w:rsidR="00F45B12" w:rsidRDefault="00F45B12" w:rsidP="00F45B12">
      <w:pPr>
        <w:ind w:right="-46"/>
      </w:pPr>
      <w:r>
        <w:t>Fulkerson, L. (2013) ‘</w:t>
      </w:r>
      <w:proofErr w:type="spellStart"/>
      <w:r>
        <w:t>Servitium</w:t>
      </w:r>
      <w:proofErr w:type="spellEnd"/>
      <w:r>
        <w:t xml:space="preserve"> </w:t>
      </w:r>
      <w:proofErr w:type="spellStart"/>
      <w:r>
        <w:t>amoris</w:t>
      </w:r>
      <w:proofErr w:type="spellEnd"/>
      <w:r>
        <w:t>: The interplay of dominance, gender and poetry’, in T.S. Thorsen (ed.) The Cambridge Companion to Latin Love Elegy. Cambridge: Cambridge University Press, pp. 180–193.</w:t>
      </w:r>
    </w:p>
    <w:p w14:paraId="15A3561C" w14:textId="77777777" w:rsidR="00F45B12" w:rsidRDefault="00F45B12" w:rsidP="00F45B12">
      <w:pPr>
        <w:ind w:right="-46"/>
      </w:pPr>
      <w:r>
        <w:t>Jacobson, H. (1971) ‘Ovid’s Briseis: A Study of Heroides 3’, Phoenix, 25(4), pp. 331–356.</w:t>
      </w:r>
    </w:p>
    <w:p w14:paraId="33592291" w14:textId="77777777" w:rsidR="00F45B12" w:rsidRDefault="00F45B12" w:rsidP="00F45B12">
      <w:pPr>
        <w:ind w:right="-46"/>
      </w:pPr>
      <w:r>
        <w:t>Knox, P.E. (2009) ‘A Poet’s Life’, in A Companion to Ovid. Chichester: Wiley-Blackwell (Blackwell Companions to the Ancient World).</w:t>
      </w:r>
    </w:p>
    <w:p w14:paraId="43E47393" w14:textId="1639AA11" w:rsidR="007610EA" w:rsidRPr="00124CB6" w:rsidRDefault="00F45B12" w:rsidP="00F45B12">
      <w:pPr>
        <w:ind w:right="-46"/>
      </w:pPr>
      <w:r>
        <w:t>Verducci, F. (1985) ‘</w:t>
      </w:r>
      <w:proofErr w:type="spellStart"/>
      <w:r>
        <w:t>Servitium</w:t>
      </w:r>
      <w:proofErr w:type="spellEnd"/>
      <w:r>
        <w:t xml:space="preserve"> Amoris: Heroides 3’, in Ovid’s Toyshop of the Heart. Princeton University Press (</w:t>
      </w:r>
      <w:proofErr w:type="spellStart"/>
      <w:r>
        <w:t>Epistulae</w:t>
      </w:r>
      <w:proofErr w:type="spellEnd"/>
      <w:r>
        <w:t xml:space="preserve"> </w:t>
      </w:r>
      <w:proofErr w:type="spellStart"/>
      <w:r>
        <w:t>Heroidum</w:t>
      </w:r>
      <w:proofErr w:type="spellEnd"/>
      <w:r>
        <w:t>), pp. 87–122.</w:t>
      </w:r>
    </w:p>
    <w:p w14:paraId="3FB6D6B2" w14:textId="77777777" w:rsidR="006A229E" w:rsidRDefault="006A229E" w:rsidP="00546C06">
      <w:pPr>
        <w:ind w:right="-46"/>
      </w:pPr>
    </w:p>
    <w:p w14:paraId="0A004450" w14:textId="77777777" w:rsidR="00654E89" w:rsidRPr="00D960B7" w:rsidRDefault="00654E89" w:rsidP="00546C06">
      <w:pPr>
        <w:ind w:right="-46"/>
      </w:pPr>
    </w:p>
    <w:sectPr w:rsidR="00654E89" w:rsidRPr="00D960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922F5D" w14:textId="77777777" w:rsidR="007118B2" w:rsidRDefault="007118B2" w:rsidP="00B91642">
      <w:pPr>
        <w:spacing w:after="0" w:line="240" w:lineRule="auto"/>
      </w:pPr>
      <w:r>
        <w:separator/>
      </w:r>
    </w:p>
  </w:endnote>
  <w:endnote w:type="continuationSeparator" w:id="0">
    <w:p w14:paraId="1C52B8C7" w14:textId="77777777" w:rsidR="007118B2" w:rsidRDefault="007118B2" w:rsidP="00B91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C85671" w14:textId="77777777" w:rsidR="007118B2" w:rsidRDefault="007118B2" w:rsidP="00B91642">
      <w:pPr>
        <w:spacing w:after="0" w:line="240" w:lineRule="auto"/>
      </w:pPr>
      <w:r>
        <w:separator/>
      </w:r>
    </w:p>
  </w:footnote>
  <w:footnote w:type="continuationSeparator" w:id="0">
    <w:p w14:paraId="1B3BC6E6" w14:textId="77777777" w:rsidR="007118B2" w:rsidRDefault="007118B2" w:rsidP="00B91642">
      <w:pPr>
        <w:spacing w:after="0" w:line="240" w:lineRule="auto"/>
      </w:pPr>
      <w:r>
        <w:continuationSeparator/>
      </w:r>
    </w:p>
  </w:footnote>
  <w:footnote w:id="1">
    <w:p w14:paraId="35750F04" w14:textId="0A5D6B36" w:rsidR="00B91642" w:rsidRPr="00B91642" w:rsidRDefault="00B91642">
      <w:pPr>
        <w:pStyle w:val="FootnoteText"/>
        <w:rPr>
          <w:lang w:val="en-US"/>
        </w:rPr>
      </w:pPr>
      <w:r>
        <w:rPr>
          <w:rStyle w:val="FootnoteReference"/>
        </w:rPr>
        <w:footnoteRef/>
      </w:r>
      <w:r>
        <w:t xml:space="preserve"> </w:t>
      </w:r>
      <w:bookmarkStart w:id="1" w:name="_Hlk165759792"/>
      <w:r w:rsidRPr="00B91642">
        <w:t>Fulkerson, 2009</w:t>
      </w:r>
      <w:r>
        <w:t>, p.79</w:t>
      </w:r>
      <w:bookmarkEnd w:id="1"/>
      <w:r w:rsidRPr="00B91642">
        <w:t>; Knox, 2009</w:t>
      </w:r>
      <w:r>
        <w:t xml:space="preserve">, </w:t>
      </w:r>
      <w:proofErr w:type="spellStart"/>
      <w:r>
        <w:t>p.xviii</w:t>
      </w:r>
      <w:proofErr w:type="spellEnd"/>
      <w:r>
        <w:t>, 6</w:t>
      </w:r>
    </w:p>
  </w:footnote>
  <w:footnote w:id="2">
    <w:p w14:paraId="1E775D4E" w14:textId="1CE86FB0" w:rsidR="00D26307" w:rsidRPr="00D26307" w:rsidRDefault="00D26307">
      <w:pPr>
        <w:pStyle w:val="FootnoteText"/>
        <w:rPr>
          <w:lang w:val="en-US"/>
        </w:rPr>
      </w:pPr>
      <w:r>
        <w:rPr>
          <w:rStyle w:val="FootnoteReference"/>
        </w:rPr>
        <w:footnoteRef/>
      </w:r>
      <w:r>
        <w:t xml:space="preserve"> </w:t>
      </w:r>
      <w:r w:rsidRPr="00D26307">
        <w:t>Fulkerson, 2009, p.7</w:t>
      </w:r>
      <w:r>
        <w:t>8</w:t>
      </w:r>
    </w:p>
  </w:footnote>
  <w:footnote w:id="3">
    <w:p w14:paraId="5433F32F" w14:textId="1AA10A17" w:rsidR="00817D42" w:rsidRPr="00817D42" w:rsidRDefault="00817D42">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w:t>
      </w:r>
      <w:r w:rsidR="00B303FC">
        <w:rPr>
          <w:lang w:val="en-US"/>
        </w:rPr>
        <w:t xml:space="preserve"> </w:t>
      </w:r>
      <w:r>
        <w:rPr>
          <w:lang w:val="en-US"/>
        </w:rPr>
        <w:t>3.1-18</w:t>
      </w:r>
    </w:p>
  </w:footnote>
  <w:footnote w:id="4">
    <w:p w14:paraId="0BCDE604" w14:textId="062450C6" w:rsidR="00DA520B" w:rsidRPr="00DA520B" w:rsidRDefault="00DA520B">
      <w:pPr>
        <w:pStyle w:val="FootnoteText"/>
        <w:rPr>
          <w:lang w:val="en-US"/>
        </w:rPr>
      </w:pPr>
      <w:r>
        <w:rPr>
          <w:rStyle w:val="FootnoteReference"/>
        </w:rPr>
        <w:footnoteRef/>
      </w:r>
      <w:r>
        <w:t xml:space="preserve"> </w:t>
      </w:r>
      <w:r>
        <w:rPr>
          <w:lang w:val="en-US"/>
        </w:rPr>
        <w:t xml:space="preserve">Hom. </w:t>
      </w:r>
      <w:r>
        <w:rPr>
          <w:i/>
          <w:iCs/>
          <w:lang w:val="en-US"/>
        </w:rPr>
        <w:t>Il</w:t>
      </w:r>
      <w:r>
        <w:rPr>
          <w:lang w:val="en-US"/>
        </w:rPr>
        <w:t>.</w:t>
      </w:r>
      <w:r w:rsidR="00B303FC">
        <w:rPr>
          <w:lang w:val="en-US"/>
        </w:rPr>
        <w:t xml:space="preserve"> </w:t>
      </w:r>
      <w:r>
        <w:rPr>
          <w:lang w:val="en-US"/>
        </w:rPr>
        <w:t>19.287-300</w:t>
      </w:r>
    </w:p>
  </w:footnote>
  <w:footnote w:id="5">
    <w:p w14:paraId="20190496" w14:textId="3A3B6152" w:rsidR="002D4325" w:rsidRPr="002D4325" w:rsidRDefault="002D4325">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w:t>
      </w:r>
      <w:r w:rsidR="00B303FC">
        <w:rPr>
          <w:lang w:val="en-US"/>
        </w:rPr>
        <w:t xml:space="preserve"> </w:t>
      </w:r>
      <w:r>
        <w:rPr>
          <w:lang w:val="en-US"/>
        </w:rPr>
        <w:t>3.51-52</w:t>
      </w:r>
    </w:p>
  </w:footnote>
  <w:footnote w:id="6">
    <w:p w14:paraId="48156C27" w14:textId="131152C5" w:rsidR="00107526" w:rsidRPr="00107526" w:rsidRDefault="00107526">
      <w:pPr>
        <w:pStyle w:val="FootnoteText"/>
        <w:rPr>
          <w:lang w:val="en-US"/>
        </w:rPr>
      </w:pPr>
      <w:r>
        <w:rPr>
          <w:rStyle w:val="FootnoteReference"/>
        </w:rPr>
        <w:footnoteRef/>
      </w:r>
      <w:r>
        <w:t xml:space="preserve"> </w:t>
      </w:r>
      <w:r>
        <w:rPr>
          <w:lang w:val="en-US"/>
        </w:rPr>
        <w:t xml:space="preserve">Hom. </w:t>
      </w:r>
      <w:r>
        <w:rPr>
          <w:i/>
          <w:iCs/>
          <w:lang w:val="en-US"/>
        </w:rPr>
        <w:t>Il</w:t>
      </w:r>
      <w:r>
        <w:rPr>
          <w:lang w:val="en-US"/>
        </w:rPr>
        <w:t>.</w:t>
      </w:r>
      <w:r w:rsidR="00B303FC">
        <w:rPr>
          <w:lang w:val="en-US"/>
        </w:rPr>
        <w:t xml:space="preserve"> </w:t>
      </w:r>
      <w:r>
        <w:rPr>
          <w:lang w:val="en-US"/>
        </w:rPr>
        <w:t>6.429-430</w:t>
      </w:r>
    </w:p>
  </w:footnote>
  <w:footnote w:id="7">
    <w:p w14:paraId="7F8FE171" w14:textId="2767BD8B" w:rsidR="00474B34" w:rsidRPr="00474B34" w:rsidRDefault="00474B34">
      <w:pPr>
        <w:pStyle w:val="FootnoteText"/>
        <w:rPr>
          <w:lang w:val="en-US"/>
        </w:rPr>
      </w:pPr>
      <w:r>
        <w:rPr>
          <w:rStyle w:val="FootnoteReference"/>
        </w:rPr>
        <w:footnoteRef/>
      </w:r>
      <w:r>
        <w:t xml:space="preserve"> </w:t>
      </w:r>
      <w:r w:rsidRPr="00474B34">
        <w:t>Jacobson, 1971</w:t>
      </w:r>
      <w:r>
        <w:t>, p.347</w:t>
      </w:r>
    </w:p>
  </w:footnote>
  <w:footnote w:id="8">
    <w:p w14:paraId="51E3FC83" w14:textId="11575115" w:rsidR="00B303FC" w:rsidRPr="00B303FC" w:rsidRDefault="00B303FC">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 3.43-50</w:t>
      </w:r>
    </w:p>
  </w:footnote>
  <w:footnote w:id="9">
    <w:p w14:paraId="67614382" w14:textId="7AAD9911" w:rsidR="006B2527" w:rsidRPr="006B2527" w:rsidRDefault="006B2527">
      <w:pPr>
        <w:pStyle w:val="FootnoteText"/>
        <w:rPr>
          <w:lang w:val="en-US"/>
        </w:rPr>
      </w:pPr>
      <w:r>
        <w:rPr>
          <w:rStyle w:val="FootnoteReference"/>
        </w:rPr>
        <w:footnoteRef/>
      </w:r>
      <w:r>
        <w:t xml:space="preserve"> </w:t>
      </w:r>
      <w:r>
        <w:rPr>
          <w:lang w:val="en-US"/>
        </w:rPr>
        <w:t xml:space="preserve">Hom. </w:t>
      </w:r>
      <w:r>
        <w:rPr>
          <w:i/>
          <w:iCs/>
          <w:lang w:val="en-US"/>
        </w:rPr>
        <w:t>Il</w:t>
      </w:r>
      <w:r>
        <w:rPr>
          <w:lang w:val="en-US"/>
        </w:rPr>
        <w:t>. 6.430-440</w:t>
      </w:r>
    </w:p>
  </w:footnote>
  <w:footnote w:id="10">
    <w:p w14:paraId="7D866DC1" w14:textId="37452E46" w:rsidR="00FE56D6" w:rsidRPr="00FE56D6" w:rsidRDefault="00FE56D6">
      <w:pPr>
        <w:pStyle w:val="FootnoteText"/>
        <w:rPr>
          <w:lang w:val="en-US"/>
        </w:rPr>
      </w:pPr>
      <w:r>
        <w:rPr>
          <w:rStyle w:val="FootnoteReference"/>
        </w:rPr>
        <w:footnoteRef/>
      </w:r>
      <w:r>
        <w:t xml:space="preserve"> </w:t>
      </w:r>
      <w:r>
        <w:rPr>
          <w:lang w:val="en-US"/>
        </w:rPr>
        <w:t xml:space="preserve">Jacobson, 1971, p.347; Ov. </w:t>
      </w:r>
      <w:r>
        <w:rPr>
          <w:i/>
          <w:iCs/>
          <w:lang w:val="en-US"/>
        </w:rPr>
        <w:t>Her</w:t>
      </w:r>
      <w:r>
        <w:rPr>
          <w:lang w:val="en-US"/>
        </w:rPr>
        <w:t>. 3.83-88, 3.115-126</w:t>
      </w:r>
    </w:p>
  </w:footnote>
  <w:footnote w:id="11">
    <w:p w14:paraId="0D6FF75B" w14:textId="7FF20384" w:rsidR="001C4977" w:rsidRPr="001C4977" w:rsidRDefault="001C4977">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 3.5</w:t>
      </w:r>
      <w:r w:rsidR="00116AC7">
        <w:rPr>
          <w:lang w:val="en-US"/>
        </w:rPr>
        <w:t>3</w:t>
      </w:r>
      <w:r>
        <w:rPr>
          <w:lang w:val="en-US"/>
        </w:rPr>
        <w:t>-56</w:t>
      </w:r>
    </w:p>
  </w:footnote>
  <w:footnote w:id="12">
    <w:p w14:paraId="63AA48CF" w14:textId="67373F53" w:rsidR="00660FC3" w:rsidRPr="00CF18CE" w:rsidRDefault="00660FC3">
      <w:pPr>
        <w:pStyle w:val="FootnoteText"/>
        <w:rPr>
          <w:lang w:val="en-US"/>
        </w:rPr>
      </w:pPr>
      <w:r>
        <w:rPr>
          <w:rStyle w:val="FootnoteReference"/>
        </w:rPr>
        <w:footnoteRef/>
      </w:r>
      <w:r>
        <w:t xml:space="preserve"> </w:t>
      </w:r>
      <w:r w:rsidR="00CF18CE">
        <w:rPr>
          <w:lang w:val="en-US"/>
        </w:rPr>
        <w:t xml:space="preserve">Ov. </w:t>
      </w:r>
      <w:r w:rsidR="00CF18CE">
        <w:rPr>
          <w:i/>
          <w:iCs/>
          <w:lang w:val="en-US"/>
        </w:rPr>
        <w:t>Her</w:t>
      </w:r>
      <w:r w:rsidR="00CF18CE">
        <w:rPr>
          <w:lang w:val="en-US"/>
        </w:rPr>
        <w:t xml:space="preserve">. </w:t>
      </w:r>
      <w:r w:rsidR="00203133">
        <w:rPr>
          <w:lang w:val="en-US"/>
        </w:rPr>
        <w:t xml:space="preserve">3.69. See also </w:t>
      </w:r>
      <w:r w:rsidR="00CF18CE">
        <w:rPr>
          <w:lang w:val="en-US"/>
        </w:rPr>
        <w:t>3.98-100</w:t>
      </w:r>
      <w:r w:rsidR="00203133">
        <w:rPr>
          <w:lang w:val="en-US"/>
        </w:rPr>
        <w:t xml:space="preserve"> for another assertion that she is not Achilles’ wife.</w:t>
      </w:r>
    </w:p>
  </w:footnote>
  <w:footnote w:id="13">
    <w:p w14:paraId="2D06A8DC" w14:textId="05394999" w:rsidR="008330AF" w:rsidRPr="008330AF" w:rsidRDefault="008330AF">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 3.25-42</w:t>
      </w:r>
    </w:p>
  </w:footnote>
  <w:footnote w:id="14">
    <w:p w14:paraId="6940C819" w14:textId="63BB0561" w:rsidR="00A90697" w:rsidRPr="00A90697" w:rsidRDefault="00A90697">
      <w:pPr>
        <w:pStyle w:val="FootnoteText"/>
      </w:pPr>
      <w:r>
        <w:rPr>
          <w:rStyle w:val="FootnoteReference"/>
        </w:rPr>
        <w:footnoteRef/>
      </w:r>
      <w:r>
        <w:t xml:space="preserve"> </w:t>
      </w:r>
      <w:r w:rsidRPr="00A90697">
        <w:t>Verducci</w:t>
      </w:r>
      <w:r>
        <w:t>, 1985, p.108</w:t>
      </w:r>
    </w:p>
  </w:footnote>
  <w:footnote w:id="15">
    <w:p w14:paraId="797ADAE3" w14:textId="0415D2AC" w:rsidR="0009267C" w:rsidRPr="0009267C" w:rsidRDefault="0009267C">
      <w:pPr>
        <w:pStyle w:val="FootnoteText"/>
        <w:rPr>
          <w:lang w:val="en-US"/>
        </w:rPr>
      </w:pPr>
      <w:r>
        <w:rPr>
          <w:rStyle w:val="FootnoteReference"/>
        </w:rPr>
        <w:footnoteRef/>
      </w:r>
      <w:r>
        <w:t xml:space="preserve"> </w:t>
      </w:r>
      <w:r>
        <w:rPr>
          <w:lang w:val="en-US"/>
        </w:rPr>
        <w:t xml:space="preserve">Hom. </w:t>
      </w:r>
      <w:r>
        <w:rPr>
          <w:i/>
          <w:iCs/>
          <w:lang w:val="en-US"/>
        </w:rPr>
        <w:t>Il</w:t>
      </w:r>
      <w:r>
        <w:rPr>
          <w:lang w:val="en-US"/>
        </w:rPr>
        <w:t>. 19.295-299; Jacobson, 1971, p.347</w:t>
      </w:r>
    </w:p>
  </w:footnote>
  <w:footnote w:id="16">
    <w:p w14:paraId="58AF0691" w14:textId="6D63E529" w:rsidR="00835C15" w:rsidRPr="00835C15" w:rsidRDefault="00835C15">
      <w:pPr>
        <w:pStyle w:val="FootnoteText"/>
        <w:rPr>
          <w:lang w:val="en-US"/>
        </w:rPr>
      </w:pPr>
      <w:r>
        <w:rPr>
          <w:rStyle w:val="FootnoteReference"/>
        </w:rPr>
        <w:footnoteRef/>
      </w:r>
      <w:r>
        <w:t xml:space="preserve"> </w:t>
      </w:r>
      <w:r>
        <w:rPr>
          <w:lang w:val="en-US"/>
        </w:rPr>
        <w:t>Fulkerson, 2005, p.</w:t>
      </w:r>
      <w:r w:rsidR="00414BE1">
        <w:rPr>
          <w:lang w:val="en-US"/>
        </w:rPr>
        <w:t>98-</w:t>
      </w:r>
      <w:r>
        <w:rPr>
          <w:lang w:val="en-US"/>
        </w:rPr>
        <w:t>99, 105-106</w:t>
      </w:r>
    </w:p>
  </w:footnote>
  <w:footnote w:id="17">
    <w:p w14:paraId="6B78C979" w14:textId="26D6DA24" w:rsidR="00DF1495" w:rsidRPr="00DF1495" w:rsidRDefault="00DF1495">
      <w:pPr>
        <w:pStyle w:val="FootnoteText"/>
        <w:rPr>
          <w:lang w:val="en-US"/>
        </w:rPr>
      </w:pPr>
      <w:r>
        <w:rPr>
          <w:rStyle w:val="FootnoteReference"/>
        </w:rPr>
        <w:footnoteRef/>
      </w:r>
      <w:r>
        <w:t xml:space="preserve"> </w:t>
      </w:r>
      <w:r w:rsidRPr="00DF1495">
        <w:t>Fulkerson, 2013</w:t>
      </w:r>
      <w:r>
        <w:t>, p.180-193</w:t>
      </w:r>
    </w:p>
  </w:footnote>
  <w:footnote w:id="18">
    <w:p w14:paraId="6808654B" w14:textId="5290A325" w:rsidR="00A82535" w:rsidRPr="00A82535" w:rsidRDefault="00A82535">
      <w:pPr>
        <w:pStyle w:val="FootnoteText"/>
        <w:rPr>
          <w:lang w:val="en-US"/>
        </w:rPr>
      </w:pPr>
      <w:r>
        <w:rPr>
          <w:rStyle w:val="FootnoteReference"/>
        </w:rPr>
        <w:footnoteRef/>
      </w:r>
      <w:r>
        <w:t xml:space="preserve"> </w:t>
      </w:r>
      <w:r w:rsidR="004B0B38" w:rsidRPr="004B0B38">
        <w:t>Verducci, 1985, p.</w:t>
      </w:r>
      <w:r w:rsidR="004B0B38">
        <w:t>99</w:t>
      </w:r>
    </w:p>
  </w:footnote>
  <w:footnote w:id="19">
    <w:p w14:paraId="5F018DFD" w14:textId="2918E7B2" w:rsidR="00627CFB" w:rsidRPr="00627CFB" w:rsidRDefault="00627CFB">
      <w:pPr>
        <w:pStyle w:val="FootnoteText"/>
      </w:pPr>
      <w:r>
        <w:rPr>
          <w:rStyle w:val="FootnoteReference"/>
        </w:rPr>
        <w:footnoteRef/>
      </w:r>
      <w:r>
        <w:t xml:space="preserve"> </w:t>
      </w:r>
      <w:r w:rsidRPr="00627CFB">
        <w:t xml:space="preserve">Ov. </w:t>
      </w:r>
      <w:r w:rsidRPr="00627CFB">
        <w:rPr>
          <w:i/>
          <w:iCs/>
        </w:rPr>
        <w:t>Her</w:t>
      </w:r>
      <w:r w:rsidRPr="00627CFB">
        <w:t>. 3.</w:t>
      </w:r>
      <w:r>
        <w:t>69</w:t>
      </w:r>
    </w:p>
  </w:footnote>
  <w:footnote w:id="20">
    <w:p w14:paraId="3E0C6659" w14:textId="4170B2E1" w:rsidR="00E64CC6" w:rsidRPr="00E64CC6" w:rsidRDefault="00E64CC6">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 3.</w:t>
      </w:r>
      <w:r w:rsidR="00E56224">
        <w:rPr>
          <w:lang w:val="en-US"/>
        </w:rPr>
        <w:t>75-77</w:t>
      </w:r>
    </w:p>
  </w:footnote>
  <w:footnote w:id="21">
    <w:p w14:paraId="66A9E642" w14:textId="499F6B18" w:rsidR="001D332F" w:rsidRPr="001D332F" w:rsidRDefault="001D332F">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 3.81</w:t>
      </w:r>
    </w:p>
  </w:footnote>
  <w:footnote w:id="22">
    <w:p w14:paraId="17E93825" w14:textId="77FC9A1A" w:rsidR="00A025C7" w:rsidRPr="00A025C7" w:rsidRDefault="00A025C7">
      <w:pPr>
        <w:pStyle w:val="FootnoteText"/>
        <w:rPr>
          <w:lang w:val="en-US"/>
        </w:rPr>
      </w:pPr>
      <w:r>
        <w:rPr>
          <w:rStyle w:val="FootnoteReference"/>
        </w:rPr>
        <w:footnoteRef/>
      </w:r>
      <w:r>
        <w:t xml:space="preserve"> </w:t>
      </w:r>
      <w:r w:rsidRPr="00A025C7">
        <w:t>Jacobson, 1971, p.</w:t>
      </w:r>
      <w:r>
        <w:t>342</w:t>
      </w:r>
    </w:p>
  </w:footnote>
  <w:footnote w:id="23">
    <w:p w14:paraId="139E1DAA" w14:textId="3266A87F" w:rsidR="002C4452" w:rsidRPr="002C4452" w:rsidRDefault="002C4452">
      <w:pPr>
        <w:pStyle w:val="FootnoteText"/>
        <w:rPr>
          <w:lang w:val="en-US"/>
        </w:rPr>
      </w:pPr>
      <w:r>
        <w:rPr>
          <w:rStyle w:val="FootnoteReference"/>
        </w:rPr>
        <w:footnoteRef/>
      </w:r>
      <w:r>
        <w:t xml:space="preserve"> </w:t>
      </w:r>
      <w:r>
        <w:rPr>
          <w:lang w:val="en-US"/>
        </w:rPr>
        <w:t>Fulkerson</w:t>
      </w:r>
      <w:r w:rsidR="00F415D8">
        <w:rPr>
          <w:lang w:val="en-US"/>
        </w:rPr>
        <w:t>, 2005, p.90</w:t>
      </w:r>
    </w:p>
  </w:footnote>
  <w:footnote w:id="24">
    <w:p w14:paraId="75A0D3A8" w14:textId="027ACC53" w:rsidR="00E11DD4" w:rsidRPr="00E11DD4" w:rsidRDefault="00E11DD4">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 3.101-102; Verducci, 1985, p.114-115</w:t>
      </w:r>
    </w:p>
  </w:footnote>
  <w:footnote w:id="25">
    <w:p w14:paraId="70845ACF" w14:textId="681766DE" w:rsidR="005F047C" w:rsidRPr="005F047C" w:rsidRDefault="005F047C">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 3.53, 3.67-68</w:t>
      </w:r>
    </w:p>
  </w:footnote>
  <w:footnote w:id="26">
    <w:p w14:paraId="1224358D" w14:textId="424BDDCD" w:rsidR="005C17FF" w:rsidRPr="005C17FF" w:rsidRDefault="005C17FF">
      <w:pPr>
        <w:pStyle w:val="FootnoteText"/>
        <w:rPr>
          <w:lang w:val="en-US"/>
        </w:rPr>
      </w:pPr>
      <w:r>
        <w:rPr>
          <w:rStyle w:val="FootnoteReference"/>
        </w:rPr>
        <w:footnoteRef/>
      </w:r>
      <w:r>
        <w:t xml:space="preserve"> </w:t>
      </w:r>
      <w:r>
        <w:rPr>
          <w:lang w:val="en-US"/>
        </w:rPr>
        <w:t xml:space="preserve">Ov. </w:t>
      </w:r>
      <w:r>
        <w:rPr>
          <w:i/>
          <w:iCs/>
          <w:lang w:val="en-US"/>
        </w:rPr>
        <w:t>Her</w:t>
      </w:r>
      <w:r>
        <w:rPr>
          <w:lang w:val="en-US"/>
        </w:rPr>
        <w:t>. 3.71-74</w:t>
      </w:r>
    </w:p>
  </w:footnote>
  <w:footnote w:id="27">
    <w:p w14:paraId="01BAEBDD" w14:textId="4FE1762B" w:rsidR="001F1934" w:rsidRPr="001F1934" w:rsidRDefault="001F1934">
      <w:pPr>
        <w:pStyle w:val="FootnoteText"/>
        <w:rPr>
          <w:lang w:val="en-US"/>
        </w:rPr>
      </w:pPr>
      <w:r>
        <w:rPr>
          <w:rStyle w:val="FootnoteReference"/>
        </w:rPr>
        <w:footnoteRef/>
      </w:r>
      <w:r>
        <w:t xml:space="preserve"> </w:t>
      </w:r>
      <w:r>
        <w:rPr>
          <w:lang w:val="en-US"/>
        </w:rPr>
        <w:t>Fulkerson, 2005, p.91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C06"/>
    <w:rsid w:val="00023021"/>
    <w:rsid w:val="00026F37"/>
    <w:rsid w:val="00047282"/>
    <w:rsid w:val="000603E3"/>
    <w:rsid w:val="00065BAA"/>
    <w:rsid w:val="0006718A"/>
    <w:rsid w:val="0009267C"/>
    <w:rsid w:val="00094B75"/>
    <w:rsid w:val="000B5958"/>
    <w:rsid w:val="000F391C"/>
    <w:rsid w:val="001033B3"/>
    <w:rsid w:val="00107526"/>
    <w:rsid w:val="00116AC7"/>
    <w:rsid w:val="001176B1"/>
    <w:rsid w:val="00124CB6"/>
    <w:rsid w:val="001333CE"/>
    <w:rsid w:val="001401E4"/>
    <w:rsid w:val="00152E56"/>
    <w:rsid w:val="00176A74"/>
    <w:rsid w:val="00184199"/>
    <w:rsid w:val="00185C15"/>
    <w:rsid w:val="001A1774"/>
    <w:rsid w:val="001A17EF"/>
    <w:rsid w:val="001B082B"/>
    <w:rsid w:val="001B173B"/>
    <w:rsid w:val="001C4977"/>
    <w:rsid w:val="001D332F"/>
    <w:rsid w:val="001E477A"/>
    <w:rsid w:val="001F1934"/>
    <w:rsid w:val="00203133"/>
    <w:rsid w:val="00204259"/>
    <w:rsid w:val="002055BA"/>
    <w:rsid w:val="00211DA7"/>
    <w:rsid w:val="002372A1"/>
    <w:rsid w:val="002419C2"/>
    <w:rsid w:val="00241F4F"/>
    <w:rsid w:val="00242741"/>
    <w:rsid w:val="00247199"/>
    <w:rsid w:val="00260DAC"/>
    <w:rsid w:val="00290C47"/>
    <w:rsid w:val="00291512"/>
    <w:rsid w:val="00293038"/>
    <w:rsid w:val="002A4AF5"/>
    <w:rsid w:val="002A706B"/>
    <w:rsid w:val="002B4F7E"/>
    <w:rsid w:val="002C4452"/>
    <w:rsid w:val="002C66A5"/>
    <w:rsid w:val="002D4325"/>
    <w:rsid w:val="002F7239"/>
    <w:rsid w:val="00312E8A"/>
    <w:rsid w:val="00314380"/>
    <w:rsid w:val="00314617"/>
    <w:rsid w:val="003173D9"/>
    <w:rsid w:val="0032198E"/>
    <w:rsid w:val="00335AA7"/>
    <w:rsid w:val="003431B8"/>
    <w:rsid w:val="0038415C"/>
    <w:rsid w:val="0039726B"/>
    <w:rsid w:val="003A0F96"/>
    <w:rsid w:val="003A217F"/>
    <w:rsid w:val="003A6897"/>
    <w:rsid w:val="003B204B"/>
    <w:rsid w:val="003B44F3"/>
    <w:rsid w:val="003C0171"/>
    <w:rsid w:val="003C78EE"/>
    <w:rsid w:val="003D7184"/>
    <w:rsid w:val="003E7E50"/>
    <w:rsid w:val="003F19CA"/>
    <w:rsid w:val="003F7557"/>
    <w:rsid w:val="004069F1"/>
    <w:rsid w:val="00407212"/>
    <w:rsid w:val="00411B13"/>
    <w:rsid w:val="00414BE1"/>
    <w:rsid w:val="00436996"/>
    <w:rsid w:val="00455477"/>
    <w:rsid w:val="00463392"/>
    <w:rsid w:val="00474B34"/>
    <w:rsid w:val="004B0B38"/>
    <w:rsid w:val="004B69EC"/>
    <w:rsid w:val="004E123C"/>
    <w:rsid w:val="004E1531"/>
    <w:rsid w:val="00534965"/>
    <w:rsid w:val="00546C06"/>
    <w:rsid w:val="005557F9"/>
    <w:rsid w:val="0056645E"/>
    <w:rsid w:val="005A268D"/>
    <w:rsid w:val="005A7A36"/>
    <w:rsid w:val="005B7638"/>
    <w:rsid w:val="005C17FF"/>
    <w:rsid w:val="005C4207"/>
    <w:rsid w:val="005F047C"/>
    <w:rsid w:val="006064F9"/>
    <w:rsid w:val="00611BFF"/>
    <w:rsid w:val="00627CFB"/>
    <w:rsid w:val="00634ED3"/>
    <w:rsid w:val="00640FC4"/>
    <w:rsid w:val="00654E89"/>
    <w:rsid w:val="00660FC3"/>
    <w:rsid w:val="00661625"/>
    <w:rsid w:val="00662767"/>
    <w:rsid w:val="00673EC8"/>
    <w:rsid w:val="006A229E"/>
    <w:rsid w:val="006B2527"/>
    <w:rsid w:val="006C47E3"/>
    <w:rsid w:val="006C6742"/>
    <w:rsid w:val="006C7E4A"/>
    <w:rsid w:val="006E1FBF"/>
    <w:rsid w:val="006E2C33"/>
    <w:rsid w:val="006E7277"/>
    <w:rsid w:val="007045B1"/>
    <w:rsid w:val="007118B2"/>
    <w:rsid w:val="007610EA"/>
    <w:rsid w:val="007618CB"/>
    <w:rsid w:val="007666F0"/>
    <w:rsid w:val="007C35F4"/>
    <w:rsid w:val="007F5C28"/>
    <w:rsid w:val="00817D42"/>
    <w:rsid w:val="00830E44"/>
    <w:rsid w:val="008330AF"/>
    <w:rsid w:val="00835C15"/>
    <w:rsid w:val="00845383"/>
    <w:rsid w:val="0086732C"/>
    <w:rsid w:val="00894B47"/>
    <w:rsid w:val="00895B9C"/>
    <w:rsid w:val="008B608B"/>
    <w:rsid w:val="008E02FC"/>
    <w:rsid w:val="008F61B0"/>
    <w:rsid w:val="00912560"/>
    <w:rsid w:val="00925DD4"/>
    <w:rsid w:val="00927DAF"/>
    <w:rsid w:val="00930C06"/>
    <w:rsid w:val="00933923"/>
    <w:rsid w:val="009351E7"/>
    <w:rsid w:val="009369E8"/>
    <w:rsid w:val="009633B3"/>
    <w:rsid w:val="009A3AA7"/>
    <w:rsid w:val="009A6D70"/>
    <w:rsid w:val="009C1055"/>
    <w:rsid w:val="009E3FC6"/>
    <w:rsid w:val="009F028F"/>
    <w:rsid w:val="009F34D5"/>
    <w:rsid w:val="009F6CC1"/>
    <w:rsid w:val="009F6EBC"/>
    <w:rsid w:val="00A025C7"/>
    <w:rsid w:val="00A02BDE"/>
    <w:rsid w:val="00A137ED"/>
    <w:rsid w:val="00A51520"/>
    <w:rsid w:val="00A64D06"/>
    <w:rsid w:val="00A672C2"/>
    <w:rsid w:val="00A676D0"/>
    <w:rsid w:val="00A82535"/>
    <w:rsid w:val="00A90697"/>
    <w:rsid w:val="00A92EBE"/>
    <w:rsid w:val="00A94C90"/>
    <w:rsid w:val="00AE1CB3"/>
    <w:rsid w:val="00AE2051"/>
    <w:rsid w:val="00B03D1F"/>
    <w:rsid w:val="00B26EE2"/>
    <w:rsid w:val="00B3038D"/>
    <w:rsid w:val="00B303FC"/>
    <w:rsid w:val="00B33722"/>
    <w:rsid w:val="00B60B6D"/>
    <w:rsid w:val="00B6209A"/>
    <w:rsid w:val="00B62D2A"/>
    <w:rsid w:val="00B77CA4"/>
    <w:rsid w:val="00B85842"/>
    <w:rsid w:val="00B91642"/>
    <w:rsid w:val="00B97F50"/>
    <w:rsid w:val="00BB21BC"/>
    <w:rsid w:val="00BC6E95"/>
    <w:rsid w:val="00BD3C27"/>
    <w:rsid w:val="00C340C5"/>
    <w:rsid w:val="00C500C5"/>
    <w:rsid w:val="00C51957"/>
    <w:rsid w:val="00C75096"/>
    <w:rsid w:val="00CD1220"/>
    <w:rsid w:val="00CE4C50"/>
    <w:rsid w:val="00CF18CE"/>
    <w:rsid w:val="00CF33DE"/>
    <w:rsid w:val="00D02F82"/>
    <w:rsid w:val="00D12D8E"/>
    <w:rsid w:val="00D17127"/>
    <w:rsid w:val="00D26307"/>
    <w:rsid w:val="00D52985"/>
    <w:rsid w:val="00D62F2A"/>
    <w:rsid w:val="00D95900"/>
    <w:rsid w:val="00D960B7"/>
    <w:rsid w:val="00DA2291"/>
    <w:rsid w:val="00DA520B"/>
    <w:rsid w:val="00DA68C3"/>
    <w:rsid w:val="00DB7074"/>
    <w:rsid w:val="00DD03E3"/>
    <w:rsid w:val="00DD6FA6"/>
    <w:rsid w:val="00DF1495"/>
    <w:rsid w:val="00E11DD4"/>
    <w:rsid w:val="00E127DB"/>
    <w:rsid w:val="00E23577"/>
    <w:rsid w:val="00E35570"/>
    <w:rsid w:val="00E42AA6"/>
    <w:rsid w:val="00E4785F"/>
    <w:rsid w:val="00E506BE"/>
    <w:rsid w:val="00E56224"/>
    <w:rsid w:val="00E64CC6"/>
    <w:rsid w:val="00E67613"/>
    <w:rsid w:val="00E95E8C"/>
    <w:rsid w:val="00E97F55"/>
    <w:rsid w:val="00EA348F"/>
    <w:rsid w:val="00EB0F38"/>
    <w:rsid w:val="00EB7B47"/>
    <w:rsid w:val="00EC1471"/>
    <w:rsid w:val="00EC5835"/>
    <w:rsid w:val="00EF153D"/>
    <w:rsid w:val="00F075A4"/>
    <w:rsid w:val="00F21370"/>
    <w:rsid w:val="00F30BED"/>
    <w:rsid w:val="00F415D8"/>
    <w:rsid w:val="00F45B12"/>
    <w:rsid w:val="00F5554C"/>
    <w:rsid w:val="00F97BDF"/>
    <w:rsid w:val="00FA55D7"/>
    <w:rsid w:val="00FA729F"/>
    <w:rsid w:val="00FB2104"/>
    <w:rsid w:val="00FC1803"/>
    <w:rsid w:val="00FC602B"/>
    <w:rsid w:val="00FD10CB"/>
    <w:rsid w:val="00FD3AB7"/>
    <w:rsid w:val="00FD67E8"/>
    <w:rsid w:val="00FE4A10"/>
    <w:rsid w:val="00FE56D6"/>
    <w:rsid w:val="00FE6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5CE7E"/>
  <w15:chartTrackingRefBased/>
  <w15:docId w15:val="{A3E94D78-A622-4809-A380-3C4882C5E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C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6C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6C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6C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6C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6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C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C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C0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6C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6C0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6C0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6C0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6C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C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C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C06"/>
    <w:rPr>
      <w:rFonts w:eastAsiaTheme="majorEastAsia" w:cstheme="majorBidi"/>
      <w:color w:val="272727" w:themeColor="text1" w:themeTint="D8"/>
    </w:rPr>
  </w:style>
  <w:style w:type="paragraph" w:styleId="Title">
    <w:name w:val="Title"/>
    <w:basedOn w:val="Normal"/>
    <w:next w:val="Normal"/>
    <w:link w:val="TitleChar"/>
    <w:uiPriority w:val="10"/>
    <w:qFormat/>
    <w:rsid w:val="00546C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C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C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C06"/>
    <w:pPr>
      <w:spacing w:before="160"/>
      <w:jc w:val="center"/>
    </w:pPr>
    <w:rPr>
      <w:i/>
      <w:iCs/>
      <w:color w:val="404040" w:themeColor="text1" w:themeTint="BF"/>
    </w:rPr>
  </w:style>
  <w:style w:type="character" w:customStyle="1" w:styleId="QuoteChar">
    <w:name w:val="Quote Char"/>
    <w:basedOn w:val="DefaultParagraphFont"/>
    <w:link w:val="Quote"/>
    <w:uiPriority w:val="29"/>
    <w:rsid w:val="00546C06"/>
    <w:rPr>
      <w:i/>
      <w:iCs/>
      <w:color w:val="404040" w:themeColor="text1" w:themeTint="BF"/>
    </w:rPr>
  </w:style>
  <w:style w:type="paragraph" w:styleId="ListParagraph">
    <w:name w:val="List Paragraph"/>
    <w:basedOn w:val="Normal"/>
    <w:uiPriority w:val="34"/>
    <w:qFormat/>
    <w:rsid w:val="00546C06"/>
    <w:pPr>
      <w:ind w:left="720"/>
      <w:contextualSpacing/>
    </w:pPr>
  </w:style>
  <w:style w:type="character" w:styleId="IntenseEmphasis">
    <w:name w:val="Intense Emphasis"/>
    <w:basedOn w:val="DefaultParagraphFont"/>
    <w:uiPriority w:val="21"/>
    <w:qFormat/>
    <w:rsid w:val="00546C06"/>
    <w:rPr>
      <w:i/>
      <w:iCs/>
      <w:color w:val="2F5496" w:themeColor="accent1" w:themeShade="BF"/>
    </w:rPr>
  </w:style>
  <w:style w:type="paragraph" w:styleId="IntenseQuote">
    <w:name w:val="Intense Quote"/>
    <w:basedOn w:val="Normal"/>
    <w:next w:val="Normal"/>
    <w:link w:val="IntenseQuoteChar"/>
    <w:uiPriority w:val="30"/>
    <w:qFormat/>
    <w:rsid w:val="00546C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6C06"/>
    <w:rPr>
      <w:i/>
      <w:iCs/>
      <w:color w:val="2F5496" w:themeColor="accent1" w:themeShade="BF"/>
    </w:rPr>
  </w:style>
  <w:style w:type="character" w:styleId="IntenseReference">
    <w:name w:val="Intense Reference"/>
    <w:basedOn w:val="DefaultParagraphFont"/>
    <w:uiPriority w:val="32"/>
    <w:qFormat/>
    <w:rsid w:val="00546C06"/>
    <w:rPr>
      <w:b/>
      <w:bCs/>
      <w:smallCaps/>
      <w:color w:val="2F5496" w:themeColor="accent1" w:themeShade="BF"/>
      <w:spacing w:val="5"/>
    </w:rPr>
  </w:style>
  <w:style w:type="paragraph" w:styleId="FootnoteText">
    <w:name w:val="footnote text"/>
    <w:basedOn w:val="Normal"/>
    <w:link w:val="FootnoteTextChar"/>
    <w:uiPriority w:val="99"/>
    <w:semiHidden/>
    <w:unhideWhenUsed/>
    <w:rsid w:val="00B916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1642"/>
    <w:rPr>
      <w:sz w:val="20"/>
      <w:szCs w:val="20"/>
    </w:rPr>
  </w:style>
  <w:style w:type="character" w:styleId="FootnoteReference">
    <w:name w:val="footnote reference"/>
    <w:basedOn w:val="DefaultParagraphFont"/>
    <w:uiPriority w:val="99"/>
    <w:semiHidden/>
    <w:unhideWhenUsed/>
    <w:rsid w:val="00B9164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1829</Words>
  <Characters>10428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Daniel (1601138)</dc:creator>
  <cp:keywords/>
  <dc:description/>
  <cp:lastModifiedBy>Sarah Daniel (1601138)</cp:lastModifiedBy>
  <cp:revision>795</cp:revision>
  <dcterms:created xsi:type="dcterms:W3CDTF">2024-05-04T21:38:00Z</dcterms:created>
  <dcterms:modified xsi:type="dcterms:W3CDTF">2024-05-06T22:49:00Z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id="VVCRCdd0"/&gt;&lt;style id="http://www.zotero.org/styles/harvard-cite-them-right" hasBibliography="1" bibliographyStyleHasBeenSet="0"/&gt;&lt;prefs&gt;&lt;pref name="fieldType" value="Field"/&gt;&lt;/prefs&gt;&lt;/data&gt;</vt:lpwstr>
  </property>
</Properties>
</file>