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3AC9A" w14:textId="77777777" w:rsidR="00565E0F" w:rsidRPr="0032057A" w:rsidRDefault="00565E0F" w:rsidP="00A565A3">
      <w:pPr>
        <w:pStyle w:val="Normal1"/>
        <w:spacing w:line="360" w:lineRule="auto"/>
        <w:jc w:val="center"/>
        <w:rPr>
          <w:b/>
          <w:bCs/>
          <w:sz w:val="24"/>
          <w:highlight w:val="white"/>
          <w:lang w:val="en-GB"/>
        </w:rPr>
      </w:pPr>
    </w:p>
    <w:p w14:paraId="17E18882" w14:textId="77777777" w:rsidR="00A565A3" w:rsidRPr="0032057A" w:rsidRDefault="00A565A3" w:rsidP="00A565A3">
      <w:pPr>
        <w:pStyle w:val="Normal1"/>
        <w:spacing w:line="360" w:lineRule="auto"/>
        <w:jc w:val="center"/>
        <w:rPr>
          <w:b/>
          <w:bCs/>
          <w:sz w:val="28"/>
          <w:highlight w:val="white"/>
          <w:lang w:val="en-GB"/>
        </w:rPr>
      </w:pPr>
    </w:p>
    <w:p w14:paraId="423EA0BE" w14:textId="77777777" w:rsidR="00A565A3" w:rsidRPr="0032057A" w:rsidRDefault="00A565A3" w:rsidP="00A565A3">
      <w:pPr>
        <w:pStyle w:val="Normal1"/>
        <w:spacing w:line="360" w:lineRule="auto"/>
        <w:jc w:val="center"/>
        <w:rPr>
          <w:b/>
          <w:bCs/>
          <w:sz w:val="28"/>
          <w:highlight w:val="white"/>
          <w:lang w:val="en-GB"/>
        </w:rPr>
      </w:pPr>
    </w:p>
    <w:p w14:paraId="77A977BB" w14:textId="77777777" w:rsidR="00A565A3" w:rsidRPr="0032057A" w:rsidRDefault="00A565A3" w:rsidP="00A565A3">
      <w:pPr>
        <w:pStyle w:val="Normal1"/>
        <w:spacing w:line="360" w:lineRule="auto"/>
        <w:jc w:val="center"/>
        <w:rPr>
          <w:b/>
          <w:bCs/>
          <w:sz w:val="28"/>
          <w:highlight w:val="white"/>
          <w:lang w:val="en-GB"/>
        </w:rPr>
      </w:pPr>
    </w:p>
    <w:p w14:paraId="3B63318D" w14:textId="77777777" w:rsidR="00D63EF3" w:rsidRPr="0032057A" w:rsidRDefault="00D63EF3" w:rsidP="00A565A3">
      <w:pPr>
        <w:pStyle w:val="Normal1"/>
        <w:spacing w:line="360" w:lineRule="auto"/>
        <w:jc w:val="center"/>
        <w:rPr>
          <w:b/>
          <w:bCs/>
          <w:sz w:val="28"/>
          <w:highlight w:val="white"/>
          <w:lang w:val="en-GB"/>
        </w:rPr>
      </w:pPr>
    </w:p>
    <w:p w14:paraId="6770C85C" w14:textId="77777777" w:rsidR="00D63EF3" w:rsidRPr="0032057A" w:rsidRDefault="00D63EF3" w:rsidP="00A565A3">
      <w:pPr>
        <w:pStyle w:val="Normal1"/>
        <w:spacing w:line="360" w:lineRule="auto"/>
        <w:jc w:val="center"/>
        <w:rPr>
          <w:b/>
          <w:bCs/>
          <w:sz w:val="28"/>
          <w:highlight w:val="white"/>
          <w:lang w:val="en-GB"/>
        </w:rPr>
      </w:pPr>
    </w:p>
    <w:p w14:paraId="6CC35EF7" w14:textId="77777777" w:rsidR="00D63EF3" w:rsidRPr="0032057A" w:rsidRDefault="00D63EF3" w:rsidP="00A565A3">
      <w:pPr>
        <w:pStyle w:val="Normal1"/>
        <w:spacing w:line="360" w:lineRule="auto"/>
        <w:jc w:val="center"/>
        <w:rPr>
          <w:b/>
          <w:bCs/>
          <w:sz w:val="28"/>
          <w:highlight w:val="white"/>
          <w:lang w:val="en-GB"/>
        </w:rPr>
      </w:pPr>
    </w:p>
    <w:p w14:paraId="1E1F1900" w14:textId="77777777" w:rsidR="00565E0F" w:rsidRPr="0032057A" w:rsidRDefault="00981DB7" w:rsidP="00A565A3">
      <w:pPr>
        <w:pStyle w:val="Normal1"/>
        <w:spacing w:line="360" w:lineRule="auto"/>
        <w:jc w:val="center"/>
        <w:rPr>
          <w:b/>
          <w:bCs/>
          <w:sz w:val="28"/>
          <w:highlight w:val="white"/>
          <w:lang w:val="en-GB"/>
        </w:rPr>
      </w:pPr>
      <w:r w:rsidRPr="0032057A">
        <w:rPr>
          <w:b/>
          <w:bCs/>
          <w:sz w:val="28"/>
          <w:highlight w:val="white"/>
          <w:lang w:val="en-GB"/>
        </w:rPr>
        <w:t>Networks and Cyber Security Essentials</w:t>
      </w:r>
    </w:p>
    <w:p w14:paraId="2A0EE4CD" w14:textId="77777777" w:rsidR="00565E0F" w:rsidRPr="0032057A" w:rsidRDefault="00981DB7" w:rsidP="00A565A3">
      <w:pPr>
        <w:pStyle w:val="Normal1"/>
        <w:spacing w:line="360" w:lineRule="auto"/>
        <w:jc w:val="center"/>
        <w:rPr>
          <w:b/>
          <w:bCs/>
          <w:sz w:val="28"/>
          <w:highlight w:val="white"/>
          <w:lang w:val="en-GB"/>
        </w:rPr>
      </w:pPr>
      <w:r w:rsidRPr="0032057A">
        <w:rPr>
          <w:b/>
          <w:bCs/>
          <w:sz w:val="28"/>
          <w:highlight w:val="white"/>
          <w:lang w:val="en-GB"/>
        </w:rPr>
        <w:t>Synthesize a solution to a potential real-life scenario</w:t>
      </w:r>
    </w:p>
    <w:p w14:paraId="186C511C" w14:textId="77777777" w:rsidR="00565E0F" w:rsidRPr="0032057A" w:rsidRDefault="00565E0F" w:rsidP="00A565A3">
      <w:pPr>
        <w:pStyle w:val="Normal1"/>
        <w:spacing w:line="360" w:lineRule="auto"/>
        <w:jc w:val="center"/>
        <w:rPr>
          <w:b/>
          <w:bCs/>
          <w:sz w:val="24"/>
          <w:highlight w:val="white"/>
          <w:lang w:val="en-GB"/>
        </w:rPr>
      </w:pPr>
    </w:p>
    <w:p w14:paraId="0E706156" w14:textId="77777777" w:rsidR="00565E0F" w:rsidRPr="0032057A" w:rsidRDefault="00565E0F" w:rsidP="00A565A3">
      <w:pPr>
        <w:pStyle w:val="Normal1"/>
        <w:spacing w:line="360" w:lineRule="auto"/>
        <w:jc w:val="center"/>
        <w:rPr>
          <w:b/>
          <w:bCs/>
          <w:sz w:val="24"/>
          <w:highlight w:val="white"/>
          <w:lang w:val="en-GB"/>
        </w:rPr>
      </w:pPr>
    </w:p>
    <w:p w14:paraId="0852E2A2" w14:textId="77777777" w:rsidR="00565E0F" w:rsidRPr="0032057A" w:rsidRDefault="00565E0F" w:rsidP="00A565A3">
      <w:pPr>
        <w:pStyle w:val="Normal1"/>
        <w:spacing w:line="360" w:lineRule="auto"/>
        <w:jc w:val="center"/>
        <w:rPr>
          <w:b/>
          <w:bCs/>
          <w:sz w:val="24"/>
          <w:highlight w:val="white"/>
          <w:lang w:val="en-GB"/>
        </w:rPr>
      </w:pPr>
    </w:p>
    <w:p w14:paraId="6ECD11C7" w14:textId="77777777" w:rsidR="00565E0F" w:rsidRPr="0032057A" w:rsidRDefault="00981DB7" w:rsidP="00A565A3">
      <w:pPr>
        <w:pStyle w:val="Normal1"/>
        <w:spacing w:line="360" w:lineRule="auto"/>
        <w:jc w:val="center"/>
        <w:rPr>
          <w:b/>
          <w:bCs/>
          <w:sz w:val="24"/>
          <w:highlight w:val="white"/>
          <w:lang w:val="en-GB"/>
        </w:rPr>
      </w:pPr>
      <w:r w:rsidRPr="0032057A">
        <w:rPr>
          <w:b/>
          <w:bCs/>
          <w:sz w:val="24"/>
          <w:highlight w:val="white"/>
          <w:lang w:val="en-GB"/>
        </w:rPr>
        <w:t>Student Name:</w:t>
      </w:r>
    </w:p>
    <w:p w14:paraId="4C2FF096" w14:textId="77777777" w:rsidR="00565E0F" w:rsidRPr="0032057A" w:rsidRDefault="00981DB7" w:rsidP="00A565A3">
      <w:pPr>
        <w:pStyle w:val="Normal1"/>
        <w:spacing w:line="360" w:lineRule="auto"/>
        <w:jc w:val="center"/>
        <w:rPr>
          <w:b/>
          <w:bCs/>
          <w:sz w:val="24"/>
          <w:highlight w:val="white"/>
          <w:lang w:val="en-GB"/>
        </w:rPr>
      </w:pPr>
      <w:r w:rsidRPr="0032057A">
        <w:rPr>
          <w:b/>
          <w:bCs/>
          <w:sz w:val="24"/>
          <w:highlight w:val="white"/>
          <w:lang w:val="en-GB"/>
        </w:rPr>
        <w:t xml:space="preserve">Student ID: </w:t>
      </w:r>
    </w:p>
    <w:p w14:paraId="662D768B"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sdt>
      <w:sdtPr>
        <w:rPr>
          <w:rFonts w:ascii="Arial" w:eastAsia="Arial" w:hAnsi="Arial" w:cs="Arial"/>
          <w:b w:val="0"/>
          <w:bCs w:val="0"/>
          <w:color w:val="auto"/>
          <w:sz w:val="22"/>
          <w:szCs w:val="22"/>
          <w:lang w:val="en-GB"/>
        </w:rPr>
        <w:id w:val="24368377"/>
        <w:docPartObj>
          <w:docPartGallery w:val="Table of Contents"/>
          <w:docPartUnique/>
        </w:docPartObj>
      </w:sdtPr>
      <w:sdtContent>
        <w:p w14:paraId="79299A58" w14:textId="77777777" w:rsidR="00B95266" w:rsidRPr="0032057A" w:rsidRDefault="00B95266" w:rsidP="00B95266">
          <w:pPr>
            <w:pStyle w:val="TOCHeading"/>
            <w:spacing w:line="360" w:lineRule="auto"/>
            <w:jc w:val="center"/>
            <w:rPr>
              <w:rFonts w:ascii="Arial" w:hAnsi="Arial" w:cs="Arial"/>
              <w:color w:val="000000" w:themeColor="text1"/>
              <w:sz w:val="22"/>
              <w:szCs w:val="22"/>
              <w:lang w:val="en-GB"/>
            </w:rPr>
          </w:pPr>
          <w:r w:rsidRPr="0032057A">
            <w:rPr>
              <w:rFonts w:ascii="Arial" w:hAnsi="Arial" w:cs="Arial"/>
              <w:color w:val="000000" w:themeColor="text1"/>
              <w:sz w:val="22"/>
              <w:szCs w:val="22"/>
              <w:lang w:val="en-GB"/>
            </w:rPr>
            <w:t>Table of Contents</w:t>
          </w:r>
        </w:p>
        <w:p w14:paraId="4C1318BB" w14:textId="77777777" w:rsidR="00B95266" w:rsidRPr="0032057A" w:rsidRDefault="00B95266" w:rsidP="00B95266">
          <w:pPr>
            <w:pStyle w:val="TOC1"/>
            <w:tabs>
              <w:tab w:val="right" w:leader="dot" w:pos="9019"/>
            </w:tabs>
            <w:spacing w:line="360" w:lineRule="auto"/>
            <w:jc w:val="center"/>
            <w:rPr>
              <w:noProof/>
              <w:color w:val="000000" w:themeColor="text1"/>
              <w:lang w:val="en-GB"/>
            </w:rPr>
          </w:pPr>
          <w:r w:rsidRPr="0032057A">
            <w:rPr>
              <w:color w:val="000000" w:themeColor="text1"/>
              <w:lang w:val="en-GB"/>
            </w:rPr>
            <w:fldChar w:fldCharType="begin"/>
          </w:r>
          <w:r w:rsidRPr="0032057A">
            <w:rPr>
              <w:color w:val="000000" w:themeColor="text1"/>
              <w:lang w:val="en-GB"/>
            </w:rPr>
            <w:instrText xml:space="preserve"> TOC \o "1-3" \h \z \u </w:instrText>
          </w:r>
          <w:r w:rsidRPr="0032057A">
            <w:rPr>
              <w:color w:val="000000" w:themeColor="text1"/>
              <w:lang w:val="en-GB"/>
            </w:rPr>
            <w:fldChar w:fldCharType="separate"/>
          </w:r>
          <w:hyperlink w:anchor="_Toc225957591" w:history="1">
            <w:r w:rsidRPr="0032057A">
              <w:rPr>
                <w:rStyle w:val="Hyperlink"/>
                <w:noProof/>
                <w:color w:val="000000" w:themeColor="text1"/>
                <w:highlight w:val="white"/>
                <w:lang w:val="en-GB"/>
              </w:rPr>
              <w:t>Introduction</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_Toc225957591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3</w:t>
            </w:r>
            <w:r w:rsidRPr="0032057A">
              <w:rPr>
                <w:noProof/>
                <w:webHidden/>
                <w:color w:val="000000" w:themeColor="text1"/>
                <w:lang w:val="en-GB"/>
              </w:rPr>
              <w:fldChar w:fldCharType="end"/>
            </w:r>
          </w:hyperlink>
        </w:p>
        <w:p w14:paraId="13A89407"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2" w:history="1">
            <w:r w:rsidRPr="0032057A">
              <w:rPr>
                <w:rStyle w:val="Hyperlink"/>
                <w:noProof/>
                <w:color w:val="000000" w:themeColor="text1"/>
                <w:highlight w:val="white"/>
                <w:lang w:val="en-GB"/>
              </w:rPr>
              <w:t>Identification of Threats</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_Toc225957592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4</w:t>
            </w:r>
            <w:r w:rsidRPr="0032057A">
              <w:rPr>
                <w:noProof/>
                <w:webHidden/>
                <w:color w:val="000000" w:themeColor="text1"/>
                <w:lang w:val="en-GB"/>
              </w:rPr>
              <w:fldChar w:fldCharType="end"/>
            </w:r>
          </w:hyperlink>
        </w:p>
        <w:p w14:paraId="45439F11"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3" w:history="1">
            <w:r w:rsidRPr="0032057A">
              <w:rPr>
                <w:rStyle w:val="Hyperlink"/>
                <w:noProof/>
                <w:color w:val="000000" w:themeColor="text1"/>
                <w:highlight w:val="white"/>
                <w:lang w:val="en-GB"/>
              </w:rPr>
              <w:t>Security Policies</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_Toc225957593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6</w:t>
            </w:r>
            <w:r w:rsidRPr="0032057A">
              <w:rPr>
                <w:noProof/>
                <w:webHidden/>
                <w:color w:val="000000" w:themeColor="text1"/>
                <w:lang w:val="en-GB"/>
              </w:rPr>
              <w:fldChar w:fldCharType="end"/>
            </w:r>
          </w:hyperlink>
        </w:p>
        <w:p w14:paraId="4E3A36CD"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4" w:history="1">
            <w:r w:rsidRPr="0032057A">
              <w:rPr>
                <w:rStyle w:val="Hyperlink"/>
                <w:noProof/>
                <w:color w:val="000000" w:themeColor="text1"/>
                <w:highlight w:val="white"/>
                <w:lang w:val="en-GB"/>
              </w:rPr>
              <w:t>Mitigation Measures</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_Toc225957594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8</w:t>
            </w:r>
            <w:r w:rsidRPr="0032057A">
              <w:rPr>
                <w:noProof/>
                <w:webHidden/>
                <w:color w:val="000000" w:themeColor="text1"/>
                <w:lang w:val="en-GB"/>
              </w:rPr>
              <w:fldChar w:fldCharType="end"/>
            </w:r>
          </w:hyperlink>
        </w:p>
        <w:p w14:paraId="2A553855"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5" w:history="1">
            <w:r w:rsidRPr="0032057A">
              <w:rPr>
                <w:rStyle w:val="Hyperlink"/>
                <w:noProof/>
                <w:color w:val="000000" w:themeColor="text1"/>
                <w:highlight w:val="white"/>
                <w:lang w:val="en-GB"/>
              </w:rPr>
              <w:t>Monitoring and Response</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_Toc225957595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10</w:t>
            </w:r>
            <w:r w:rsidRPr="0032057A">
              <w:rPr>
                <w:noProof/>
                <w:webHidden/>
                <w:color w:val="000000" w:themeColor="text1"/>
                <w:lang w:val="en-GB"/>
              </w:rPr>
              <w:fldChar w:fldCharType="end"/>
            </w:r>
          </w:hyperlink>
        </w:p>
        <w:p w14:paraId="225ED0E6"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6" w:history="1">
            <w:r w:rsidRPr="0032057A">
              <w:rPr>
                <w:rStyle w:val="Hyperlink"/>
                <w:noProof/>
                <w:color w:val="000000" w:themeColor="text1"/>
                <w:highlight w:val="white"/>
                <w:lang w:val="en-GB"/>
              </w:rPr>
              <w:t>Training and Awareness</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_Toc225957596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12</w:t>
            </w:r>
            <w:r w:rsidRPr="0032057A">
              <w:rPr>
                <w:noProof/>
                <w:webHidden/>
                <w:color w:val="000000" w:themeColor="text1"/>
                <w:lang w:val="en-GB"/>
              </w:rPr>
              <w:fldChar w:fldCharType="end"/>
            </w:r>
          </w:hyperlink>
        </w:p>
        <w:p w14:paraId="2A80CDFD"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7" w:history="1">
            <w:r w:rsidRPr="0032057A">
              <w:rPr>
                <w:rStyle w:val="Hyperlink"/>
                <w:noProof/>
                <w:color w:val="000000" w:themeColor="text1"/>
                <w:highlight w:val="white"/>
                <w:lang w:val="en-GB"/>
              </w:rPr>
              <w:t>Conclusion</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_Toc225957597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13</w:t>
            </w:r>
            <w:r w:rsidRPr="0032057A">
              <w:rPr>
                <w:noProof/>
                <w:webHidden/>
                <w:color w:val="000000" w:themeColor="text1"/>
                <w:lang w:val="en-GB"/>
              </w:rPr>
              <w:fldChar w:fldCharType="end"/>
            </w:r>
          </w:hyperlink>
        </w:p>
        <w:p w14:paraId="2A6B32DC"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8" w:history="1">
            <w:r w:rsidRPr="0032057A">
              <w:rPr>
                <w:rStyle w:val="Hyperlink"/>
                <w:noProof/>
                <w:color w:val="000000" w:themeColor="text1"/>
                <w:highlight w:val="white"/>
                <w:lang w:val="en-GB"/>
              </w:rPr>
              <w:t>Reference List</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_Toc225957598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14</w:t>
            </w:r>
            <w:r w:rsidRPr="0032057A">
              <w:rPr>
                <w:noProof/>
                <w:webHidden/>
                <w:color w:val="000000" w:themeColor="text1"/>
                <w:lang w:val="en-GB"/>
              </w:rPr>
              <w:fldChar w:fldCharType="end"/>
            </w:r>
          </w:hyperlink>
        </w:p>
        <w:p w14:paraId="6D8AF47E" w14:textId="77777777" w:rsidR="00B95266" w:rsidRPr="0032057A" w:rsidRDefault="00B95266" w:rsidP="00B95266">
          <w:pPr>
            <w:pStyle w:val="TOC1"/>
            <w:tabs>
              <w:tab w:val="right" w:leader="dot" w:pos="9019"/>
            </w:tabs>
            <w:spacing w:line="360" w:lineRule="auto"/>
            <w:jc w:val="center"/>
            <w:rPr>
              <w:noProof/>
              <w:color w:val="000000" w:themeColor="text1"/>
              <w:lang w:val="en-GB"/>
            </w:rPr>
          </w:pPr>
          <w:hyperlink w:anchor="_Toc225957599" w:history="1">
            <w:r w:rsidRPr="0032057A">
              <w:rPr>
                <w:rStyle w:val="Hyperlink"/>
                <w:noProof/>
                <w:color w:val="000000" w:themeColor="text1"/>
                <w:highlight w:val="white"/>
                <w:lang w:val="en-GB"/>
              </w:rPr>
              <w:t>Appendix: Presentation</w:t>
            </w:r>
            <w:r w:rsidRPr="0032057A">
              <w:rPr>
                <w:noProof/>
                <w:webHidden/>
                <w:color w:val="000000" w:themeColor="text1"/>
                <w:lang w:val="en-GB"/>
              </w:rPr>
              <w:tab/>
            </w:r>
            <w:r w:rsidRPr="0032057A">
              <w:rPr>
                <w:noProof/>
                <w:webHidden/>
                <w:color w:val="000000" w:themeColor="text1"/>
                <w:lang w:val="en-GB"/>
              </w:rPr>
              <w:fldChar w:fldCharType="begin"/>
            </w:r>
            <w:r w:rsidRPr="0032057A">
              <w:rPr>
                <w:noProof/>
                <w:webHidden/>
                <w:color w:val="000000" w:themeColor="text1"/>
                <w:lang w:val="en-GB"/>
              </w:rPr>
              <w:instrText xml:space="preserve"> PAGEREF _Toc225957599 \h </w:instrText>
            </w:r>
            <w:r w:rsidRPr="0032057A">
              <w:rPr>
                <w:noProof/>
                <w:webHidden/>
                <w:color w:val="000000" w:themeColor="text1"/>
                <w:lang w:val="en-GB"/>
              </w:rPr>
            </w:r>
            <w:r w:rsidRPr="0032057A">
              <w:rPr>
                <w:noProof/>
                <w:webHidden/>
                <w:color w:val="000000" w:themeColor="text1"/>
                <w:lang w:val="en-GB"/>
              </w:rPr>
              <w:fldChar w:fldCharType="separate"/>
            </w:r>
            <w:r w:rsidR="0032057A">
              <w:rPr>
                <w:noProof/>
                <w:webHidden/>
                <w:color w:val="000000" w:themeColor="text1"/>
                <w:lang w:val="en-GB"/>
              </w:rPr>
              <w:t>16</w:t>
            </w:r>
            <w:r w:rsidRPr="0032057A">
              <w:rPr>
                <w:noProof/>
                <w:webHidden/>
                <w:color w:val="000000" w:themeColor="text1"/>
                <w:lang w:val="en-GB"/>
              </w:rPr>
              <w:fldChar w:fldCharType="end"/>
            </w:r>
          </w:hyperlink>
        </w:p>
        <w:p w14:paraId="06D2660F" w14:textId="77777777" w:rsidR="00B95266" w:rsidRPr="0032057A" w:rsidRDefault="00B95266" w:rsidP="00B95266">
          <w:pPr>
            <w:spacing w:line="360" w:lineRule="auto"/>
            <w:jc w:val="center"/>
            <w:rPr>
              <w:lang w:val="en-GB"/>
            </w:rPr>
          </w:pPr>
          <w:r w:rsidRPr="0032057A">
            <w:rPr>
              <w:color w:val="000000" w:themeColor="text1"/>
              <w:lang w:val="en-GB"/>
            </w:rPr>
            <w:fldChar w:fldCharType="end"/>
          </w:r>
        </w:p>
      </w:sdtContent>
    </w:sdt>
    <w:p w14:paraId="50A210A9" w14:textId="77777777" w:rsidR="00B95266" w:rsidRPr="0032057A" w:rsidRDefault="00B95266">
      <w:pPr>
        <w:rPr>
          <w:b/>
          <w:szCs w:val="40"/>
          <w:highlight w:val="white"/>
          <w:lang w:val="en-GB"/>
        </w:rPr>
      </w:pPr>
      <w:bookmarkStart w:id="0" w:name="_Toc225957591"/>
      <w:r w:rsidRPr="0032057A">
        <w:rPr>
          <w:highlight w:val="white"/>
          <w:lang w:val="en-GB"/>
        </w:rPr>
        <w:br w:type="page"/>
      </w:r>
    </w:p>
    <w:p w14:paraId="7465FA9C" w14:textId="77777777" w:rsidR="00565E0F" w:rsidRPr="0032057A" w:rsidRDefault="00981DB7" w:rsidP="00A565A3">
      <w:pPr>
        <w:pStyle w:val="Heading1"/>
        <w:spacing w:before="0"/>
        <w:rPr>
          <w:b w:val="0"/>
          <w:highlight w:val="white"/>
          <w:lang w:val="en-GB"/>
        </w:rPr>
      </w:pPr>
      <w:r w:rsidRPr="0032057A">
        <w:rPr>
          <w:highlight w:val="white"/>
          <w:lang w:val="en-GB"/>
        </w:rPr>
        <w:lastRenderedPageBreak/>
        <w:t>Introduction</w:t>
      </w:r>
      <w:bookmarkEnd w:id="0"/>
    </w:p>
    <w:p w14:paraId="074C1D00"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Cybersecurity is the broad practice of securing networks, systems, devices, software, and insights against digital attacks. Network security is considered a specialised subset that focuses on securing network infrastructure, such as routers and firewalls, and protecting traffic from unauthorised intrusions and access. Cyber security and network security are both significant to safeguard digital assets, prevent operational disruptions, and ensure data privacy (Harikrishna </w:t>
      </w:r>
      <w:r w:rsidRPr="0032057A">
        <w:rPr>
          <w:i/>
          <w:iCs/>
          <w:highlight w:val="white"/>
          <w:lang w:val="en-GB"/>
        </w:rPr>
        <w:t>et al.</w:t>
      </w:r>
      <w:r w:rsidRPr="0032057A">
        <w:rPr>
          <w:highlight w:val="white"/>
          <w:lang w:val="en-GB"/>
        </w:rPr>
        <w:t xml:space="preserve"> 2026). The purpose of the assessment is to propose a comprehensive data security and governance framework in order to improve the network and cybersecurity practices of HealthPlus Analytics (HPA). The assessment also addresses the key threats, sets security policies, mitigation measures, and required training for improving </w:t>
      </w:r>
      <w:r w:rsidR="00A565A3" w:rsidRPr="0032057A">
        <w:rPr>
          <w:highlight w:val="white"/>
          <w:lang w:val="en-GB"/>
        </w:rPr>
        <w:t>defence</w:t>
      </w:r>
      <w:r w:rsidRPr="0032057A">
        <w:rPr>
          <w:highlight w:val="white"/>
          <w:lang w:val="en-GB"/>
        </w:rPr>
        <w:t xml:space="preserve"> posture, compliance, and fostering a culture of security awareness among all employees in the workplace. </w:t>
      </w:r>
    </w:p>
    <w:p w14:paraId="0E0132E3" w14:textId="77777777" w:rsidR="00A565A3" w:rsidRPr="0032057A" w:rsidRDefault="00A565A3" w:rsidP="00A565A3">
      <w:pPr>
        <w:rPr>
          <w:b/>
          <w:bCs/>
          <w:highlight w:val="white"/>
          <w:lang w:val="en-GB"/>
        </w:rPr>
      </w:pPr>
      <w:r w:rsidRPr="0032057A">
        <w:rPr>
          <w:b/>
          <w:bCs/>
          <w:highlight w:val="white"/>
          <w:lang w:val="en-GB"/>
        </w:rPr>
        <w:br w:type="page"/>
      </w:r>
    </w:p>
    <w:p w14:paraId="5F09F68B" w14:textId="77777777" w:rsidR="00565E0F" w:rsidRPr="0032057A" w:rsidRDefault="00981DB7" w:rsidP="00A565A3">
      <w:pPr>
        <w:pStyle w:val="Heading1"/>
        <w:spacing w:before="0"/>
        <w:rPr>
          <w:highlight w:val="white"/>
          <w:lang w:val="en-GB"/>
        </w:rPr>
      </w:pPr>
      <w:bookmarkStart w:id="1" w:name="_Toc225957592"/>
      <w:r w:rsidRPr="0032057A">
        <w:rPr>
          <w:highlight w:val="white"/>
          <w:lang w:val="en-GB"/>
        </w:rPr>
        <w:lastRenderedPageBreak/>
        <w:t>Identification of Threats</w:t>
      </w:r>
      <w:bookmarkEnd w:id="1"/>
    </w:p>
    <w:p w14:paraId="1C4428A9"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HPA faces external threats from hackers and cyber criminals launching ransomware attacks on the company’s online servers and networks, as well as exploiting cloud vulnerabilities to access patients' insights. According to Humayun </w:t>
      </w:r>
      <w:r w:rsidRPr="0032057A">
        <w:rPr>
          <w:i/>
          <w:iCs/>
          <w:highlight w:val="white"/>
          <w:lang w:val="en-GB"/>
        </w:rPr>
        <w:t>et al.</w:t>
      </w:r>
      <w:r w:rsidRPr="0032057A">
        <w:rPr>
          <w:highlight w:val="white"/>
          <w:lang w:val="en-GB"/>
        </w:rPr>
        <w:t xml:space="preserve"> (2021), a ransomware attack refers to a type of malicious software that encrypts the files of the victims, making them inaccessible, and demands payment to restore access. According to Figure 1, around 62.6% of businesses were affected by ransomware attacks in the fiscal year 2025 (Statista, 2025). This attack is increasing due to RaaS, AI-driven automation, high extortion payouts, and weak patching. Additionally, the internal threats, such as workers' negligence in data handling, poor configurations, insufficient access control, and cloud security, lead to NHS/GDPR standard violations. These are the key incidents that reduce the ability of HPA in managing its brand reputation and data privacy in its digital networks. </w:t>
      </w:r>
    </w:p>
    <w:p w14:paraId="7DD8A007" w14:textId="77777777" w:rsidR="00565E0F" w:rsidRPr="0032057A" w:rsidRDefault="00981DB7" w:rsidP="00A565A3">
      <w:pPr>
        <w:pStyle w:val="Normal1"/>
        <w:spacing w:line="360" w:lineRule="auto"/>
        <w:jc w:val="center"/>
        <w:rPr>
          <w:highlight w:val="white"/>
          <w:lang w:val="en-GB"/>
        </w:rPr>
      </w:pPr>
      <w:r w:rsidRPr="0032057A">
        <w:rPr>
          <w:noProof/>
          <w:highlight w:val="white"/>
          <w:lang w:val="en-GB" w:eastAsia="en-IN"/>
        </w:rPr>
        <w:drawing>
          <wp:inline distT="114300" distB="114300" distL="114300" distR="114300" wp14:anchorId="1C4780BD" wp14:editId="0D35CAAA">
            <wp:extent cx="5168900" cy="3254375"/>
            <wp:effectExtent l="19050" t="19050" r="0" b="31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69197" cy="3254562"/>
                    </a:xfrm>
                    <a:prstGeom prst="rect">
                      <a:avLst/>
                    </a:prstGeom>
                    <a:ln w="12700">
                      <a:solidFill>
                        <a:srgbClr val="000000"/>
                      </a:solidFill>
                      <a:prstDash val="solid"/>
                    </a:ln>
                  </pic:spPr>
                </pic:pic>
              </a:graphicData>
            </a:graphic>
          </wp:inline>
        </w:drawing>
      </w:r>
    </w:p>
    <w:p w14:paraId="7A801511" w14:textId="77777777" w:rsidR="00565E0F" w:rsidRPr="0032057A" w:rsidRDefault="00981DB7" w:rsidP="00A565A3">
      <w:pPr>
        <w:pStyle w:val="Normal1"/>
        <w:spacing w:line="360" w:lineRule="auto"/>
        <w:jc w:val="center"/>
        <w:rPr>
          <w:b/>
          <w:bCs/>
          <w:highlight w:val="white"/>
          <w:lang w:val="en-GB"/>
        </w:rPr>
      </w:pPr>
      <w:r w:rsidRPr="0032057A">
        <w:rPr>
          <w:b/>
          <w:bCs/>
          <w:highlight w:val="white"/>
          <w:lang w:val="en-GB"/>
        </w:rPr>
        <w:t xml:space="preserve">Figure 1: annual share of businesses affected by ransomware attacks worldwide </w:t>
      </w:r>
    </w:p>
    <w:p w14:paraId="1EB51601" w14:textId="77777777" w:rsidR="00565E0F" w:rsidRPr="0032057A" w:rsidRDefault="00981DB7" w:rsidP="00A565A3">
      <w:pPr>
        <w:pStyle w:val="Normal1"/>
        <w:spacing w:line="360" w:lineRule="auto"/>
        <w:jc w:val="center"/>
        <w:rPr>
          <w:highlight w:val="white"/>
          <w:lang w:val="en-GB"/>
        </w:rPr>
      </w:pPr>
      <w:r w:rsidRPr="0032057A">
        <w:rPr>
          <w:highlight w:val="white"/>
          <w:lang w:val="en-GB"/>
        </w:rPr>
        <w:t>(Source: Statista, 2025)</w:t>
      </w:r>
    </w:p>
    <w:p w14:paraId="2419DC56" w14:textId="77777777" w:rsidR="00A565A3" w:rsidRPr="0032057A" w:rsidRDefault="00A565A3" w:rsidP="00A565A3">
      <w:pPr>
        <w:rPr>
          <w:highlight w:val="white"/>
          <w:lang w:val="en-GB"/>
        </w:rPr>
      </w:pPr>
      <w:r w:rsidRPr="0032057A">
        <w:rPr>
          <w:highlight w:val="white"/>
          <w:lang w:val="en-GB"/>
        </w:rPr>
        <w:br w:type="page"/>
      </w:r>
    </w:p>
    <w:p w14:paraId="0F269D05" w14:textId="77777777" w:rsidR="00565E0F" w:rsidRPr="0032057A" w:rsidRDefault="00981DB7" w:rsidP="00A565A3">
      <w:pPr>
        <w:pStyle w:val="Normal1"/>
        <w:spacing w:line="360" w:lineRule="auto"/>
        <w:jc w:val="both"/>
        <w:rPr>
          <w:highlight w:val="white"/>
          <w:lang w:val="en-GB"/>
        </w:rPr>
      </w:pPr>
      <w:r w:rsidRPr="0032057A">
        <w:rPr>
          <w:highlight w:val="white"/>
          <w:lang w:val="en-GB"/>
        </w:rPr>
        <w:lastRenderedPageBreak/>
        <w:t xml:space="preserve">Internal threat is also considered a security risk for an organisation where workers, contractors, and business partners have legitimate access to systems and misuse them or act negligently (George </w:t>
      </w:r>
      <w:r w:rsidRPr="0032057A">
        <w:rPr>
          <w:i/>
          <w:iCs/>
          <w:highlight w:val="white"/>
          <w:lang w:val="en-GB"/>
        </w:rPr>
        <w:t>et al.</w:t>
      </w:r>
      <w:r w:rsidRPr="0032057A">
        <w:rPr>
          <w:highlight w:val="white"/>
          <w:lang w:val="en-GB"/>
        </w:rPr>
        <w:t xml:space="preserve"> 2024). These threats are exacerbated by social engineering, particularly voice phishing targeting the help desk of HPA to bypass MFA (Multi-factor authentication). MFA bypass and internal threats severely disrupt the healthcare </w:t>
      </w:r>
      <w:r w:rsidR="00A565A3" w:rsidRPr="0032057A">
        <w:rPr>
          <w:highlight w:val="white"/>
          <w:lang w:val="en-GB"/>
        </w:rPr>
        <w:t>operation, which causes</w:t>
      </w:r>
      <w:r w:rsidRPr="0032057A">
        <w:rPr>
          <w:highlight w:val="white"/>
          <w:lang w:val="en-GB"/>
        </w:rPr>
        <w:t xml:space="preserve"> data breaches of sensitive patients' data, GDPR fines, and loss of consumers' trust, as well as forcing the HPA to revert to manual, risky, and paper-based processes. The poor cloud configuration creates GDPR or NHS violations due to the internal threats where cyber attackers threaten to leak sensitive information of the HPA. </w:t>
      </w:r>
    </w:p>
    <w:p w14:paraId="5762911F"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7B6636F6" w14:textId="77777777" w:rsidR="00565E0F" w:rsidRPr="0032057A" w:rsidRDefault="00981DB7" w:rsidP="00A565A3">
      <w:pPr>
        <w:pStyle w:val="Heading1"/>
        <w:spacing w:before="0"/>
        <w:rPr>
          <w:highlight w:val="white"/>
          <w:lang w:val="en-GB"/>
        </w:rPr>
      </w:pPr>
      <w:bookmarkStart w:id="2" w:name="_Toc225957593"/>
      <w:r w:rsidRPr="0032057A">
        <w:rPr>
          <w:highlight w:val="white"/>
          <w:lang w:val="en-GB"/>
        </w:rPr>
        <w:lastRenderedPageBreak/>
        <w:t>Security Policies</w:t>
      </w:r>
      <w:bookmarkEnd w:id="2"/>
    </w:p>
    <w:p w14:paraId="1B57805E"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Data protection and access control policy </w:t>
      </w:r>
    </w:p>
    <w:p w14:paraId="06E45983"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HPA needs to adopt a defence-in-depth practice aligning with NIST CSF 2.0, ISO 27001, and GDPR or NHS guidelines to successfully address the internal and external threats to patient information. Reportedly, the GDPR act mandated by the UK government is a post-Brexit data privacy regime governing the processing and secure personal information (UK Government, 2025). HPA must follow this act for setting a policy, such as a data protection and access control policy. According to these policies, the company requires access to patients' analytics information, which can be restricted to strictly necessary personnel only, handled through Role-based access control. This policy also includes multi-factor authentication, data classification, and handling practices. According to Said </w:t>
      </w:r>
      <w:r w:rsidRPr="0032057A">
        <w:rPr>
          <w:i/>
          <w:iCs/>
          <w:highlight w:val="white"/>
          <w:lang w:val="en-GB"/>
        </w:rPr>
        <w:t xml:space="preserve">et al. </w:t>
      </w:r>
      <w:r w:rsidRPr="0032057A">
        <w:rPr>
          <w:highlight w:val="white"/>
          <w:lang w:val="en-GB"/>
        </w:rPr>
        <w:t xml:space="preserve">(2022), multi-factor authentication refers to a security framework needed by users to verify their identity with multiple independent credentials before accessing their accounts. HPA must mandate this system for every remote access and administrative account to successfully tackle credential theft. Data classification and handling can also be considered a significant process under the GDPR act, which assists HPA to address critical assets and allows targeted protection and restricted access, decreasing ransomware spread and impact. </w:t>
      </w:r>
    </w:p>
    <w:p w14:paraId="014AB562" w14:textId="77777777" w:rsidR="00A565A3" w:rsidRPr="0032057A" w:rsidRDefault="00A565A3" w:rsidP="00A565A3">
      <w:pPr>
        <w:rPr>
          <w:b/>
          <w:bCs/>
          <w:i/>
          <w:iCs/>
          <w:highlight w:val="white"/>
          <w:lang w:val="en-GB"/>
        </w:rPr>
      </w:pPr>
      <w:r w:rsidRPr="0032057A">
        <w:rPr>
          <w:b/>
          <w:bCs/>
          <w:i/>
          <w:iCs/>
          <w:highlight w:val="white"/>
          <w:lang w:val="en-GB"/>
        </w:rPr>
        <w:br w:type="page"/>
      </w:r>
    </w:p>
    <w:p w14:paraId="2A1D2C52"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lastRenderedPageBreak/>
        <w:t xml:space="preserve">Cloud and network security policy, immutable backups, patch management, and a 72-hour response Policy </w:t>
      </w:r>
    </w:p>
    <w:p w14:paraId="3C3A16B7" w14:textId="77777777" w:rsidR="00565E0F" w:rsidRPr="0032057A" w:rsidRDefault="00981DB7" w:rsidP="00A565A3">
      <w:pPr>
        <w:pStyle w:val="Normal1"/>
        <w:spacing w:line="360" w:lineRule="auto"/>
        <w:jc w:val="both"/>
        <w:rPr>
          <w:highlight w:val="white"/>
          <w:lang w:val="en-GB"/>
        </w:rPr>
      </w:pPr>
      <w:r w:rsidRPr="0032057A">
        <w:rPr>
          <w:highlight w:val="white"/>
          <w:lang w:val="en-GB"/>
        </w:rPr>
        <w:t>According to Humphreys (2025), ISO 27001 is an international standard for ISMS (information security management systems), offering a risk-based model to secure and protect information confidentiality, availability, and integrity. Based on this standard, HPA must set a cloud and network security policy involving cloud configuration standards, continuous monitoring, and network segmentation. Cloud configuration standard policy ensures that every cloud resource must undergo automated security posture management to successfully tackle the misconfigurations</w:t>
      </w:r>
      <w:r w:rsidR="00A565A3" w:rsidRPr="0032057A">
        <w:rPr>
          <w:highlight w:val="white"/>
          <w:lang w:val="en-GB"/>
        </w:rPr>
        <w:t xml:space="preserve">. </w:t>
      </w:r>
      <w:r w:rsidRPr="0032057A">
        <w:rPr>
          <w:highlight w:val="white"/>
          <w:lang w:val="en-GB"/>
        </w:rPr>
        <w:t xml:space="preserve">Additionally, network segmentation may restrict movements of unauthorised access and identity during a ransomware attack by isolating analytics servers within a VPC (virtual private cloud). Continuous monitoring is a key initiative under the ISO 27001 international standard, encouraging HPA to detect unauthorised access and anomalies through real-time monitoring practices. On the other hand, NIST (National Institute of Standards and Technology) aims to promote innovation and industrial competitiveness through guidelines, comprehensive standards, and best practices (Darktrace, 2025). According to this industry standard and guidelines, HPA needs to manage immutable backups, patch management, and a 72-hour response. Immutable backups of the company’s online servers can be successfully mandated to ensure recovery without paying ransoms. Additionally, patch management is a process that must be applied by HPA within 48 hours of release. However, a 72-hour response refers to a structured incident response planning that may increase the opportunity for HPA to successfully address and report data breach incidents to the ICO within 72 hours. Hence, these are the best policies and practices under the different industry standards and guidelines, leading to increased opportunities for managing network and cybersecurity challenges in an effective manner. </w:t>
      </w:r>
    </w:p>
    <w:p w14:paraId="1B86300E"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05EE427C" w14:textId="77777777" w:rsidR="00565E0F" w:rsidRPr="0032057A" w:rsidRDefault="00981DB7" w:rsidP="00A565A3">
      <w:pPr>
        <w:pStyle w:val="Heading1"/>
        <w:spacing w:before="0"/>
        <w:rPr>
          <w:highlight w:val="white"/>
          <w:lang w:val="en-GB"/>
        </w:rPr>
      </w:pPr>
      <w:bookmarkStart w:id="3" w:name="_Toc225957594"/>
      <w:r w:rsidRPr="0032057A">
        <w:rPr>
          <w:highlight w:val="white"/>
          <w:lang w:val="en-GB"/>
        </w:rPr>
        <w:lastRenderedPageBreak/>
        <w:t>Mitigation Measures</w:t>
      </w:r>
      <w:bookmarkEnd w:id="3"/>
    </w:p>
    <w:p w14:paraId="207947C5"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HPA must implement the key measures, such as implementing Air-gapped immutable backups, deploying cybersecurity posture control, and enforcing role-based access control, to successfully mitigate identified ransomware, inside threats, and cloud-based challenges. Based on the statements of Mitra (2025), air-gapped immutable backup is an ultimate ransomware mitigation process and method, which combines logical and physical isolation with WORM (write-once-read-many) storage. It is a key method that ensures information </w:t>
      </w:r>
      <w:r w:rsidR="00D63EF3" w:rsidRPr="0032057A">
        <w:rPr>
          <w:highlight w:val="white"/>
          <w:lang w:val="en-GB"/>
        </w:rPr>
        <w:t>cannot</w:t>
      </w:r>
      <w:r w:rsidRPr="0032057A">
        <w:rPr>
          <w:highlight w:val="white"/>
          <w:lang w:val="en-GB"/>
        </w:rPr>
        <w:t xml:space="preserve"> be accessed, deleted, or encrypted by cyber attackers or hackers. For instance, Microsoft made a significant investment in native security capabilities that make Microsoft Azure resilient against ransomware challenges as well as help organisations to prevent deletion and implement soft delete to protect against malicious data and access (TerryLanfear, 2024). HPA needs to collaborate with Microsoft or purchase Microsoft Azure, offering Air-gapped and immutable Backup capabilities to successfully mitigate the ransomware challenges over their networks and services. </w:t>
      </w:r>
    </w:p>
    <w:p w14:paraId="67C3174C"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Cloud security Posture control (CSPC) and automated patching (AP) are the key mitigation measures and strategies that may help HPA to secure its cloud infrastructure. According to Liu </w:t>
      </w:r>
      <w:r w:rsidRPr="0032057A">
        <w:rPr>
          <w:i/>
          <w:iCs/>
          <w:highlight w:val="white"/>
          <w:lang w:val="en-GB"/>
        </w:rPr>
        <w:t>et al.</w:t>
      </w:r>
      <w:r w:rsidRPr="0032057A">
        <w:rPr>
          <w:highlight w:val="white"/>
          <w:lang w:val="en-GB"/>
        </w:rPr>
        <w:t xml:space="preserve"> (2024), CSPC refers to an automated process, offering continuous visibility into the security state of cloud assets, and AP utilises software to address and deploy security updates on machines and operating systems without manual intervention. HPA must deploy a CSPC tool like Palo Alto Prisma Cloud to effectively scan digital environments against GDPR compliance benchmarks. Palo Alto Prisma Cloud will be configured to automatically alert the devices while detecting any third-party involvement. On the other hand, the IaC (infrastructure as code) review process can also be effective for HPA, which helps in detecting vulnerabilities in configurations before deployment. It is an automated patching process that may be used as </w:t>
      </w:r>
      <w:r w:rsidR="00A565A3" w:rsidRPr="0032057A">
        <w:rPr>
          <w:highlight w:val="white"/>
          <w:lang w:val="en-GB"/>
        </w:rPr>
        <w:t>cloud</w:t>
      </w:r>
      <w:r w:rsidRPr="0032057A">
        <w:rPr>
          <w:highlight w:val="white"/>
          <w:lang w:val="en-GB"/>
        </w:rPr>
        <w:t xml:space="preserve"> vulnerability mitigation, leading to mitigating ransomware and third-party threats in the online servers and networks. </w:t>
      </w:r>
    </w:p>
    <w:p w14:paraId="4261AA6E" w14:textId="77777777" w:rsidR="00A565A3" w:rsidRPr="0032057A" w:rsidRDefault="00A565A3" w:rsidP="00A565A3">
      <w:pPr>
        <w:rPr>
          <w:highlight w:val="white"/>
          <w:lang w:val="en-GB"/>
        </w:rPr>
      </w:pPr>
      <w:r w:rsidRPr="0032057A">
        <w:rPr>
          <w:highlight w:val="white"/>
          <w:lang w:val="en-GB"/>
        </w:rPr>
        <w:br w:type="page"/>
      </w:r>
    </w:p>
    <w:p w14:paraId="37D42669" w14:textId="77777777" w:rsidR="00565E0F" w:rsidRPr="0032057A" w:rsidRDefault="00981DB7" w:rsidP="00A565A3">
      <w:pPr>
        <w:pStyle w:val="Normal1"/>
        <w:spacing w:line="360" w:lineRule="auto"/>
        <w:jc w:val="both"/>
        <w:rPr>
          <w:highlight w:val="white"/>
          <w:lang w:val="en-GB"/>
        </w:rPr>
      </w:pPr>
      <w:r w:rsidRPr="0032057A">
        <w:rPr>
          <w:highlight w:val="white"/>
          <w:lang w:val="en-GB"/>
        </w:rPr>
        <w:lastRenderedPageBreak/>
        <w:t xml:space="preserve">RBAC (enforcing role-based access control) combined with UBA (user behaviour analytics) refers to a secure and privacy maintenance method, restricting device access according to job roles and monitoring users' activities for anomalies to reduce inside threats. HPA can map every user's access rights to particular job functions within 90 days, as well as remove every excessive permission. For instance, Splunk Inc. developed Splunk User Behaviour Analytics (UBA), a machine-learning-driven security solution designed to detect threats, anomalies, and insider attacks across users and devices (Splunk, 2025). It needs to be used by HPA to successfully monitor for anomalies, including workers downloading patients' records, which may trigger an investigation. However, StrongDM refers to a robust tool for RBCA across servers and databases, restricting system access to users based on roles within companies (McCarthy, 2025). Hence, the combined use of these two tools can increase the opportunity for HPA in enforcing the system to successfully detect anomalies and compromised credential threats. </w:t>
      </w:r>
    </w:p>
    <w:p w14:paraId="60D26BED"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03833E84" w14:textId="77777777" w:rsidR="00565E0F" w:rsidRPr="0032057A" w:rsidRDefault="00981DB7" w:rsidP="00A565A3">
      <w:pPr>
        <w:pStyle w:val="Heading1"/>
        <w:spacing w:before="0"/>
        <w:rPr>
          <w:highlight w:val="white"/>
          <w:lang w:val="en-GB"/>
        </w:rPr>
      </w:pPr>
      <w:bookmarkStart w:id="4" w:name="_Toc225957595"/>
      <w:r w:rsidRPr="0032057A">
        <w:rPr>
          <w:highlight w:val="white"/>
          <w:lang w:val="en-GB"/>
        </w:rPr>
        <w:lastRenderedPageBreak/>
        <w:t>Monitoring and Response</w:t>
      </w:r>
      <w:bookmarkEnd w:id="4"/>
    </w:p>
    <w:p w14:paraId="5D01F224"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HPA needs to adopt a CIA-enabled security plan for developing monitoring and incident response practices to mitigate data breach threats and ransomware threats. </w:t>
      </w:r>
    </w:p>
    <w:p w14:paraId="2EB34504"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Monitoring Plan </w:t>
      </w:r>
    </w:p>
    <w:p w14:paraId="2E6B808C"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CIA refers to a cybersecurity model that involves key factors such as confidentiality, integrity, and availability, designed to guide policies to secure sensitive information and devices (Unigwe, 2022). HPA can manage data confidentiality through implementing strict Role-based access control (RBAC), data encryption, and MFA for patient information in its cloud platforms. Additionally, the company can also integrate the FIM (file integrity monitoring) process on their online servers, detecting unauthorised modifications as well as using logging for measuring configuration changes. Lastly, HPA needs to implement real-time SIEM network monitoring and cloud backups, leading to increased opportunities to ensure quick restoration. </w:t>
      </w:r>
    </w:p>
    <w:p w14:paraId="6D2F4962" w14:textId="77777777" w:rsidR="00565E0F" w:rsidRPr="0032057A" w:rsidRDefault="00981DB7" w:rsidP="00A565A3">
      <w:pPr>
        <w:pStyle w:val="Normal1"/>
        <w:spacing w:line="360" w:lineRule="auto"/>
        <w:jc w:val="center"/>
        <w:rPr>
          <w:highlight w:val="white"/>
          <w:lang w:val="en-GB"/>
        </w:rPr>
      </w:pPr>
      <w:r w:rsidRPr="0032057A">
        <w:rPr>
          <w:noProof/>
          <w:highlight w:val="white"/>
          <w:lang w:val="en-GB" w:eastAsia="en-IN"/>
        </w:rPr>
        <w:drawing>
          <wp:inline distT="114300" distB="114300" distL="114300" distR="114300" wp14:anchorId="12016A88" wp14:editId="5B609395">
            <wp:extent cx="5731200" cy="4508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508500"/>
                    </a:xfrm>
                    <a:prstGeom prst="rect">
                      <a:avLst/>
                    </a:prstGeom>
                    <a:ln w="12700">
                      <a:solidFill>
                        <a:srgbClr val="000000"/>
                      </a:solidFill>
                      <a:prstDash val="solid"/>
                    </a:ln>
                  </pic:spPr>
                </pic:pic>
              </a:graphicData>
            </a:graphic>
          </wp:inline>
        </w:drawing>
      </w:r>
    </w:p>
    <w:p w14:paraId="4A1F1C3A" w14:textId="77777777" w:rsidR="00565E0F" w:rsidRPr="0032057A" w:rsidRDefault="00981DB7" w:rsidP="00A565A3">
      <w:pPr>
        <w:pStyle w:val="Normal1"/>
        <w:spacing w:line="360" w:lineRule="auto"/>
        <w:jc w:val="center"/>
        <w:rPr>
          <w:b/>
          <w:bCs/>
          <w:highlight w:val="white"/>
          <w:lang w:val="en-GB"/>
        </w:rPr>
      </w:pPr>
      <w:r w:rsidRPr="0032057A">
        <w:rPr>
          <w:b/>
          <w:bCs/>
          <w:highlight w:val="white"/>
          <w:lang w:val="en-GB"/>
        </w:rPr>
        <w:t xml:space="preserve">Figure 2: Monitoring and Incident Response Plan </w:t>
      </w:r>
    </w:p>
    <w:p w14:paraId="268ABF01" w14:textId="77777777" w:rsidR="00565E0F" w:rsidRPr="0032057A" w:rsidRDefault="00981DB7" w:rsidP="00A565A3">
      <w:pPr>
        <w:pStyle w:val="Normal1"/>
        <w:spacing w:line="360" w:lineRule="auto"/>
        <w:jc w:val="both"/>
        <w:rPr>
          <w:b/>
          <w:bCs/>
          <w:i/>
          <w:iCs/>
          <w:highlight w:val="white"/>
          <w:lang w:val="en-GB"/>
        </w:rPr>
      </w:pPr>
      <w:r w:rsidRPr="0032057A">
        <w:rPr>
          <w:lang w:val="en-GB"/>
        </w:rPr>
        <w:br w:type="page"/>
      </w:r>
    </w:p>
    <w:p w14:paraId="33CE4C5A"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lastRenderedPageBreak/>
        <w:t xml:space="preserve">Incident Response Plan </w:t>
      </w:r>
    </w:p>
    <w:p w14:paraId="0C53DB03"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The incident response plan must be implemented by HPA by following the key functions such as containment, eradication, recovery, and response. The company can instantly affect servers due to ransomware and disable compromised user credentials. Additionally, the company also needs to patch vulnerabilities, remove malware, </w:t>
      </w:r>
      <w:r w:rsidR="00A565A3" w:rsidRPr="0032057A">
        <w:rPr>
          <w:highlight w:val="white"/>
          <w:lang w:val="en-GB"/>
        </w:rPr>
        <w:t>enforce</w:t>
      </w:r>
      <w:r w:rsidRPr="0032057A">
        <w:rPr>
          <w:highlight w:val="white"/>
          <w:lang w:val="en-GB"/>
        </w:rPr>
        <w:t xml:space="preserve"> secure cloud configuration, and then restore the stolen data from immutable backups, ensuring data integrity. After recovery, the company can also make a response planning such as conducting employee training on data handling to identify negligence and offer reports on the respective violations. Hence, this monitoring and incident response planning can increase the ability of HPA to successfully address internal and external threats by managing data privacy, system accessibility, and accuracy. </w:t>
      </w:r>
    </w:p>
    <w:p w14:paraId="0805AC0E"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5CA63DC5" w14:textId="77777777" w:rsidR="00565E0F" w:rsidRPr="0032057A" w:rsidRDefault="00981DB7" w:rsidP="00A565A3">
      <w:pPr>
        <w:pStyle w:val="Heading1"/>
        <w:spacing w:before="0"/>
        <w:rPr>
          <w:highlight w:val="white"/>
          <w:lang w:val="en-GB"/>
        </w:rPr>
      </w:pPr>
      <w:bookmarkStart w:id="5" w:name="_Toc225957596"/>
      <w:r w:rsidRPr="0032057A">
        <w:rPr>
          <w:highlight w:val="white"/>
          <w:lang w:val="en-GB"/>
        </w:rPr>
        <w:lastRenderedPageBreak/>
        <w:t>Training and Awareness</w:t>
      </w:r>
      <w:bookmarkEnd w:id="5"/>
    </w:p>
    <w:p w14:paraId="709CA09B"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Employee training refers to a structured way of teaching workers regarding new skills, as well as supporting them to improve existing knowledge to enhance job performance. According to Willie (2023), staff training is a significant process adopted by organisations in order to increase productivity, boost workers' morale, and adapt to new technologies and decrease workplace errors. HPA needs to conduct security awareness training programs for its existing employees in order to ensure compliance with new security policies and practices. An effective security </w:t>
      </w:r>
      <w:r w:rsidR="00A565A3" w:rsidRPr="0032057A">
        <w:rPr>
          <w:highlight w:val="white"/>
          <w:lang w:val="en-GB"/>
        </w:rPr>
        <w:t>awareness-training</w:t>
      </w:r>
      <w:r w:rsidRPr="0032057A">
        <w:rPr>
          <w:highlight w:val="white"/>
          <w:lang w:val="en-GB"/>
        </w:rPr>
        <w:t xml:space="preserve"> program may decrease human errors among employees of HPA related to cyberattack incidents in the future. Success can be achieved by the company when training is engaging and tailored rather than theoretical explanations. In this context, HPA needs to implement an engaging and tailored security-first training event aiming to mitigate violations as well as combat ransomware, cloud mis</w:t>
      </w:r>
      <w:r w:rsidR="00A565A3" w:rsidRPr="0032057A">
        <w:rPr>
          <w:highlight w:val="white"/>
          <w:lang w:val="en-GB"/>
        </w:rPr>
        <w:t>-</w:t>
      </w:r>
      <w:r w:rsidRPr="0032057A">
        <w:rPr>
          <w:highlight w:val="white"/>
          <w:lang w:val="en-GB"/>
        </w:rPr>
        <w:t xml:space="preserve">configuration, and phishing challenges. Based on the statements of Willie (2023), the necessity of developing a security-first culture by organisations is to prevent as well as efficiently mitigate cybersecurity challenges, significantly </w:t>
      </w:r>
      <w:r w:rsidR="00A565A3" w:rsidRPr="0032057A">
        <w:rPr>
          <w:highlight w:val="white"/>
          <w:lang w:val="en-GB"/>
        </w:rPr>
        <w:t>affecting</w:t>
      </w:r>
      <w:r w:rsidRPr="0032057A">
        <w:rPr>
          <w:highlight w:val="white"/>
          <w:lang w:val="en-GB"/>
        </w:rPr>
        <w:t xml:space="preserve"> the overall business practices. In this context, HPA will design a security-first training program, featuring 20-minute micro-learning modules, in order to avoid training fatigue among employees. </w:t>
      </w:r>
    </w:p>
    <w:p w14:paraId="43CA45AE" w14:textId="77777777" w:rsidR="00565E0F" w:rsidRPr="0032057A" w:rsidRDefault="00981DB7" w:rsidP="00A565A3">
      <w:pPr>
        <w:pStyle w:val="Normal1"/>
        <w:spacing w:line="360" w:lineRule="auto"/>
        <w:jc w:val="both"/>
        <w:rPr>
          <w:highlight w:val="white"/>
          <w:lang w:val="en-GB"/>
        </w:rPr>
      </w:pPr>
      <w:r w:rsidRPr="0032057A">
        <w:rPr>
          <w:highlight w:val="white"/>
          <w:lang w:val="en-GB"/>
        </w:rPr>
        <w:t>The key elements need to be included by HPA for effective design security awareness training</w:t>
      </w:r>
      <w:r w:rsidR="00A565A3" w:rsidRPr="0032057A">
        <w:rPr>
          <w:highlight w:val="white"/>
          <w:lang w:val="en-GB"/>
        </w:rPr>
        <w:t xml:space="preserve"> events. Role-based scenarios, G</w:t>
      </w:r>
      <w:r w:rsidRPr="0032057A">
        <w:rPr>
          <w:highlight w:val="white"/>
          <w:lang w:val="en-GB"/>
        </w:rPr>
        <w:t xml:space="preserve">amification, and just-in-time feedback are the necessary initiatives that increase involvement for employees to engage in this training program. Role-based scenarios mainly focus on data handling, particularly tailored for analytics employees and IT handlers to prevent patient information leakage. The training needs to use a leader-board system awarding badges, encouraging employees to be involved in addressing the threats and cyber challenges. On the other hand, HPA can also retrain the workers who face simulated attacks, which reinforce secure cloud usage and access control policies. Hence, this training program can turn workers from vulnerabilities and cyber threats into a human firewall, which helps in safeguarding reputation as well as ensuring compliance through scenario-driven and engaging learning. </w:t>
      </w:r>
    </w:p>
    <w:p w14:paraId="41E0094A" w14:textId="77777777" w:rsidR="00565E0F" w:rsidRPr="0032057A" w:rsidRDefault="00565E0F" w:rsidP="00A565A3">
      <w:pPr>
        <w:pStyle w:val="Normal1"/>
        <w:spacing w:line="360" w:lineRule="auto"/>
        <w:jc w:val="both"/>
        <w:rPr>
          <w:highlight w:val="white"/>
          <w:lang w:val="en-GB"/>
        </w:rPr>
      </w:pPr>
    </w:p>
    <w:p w14:paraId="4AD136FF"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5737A9AE" w14:textId="77777777" w:rsidR="00565E0F" w:rsidRPr="0032057A" w:rsidRDefault="00981DB7" w:rsidP="00A565A3">
      <w:pPr>
        <w:pStyle w:val="Heading1"/>
        <w:spacing w:before="0"/>
        <w:rPr>
          <w:highlight w:val="white"/>
          <w:lang w:val="en-GB"/>
        </w:rPr>
      </w:pPr>
      <w:bookmarkStart w:id="6" w:name="_Toc225957597"/>
      <w:r w:rsidRPr="0032057A">
        <w:rPr>
          <w:highlight w:val="white"/>
          <w:lang w:val="en-GB"/>
        </w:rPr>
        <w:lastRenderedPageBreak/>
        <w:t>Conclusion</w:t>
      </w:r>
      <w:bookmarkEnd w:id="6"/>
    </w:p>
    <w:p w14:paraId="0D755846" w14:textId="77777777" w:rsidR="00565E0F" w:rsidRPr="0032057A" w:rsidRDefault="00981DB7" w:rsidP="00A565A3">
      <w:pPr>
        <w:pStyle w:val="Normal1"/>
        <w:spacing w:line="360" w:lineRule="auto"/>
        <w:jc w:val="both"/>
        <w:rPr>
          <w:b/>
          <w:bCs/>
          <w:highlight w:val="white"/>
          <w:lang w:val="en-GB"/>
        </w:rPr>
      </w:pPr>
      <w:r w:rsidRPr="0032057A">
        <w:rPr>
          <w:highlight w:val="white"/>
          <w:lang w:val="en-GB"/>
        </w:rPr>
        <w:t xml:space="preserve">In conclusion, it can be stated that the discussed policies, frameworks, measures, and practices will be effective for HPA to successfully tackle the cybersecurity challenges across its vast operation. The HPA needs to follow the different types of industry standards, frameworks, and policies, as well as cybersecurity-related acts, in order to secure patient information by successfully preventing data breaches, avoiding heavy fines, and building trust. The frameworks and policies may also ensure proactive risk management, fostering consumer loyalty and protecting brand reputation by demonstrating responsibility to security and privacy. </w:t>
      </w:r>
      <w:r w:rsidRPr="0032057A">
        <w:rPr>
          <w:lang w:val="en-GB"/>
        </w:rPr>
        <w:br w:type="page"/>
      </w:r>
    </w:p>
    <w:p w14:paraId="69C823A9" w14:textId="77777777" w:rsidR="00565E0F" w:rsidRPr="0032057A" w:rsidRDefault="00981DB7" w:rsidP="00A565A3">
      <w:pPr>
        <w:pStyle w:val="Heading1"/>
        <w:spacing w:before="0"/>
        <w:rPr>
          <w:highlight w:val="white"/>
          <w:lang w:val="en-GB"/>
        </w:rPr>
      </w:pPr>
      <w:bookmarkStart w:id="7" w:name="_Toc225957598"/>
      <w:r w:rsidRPr="0032057A">
        <w:rPr>
          <w:highlight w:val="white"/>
          <w:lang w:val="en-GB"/>
        </w:rPr>
        <w:lastRenderedPageBreak/>
        <w:t>Reference List</w:t>
      </w:r>
      <w:bookmarkEnd w:id="7"/>
      <w:r w:rsidRPr="0032057A">
        <w:rPr>
          <w:highlight w:val="white"/>
          <w:lang w:val="en-GB"/>
        </w:rPr>
        <w:t xml:space="preserve"> </w:t>
      </w:r>
    </w:p>
    <w:p w14:paraId="3E0CE702"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Darktrace. (2025). </w:t>
      </w:r>
      <w:r w:rsidRPr="0032057A">
        <w:rPr>
          <w:i/>
          <w:iCs/>
          <w:highlight w:val="white"/>
          <w:lang w:val="en-GB"/>
        </w:rPr>
        <w:t>Darktrace</w:t>
      </w:r>
      <w:r w:rsidRPr="0032057A">
        <w:rPr>
          <w:highlight w:val="white"/>
          <w:lang w:val="en-GB"/>
        </w:rPr>
        <w:t xml:space="preserve">. [online] Available at: https://www.darktrace.com/cyber-ai-glossary/national-institute-of-standards-and-technology-nist [Accessed 1 Apr. 2026]. </w:t>
      </w:r>
    </w:p>
    <w:p w14:paraId="1006FEB0"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George, A.S., Baskar, T. and Srikaanth, P.B., (2024). Cyber threats to critical infrastructure: assessing vulnerabilities across key sectors. </w:t>
      </w:r>
      <w:r w:rsidRPr="0032057A">
        <w:rPr>
          <w:i/>
          <w:iCs/>
          <w:highlight w:val="white"/>
          <w:lang w:val="en-GB"/>
        </w:rPr>
        <w:t>Partners Universal International Innovation Journal</w:t>
      </w:r>
      <w:r w:rsidRPr="0032057A">
        <w:rPr>
          <w:highlight w:val="white"/>
          <w:lang w:val="en-GB"/>
        </w:rPr>
        <w:t xml:space="preserve">, </w:t>
      </w:r>
      <w:r w:rsidRPr="0032057A">
        <w:rPr>
          <w:i/>
          <w:iCs/>
          <w:highlight w:val="white"/>
          <w:lang w:val="en-GB"/>
        </w:rPr>
        <w:t>2</w:t>
      </w:r>
      <w:r w:rsidRPr="0032057A">
        <w:rPr>
          <w:highlight w:val="white"/>
          <w:lang w:val="en-GB"/>
        </w:rPr>
        <w:t xml:space="preserve">(1), pp.51-75. </w:t>
      </w:r>
      <w:hyperlink r:id="rId10">
        <w:r w:rsidRPr="0032057A">
          <w:rPr>
            <w:highlight w:val="white"/>
            <w:lang w:val="en-GB"/>
          </w:rPr>
          <w:t>https://puiij.com/index.php/research/article/download/118/90</w:t>
        </w:r>
      </w:hyperlink>
      <w:r w:rsidRPr="0032057A">
        <w:rPr>
          <w:highlight w:val="white"/>
          <w:lang w:val="en-GB"/>
        </w:rPr>
        <w:t xml:space="preserve"> </w:t>
      </w:r>
    </w:p>
    <w:p w14:paraId="776559EF"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Harikrishna, P., Kaviarasan, R., Godavarthi, G. and Bhavani, P.E.D., (2026). </w:t>
      </w:r>
      <w:r w:rsidRPr="0032057A">
        <w:rPr>
          <w:i/>
          <w:iCs/>
          <w:highlight w:val="white"/>
          <w:lang w:val="en-GB"/>
        </w:rPr>
        <w:t>Cyber Security Fundamentals: Principles, Threats, and Defenses</w:t>
      </w:r>
      <w:r w:rsidRPr="0032057A">
        <w:rPr>
          <w:highlight w:val="white"/>
          <w:lang w:val="en-GB"/>
        </w:rPr>
        <w:t>. DECCAN INTERNATIONAL ACADEMIC PUBLISHERS.</w:t>
      </w:r>
    </w:p>
    <w:p w14:paraId="06382847"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Humayun, M., Jhanjhi, N.Z., Alsayat, A. and Ponnusamy, V., (2021). Internet of things and ransomware: Evolution, mitigation and prevention. </w:t>
      </w:r>
      <w:r w:rsidRPr="0032057A">
        <w:rPr>
          <w:i/>
          <w:iCs/>
          <w:highlight w:val="white"/>
          <w:lang w:val="en-GB"/>
        </w:rPr>
        <w:t>Egyptian Informatics Journal</w:t>
      </w:r>
      <w:r w:rsidRPr="0032057A">
        <w:rPr>
          <w:highlight w:val="white"/>
          <w:lang w:val="en-GB"/>
        </w:rPr>
        <w:t xml:space="preserve">, </w:t>
      </w:r>
      <w:r w:rsidRPr="0032057A">
        <w:rPr>
          <w:i/>
          <w:iCs/>
          <w:highlight w:val="white"/>
          <w:lang w:val="en-GB"/>
        </w:rPr>
        <w:t>22</w:t>
      </w:r>
      <w:r w:rsidRPr="0032057A">
        <w:rPr>
          <w:highlight w:val="white"/>
          <w:lang w:val="en-GB"/>
        </w:rPr>
        <w:t xml:space="preserve">(1), pp.105-117. </w:t>
      </w:r>
      <w:hyperlink r:id="rId11">
        <w:r w:rsidRPr="0032057A">
          <w:rPr>
            <w:highlight w:val="white"/>
            <w:lang w:val="en-GB"/>
          </w:rPr>
          <w:t>https://www.sciencedirect.com/science/article/pii/S1110866520301304</w:t>
        </w:r>
      </w:hyperlink>
      <w:r w:rsidRPr="0032057A">
        <w:rPr>
          <w:highlight w:val="white"/>
          <w:lang w:val="en-GB"/>
        </w:rPr>
        <w:t xml:space="preserve"> </w:t>
      </w:r>
    </w:p>
    <w:p w14:paraId="336DE869"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Humphreys, E., (2025). </w:t>
      </w:r>
      <w:r w:rsidRPr="0032057A">
        <w:rPr>
          <w:i/>
          <w:iCs/>
          <w:highlight w:val="white"/>
          <w:lang w:val="en-GB"/>
        </w:rPr>
        <w:t>Implementing the ISO/IEC 27001 information security management system standard</w:t>
      </w:r>
      <w:r w:rsidRPr="0032057A">
        <w:rPr>
          <w:highlight w:val="white"/>
          <w:lang w:val="en-GB"/>
        </w:rPr>
        <w:t xml:space="preserve">. Artech House. </w:t>
      </w:r>
    </w:p>
    <w:p w14:paraId="1A79DBF7"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Liu, Y., Qi, X., Luo, D., Zhang, Y. and Yin, D., (2024). Research on the law of coal pillar spontaneous combustion and fire prevention and control technology. </w:t>
      </w:r>
      <w:r w:rsidRPr="0032057A">
        <w:rPr>
          <w:i/>
          <w:iCs/>
          <w:highlight w:val="white"/>
          <w:lang w:val="en-GB"/>
        </w:rPr>
        <w:t>ACS omega</w:t>
      </w:r>
      <w:r w:rsidRPr="0032057A">
        <w:rPr>
          <w:highlight w:val="white"/>
          <w:lang w:val="en-GB"/>
        </w:rPr>
        <w:t xml:space="preserve">, </w:t>
      </w:r>
      <w:r w:rsidRPr="0032057A">
        <w:rPr>
          <w:i/>
          <w:iCs/>
          <w:highlight w:val="white"/>
          <w:lang w:val="en-GB"/>
        </w:rPr>
        <w:t>9</w:t>
      </w:r>
      <w:r w:rsidRPr="0032057A">
        <w:rPr>
          <w:highlight w:val="white"/>
          <w:lang w:val="en-GB"/>
        </w:rPr>
        <w:t xml:space="preserve">(17), pp.18973-18983. </w:t>
      </w:r>
      <w:hyperlink r:id="rId12">
        <w:r w:rsidRPr="0032057A">
          <w:rPr>
            <w:highlight w:val="white"/>
            <w:lang w:val="en-GB"/>
          </w:rPr>
          <w:t>https://pubs.acs.org/doi/pdf/10.1021/acsomega.3c09488</w:t>
        </w:r>
      </w:hyperlink>
      <w:r w:rsidRPr="0032057A">
        <w:rPr>
          <w:highlight w:val="white"/>
          <w:lang w:val="en-GB"/>
        </w:rPr>
        <w:t xml:space="preserve"> </w:t>
      </w:r>
    </w:p>
    <w:p w14:paraId="4FF841B6"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McCarthy, M. (2025). </w:t>
      </w:r>
      <w:r w:rsidRPr="0032057A">
        <w:rPr>
          <w:i/>
          <w:iCs/>
          <w:highlight w:val="white"/>
          <w:lang w:val="en-GB"/>
        </w:rPr>
        <w:t>Understanding Role-Based Access Control (RBAC)</w:t>
      </w:r>
      <w:r w:rsidRPr="0032057A">
        <w:rPr>
          <w:highlight w:val="white"/>
          <w:lang w:val="en-GB"/>
        </w:rPr>
        <w:t xml:space="preserve">. [online] www.strongdm.com. Available at: </w:t>
      </w:r>
      <w:hyperlink r:id="rId13">
        <w:r w:rsidRPr="0032057A">
          <w:rPr>
            <w:highlight w:val="white"/>
            <w:lang w:val="en-GB"/>
          </w:rPr>
          <w:t>https://www.strongdm.com/rbac</w:t>
        </w:r>
      </w:hyperlink>
      <w:r w:rsidRPr="0032057A">
        <w:rPr>
          <w:highlight w:val="white"/>
          <w:lang w:val="en-GB"/>
        </w:rPr>
        <w:t xml:space="preserve">.  [Accessed 1 Apr. 2026]. </w:t>
      </w:r>
    </w:p>
    <w:p w14:paraId="01FDB8B0"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Mitra, P., (2025). Strategic Optimization of Data Backup Systems: Balancing Availability, Security and Cost in Financial Organizations. </w:t>
      </w:r>
      <w:hyperlink r:id="rId14">
        <w:r w:rsidRPr="0032057A">
          <w:rPr>
            <w:highlight w:val="white"/>
            <w:lang w:val="en-GB"/>
          </w:rPr>
          <w:t>https://www.theseus.fi/bitstream/handle/10024/889457/Mitra_Pulak.pdf?sequence=2</w:t>
        </w:r>
      </w:hyperlink>
      <w:r w:rsidRPr="0032057A">
        <w:rPr>
          <w:highlight w:val="white"/>
          <w:lang w:val="en-GB"/>
        </w:rPr>
        <w:t xml:space="preserve"> </w:t>
      </w:r>
    </w:p>
    <w:p w14:paraId="7DA2FC0B"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Said, W., Mostafa, E., Hassan, M.M. and Mostafa, A.M., (2022). A multi-factor authentication-based framework for identity management in cloud applications. </w:t>
      </w:r>
      <w:r w:rsidRPr="0032057A">
        <w:rPr>
          <w:i/>
          <w:iCs/>
          <w:highlight w:val="white"/>
          <w:lang w:val="en-GB"/>
        </w:rPr>
        <w:t>CMC-Computers Materials &amp; Continua</w:t>
      </w:r>
      <w:r w:rsidRPr="0032057A">
        <w:rPr>
          <w:highlight w:val="white"/>
          <w:lang w:val="en-GB"/>
        </w:rPr>
        <w:t xml:space="preserve">, </w:t>
      </w:r>
      <w:r w:rsidRPr="0032057A">
        <w:rPr>
          <w:i/>
          <w:iCs/>
          <w:highlight w:val="white"/>
          <w:lang w:val="en-GB"/>
        </w:rPr>
        <w:t>71</w:t>
      </w:r>
      <w:r w:rsidRPr="0032057A">
        <w:rPr>
          <w:highlight w:val="white"/>
          <w:lang w:val="en-GB"/>
        </w:rPr>
        <w:t xml:space="preserve">(2), pp.3193-3209. </w:t>
      </w:r>
      <w:hyperlink r:id="rId15">
        <w:r w:rsidRPr="0032057A">
          <w:rPr>
            <w:highlight w:val="white"/>
            <w:lang w:val="en-GB"/>
          </w:rPr>
          <w:t>https://www.academia.edu/download/93770826/pdf.pdf</w:t>
        </w:r>
      </w:hyperlink>
      <w:r w:rsidRPr="0032057A">
        <w:rPr>
          <w:highlight w:val="white"/>
          <w:lang w:val="en-GB"/>
        </w:rPr>
        <w:t xml:space="preserve"> </w:t>
      </w:r>
    </w:p>
    <w:p w14:paraId="70AC3678"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Splunk. (2025). </w:t>
      </w:r>
      <w:r w:rsidRPr="0032057A">
        <w:rPr>
          <w:i/>
          <w:iCs/>
          <w:highlight w:val="white"/>
          <w:lang w:val="en-GB"/>
        </w:rPr>
        <w:t>Splunk User Behavior Analytics (Splunk UBA) | Splunkbase</w:t>
      </w:r>
      <w:r w:rsidRPr="0032057A">
        <w:rPr>
          <w:highlight w:val="white"/>
          <w:lang w:val="en-GB"/>
        </w:rPr>
        <w:t xml:space="preserve">. [online] Available at: </w:t>
      </w:r>
      <w:hyperlink r:id="rId16">
        <w:r w:rsidRPr="0032057A">
          <w:rPr>
            <w:highlight w:val="white"/>
            <w:lang w:val="en-GB"/>
          </w:rPr>
          <w:t>https://splunkbase.splunk.com/app/2941</w:t>
        </w:r>
      </w:hyperlink>
      <w:r w:rsidRPr="0032057A">
        <w:rPr>
          <w:highlight w:val="white"/>
          <w:lang w:val="en-GB"/>
        </w:rPr>
        <w:t xml:space="preserve">.  [Accessed 1 Apr. 2026]. </w:t>
      </w:r>
    </w:p>
    <w:p w14:paraId="19B28FE8"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Statista. (2025). </w:t>
      </w:r>
      <w:r w:rsidRPr="0032057A">
        <w:rPr>
          <w:i/>
          <w:iCs/>
          <w:highlight w:val="white"/>
          <w:lang w:val="en-GB"/>
        </w:rPr>
        <w:t>Global firms targeted by ransomware 2025| Statista</w:t>
      </w:r>
      <w:r w:rsidRPr="0032057A">
        <w:rPr>
          <w:highlight w:val="white"/>
          <w:lang w:val="en-GB"/>
        </w:rPr>
        <w:t xml:space="preserve">. [online] Available at: https://www.statista.com/statistics/204457/businesses-ransomware-attack-rate/?srsltid=AfmBOoozAK_NX3qKVkAznEaYuqiXRACpp1YYqubimHoqs2pufmB4rrPj [Accessed 1 Apr. 2026]. </w:t>
      </w:r>
    </w:p>
    <w:p w14:paraId="724789ED"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TerryLanfear (2024). </w:t>
      </w:r>
      <w:r w:rsidRPr="0032057A">
        <w:rPr>
          <w:i/>
          <w:iCs/>
          <w:highlight w:val="white"/>
          <w:lang w:val="en-GB"/>
        </w:rPr>
        <w:t>Azure Backup and Restore Plan to Protect against Ransomware</w:t>
      </w:r>
      <w:r w:rsidRPr="0032057A">
        <w:rPr>
          <w:highlight w:val="white"/>
          <w:lang w:val="en-GB"/>
        </w:rPr>
        <w:t xml:space="preserve">. [online] learn.microsoft.com. Available at: </w:t>
      </w:r>
      <w:hyperlink r:id="rId17">
        <w:r w:rsidRPr="0032057A">
          <w:rPr>
            <w:highlight w:val="white"/>
            <w:lang w:val="en-GB"/>
          </w:rPr>
          <w:t>https://learn.microsoft.com/en-us/azure/security/fundamentals/backup-plan-to-protect-against-ransomware</w:t>
        </w:r>
      </w:hyperlink>
      <w:r w:rsidRPr="0032057A">
        <w:rPr>
          <w:highlight w:val="white"/>
          <w:lang w:val="en-GB"/>
        </w:rPr>
        <w:t xml:space="preserve">  [Accessed 1 Apr. 2026]. </w:t>
      </w:r>
    </w:p>
    <w:p w14:paraId="3D833059" w14:textId="77777777" w:rsidR="00A565A3" w:rsidRPr="0032057A" w:rsidRDefault="00A565A3" w:rsidP="00A565A3">
      <w:pPr>
        <w:pStyle w:val="Normal1"/>
        <w:spacing w:line="360" w:lineRule="auto"/>
        <w:jc w:val="both"/>
        <w:rPr>
          <w:highlight w:val="white"/>
          <w:lang w:val="en-GB"/>
        </w:rPr>
      </w:pPr>
      <w:r w:rsidRPr="0032057A">
        <w:rPr>
          <w:highlight w:val="white"/>
          <w:lang w:val="en-GB"/>
        </w:rPr>
        <w:lastRenderedPageBreak/>
        <w:t xml:space="preserve">UK Government (2025). </w:t>
      </w:r>
      <w:r w:rsidRPr="0032057A">
        <w:rPr>
          <w:i/>
          <w:iCs/>
          <w:highlight w:val="white"/>
          <w:lang w:val="en-GB"/>
        </w:rPr>
        <w:t>Data Protection Act</w:t>
      </w:r>
      <w:r w:rsidRPr="0032057A">
        <w:rPr>
          <w:highlight w:val="white"/>
          <w:lang w:val="en-GB"/>
        </w:rPr>
        <w:t xml:space="preserve">. [online] Gov.uk. Available at: </w:t>
      </w:r>
      <w:hyperlink r:id="rId18">
        <w:r w:rsidRPr="0032057A">
          <w:rPr>
            <w:highlight w:val="white"/>
            <w:lang w:val="en-GB"/>
          </w:rPr>
          <w:t>https://www.gov.uk/data-protection</w:t>
        </w:r>
      </w:hyperlink>
      <w:r w:rsidRPr="0032057A">
        <w:rPr>
          <w:highlight w:val="white"/>
          <w:lang w:val="en-GB"/>
        </w:rPr>
        <w:t xml:space="preserve">. [Accessed 1 Apr. 2026]. </w:t>
      </w:r>
    </w:p>
    <w:p w14:paraId="6CE2ABDC"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Unigwe, M., (2022). </w:t>
      </w:r>
      <w:r w:rsidRPr="0032057A">
        <w:rPr>
          <w:i/>
          <w:iCs/>
          <w:highlight w:val="white"/>
          <w:lang w:val="en-GB"/>
        </w:rPr>
        <w:t>The views of information security professionals toward information security objectives: confidentiality, integrity, and availability triad</w:t>
      </w:r>
      <w:r w:rsidRPr="0032057A">
        <w:rPr>
          <w:highlight w:val="white"/>
          <w:lang w:val="en-GB"/>
        </w:rPr>
        <w:t>. Trident University International.</w:t>
      </w:r>
    </w:p>
    <w:p w14:paraId="4EE7F57B" w14:textId="77777777" w:rsidR="00A565A3" w:rsidRPr="0032057A" w:rsidRDefault="00A565A3" w:rsidP="00A565A3">
      <w:pPr>
        <w:pStyle w:val="Normal1"/>
        <w:spacing w:line="360" w:lineRule="auto"/>
        <w:jc w:val="both"/>
        <w:rPr>
          <w:highlight w:val="white"/>
          <w:lang w:val="en-GB"/>
        </w:rPr>
      </w:pPr>
      <w:r w:rsidRPr="0032057A">
        <w:rPr>
          <w:highlight w:val="white"/>
          <w:lang w:val="en-GB"/>
        </w:rPr>
        <w:t xml:space="preserve">Willie, M.M., (2023). The role of organizational culture in cybersecurity: building a security-first culture. </w:t>
      </w:r>
      <w:r w:rsidRPr="0032057A">
        <w:rPr>
          <w:i/>
          <w:iCs/>
          <w:highlight w:val="white"/>
          <w:lang w:val="en-GB"/>
        </w:rPr>
        <w:t>Journal of Research, Innovation and Technologies</w:t>
      </w:r>
      <w:r w:rsidRPr="0032057A">
        <w:rPr>
          <w:highlight w:val="white"/>
          <w:lang w:val="en-GB"/>
        </w:rPr>
        <w:t xml:space="preserve">, </w:t>
      </w:r>
      <w:r w:rsidRPr="0032057A">
        <w:rPr>
          <w:i/>
          <w:iCs/>
          <w:highlight w:val="white"/>
          <w:lang w:val="en-GB"/>
        </w:rPr>
        <w:t>2</w:t>
      </w:r>
      <w:r w:rsidRPr="0032057A">
        <w:rPr>
          <w:highlight w:val="white"/>
          <w:lang w:val="en-GB"/>
        </w:rPr>
        <w:t xml:space="preserve">(2 (4)), pp.179-198. </w:t>
      </w:r>
      <w:hyperlink r:id="rId19">
        <w:r w:rsidRPr="0032057A">
          <w:rPr>
            <w:highlight w:val="white"/>
            <w:lang w:val="en-GB"/>
          </w:rPr>
          <w:t>https://papers.ssrn.com/sol3/Delivery.cfm?abstractid=4564291</w:t>
        </w:r>
      </w:hyperlink>
    </w:p>
    <w:p w14:paraId="33C15284" w14:textId="77777777" w:rsidR="00D63EF3" w:rsidRPr="0032057A" w:rsidRDefault="00D63EF3" w:rsidP="00A565A3">
      <w:pPr>
        <w:pStyle w:val="Normal1"/>
        <w:spacing w:line="360" w:lineRule="auto"/>
        <w:jc w:val="both"/>
        <w:rPr>
          <w:b/>
          <w:lang w:val="en-GB"/>
        </w:rPr>
      </w:pPr>
      <w:r w:rsidRPr="0032057A">
        <w:rPr>
          <w:b/>
          <w:lang w:val="en-GB"/>
        </w:rPr>
        <w:t>Presentation</w:t>
      </w:r>
    </w:p>
    <w:p w14:paraId="1A875BD6"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Aslaner, M., (2024). </w:t>
      </w:r>
      <w:r w:rsidRPr="0032057A">
        <w:rPr>
          <w:rFonts w:ascii="Arial" w:hAnsi="Arial" w:cs="Arial"/>
          <w:i/>
          <w:iCs/>
          <w:color w:val="000000"/>
          <w:sz w:val="22"/>
          <w:szCs w:val="22"/>
          <w:shd w:val="clear" w:color="auto" w:fill="FFFFFF"/>
          <w:lang w:val="en-GB"/>
        </w:rPr>
        <w:t>Cybersecurity Strategies and Best Practices: A comprehensive guide to mastering enterprise cyber defense tactics and techniques</w:t>
      </w:r>
      <w:r w:rsidRPr="0032057A">
        <w:rPr>
          <w:rFonts w:ascii="Arial" w:hAnsi="Arial" w:cs="Arial"/>
          <w:color w:val="000000"/>
          <w:sz w:val="22"/>
          <w:szCs w:val="22"/>
          <w:shd w:val="clear" w:color="auto" w:fill="FFFFFF"/>
          <w:lang w:val="en-GB"/>
        </w:rPr>
        <w:t>. Packt Publishing Ltd.</w:t>
      </w:r>
    </w:p>
    <w:p w14:paraId="55DAD7F7"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CertiProf LLC (2024). </w:t>
      </w:r>
      <w:r w:rsidRPr="0032057A">
        <w:rPr>
          <w:rFonts w:ascii="Arial" w:hAnsi="Arial" w:cs="Arial"/>
          <w:i/>
          <w:iCs/>
          <w:color w:val="000000"/>
          <w:sz w:val="22"/>
          <w:szCs w:val="22"/>
          <w:shd w:val="clear" w:color="auto" w:fill="FFFFFF"/>
          <w:lang w:val="en-GB"/>
        </w:rPr>
        <w:t>What Is Cybersecurity and Why Should It Be Your Priority?</w:t>
      </w:r>
      <w:r w:rsidRPr="0032057A">
        <w:rPr>
          <w:rFonts w:ascii="Arial" w:hAnsi="Arial" w:cs="Arial"/>
          <w:color w:val="000000"/>
          <w:sz w:val="22"/>
          <w:szCs w:val="22"/>
          <w:shd w:val="clear" w:color="auto" w:fill="FFFFFF"/>
          <w:lang w:val="en-GB"/>
        </w:rPr>
        <w:t xml:space="preserve"> [online] CertiProf | International. Available at: https://certiprof.com/news/cybersecurity-protect-your-data-systems?srsltid=AfmBOoq2gFWvN_EfQ89zoVLxm-Oq6wl6_gHwehjycPKsB6o7GTp4jWUA [Accessed 1 Apr. 2026]. </w:t>
      </w:r>
    </w:p>
    <w:p w14:paraId="479BF38D"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Mallick, M.A.I. and Nath, R., (2024). Navigating the cyber security landscape: A comprehensive review of cyber-attacks, emerging trends, and recent developments. </w:t>
      </w:r>
      <w:r w:rsidRPr="0032057A">
        <w:rPr>
          <w:rFonts w:ascii="Arial" w:hAnsi="Arial" w:cs="Arial"/>
          <w:i/>
          <w:iCs/>
          <w:color w:val="000000"/>
          <w:sz w:val="22"/>
          <w:szCs w:val="22"/>
          <w:shd w:val="clear" w:color="auto" w:fill="FFFFFF"/>
          <w:lang w:val="en-GB"/>
        </w:rPr>
        <w:t>World Scientific News</w:t>
      </w:r>
      <w:r w:rsidRPr="0032057A">
        <w:rPr>
          <w:rFonts w:ascii="Arial" w:hAnsi="Arial" w:cs="Arial"/>
          <w:color w:val="000000"/>
          <w:sz w:val="22"/>
          <w:szCs w:val="22"/>
          <w:shd w:val="clear" w:color="auto" w:fill="FFFFFF"/>
          <w:lang w:val="en-GB"/>
        </w:rPr>
        <w:t xml:space="preserve">, </w:t>
      </w:r>
      <w:r w:rsidRPr="0032057A">
        <w:rPr>
          <w:rFonts w:ascii="Arial" w:hAnsi="Arial" w:cs="Arial"/>
          <w:i/>
          <w:iCs/>
          <w:color w:val="000000"/>
          <w:sz w:val="22"/>
          <w:szCs w:val="22"/>
          <w:shd w:val="clear" w:color="auto" w:fill="FFFFFF"/>
          <w:lang w:val="en-GB"/>
        </w:rPr>
        <w:t>190</w:t>
      </w:r>
      <w:r w:rsidRPr="0032057A">
        <w:rPr>
          <w:rFonts w:ascii="Arial" w:hAnsi="Arial" w:cs="Arial"/>
          <w:color w:val="000000"/>
          <w:sz w:val="22"/>
          <w:szCs w:val="22"/>
          <w:shd w:val="clear" w:color="auto" w:fill="FFFFFF"/>
          <w:lang w:val="en-GB"/>
        </w:rPr>
        <w:t xml:space="preserve">(1), pp.1-69. </w:t>
      </w:r>
      <w:hyperlink r:id="rId20" w:history="1">
        <w:r w:rsidRPr="0032057A">
          <w:rPr>
            <w:rStyle w:val="Hyperlink"/>
            <w:rFonts w:ascii="Arial" w:hAnsi="Arial" w:cs="Arial"/>
            <w:color w:val="000000"/>
            <w:sz w:val="22"/>
            <w:szCs w:val="22"/>
            <w:u w:val="none"/>
            <w:shd w:val="clear" w:color="auto" w:fill="FFFFFF"/>
            <w:lang w:val="en-GB"/>
          </w:rPr>
          <w:t>https://worldscientificnews.com/wp-content/uploads/2024/01/WSN-1901-2024-1-69-1.pdf</w:t>
        </w:r>
      </w:hyperlink>
      <w:r w:rsidRPr="0032057A">
        <w:rPr>
          <w:rFonts w:ascii="Arial" w:hAnsi="Arial" w:cs="Arial"/>
          <w:color w:val="000000"/>
          <w:sz w:val="22"/>
          <w:szCs w:val="22"/>
          <w:shd w:val="clear" w:color="auto" w:fill="FFFFFF"/>
          <w:lang w:val="en-GB"/>
        </w:rPr>
        <w:t> </w:t>
      </w:r>
    </w:p>
    <w:p w14:paraId="44DB3360"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Statista. (2025). </w:t>
      </w:r>
      <w:r w:rsidRPr="0032057A">
        <w:rPr>
          <w:rFonts w:ascii="Arial" w:hAnsi="Arial" w:cs="Arial"/>
          <w:i/>
          <w:iCs/>
          <w:color w:val="000000"/>
          <w:sz w:val="22"/>
          <w:szCs w:val="22"/>
          <w:shd w:val="clear" w:color="auto" w:fill="FFFFFF"/>
          <w:lang w:val="en-GB"/>
        </w:rPr>
        <w:t>Global firms targeted by ransomware 2025| Statista</w:t>
      </w:r>
      <w:r w:rsidRPr="0032057A">
        <w:rPr>
          <w:rFonts w:ascii="Arial" w:hAnsi="Arial" w:cs="Arial"/>
          <w:color w:val="000000"/>
          <w:sz w:val="22"/>
          <w:szCs w:val="22"/>
          <w:shd w:val="clear" w:color="auto" w:fill="FFFFFF"/>
          <w:lang w:val="en-GB"/>
        </w:rPr>
        <w:t>. [online] Available at: https://www.statista.com/statistics/204457/businesses-ransomware-attack-rate/?srsltid=AfmBOoozAK_NX3qKVkAznEaYuqiXRACpp1YYqubimHoqs2pufmB4rrPj [Accessed 1 Apr. 2026]. </w:t>
      </w:r>
    </w:p>
    <w:p w14:paraId="284ECAD5"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Unigwe, M., (2022). </w:t>
      </w:r>
      <w:r w:rsidRPr="0032057A">
        <w:rPr>
          <w:rFonts w:ascii="Arial" w:hAnsi="Arial" w:cs="Arial"/>
          <w:i/>
          <w:iCs/>
          <w:color w:val="000000"/>
          <w:sz w:val="22"/>
          <w:szCs w:val="22"/>
          <w:shd w:val="clear" w:color="auto" w:fill="FFFFFF"/>
          <w:lang w:val="en-GB"/>
        </w:rPr>
        <w:t>The views of information security professionals toward information security objectives: confidentiality, integrity, and availability triad</w:t>
      </w:r>
      <w:r w:rsidRPr="0032057A">
        <w:rPr>
          <w:rFonts w:ascii="Arial" w:hAnsi="Arial" w:cs="Arial"/>
          <w:color w:val="000000"/>
          <w:sz w:val="22"/>
          <w:szCs w:val="22"/>
          <w:shd w:val="clear" w:color="auto" w:fill="FFFFFF"/>
          <w:lang w:val="en-GB"/>
        </w:rPr>
        <w:t>. Trident University International.</w:t>
      </w:r>
    </w:p>
    <w:p w14:paraId="71C828DD" w14:textId="77777777" w:rsidR="00D63EF3" w:rsidRPr="0032057A" w:rsidRDefault="00D63EF3" w:rsidP="00D63EF3">
      <w:pPr>
        <w:pStyle w:val="NormalWeb"/>
        <w:spacing w:before="0" w:beforeAutospacing="0" w:after="0" w:afterAutospacing="0" w:line="360" w:lineRule="auto"/>
        <w:jc w:val="both"/>
        <w:rPr>
          <w:rFonts w:ascii="Arial" w:hAnsi="Arial" w:cs="Arial"/>
          <w:sz w:val="22"/>
          <w:szCs w:val="22"/>
          <w:lang w:val="en-GB"/>
        </w:rPr>
      </w:pPr>
      <w:r w:rsidRPr="0032057A">
        <w:rPr>
          <w:rFonts w:ascii="Arial" w:hAnsi="Arial" w:cs="Arial"/>
          <w:color w:val="000000"/>
          <w:sz w:val="22"/>
          <w:szCs w:val="22"/>
          <w:shd w:val="clear" w:color="auto" w:fill="FFFFFF"/>
          <w:lang w:val="en-GB"/>
        </w:rPr>
        <w:t xml:space="preserve">Willie, M.M., (2023). The role of organizational culture in cybersecurity: building a security-first culture. </w:t>
      </w:r>
      <w:r w:rsidRPr="0032057A">
        <w:rPr>
          <w:rFonts w:ascii="Arial" w:hAnsi="Arial" w:cs="Arial"/>
          <w:i/>
          <w:iCs/>
          <w:color w:val="000000"/>
          <w:sz w:val="22"/>
          <w:szCs w:val="22"/>
          <w:shd w:val="clear" w:color="auto" w:fill="FFFFFF"/>
          <w:lang w:val="en-GB"/>
        </w:rPr>
        <w:t>Journal of Research, Innovation and Technologies</w:t>
      </w:r>
      <w:r w:rsidRPr="0032057A">
        <w:rPr>
          <w:rFonts w:ascii="Arial" w:hAnsi="Arial" w:cs="Arial"/>
          <w:color w:val="000000"/>
          <w:sz w:val="22"/>
          <w:szCs w:val="22"/>
          <w:shd w:val="clear" w:color="auto" w:fill="FFFFFF"/>
          <w:lang w:val="en-GB"/>
        </w:rPr>
        <w:t xml:space="preserve">, </w:t>
      </w:r>
      <w:r w:rsidRPr="0032057A">
        <w:rPr>
          <w:rFonts w:ascii="Arial" w:hAnsi="Arial" w:cs="Arial"/>
          <w:i/>
          <w:iCs/>
          <w:color w:val="000000"/>
          <w:sz w:val="22"/>
          <w:szCs w:val="22"/>
          <w:shd w:val="clear" w:color="auto" w:fill="FFFFFF"/>
          <w:lang w:val="en-GB"/>
        </w:rPr>
        <w:t>2</w:t>
      </w:r>
      <w:r w:rsidRPr="0032057A">
        <w:rPr>
          <w:rFonts w:ascii="Arial" w:hAnsi="Arial" w:cs="Arial"/>
          <w:color w:val="000000"/>
          <w:sz w:val="22"/>
          <w:szCs w:val="22"/>
          <w:shd w:val="clear" w:color="auto" w:fill="FFFFFF"/>
          <w:lang w:val="en-GB"/>
        </w:rPr>
        <w:t>(2 (4)), pp.179-198.</w:t>
      </w:r>
      <w:hyperlink r:id="rId21" w:history="1">
        <w:r w:rsidRPr="0032057A">
          <w:rPr>
            <w:rStyle w:val="Hyperlink"/>
            <w:rFonts w:ascii="Arial" w:hAnsi="Arial" w:cs="Arial"/>
            <w:color w:val="000000"/>
            <w:sz w:val="22"/>
            <w:szCs w:val="22"/>
            <w:u w:val="none"/>
            <w:shd w:val="clear" w:color="auto" w:fill="FFFFFF"/>
            <w:lang w:val="en-GB"/>
          </w:rPr>
          <w:t xml:space="preserve"> https://papers.ssrn.com/sol3/Delivery.cfm?abstractid=4564291</w:t>
        </w:r>
      </w:hyperlink>
    </w:p>
    <w:p w14:paraId="26D49E2C"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45C4C970" w14:textId="77777777" w:rsidR="00565E0F" w:rsidRPr="0032057A" w:rsidRDefault="00981DB7" w:rsidP="00A565A3">
      <w:pPr>
        <w:pStyle w:val="Heading1"/>
        <w:spacing w:before="0"/>
        <w:rPr>
          <w:highlight w:val="white"/>
          <w:lang w:val="en-GB"/>
        </w:rPr>
      </w:pPr>
      <w:bookmarkStart w:id="8" w:name="_Toc225957599"/>
      <w:r w:rsidRPr="0032057A">
        <w:rPr>
          <w:highlight w:val="white"/>
          <w:lang w:val="en-GB"/>
        </w:rPr>
        <w:lastRenderedPageBreak/>
        <w:t>Appendix: Presentation</w:t>
      </w:r>
      <w:bookmarkEnd w:id="8"/>
      <w:r w:rsidRPr="0032057A">
        <w:rPr>
          <w:highlight w:val="white"/>
          <w:lang w:val="en-GB"/>
        </w:rPr>
        <w:t xml:space="preserve"> </w:t>
      </w:r>
    </w:p>
    <w:p w14:paraId="2970A428"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t xml:space="preserve">Slide 1: Title Slide </w:t>
      </w:r>
    </w:p>
    <w:p w14:paraId="61565D88" w14:textId="77777777" w:rsidR="00A565A3" w:rsidRPr="0032057A" w:rsidRDefault="00D63EF3" w:rsidP="00D63EF3">
      <w:pPr>
        <w:jc w:val="center"/>
        <w:rPr>
          <w:b/>
          <w:bCs/>
          <w:highlight w:val="white"/>
          <w:lang w:val="en-GB"/>
        </w:rPr>
      </w:pPr>
      <w:r w:rsidRPr="0032057A">
        <w:rPr>
          <w:b/>
          <w:bCs/>
          <w:noProof/>
          <w:lang w:val="en-GB"/>
        </w:rPr>
        <w:drawing>
          <wp:inline distT="0" distB="0" distL="0" distR="0" wp14:anchorId="26F541E1" wp14:editId="7E5F7036">
            <wp:extent cx="5733415" cy="3230245"/>
            <wp:effectExtent l="19050" t="19050" r="63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3415" cy="3230245"/>
                    </a:xfrm>
                    <a:prstGeom prst="rect">
                      <a:avLst/>
                    </a:prstGeom>
                    <a:ln>
                      <a:solidFill>
                        <a:schemeClr val="tx1"/>
                      </a:solidFill>
                    </a:ln>
                  </pic:spPr>
                </pic:pic>
              </a:graphicData>
            </a:graphic>
          </wp:inline>
        </w:drawing>
      </w:r>
      <w:r w:rsidR="00A565A3" w:rsidRPr="0032057A">
        <w:rPr>
          <w:b/>
          <w:bCs/>
          <w:highlight w:val="white"/>
          <w:lang w:val="en-GB"/>
        </w:rPr>
        <w:br w:type="page"/>
      </w:r>
    </w:p>
    <w:p w14:paraId="494F23CA"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 xml:space="preserve">Slide 2: Introduction </w:t>
      </w:r>
    </w:p>
    <w:p w14:paraId="7C1CE01C"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257ACE60" wp14:editId="200DF36D">
            <wp:extent cx="5733415" cy="3230245"/>
            <wp:effectExtent l="19050" t="19050" r="63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3415" cy="3230245"/>
                    </a:xfrm>
                    <a:prstGeom prst="rect">
                      <a:avLst/>
                    </a:prstGeom>
                    <a:ln>
                      <a:solidFill>
                        <a:schemeClr val="tx1"/>
                      </a:solidFill>
                    </a:ln>
                  </pic:spPr>
                </pic:pic>
              </a:graphicData>
            </a:graphic>
          </wp:inline>
        </w:drawing>
      </w:r>
    </w:p>
    <w:p w14:paraId="7ACE894E"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Speaker Note </w:t>
      </w:r>
    </w:p>
    <w:p w14:paraId="60766E58"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In my opinion, cybersecurity is essential for organisations like HPA in protecting sensitive information such as patients' data and records, increasing trust between the brand and its consumers. These securities also help in increasing patients' trust towards HPA and secure financial assets from evolving threats such as ransomware and cloud-attacks. These securities can also enhance the operational continuity of HPA by effectively preventing data breaches, decreasing downtime, and handling regulatory compliance, helping to avoid massive fines and reputational challenges. </w:t>
      </w:r>
    </w:p>
    <w:p w14:paraId="3A740D4C" w14:textId="77777777" w:rsidR="00A565A3" w:rsidRPr="0032057A" w:rsidRDefault="00A565A3">
      <w:pPr>
        <w:rPr>
          <w:b/>
          <w:bCs/>
          <w:highlight w:val="white"/>
          <w:lang w:val="en-GB"/>
        </w:rPr>
      </w:pPr>
      <w:r w:rsidRPr="0032057A">
        <w:rPr>
          <w:b/>
          <w:bCs/>
          <w:highlight w:val="white"/>
          <w:lang w:val="en-GB"/>
        </w:rPr>
        <w:br w:type="page"/>
      </w:r>
    </w:p>
    <w:p w14:paraId="112EE298"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Slide 3: Identification of Threats</w:t>
      </w:r>
    </w:p>
    <w:p w14:paraId="4EB7ADB8"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431376A0" wp14:editId="000EC0E6">
            <wp:extent cx="5733415" cy="3230245"/>
            <wp:effectExtent l="19050" t="19050" r="63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3230245"/>
                    </a:xfrm>
                    <a:prstGeom prst="rect">
                      <a:avLst/>
                    </a:prstGeom>
                    <a:ln>
                      <a:solidFill>
                        <a:schemeClr val="tx1"/>
                      </a:solidFill>
                    </a:ln>
                  </pic:spPr>
                </pic:pic>
              </a:graphicData>
            </a:graphic>
          </wp:inline>
        </w:drawing>
      </w:r>
    </w:p>
    <w:p w14:paraId="77905723"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Speaker Note</w:t>
      </w:r>
    </w:p>
    <w:p w14:paraId="776BDE1C"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 think that ransomware is one of the most significant cybersecurity threats facing HPA, evolving from simple data encryption into multi-layered extortion campaigns. The increased incidents, according to the statistics reports, have occurred due to the poor cybersecurity measures and policies in the operations. According to this threat, HPA is under pressure to control its internal vulnerabilities, such as poor configuration, as well as employee negligence issues. The slow following of the industry standards and cybersecurity acts, such as GDPR, reduces the ability of HPA in managing its vast networks and patients' datasets in their online networks and servers. The cyber attackers encrypt the HPA’s confidential data through ransomware successfully, which also promotes insufficient access control and poor data privacy policies. These factors significantly decrease the capability of HPA in handling brand reputation in an environment where the brand needs to set effective policies by following the key and main industry standards and acts.  </w:t>
      </w:r>
    </w:p>
    <w:p w14:paraId="0034D6E1"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06242F36"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Slide 4: Security Policies</w:t>
      </w:r>
    </w:p>
    <w:p w14:paraId="3533EA4F"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3C687F33" wp14:editId="58F08CCB">
            <wp:extent cx="5733415" cy="3230245"/>
            <wp:effectExtent l="19050" t="19050" r="63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3415" cy="3230245"/>
                    </a:xfrm>
                    <a:prstGeom prst="rect">
                      <a:avLst/>
                    </a:prstGeom>
                    <a:ln>
                      <a:solidFill>
                        <a:schemeClr val="tx1"/>
                      </a:solidFill>
                    </a:ln>
                  </pic:spPr>
                </pic:pic>
              </a:graphicData>
            </a:graphic>
          </wp:inline>
        </w:drawing>
      </w:r>
    </w:p>
    <w:p w14:paraId="23B0A9AF"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Speaker Note</w:t>
      </w:r>
    </w:p>
    <w:p w14:paraId="4B6A6F16"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 think that these three policies are significant for HPA, directly aligning with the NIST, ISO 27001, and GDPR acts and industry standards. HPA needs to strengthen its networking defence against the cyber threats aligned with the acts and industry standards frameworks, leading to increased ability to protect patients' data from unauthorized access. The key recommendations based on this act such as implementation of role-based access control, rigorous data classification and mandatory MFA for admin access, enhancing ransomware resilience and ensuring compliance with privacy and security standards. According to the ISO and NIST standards, HPA needs to implement a security and privacy approach, such as cloud configuration standards, continuous monitoring, and network segmentation, securing online networks and infrastructure. Additionally, the company can also adopt immutable backups, patch </w:t>
      </w:r>
      <w:r w:rsidR="00A565A3" w:rsidRPr="0032057A">
        <w:rPr>
          <w:highlight w:val="white"/>
          <w:lang w:val="en-GB"/>
        </w:rPr>
        <w:t>management,</w:t>
      </w:r>
      <w:r w:rsidRPr="0032057A">
        <w:rPr>
          <w:highlight w:val="white"/>
          <w:lang w:val="en-GB"/>
        </w:rPr>
        <w:t xml:space="preserve"> and a 72-hour incident response plan, which helps in ensuring resilience, compliance with data breach and data recovery requirements. </w:t>
      </w:r>
    </w:p>
    <w:p w14:paraId="4D346C48"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6F2ADAAC"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Slide 5: Mitigation Measures</w:t>
      </w:r>
    </w:p>
    <w:p w14:paraId="5A13F47D"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10733C20" wp14:editId="494A0B2E">
            <wp:extent cx="5733415" cy="3230245"/>
            <wp:effectExtent l="19050" t="1905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3415" cy="3230245"/>
                    </a:xfrm>
                    <a:prstGeom prst="rect">
                      <a:avLst/>
                    </a:prstGeom>
                    <a:ln>
                      <a:solidFill>
                        <a:schemeClr val="tx1"/>
                      </a:solidFill>
                    </a:ln>
                  </pic:spPr>
                </pic:pic>
              </a:graphicData>
            </a:graphic>
          </wp:inline>
        </w:drawing>
      </w:r>
    </w:p>
    <w:p w14:paraId="4A9750ED"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Speaker Note </w:t>
      </w:r>
    </w:p>
    <w:p w14:paraId="2A08750E"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In my opinion, these </w:t>
      </w:r>
      <w:r w:rsidR="00A565A3" w:rsidRPr="0032057A">
        <w:rPr>
          <w:highlight w:val="white"/>
          <w:lang w:val="en-GB"/>
        </w:rPr>
        <w:t>key mitigation measures</w:t>
      </w:r>
      <w:r w:rsidRPr="0032057A">
        <w:rPr>
          <w:highlight w:val="white"/>
          <w:lang w:val="en-GB"/>
        </w:rPr>
        <w:t xml:space="preserve"> can increase the flexibility and confidence among HPA’s employees to effectively tackle the cybersecurity threats in future. HPA may adopt air-gapped immutable backups, using WORM storage, which is supported by Microsoft Azure Platform’s security capabilities. This approach can increase the opportunity for the company to ensure data integrity, prevent unauthorized deletion and encryption through providing recovery options to the company against ransomware and insider threats. On the other hand, the implementation of CSPC can also be a significant mitigation measure, leading to a secure cloud infrastructure against ransomware and </w:t>
      </w:r>
      <w:r w:rsidR="00A565A3" w:rsidRPr="0032057A">
        <w:rPr>
          <w:highlight w:val="white"/>
          <w:lang w:val="en-GB"/>
        </w:rPr>
        <w:t>third party</w:t>
      </w:r>
      <w:r w:rsidRPr="0032057A">
        <w:rPr>
          <w:highlight w:val="white"/>
          <w:lang w:val="en-GB"/>
        </w:rPr>
        <w:t xml:space="preserve"> threats. The company can adopt IaC reviews and automated patching, </w:t>
      </w:r>
      <w:r w:rsidR="00A565A3" w:rsidRPr="0032057A">
        <w:rPr>
          <w:highlight w:val="white"/>
          <w:lang w:val="en-GB"/>
        </w:rPr>
        <w:t>helping</w:t>
      </w:r>
      <w:r w:rsidRPr="0032057A">
        <w:rPr>
          <w:highlight w:val="white"/>
          <w:lang w:val="en-GB"/>
        </w:rPr>
        <w:t xml:space="preserve"> in mitigating configuration vulnerabilities. Moreover, HPA can also use Splunk UBA and StrongDM tools, leading to increased opportunity for the brand to automate, monitor, and enforce unauthorised access in the servers and networks, directly enhancing threat detection as well as decreasing internal challenges. </w:t>
      </w:r>
    </w:p>
    <w:p w14:paraId="217F7593"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31CE59ED"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Slide 6: Monitoring and Response</w:t>
      </w:r>
    </w:p>
    <w:p w14:paraId="545CA48D"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0577A79E" wp14:editId="38E0A114">
            <wp:extent cx="5733415" cy="3230245"/>
            <wp:effectExtent l="19050" t="19050" r="63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3415" cy="3230245"/>
                    </a:xfrm>
                    <a:prstGeom prst="rect">
                      <a:avLst/>
                    </a:prstGeom>
                    <a:ln>
                      <a:solidFill>
                        <a:schemeClr val="tx1"/>
                      </a:solidFill>
                    </a:ln>
                  </pic:spPr>
                </pic:pic>
              </a:graphicData>
            </a:graphic>
          </wp:inline>
        </w:drawing>
      </w:r>
    </w:p>
    <w:p w14:paraId="01218BB2"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Speaker Note </w:t>
      </w:r>
    </w:p>
    <w:p w14:paraId="7EF8D04D"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In my view, it can be stated that the CIA can help HPA to secure patients' information by successfully implementing strict RBAC, FIM, MFA, and data encryption. In addition, the company can also deploy real-time SIEM and cloud backups in order to ensure data integrity and rapid restoration. On the other hand, the implementation of the structured incident response plan leads to increased advantage to HPA in combating ransomware issues. </w:t>
      </w:r>
      <w:r w:rsidR="00A565A3" w:rsidRPr="0032057A">
        <w:rPr>
          <w:highlight w:val="white"/>
          <w:lang w:val="en-GB"/>
        </w:rPr>
        <w:t>The key practices includes d</w:t>
      </w:r>
      <w:r w:rsidRPr="0032057A">
        <w:rPr>
          <w:highlight w:val="white"/>
          <w:lang w:val="en-GB"/>
        </w:rPr>
        <w:t xml:space="preserve">isabling compromised credentials, utilizing immutable backups and patching vulnerabilities that are significant for HPA in successfully responding against the </w:t>
      </w:r>
      <w:r w:rsidR="00A565A3" w:rsidRPr="0032057A">
        <w:rPr>
          <w:highlight w:val="white"/>
          <w:lang w:val="en-GB"/>
        </w:rPr>
        <w:t>cyber threats</w:t>
      </w:r>
      <w:r w:rsidRPr="0032057A">
        <w:rPr>
          <w:highlight w:val="white"/>
          <w:lang w:val="en-GB"/>
        </w:rPr>
        <w:t xml:space="preserve">. </w:t>
      </w:r>
      <w:r w:rsidR="00A565A3" w:rsidRPr="0032057A">
        <w:rPr>
          <w:highlight w:val="white"/>
          <w:lang w:val="en-GB"/>
        </w:rPr>
        <w:t>Enforcing</w:t>
      </w:r>
      <w:r w:rsidRPr="0032057A">
        <w:rPr>
          <w:highlight w:val="white"/>
          <w:lang w:val="en-GB"/>
        </w:rPr>
        <w:t xml:space="preserve"> secure cloud configuration, workers' training for security aware</w:t>
      </w:r>
      <w:r w:rsidR="00A565A3" w:rsidRPr="0032057A">
        <w:rPr>
          <w:highlight w:val="white"/>
          <w:lang w:val="en-GB"/>
        </w:rPr>
        <w:t xml:space="preserve">ness and continuous monitoring are the key suggestions </w:t>
      </w:r>
      <w:r w:rsidRPr="0032057A">
        <w:rPr>
          <w:highlight w:val="white"/>
          <w:lang w:val="en-GB"/>
        </w:rPr>
        <w:t xml:space="preserve">directly enhance system integrity and data privacy practices. </w:t>
      </w:r>
    </w:p>
    <w:p w14:paraId="2A5C135C"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295F7954"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Slide 7: Training and Awareness</w:t>
      </w:r>
    </w:p>
    <w:p w14:paraId="4EBE5B3D"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675C5315" wp14:editId="16A4DC77">
            <wp:extent cx="5733415" cy="3230245"/>
            <wp:effectExtent l="19050" t="19050" r="63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3415" cy="3230245"/>
                    </a:xfrm>
                    <a:prstGeom prst="rect">
                      <a:avLst/>
                    </a:prstGeom>
                    <a:ln>
                      <a:solidFill>
                        <a:schemeClr val="tx1"/>
                      </a:solidFill>
                    </a:ln>
                  </pic:spPr>
                </pic:pic>
              </a:graphicData>
            </a:graphic>
          </wp:inline>
        </w:drawing>
      </w:r>
    </w:p>
    <w:p w14:paraId="77BF1730"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Speaker Note </w:t>
      </w:r>
    </w:p>
    <w:p w14:paraId="78E97915"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 think that the key elements, such as Role-based scenarios, gamification, and just-in-time feedback, need to be implemented through training and security awareness programs by HPA. Role-based scenarios can increase employee experiences to successfully gain knowledge regarding the cybersecurity policies and practices. Additionally, just-in-time feedback and gamification are two other factors that can increase engagement, enhance knowledge retention, and provide real-time skill application, which makes training efficient and memorable. </w:t>
      </w:r>
    </w:p>
    <w:p w14:paraId="2FD70328" w14:textId="77777777" w:rsidR="00565E0F" w:rsidRPr="0032057A" w:rsidRDefault="00981DB7" w:rsidP="00A565A3">
      <w:pPr>
        <w:pStyle w:val="Normal1"/>
        <w:spacing w:line="360" w:lineRule="auto"/>
        <w:jc w:val="both"/>
        <w:rPr>
          <w:b/>
          <w:bCs/>
          <w:highlight w:val="white"/>
          <w:lang w:val="en-GB"/>
        </w:rPr>
      </w:pPr>
      <w:r w:rsidRPr="0032057A">
        <w:rPr>
          <w:lang w:val="en-GB"/>
        </w:rPr>
        <w:br w:type="page"/>
      </w:r>
    </w:p>
    <w:p w14:paraId="66A0D7FE"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 xml:space="preserve">Slide 8: Conclusion </w:t>
      </w:r>
    </w:p>
    <w:p w14:paraId="438B0989" w14:textId="77777777" w:rsidR="00B95266" w:rsidRPr="0032057A" w:rsidRDefault="00D63EF3" w:rsidP="00D63EF3">
      <w:pPr>
        <w:pStyle w:val="Normal1"/>
        <w:spacing w:line="360" w:lineRule="auto"/>
        <w:jc w:val="center"/>
        <w:rPr>
          <w:highlight w:val="white"/>
          <w:lang w:val="en-GB"/>
        </w:rPr>
      </w:pPr>
      <w:r w:rsidRPr="0032057A">
        <w:rPr>
          <w:noProof/>
          <w:lang w:val="en-GB" w:eastAsia="en-IN"/>
        </w:rPr>
        <w:drawing>
          <wp:inline distT="0" distB="0" distL="0" distR="0" wp14:anchorId="4953E4A6" wp14:editId="4879FDB7">
            <wp:extent cx="5733415" cy="3230245"/>
            <wp:effectExtent l="19050" t="19050" r="63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3415" cy="3230245"/>
                    </a:xfrm>
                    <a:prstGeom prst="rect">
                      <a:avLst/>
                    </a:prstGeom>
                    <a:ln>
                      <a:solidFill>
                        <a:schemeClr val="tx1"/>
                      </a:solidFill>
                    </a:ln>
                  </pic:spPr>
                </pic:pic>
              </a:graphicData>
            </a:graphic>
          </wp:inline>
        </w:drawing>
      </w:r>
    </w:p>
    <w:p w14:paraId="47F99394" w14:textId="77777777" w:rsidR="00565E0F" w:rsidRPr="0032057A" w:rsidRDefault="00981DB7" w:rsidP="00A565A3">
      <w:pPr>
        <w:pStyle w:val="Normal1"/>
        <w:spacing w:line="360" w:lineRule="auto"/>
        <w:jc w:val="both"/>
        <w:rPr>
          <w:b/>
          <w:bCs/>
          <w:i/>
          <w:iCs/>
          <w:highlight w:val="white"/>
          <w:lang w:val="en-GB"/>
        </w:rPr>
      </w:pPr>
      <w:r w:rsidRPr="0032057A">
        <w:rPr>
          <w:b/>
          <w:bCs/>
          <w:i/>
          <w:iCs/>
          <w:highlight w:val="white"/>
          <w:lang w:val="en-GB"/>
        </w:rPr>
        <w:t xml:space="preserve">Speaker Note </w:t>
      </w:r>
    </w:p>
    <w:p w14:paraId="4C9F6131" w14:textId="77777777" w:rsidR="00565E0F" w:rsidRPr="0032057A" w:rsidRDefault="00981DB7" w:rsidP="00A565A3">
      <w:pPr>
        <w:pStyle w:val="Normal1"/>
        <w:spacing w:line="360" w:lineRule="auto"/>
        <w:jc w:val="both"/>
        <w:rPr>
          <w:highlight w:val="white"/>
          <w:lang w:val="en-GB"/>
        </w:rPr>
      </w:pPr>
      <w:r w:rsidRPr="0032057A">
        <w:rPr>
          <w:highlight w:val="white"/>
          <w:lang w:val="en-GB"/>
        </w:rPr>
        <w:t xml:space="preserve">I think that the implementation of the secured cyber and network security models, frameworks, </w:t>
      </w:r>
      <w:r w:rsidR="00A565A3" w:rsidRPr="0032057A">
        <w:rPr>
          <w:highlight w:val="white"/>
          <w:lang w:val="en-GB"/>
        </w:rPr>
        <w:t>practices,</w:t>
      </w:r>
      <w:r w:rsidRPr="0032057A">
        <w:rPr>
          <w:highlight w:val="white"/>
          <w:lang w:val="en-GB"/>
        </w:rPr>
        <w:t xml:space="preserve"> and policies is effective for </w:t>
      </w:r>
      <w:r w:rsidRPr="0032057A">
        <w:rPr>
          <w:highlight w:val="white"/>
          <w:lang w:val="en-GB"/>
        </w:rPr>
        <w:tab/>
        <w:t xml:space="preserve">HPA to effectively secure patients' information, preventing data breaches, and avoiding heavy fines. The risk management strategies can also be adopted by HPA to adhere to regulations, which enhances security, builds consumers' trust, and protects the brand’s reputation across its vast operations. </w:t>
      </w:r>
    </w:p>
    <w:p w14:paraId="19607922" w14:textId="77777777" w:rsidR="00A565A3" w:rsidRPr="0032057A" w:rsidRDefault="00A565A3">
      <w:pPr>
        <w:rPr>
          <w:b/>
          <w:bCs/>
          <w:highlight w:val="white"/>
          <w:lang w:val="en-GB"/>
        </w:rPr>
      </w:pPr>
      <w:r w:rsidRPr="0032057A">
        <w:rPr>
          <w:b/>
          <w:bCs/>
          <w:highlight w:val="white"/>
          <w:lang w:val="en-GB"/>
        </w:rPr>
        <w:br w:type="page"/>
      </w:r>
    </w:p>
    <w:p w14:paraId="2513C925"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 xml:space="preserve">Slide 9: Reference List </w:t>
      </w:r>
    </w:p>
    <w:p w14:paraId="03186856" w14:textId="77777777" w:rsidR="00A565A3" w:rsidRPr="0032057A" w:rsidRDefault="00D63EF3" w:rsidP="00D63EF3">
      <w:pPr>
        <w:jc w:val="center"/>
        <w:rPr>
          <w:b/>
          <w:bCs/>
          <w:highlight w:val="white"/>
          <w:lang w:val="en-GB"/>
        </w:rPr>
      </w:pPr>
      <w:r w:rsidRPr="0032057A">
        <w:rPr>
          <w:noProof/>
          <w:lang w:val="en-GB" w:eastAsia="en-IN"/>
        </w:rPr>
        <w:drawing>
          <wp:inline distT="0" distB="0" distL="0" distR="0" wp14:anchorId="60A3A65B" wp14:editId="76BDF783">
            <wp:extent cx="5733415" cy="3230245"/>
            <wp:effectExtent l="19050" t="19050" r="63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3415" cy="3230245"/>
                    </a:xfrm>
                    <a:prstGeom prst="rect">
                      <a:avLst/>
                    </a:prstGeom>
                    <a:ln>
                      <a:solidFill>
                        <a:schemeClr val="tx1"/>
                      </a:solidFill>
                    </a:ln>
                  </pic:spPr>
                </pic:pic>
              </a:graphicData>
            </a:graphic>
          </wp:inline>
        </w:drawing>
      </w:r>
      <w:r w:rsidR="00A565A3" w:rsidRPr="0032057A">
        <w:rPr>
          <w:b/>
          <w:bCs/>
          <w:highlight w:val="white"/>
          <w:lang w:val="en-GB"/>
        </w:rPr>
        <w:br w:type="page"/>
      </w:r>
    </w:p>
    <w:p w14:paraId="5A676130" w14:textId="77777777" w:rsidR="00565E0F" w:rsidRPr="0032057A" w:rsidRDefault="00981DB7" w:rsidP="00A565A3">
      <w:pPr>
        <w:pStyle w:val="Normal1"/>
        <w:spacing w:line="360" w:lineRule="auto"/>
        <w:jc w:val="both"/>
        <w:rPr>
          <w:b/>
          <w:bCs/>
          <w:highlight w:val="white"/>
          <w:lang w:val="en-GB"/>
        </w:rPr>
      </w:pPr>
      <w:r w:rsidRPr="0032057A">
        <w:rPr>
          <w:b/>
          <w:bCs/>
          <w:highlight w:val="white"/>
          <w:lang w:val="en-GB"/>
        </w:rPr>
        <w:lastRenderedPageBreak/>
        <w:t xml:space="preserve">Slide 10: Thank You </w:t>
      </w:r>
    </w:p>
    <w:p w14:paraId="4B086640" w14:textId="77777777" w:rsidR="00B95266" w:rsidRPr="0032057A" w:rsidRDefault="00D63EF3" w:rsidP="00D63EF3">
      <w:pPr>
        <w:jc w:val="center"/>
        <w:rPr>
          <w:b/>
          <w:bCs/>
          <w:highlight w:val="white"/>
          <w:lang w:val="en-GB"/>
        </w:rPr>
      </w:pPr>
      <w:r w:rsidRPr="0032057A">
        <w:rPr>
          <w:noProof/>
          <w:lang w:val="en-GB" w:eastAsia="en-IN"/>
        </w:rPr>
        <w:drawing>
          <wp:inline distT="0" distB="0" distL="0" distR="0" wp14:anchorId="33DEC621" wp14:editId="096BFE5E">
            <wp:extent cx="5733415" cy="3230245"/>
            <wp:effectExtent l="19050" t="19050" r="63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3415" cy="3230245"/>
                    </a:xfrm>
                    <a:prstGeom prst="rect">
                      <a:avLst/>
                    </a:prstGeom>
                    <a:ln>
                      <a:solidFill>
                        <a:schemeClr val="tx1"/>
                      </a:solidFill>
                    </a:ln>
                  </pic:spPr>
                </pic:pic>
              </a:graphicData>
            </a:graphic>
          </wp:inline>
        </w:drawing>
      </w:r>
    </w:p>
    <w:sectPr w:rsidR="00B95266" w:rsidRPr="0032057A" w:rsidSect="00565E0F">
      <w:footerReference w:type="default" r:id="rId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1857A" w14:textId="77777777" w:rsidR="00297B24" w:rsidRDefault="00297B24" w:rsidP="00A565A3">
      <w:pPr>
        <w:spacing w:line="240" w:lineRule="auto"/>
      </w:pPr>
      <w:r>
        <w:separator/>
      </w:r>
    </w:p>
  </w:endnote>
  <w:endnote w:type="continuationSeparator" w:id="0">
    <w:p w14:paraId="2CABBC6C" w14:textId="77777777" w:rsidR="00297B24" w:rsidRDefault="00297B24" w:rsidP="00A565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3782E3A-2A67-486E-884E-AEE2020D3A7B}"/>
  </w:font>
  <w:font w:name="Calibri">
    <w:panose1 w:val="020F0502020204030204"/>
    <w:charset w:val="00"/>
    <w:family w:val="swiss"/>
    <w:pitch w:val="variable"/>
    <w:sig w:usb0="E4002EFF" w:usb1="C000247B" w:usb2="00000009" w:usb3="00000000" w:csb0="000001FF" w:csb1="00000000"/>
    <w:embedRegular r:id="rId2" w:fontKey="{B9F4676C-BE36-4446-ACD0-4C7CDAACACDE}"/>
    <w:embedBold r:id="rId3" w:fontKey="{02606A94-7343-468A-9E97-9B5AE5E96EA8}"/>
  </w:font>
  <w:font w:name="Cambria">
    <w:panose1 w:val="02040503050406030204"/>
    <w:charset w:val="00"/>
    <w:family w:val="roman"/>
    <w:pitch w:val="variable"/>
    <w:sig w:usb0="E00006FF" w:usb1="420024FF" w:usb2="02000000" w:usb3="00000000" w:csb0="0000019F" w:csb1="00000000"/>
    <w:embedRegular r:id="rId4" w:fontKey="{0B1218B8-3B34-437F-BD3A-26F99CB7E1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68376"/>
      <w:docPartObj>
        <w:docPartGallery w:val="Page Numbers (Bottom of Page)"/>
        <w:docPartUnique/>
      </w:docPartObj>
    </w:sdtPr>
    <w:sdtContent>
      <w:p w14:paraId="3CDD818A" w14:textId="77777777" w:rsidR="00A565A3" w:rsidRDefault="00A565A3">
        <w:pPr>
          <w:pStyle w:val="Footer"/>
          <w:jc w:val="right"/>
        </w:pPr>
        <w:r w:rsidRPr="00A565A3">
          <w:rPr>
            <w:sz w:val="20"/>
          </w:rPr>
          <w:fldChar w:fldCharType="begin"/>
        </w:r>
        <w:r w:rsidRPr="00A565A3">
          <w:rPr>
            <w:sz w:val="20"/>
          </w:rPr>
          <w:instrText xml:space="preserve"> PAGE   \* MERGEFORMAT </w:instrText>
        </w:r>
        <w:r w:rsidRPr="00A565A3">
          <w:rPr>
            <w:sz w:val="20"/>
          </w:rPr>
          <w:fldChar w:fldCharType="separate"/>
        </w:r>
        <w:r w:rsidR="0032057A">
          <w:rPr>
            <w:noProof/>
            <w:sz w:val="20"/>
          </w:rPr>
          <w:t>20</w:t>
        </w:r>
        <w:r w:rsidRPr="00A565A3">
          <w:rPr>
            <w:sz w:val="20"/>
          </w:rPr>
          <w:fldChar w:fldCharType="end"/>
        </w:r>
      </w:p>
    </w:sdtContent>
  </w:sdt>
  <w:p w14:paraId="18BF5132" w14:textId="77777777" w:rsidR="00A565A3" w:rsidRDefault="00A56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8FFDB" w14:textId="77777777" w:rsidR="00297B24" w:rsidRDefault="00297B24" w:rsidP="00A565A3">
      <w:pPr>
        <w:spacing w:line="240" w:lineRule="auto"/>
      </w:pPr>
      <w:r>
        <w:separator/>
      </w:r>
    </w:p>
  </w:footnote>
  <w:footnote w:type="continuationSeparator" w:id="0">
    <w:p w14:paraId="52AB90E9" w14:textId="77777777" w:rsidR="00297B24" w:rsidRDefault="00297B24" w:rsidP="00A565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A3EEE"/>
    <w:multiLevelType w:val="multilevel"/>
    <w:tmpl w:val="D8A03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A42426"/>
    <w:multiLevelType w:val="multilevel"/>
    <w:tmpl w:val="3F144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764F4C"/>
    <w:multiLevelType w:val="multilevel"/>
    <w:tmpl w:val="9B105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236FAC"/>
    <w:multiLevelType w:val="multilevel"/>
    <w:tmpl w:val="EACC2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C54F88"/>
    <w:multiLevelType w:val="multilevel"/>
    <w:tmpl w:val="C7348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BB7053"/>
    <w:multiLevelType w:val="multilevel"/>
    <w:tmpl w:val="D4EC0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9B77B5"/>
    <w:multiLevelType w:val="multilevel"/>
    <w:tmpl w:val="672EA7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6829441">
    <w:abstractNumId w:val="1"/>
  </w:num>
  <w:num w:numId="2" w16cid:durableId="267666579">
    <w:abstractNumId w:val="2"/>
  </w:num>
  <w:num w:numId="3" w16cid:durableId="798453081">
    <w:abstractNumId w:val="5"/>
  </w:num>
  <w:num w:numId="4" w16cid:durableId="1197545039">
    <w:abstractNumId w:val="6"/>
  </w:num>
  <w:num w:numId="5" w16cid:durableId="1931545741">
    <w:abstractNumId w:val="0"/>
  </w:num>
  <w:num w:numId="6" w16cid:durableId="1555390057">
    <w:abstractNumId w:val="4"/>
  </w:num>
  <w:num w:numId="7" w16cid:durableId="11520216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5E0F"/>
    <w:rsid w:val="00297B24"/>
    <w:rsid w:val="0032057A"/>
    <w:rsid w:val="00392FFD"/>
    <w:rsid w:val="00565E0F"/>
    <w:rsid w:val="006F27D6"/>
    <w:rsid w:val="00981DB7"/>
    <w:rsid w:val="009F225B"/>
    <w:rsid w:val="00A565A3"/>
    <w:rsid w:val="00B95266"/>
    <w:rsid w:val="00D63EF3"/>
    <w:rsid w:val="00FC2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B370"/>
  <w15:docId w15:val="{D1467798-79D1-473F-93EE-CE5928532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2057A"/>
    <w:pPr>
      <w:keepNext/>
      <w:keepLines/>
      <w:spacing w:before="40" w:line="360" w:lineRule="auto"/>
      <w:jc w:val="both"/>
      <w:outlineLvl w:val="0"/>
    </w:pPr>
    <w:rPr>
      <w:b/>
      <w:sz w:val="28"/>
      <w:szCs w:val="40"/>
    </w:rPr>
  </w:style>
  <w:style w:type="paragraph" w:styleId="Heading2">
    <w:name w:val="heading 2"/>
    <w:basedOn w:val="Normal1"/>
    <w:next w:val="Normal1"/>
    <w:rsid w:val="00565E0F"/>
    <w:pPr>
      <w:keepNext/>
      <w:keepLines/>
      <w:spacing w:before="360" w:after="120"/>
      <w:outlineLvl w:val="1"/>
    </w:pPr>
    <w:rPr>
      <w:sz w:val="32"/>
      <w:szCs w:val="32"/>
    </w:rPr>
  </w:style>
  <w:style w:type="paragraph" w:styleId="Heading3">
    <w:name w:val="heading 3"/>
    <w:basedOn w:val="Normal1"/>
    <w:next w:val="Normal1"/>
    <w:rsid w:val="00565E0F"/>
    <w:pPr>
      <w:keepNext/>
      <w:keepLines/>
      <w:spacing w:before="320" w:after="80"/>
      <w:outlineLvl w:val="2"/>
    </w:pPr>
    <w:rPr>
      <w:color w:val="434343"/>
      <w:sz w:val="28"/>
      <w:szCs w:val="28"/>
    </w:rPr>
  </w:style>
  <w:style w:type="paragraph" w:styleId="Heading4">
    <w:name w:val="heading 4"/>
    <w:basedOn w:val="Normal1"/>
    <w:next w:val="Normal1"/>
    <w:rsid w:val="00565E0F"/>
    <w:pPr>
      <w:keepNext/>
      <w:keepLines/>
      <w:spacing w:before="280" w:after="80"/>
      <w:outlineLvl w:val="3"/>
    </w:pPr>
    <w:rPr>
      <w:color w:val="666666"/>
      <w:sz w:val="24"/>
      <w:szCs w:val="24"/>
    </w:rPr>
  </w:style>
  <w:style w:type="paragraph" w:styleId="Heading5">
    <w:name w:val="heading 5"/>
    <w:basedOn w:val="Normal1"/>
    <w:next w:val="Normal1"/>
    <w:rsid w:val="00565E0F"/>
    <w:pPr>
      <w:keepNext/>
      <w:keepLines/>
      <w:spacing w:before="240" w:after="80"/>
      <w:outlineLvl w:val="4"/>
    </w:pPr>
    <w:rPr>
      <w:color w:val="666666"/>
    </w:rPr>
  </w:style>
  <w:style w:type="paragraph" w:styleId="Heading6">
    <w:name w:val="heading 6"/>
    <w:basedOn w:val="Normal1"/>
    <w:next w:val="Normal1"/>
    <w:rsid w:val="00565E0F"/>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65E0F"/>
    <w:tblPr>
      <w:tblCellMar>
        <w:top w:w="100" w:type="dxa"/>
        <w:left w:w="100" w:type="dxa"/>
        <w:bottom w:w="100" w:type="dxa"/>
        <w:right w:w="100" w:type="dxa"/>
      </w:tblCellMar>
    </w:tblPr>
  </w:style>
  <w:style w:type="paragraph" w:customStyle="1" w:styleId="Normal1">
    <w:name w:val="Normal1"/>
    <w:rsid w:val="00565E0F"/>
  </w:style>
  <w:style w:type="paragraph" w:styleId="Title">
    <w:name w:val="Title"/>
    <w:basedOn w:val="Normal1"/>
    <w:next w:val="Normal1"/>
    <w:rsid w:val="00565E0F"/>
    <w:pPr>
      <w:keepNext/>
      <w:keepLines/>
      <w:spacing w:after="60"/>
    </w:pPr>
    <w:rPr>
      <w:sz w:val="52"/>
      <w:szCs w:val="52"/>
    </w:rPr>
  </w:style>
  <w:style w:type="paragraph" w:styleId="Subtitle">
    <w:name w:val="Subtitle"/>
    <w:basedOn w:val="Normal1"/>
    <w:next w:val="Normal1"/>
    <w:rsid w:val="00565E0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65E0F"/>
    <w:pPr>
      <w:spacing w:line="240" w:lineRule="auto"/>
    </w:pPr>
    <w:rPr>
      <w:sz w:val="20"/>
      <w:szCs w:val="20"/>
    </w:rPr>
  </w:style>
  <w:style w:type="character" w:customStyle="1" w:styleId="CommentTextChar">
    <w:name w:val="Comment Text Char"/>
    <w:basedOn w:val="DefaultParagraphFont"/>
    <w:link w:val="CommentText"/>
    <w:uiPriority w:val="99"/>
    <w:semiHidden/>
    <w:rsid w:val="00565E0F"/>
    <w:rPr>
      <w:sz w:val="20"/>
      <w:szCs w:val="20"/>
    </w:rPr>
  </w:style>
  <w:style w:type="character" w:styleId="CommentReference">
    <w:name w:val="annotation reference"/>
    <w:basedOn w:val="DefaultParagraphFont"/>
    <w:uiPriority w:val="99"/>
    <w:semiHidden/>
    <w:unhideWhenUsed/>
    <w:rsid w:val="00565E0F"/>
    <w:rPr>
      <w:sz w:val="16"/>
      <w:szCs w:val="16"/>
    </w:rPr>
  </w:style>
  <w:style w:type="paragraph" w:styleId="BalloonText">
    <w:name w:val="Balloon Text"/>
    <w:basedOn w:val="Normal"/>
    <w:link w:val="BalloonTextChar"/>
    <w:uiPriority w:val="99"/>
    <w:semiHidden/>
    <w:unhideWhenUsed/>
    <w:rsid w:val="00A565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65A3"/>
    <w:rPr>
      <w:rFonts w:ascii="Tahoma" w:hAnsi="Tahoma" w:cs="Tahoma"/>
      <w:sz w:val="16"/>
      <w:szCs w:val="16"/>
    </w:rPr>
  </w:style>
  <w:style w:type="paragraph" w:styleId="Header">
    <w:name w:val="header"/>
    <w:basedOn w:val="Normal"/>
    <w:link w:val="HeaderChar"/>
    <w:uiPriority w:val="99"/>
    <w:semiHidden/>
    <w:unhideWhenUsed/>
    <w:rsid w:val="00A565A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65A3"/>
  </w:style>
  <w:style w:type="paragraph" w:styleId="Footer">
    <w:name w:val="footer"/>
    <w:basedOn w:val="Normal"/>
    <w:link w:val="FooterChar"/>
    <w:uiPriority w:val="99"/>
    <w:unhideWhenUsed/>
    <w:rsid w:val="00A565A3"/>
    <w:pPr>
      <w:tabs>
        <w:tab w:val="center" w:pos="4680"/>
        <w:tab w:val="right" w:pos="9360"/>
      </w:tabs>
      <w:spacing w:line="240" w:lineRule="auto"/>
    </w:pPr>
  </w:style>
  <w:style w:type="character" w:customStyle="1" w:styleId="FooterChar">
    <w:name w:val="Footer Char"/>
    <w:basedOn w:val="DefaultParagraphFont"/>
    <w:link w:val="Footer"/>
    <w:uiPriority w:val="99"/>
    <w:rsid w:val="00A565A3"/>
  </w:style>
  <w:style w:type="paragraph" w:styleId="NormalWeb">
    <w:name w:val="Normal (Web)"/>
    <w:basedOn w:val="Normal"/>
    <w:uiPriority w:val="99"/>
    <w:unhideWhenUsed/>
    <w:rsid w:val="00B952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95266"/>
    <w:rPr>
      <w:color w:val="0000FF"/>
      <w:u w:val="single"/>
    </w:rPr>
  </w:style>
  <w:style w:type="paragraph" w:styleId="TOCHeading">
    <w:name w:val="TOC Heading"/>
    <w:basedOn w:val="Heading1"/>
    <w:next w:val="Normal"/>
    <w:uiPriority w:val="39"/>
    <w:semiHidden/>
    <w:unhideWhenUsed/>
    <w:qFormat/>
    <w:rsid w:val="00B95266"/>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952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19312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trongdm.com/rbac" TargetMode="External"/><Relationship Id="rId18" Type="http://schemas.openxmlformats.org/officeDocument/2006/relationships/hyperlink" Target="https://www.gov.uk/data-protection"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papers.ssrn.com/sol3/Delivery.cfm?abstractid=4564291"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ubs.acs.org/doi/pdf/10.1021/acsomega.3c09488" TargetMode="External"/><Relationship Id="rId17" Type="http://schemas.openxmlformats.org/officeDocument/2006/relationships/hyperlink" Target="https://learn.microsoft.com/en-us/azure/security/fundamentals/backup-plan-to-protect-against-ransomware"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plunkbase.splunk.com/app/2941" TargetMode="External"/><Relationship Id="rId20" Type="http://schemas.openxmlformats.org/officeDocument/2006/relationships/hyperlink" Target="https://worldscientificnews.com/wp-content/uploads/2024/01/WSN-1901-2024-1-69-1.pdf"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110866520301304" TargetMode="Externa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ademia.edu/download/93770826/pdf.pdf"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puiij.com/index.php/research/article/download/118/90" TargetMode="External"/><Relationship Id="rId19" Type="http://schemas.openxmlformats.org/officeDocument/2006/relationships/hyperlink" Target="https://papers.ssrn.com/sol3/Delivery.cfm?abstractid=4564291"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eus.fi/bitstream/handle/10024/889457/Mitra_Pulak.pdf?sequence=2"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1C545A-F5A6-4BDF-92A1-074B0EE72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4015</Words>
  <Characters>22890</Characters>
  <Application>Microsoft Office Word</Application>
  <DocSecurity>0</DocSecurity>
  <Lines>190</Lines>
  <Paragraphs>53</Paragraphs>
  <ScaleCrop>false</ScaleCrop>
  <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2026-04-01T12:10:00Z</dcterms:created>
  <dcterms:modified xsi:type="dcterms:W3CDTF">2026-04-01T12:35:00Z</dcterms:modified>
</cp:coreProperties>
</file>