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2FFE1D"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Early intervention programs have proven to be effective to prevent young people from offending or </w:t>
      </w:r>
    </w:p>
    <w:p w14:paraId="692FFE1E"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Early intervention programs are designed to target risk factors in relation to offending or </w:t>
      </w:r>
    </w:p>
    <w:p w14:paraId="692FFE1F"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The risk factors could be related to mental health, drug or alcohol misuse, </w:t>
      </w:r>
      <w:proofErr w:type="gramStart"/>
      <w:r>
        <w:rPr>
          <w:rFonts w:ascii="pg-6ff2" w:eastAsia="Times New Roman" w:hAnsi="pg-6ff2"/>
          <w:color w:val="000000"/>
          <w:kern w:val="0"/>
          <w:sz w:val="66"/>
          <w:szCs w:val="66"/>
          <w:lang w:eastAsia="en-GB"/>
        </w:rPr>
        <w:t>gambling</w:t>
      </w:r>
      <w:proofErr w:type="gramEnd"/>
      <w:r>
        <w:rPr>
          <w:rFonts w:ascii="pg-6ff2" w:eastAsia="Times New Roman" w:hAnsi="pg-6ff2"/>
          <w:color w:val="000000"/>
          <w:kern w:val="0"/>
          <w:sz w:val="66"/>
          <w:szCs w:val="66"/>
          <w:lang w:eastAsia="en-GB"/>
        </w:rPr>
        <w:t xml:space="preserve"> </w:t>
      </w:r>
    </w:p>
    <w:p w14:paraId="692FFE20"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addictions, family issues and academic issues/stresses. A few specific examples of early intervention </w:t>
      </w:r>
    </w:p>
    <w:p w14:paraId="692FFE21"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programs include but are not limited to; mentoring programs, family therapy and cognitive </w:t>
      </w:r>
      <w:proofErr w:type="gramStart"/>
      <w:r>
        <w:rPr>
          <w:rFonts w:ascii="pg-6ff2" w:eastAsia="Times New Roman" w:hAnsi="pg-6ff2"/>
          <w:color w:val="000000"/>
          <w:kern w:val="0"/>
          <w:sz w:val="66"/>
          <w:szCs w:val="66"/>
          <w:lang w:eastAsia="en-GB"/>
        </w:rPr>
        <w:t>behaviour</w:t>
      </w:r>
      <w:proofErr w:type="gramEnd"/>
      <w:r>
        <w:rPr>
          <w:rFonts w:ascii="pg-6ff2" w:eastAsia="Times New Roman" w:hAnsi="pg-6ff2"/>
          <w:color w:val="000000"/>
          <w:kern w:val="0"/>
          <w:sz w:val="66"/>
          <w:szCs w:val="66"/>
          <w:lang w:eastAsia="en-GB"/>
        </w:rPr>
        <w:t xml:space="preserve"> </w:t>
      </w:r>
    </w:p>
    <w:p w14:paraId="692FFE22"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therapy.</w:t>
      </w:r>
    </w:p>
    <w:p w14:paraId="692FFE23"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Early intervention programs have proven to be effective to prevent young people from offending or </w:t>
      </w:r>
    </w:p>
    <w:p w14:paraId="692FFE24"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Early intervention programs are designed to target risk factors in relation to offending or </w:t>
      </w:r>
    </w:p>
    <w:p w14:paraId="692FFE25"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The risk factors could be related to mental health, drug or alcohol misuse, </w:t>
      </w:r>
      <w:proofErr w:type="gramStart"/>
      <w:r>
        <w:rPr>
          <w:rFonts w:ascii="pg-6ff2" w:eastAsia="Times New Roman" w:hAnsi="pg-6ff2"/>
          <w:color w:val="000000"/>
          <w:kern w:val="0"/>
          <w:sz w:val="66"/>
          <w:szCs w:val="66"/>
          <w:lang w:eastAsia="en-GB"/>
        </w:rPr>
        <w:t>gambling</w:t>
      </w:r>
      <w:proofErr w:type="gramEnd"/>
      <w:r>
        <w:rPr>
          <w:rFonts w:ascii="pg-6ff2" w:eastAsia="Times New Roman" w:hAnsi="pg-6ff2"/>
          <w:color w:val="000000"/>
          <w:kern w:val="0"/>
          <w:sz w:val="66"/>
          <w:szCs w:val="66"/>
          <w:lang w:eastAsia="en-GB"/>
        </w:rPr>
        <w:t xml:space="preserve"> </w:t>
      </w:r>
    </w:p>
    <w:p w14:paraId="692FFE26"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addictions, family issues and academic issues/stresses. A few specific examples of early intervention </w:t>
      </w:r>
    </w:p>
    <w:p w14:paraId="692FFE27"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programs include but are not limited to; mentoring programs, family therapy and cognitive </w:t>
      </w:r>
      <w:proofErr w:type="gramStart"/>
      <w:r>
        <w:rPr>
          <w:rFonts w:ascii="pg-6ff2" w:eastAsia="Times New Roman" w:hAnsi="pg-6ff2"/>
          <w:color w:val="000000"/>
          <w:kern w:val="0"/>
          <w:sz w:val="66"/>
          <w:szCs w:val="66"/>
          <w:lang w:eastAsia="en-GB"/>
        </w:rPr>
        <w:t>behaviour</w:t>
      </w:r>
      <w:proofErr w:type="gramEnd"/>
      <w:r>
        <w:rPr>
          <w:rFonts w:ascii="pg-6ff2" w:eastAsia="Times New Roman" w:hAnsi="pg-6ff2"/>
          <w:color w:val="000000"/>
          <w:kern w:val="0"/>
          <w:sz w:val="66"/>
          <w:szCs w:val="66"/>
          <w:lang w:eastAsia="en-GB"/>
        </w:rPr>
        <w:t xml:space="preserve"> </w:t>
      </w:r>
    </w:p>
    <w:p w14:paraId="692FFE28"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therapy.</w:t>
      </w:r>
    </w:p>
    <w:p w14:paraId="692FFE29"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Early intervention programs have proven to be effective to prevent young people from offending or </w:t>
      </w:r>
    </w:p>
    <w:p w14:paraId="692FFE2A"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Early intervention programs are designed to target risk factors in relation to offending or </w:t>
      </w:r>
    </w:p>
    <w:p w14:paraId="692FFE2B"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The risk factors could be related to mental health, drug or alcohol misuse, </w:t>
      </w:r>
      <w:proofErr w:type="gramStart"/>
      <w:r>
        <w:rPr>
          <w:rFonts w:ascii="pg-6ff2" w:eastAsia="Times New Roman" w:hAnsi="pg-6ff2"/>
          <w:color w:val="000000"/>
          <w:kern w:val="0"/>
          <w:sz w:val="66"/>
          <w:szCs w:val="66"/>
          <w:lang w:eastAsia="en-GB"/>
        </w:rPr>
        <w:t>gambling</w:t>
      </w:r>
      <w:proofErr w:type="gramEnd"/>
      <w:r>
        <w:rPr>
          <w:rFonts w:ascii="pg-6ff2" w:eastAsia="Times New Roman" w:hAnsi="pg-6ff2"/>
          <w:color w:val="000000"/>
          <w:kern w:val="0"/>
          <w:sz w:val="66"/>
          <w:szCs w:val="66"/>
          <w:lang w:eastAsia="en-GB"/>
        </w:rPr>
        <w:t xml:space="preserve"> </w:t>
      </w:r>
    </w:p>
    <w:p w14:paraId="692FFE2C"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addictions, family issues and academic issues/stresses. A few specific examples of early intervention </w:t>
      </w:r>
    </w:p>
    <w:p w14:paraId="692FFE2D"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programs include but are not limited to; mentoring programs, family therapy and cognitive </w:t>
      </w:r>
      <w:proofErr w:type="gramStart"/>
      <w:r>
        <w:rPr>
          <w:rFonts w:ascii="pg-6ff2" w:eastAsia="Times New Roman" w:hAnsi="pg-6ff2"/>
          <w:color w:val="000000"/>
          <w:kern w:val="0"/>
          <w:sz w:val="66"/>
          <w:szCs w:val="66"/>
          <w:lang w:eastAsia="en-GB"/>
        </w:rPr>
        <w:t>behaviour</w:t>
      </w:r>
      <w:proofErr w:type="gramEnd"/>
      <w:r>
        <w:rPr>
          <w:rFonts w:ascii="pg-6ff2" w:eastAsia="Times New Roman" w:hAnsi="pg-6ff2"/>
          <w:color w:val="000000"/>
          <w:kern w:val="0"/>
          <w:sz w:val="66"/>
          <w:szCs w:val="66"/>
          <w:lang w:eastAsia="en-GB"/>
        </w:rPr>
        <w:t xml:space="preserve"> </w:t>
      </w:r>
    </w:p>
    <w:p w14:paraId="692FFE2E"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therapy.</w:t>
      </w:r>
    </w:p>
    <w:p w14:paraId="692FFE2F"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Early intervention programs have proven to be effective to prevent young people from offending or </w:t>
      </w:r>
    </w:p>
    <w:p w14:paraId="692FFE30"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Early intervention programs are designed to target risk factors in relation to offending or </w:t>
      </w:r>
    </w:p>
    <w:p w14:paraId="692FFE31"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reoffending. The risk factors could be related to mental health, drug or alcohol misuse, </w:t>
      </w:r>
      <w:proofErr w:type="gramStart"/>
      <w:r>
        <w:rPr>
          <w:rFonts w:ascii="pg-6ff2" w:eastAsia="Times New Roman" w:hAnsi="pg-6ff2"/>
          <w:color w:val="000000"/>
          <w:kern w:val="0"/>
          <w:sz w:val="66"/>
          <w:szCs w:val="66"/>
          <w:lang w:eastAsia="en-GB"/>
        </w:rPr>
        <w:t>gambling</w:t>
      </w:r>
      <w:proofErr w:type="gramEnd"/>
      <w:r>
        <w:rPr>
          <w:rFonts w:ascii="pg-6ff2" w:eastAsia="Times New Roman" w:hAnsi="pg-6ff2"/>
          <w:color w:val="000000"/>
          <w:kern w:val="0"/>
          <w:sz w:val="66"/>
          <w:szCs w:val="66"/>
          <w:lang w:eastAsia="en-GB"/>
        </w:rPr>
        <w:t xml:space="preserve"> </w:t>
      </w:r>
    </w:p>
    <w:p w14:paraId="692FFE32"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addictions, family issues and academic issues/stresses. A few specific examples of early intervention </w:t>
      </w:r>
    </w:p>
    <w:p w14:paraId="692FFE33"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 xml:space="preserve">programs include but are not limited to; mentoring programs, family therapy and cognitive </w:t>
      </w:r>
      <w:proofErr w:type="gramStart"/>
      <w:r>
        <w:rPr>
          <w:rFonts w:ascii="pg-6ff2" w:eastAsia="Times New Roman" w:hAnsi="pg-6ff2"/>
          <w:color w:val="000000"/>
          <w:kern w:val="0"/>
          <w:sz w:val="66"/>
          <w:szCs w:val="66"/>
          <w:lang w:eastAsia="en-GB"/>
        </w:rPr>
        <w:t>behaviour</w:t>
      </w:r>
      <w:proofErr w:type="gramEnd"/>
      <w:r>
        <w:rPr>
          <w:rFonts w:ascii="pg-6ff2" w:eastAsia="Times New Roman" w:hAnsi="pg-6ff2"/>
          <w:color w:val="000000"/>
          <w:kern w:val="0"/>
          <w:sz w:val="66"/>
          <w:szCs w:val="66"/>
          <w:lang w:eastAsia="en-GB"/>
        </w:rPr>
        <w:t xml:space="preserve"> </w:t>
      </w:r>
    </w:p>
    <w:p w14:paraId="692FFE34" w14:textId="77777777" w:rsidR="005B30C8" w:rsidRDefault="00000000">
      <w:pPr>
        <w:shd w:val="clear" w:color="auto" w:fill="FFFFFF"/>
        <w:spacing w:after="0" w:line="0" w:lineRule="auto"/>
        <w:rPr>
          <w:rFonts w:ascii="pg-6ff2" w:eastAsia="Times New Roman" w:hAnsi="pg-6ff2"/>
          <w:color w:val="000000"/>
          <w:kern w:val="0"/>
          <w:sz w:val="66"/>
          <w:szCs w:val="66"/>
          <w:lang w:eastAsia="en-GB"/>
        </w:rPr>
      </w:pPr>
      <w:r>
        <w:rPr>
          <w:rFonts w:ascii="pg-6ff2" w:eastAsia="Times New Roman" w:hAnsi="pg-6ff2"/>
          <w:color w:val="000000"/>
          <w:kern w:val="0"/>
          <w:sz w:val="66"/>
          <w:szCs w:val="66"/>
          <w:lang w:eastAsia="en-GB"/>
        </w:rPr>
        <w:t>therapy.</w:t>
      </w:r>
    </w:p>
    <w:p w14:paraId="692FFE35" w14:textId="286B0651" w:rsidR="005B30C8" w:rsidRPr="004330BA" w:rsidRDefault="00B1207E" w:rsidP="00B1207E">
      <w:pPr>
        <w:jc w:val="center"/>
        <w:rPr>
          <w:rFonts w:asciiTheme="majorHAnsi" w:hAnsiTheme="majorHAnsi"/>
          <w:b/>
          <w:bCs/>
          <w:sz w:val="28"/>
          <w:szCs w:val="28"/>
        </w:rPr>
      </w:pPr>
      <w:r w:rsidRPr="004330BA">
        <w:rPr>
          <w:rFonts w:asciiTheme="majorHAnsi" w:hAnsiTheme="majorHAnsi"/>
          <w:b/>
          <w:bCs/>
          <w:sz w:val="28"/>
          <w:szCs w:val="28"/>
        </w:rPr>
        <w:t>Ciaron Jackson – 2124647 (</w:t>
      </w:r>
      <w:r w:rsidRPr="004330BA">
        <w:rPr>
          <w:rFonts w:asciiTheme="majorHAnsi" w:hAnsiTheme="majorHAnsi"/>
          <w:b/>
          <w:bCs/>
          <w:sz w:val="28"/>
          <w:szCs w:val="28"/>
        </w:rPr>
        <w:t>Assignment 1</w:t>
      </w:r>
      <w:r w:rsidRPr="004330BA">
        <w:rPr>
          <w:rFonts w:asciiTheme="majorHAnsi" w:hAnsiTheme="majorHAnsi"/>
          <w:b/>
          <w:bCs/>
          <w:sz w:val="28"/>
          <w:szCs w:val="28"/>
        </w:rPr>
        <w:t>)</w:t>
      </w:r>
    </w:p>
    <w:p w14:paraId="692FFE36" w14:textId="77777777" w:rsidR="005B30C8" w:rsidRPr="004330BA" w:rsidRDefault="005B30C8">
      <w:pPr>
        <w:jc w:val="both"/>
        <w:rPr>
          <w:rFonts w:asciiTheme="majorHAnsi" w:hAnsiTheme="majorHAnsi"/>
          <w:sz w:val="24"/>
          <w:szCs w:val="24"/>
        </w:rPr>
      </w:pPr>
    </w:p>
    <w:p w14:paraId="692FFE37" w14:textId="77777777" w:rsidR="005B30C8" w:rsidRPr="004330B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4330BA">
        <w:rPr>
          <w:rFonts w:asciiTheme="majorHAnsi" w:eastAsia="Times New Roman" w:hAnsiTheme="majorHAnsi"/>
          <w:color w:val="000000"/>
          <w:kern w:val="0"/>
          <w:sz w:val="24"/>
          <w:szCs w:val="24"/>
          <w:lang w:eastAsia="en-GB"/>
        </w:rPr>
        <w:t xml:space="preserve">Early intervention programs have proven to be effective to prevent young people from offending or </w:t>
      </w:r>
    </w:p>
    <w:p w14:paraId="692FFE38" w14:textId="77777777" w:rsidR="005B30C8" w:rsidRPr="004330B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4330BA">
        <w:rPr>
          <w:rFonts w:asciiTheme="majorHAnsi" w:eastAsia="Times New Roman" w:hAnsiTheme="majorHAnsi"/>
          <w:color w:val="000000"/>
          <w:kern w:val="0"/>
          <w:sz w:val="24"/>
          <w:szCs w:val="24"/>
          <w:lang w:eastAsia="en-GB"/>
        </w:rPr>
        <w:t xml:space="preserve">reoffending. Early intervention programs are designed to target risk factors in relation to offending or </w:t>
      </w:r>
    </w:p>
    <w:p w14:paraId="692FFE39" w14:textId="77777777" w:rsidR="005B30C8" w:rsidRPr="004330B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4330BA">
        <w:rPr>
          <w:rFonts w:asciiTheme="majorHAnsi" w:eastAsia="Times New Roman" w:hAnsiTheme="majorHAnsi"/>
          <w:color w:val="000000"/>
          <w:kern w:val="0"/>
          <w:sz w:val="24"/>
          <w:szCs w:val="24"/>
          <w:lang w:eastAsia="en-GB"/>
        </w:rPr>
        <w:t xml:space="preserve">reoffending. The risk factors could be related to mental health, drug or alcohol misuse, </w:t>
      </w:r>
      <w:proofErr w:type="gramStart"/>
      <w:r w:rsidRPr="004330BA">
        <w:rPr>
          <w:rFonts w:asciiTheme="majorHAnsi" w:eastAsia="Times New Roman" w:hAnsiTheme="majorHAnsi"/>
          <w:color w:val="000000"/>
          <w:kern w:val="0"/>
          <w:sz w:val="24"/>
          <w:szCs w:val="24"/>
          <w:lang w:eastAsia="en-GB"/>
        </w:rPr>
        <w:t>gambling</w:t>
      </w:r>
      <w:proofErr w:type="gramEnd"/>
      <w:r w:rsidRPr="004330BA">
        <w:rPr>
          <w:rFonts w:asciiTheme="majorHAnsi" w:eastAsia="Times New Roman" w:hAnsiTheme="majorHAnsi"/>
          <w:color w:val="000000"/>
          <w:kern w:val="0"/>
          <w:sz w:val="24"/>
          <w:szCs w:val="24"/>
          <w:lang w:eastAsia="en-GB"/>
        </w:rPr>
        <w:t xml:space="preserve"> </w:t>
      </w:r>
    </w:p>
    <w:p w14:paraId="692FFE3A" w14:textId="77777777" w:rsidR="005B30C8" w:rsidRPr="004330B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4330BA">
        <w:rPr>
          <w:rFonts w:asciiTheme="majorHAnsi" w:eastAsia="Times New Roman" w:hAnsiTheme="majorHAnsi"/>
          <w:color w:val="000000"/>
          <w:kern w:val="0"/>
          <w:sz w:val="24"/>
          <w:szCs w:val="24"/>
          <w:lang w:eastAsia="en-GB"/>
        </w:rPr>
        <w:t xml:space="preserve">addictions, family issues and academic issues/stresses. A few specific examples of early intervention </w:t>
      </w:r>
    </w:p>
    <w:p w14:paraId="692FFE3B" w14:textId="77777777" w:rsidR="005B30C8" w:rsidRPr="004330B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4330BA">
        <w:rPr>
          <w:rFonts w:asciiTheme="majorHAnsi" w:eastAsia="Times New Roman" w:hAnsiTheme="majorHAnsi"/>
          <w:color w:val="000000"/>
          <w:kern w:val="0"/>
          <w:sz w:val="24"/>
          <w:szCs w:val="24"/>
          <w:lang w:eastAsia="en-GB"/>
        </w:rPr>
        <w:t xml:space="preserve">programs include but are not limited to; mentoring programs, family therapy and cognitive </w:t>
      </w:r>
      <w:proofErr w:type="gramStart"/>
      <w:r w:rsidRPr="004330BA">
        <w:rPr>
          <w:rFonts w:asciiTheme="majorHAnsi" w:eastAsia="Times New Roman" w:hAnsiTheme="majorHAnsi"/>
          <w:color w:val="000000"/>
          <w:kern w:val="0"/>
          <w:sz w:val="24"/>
          <w:szCs w:val="24"/>
          <w:lang w:eastAsia="en-GB"/>
        </w:rPr>
        <w:t>behaviour</w:t>
      </w:r>
      <w:proofErr w:type="gramEnd"/>
      <w:r w:rsidRPr="004330BA">
        <w:rPr>
          <w:rFonts w:asciiTheme="majorHAnsi" w:eastAsia="Times New Roman" w:hAnsiTheme="majorHAnsi"/>
          <w:color w:val="000000"/>
          <w:kern w:val="0"/>
          <w:sz w:val="24"/>
          <w:szCs w:val="24"/>
          <w:lang w:eastAsia="en-GB"/>
        </w:rPr>
        <w:t xml:space="preserve"> </w:t>
      </w:r>
    </w:p>
    <w:p w14:paraId="692FFE3C" w14:textId="77777777" w:rsidR="005B30C8" w:rsidRPr="004330BA" w:rsidRDefault="00000000">
      <w:pPr>
        <w:shd w:val="clear" w:color="auto" w:fill="FFFFFF"/>
        <w:spacing w:after="0" w:line="0" w:lineRule="auto"/>
        <w:jc w:val="both"/>
        <w:rPr>
          <w:rFonts w:asciiTheme="majorHAnsi" w:eastAsia="Times New Roman" w:hAnsiTheme="majorHAnsi"/>
          <w:color w:val="000000"/>
          <w:kern w:val="0"/>
          <w:sz w:val="24"/>
          <w:szCs w:val="24"/>
          <w:lang w:eastAsia="en-GB"/>
        </w:rPr>
      </w:pPr>
      <w:r w:rsidRPr="004330BA">
        <w:rPr>
          <w:rFonts w:asciiTheme="majorHAnsi" w:eastAsia="Times New Roman" w:hAnsiTheme="majorHAnsi"/>
          <w:color w:val="000000"/>
          <w:kern w:val="0"/>
          <w:sz w:val="24"/>
          <w:szCs w:val="24"/>
          <w:lang w:eastAsia="en-GB"/>
        </w:rPr>
        <w:t>therapy.</w:t>
      </w:r>
    </w:p>
    <w:p w14:paraId="692FFE3D" w14:textId="77777777" w:rsidR="005B30C8" w:rsidRPr="004330BA" w:rsidRDefault="00000000">
      <w:pPr>
        <w:shd w:val="clear" w:color="auto" w:fill="FFFFFF"/>
        <w:spacing w:after="0" w:line="240" w:lineRule="auto"/>
        <w:jc w:val="both"/>
        <w:rPr>
          <w:rFonts w:asciiTheme="majorHAnsi" w:hAnsiTheme="majorHAnsi"/>
          <w:b/>
          <w:bCs/>
          <w:sz w:val="24"/>
          <w:szCs w:val="24"/>
        </w:rPr>
      </w:pPr>
      <w:r w:rsidRPr="004330BA">
        <w:rPr>
          <w:rFonts w:asciiTheme="majorHAnsi" w:hAnsiTheme="majorHAnsi"/>
          <w:b/>
          <w:bCs/>
          <w:sz w:val="24"/>
          <w:szCs w:val="24"/>
        </w:rPr>
        <w:t xml:space="preserve">Essay one – Maintaining Professional Standards Critically examine policing policies and procedures (e.g. PACE, Code of Ethics, NDM, use of BWV) aimed at reducing misconduct and malpractice by police officers. How might these increase public confidence in police? </w:t>
      </w:r>
    </w:p>
    <w:p w14:paraId="692FFE40" w14:textId="77777777" w:rsidR="005B30C8" w:rsidRPr="004330BA" w:rsidRDefault="005B30C8">
      <w:pPr>
        <w:shd w:val="clear" w:color="auto" w:fill="FFFFFF"/>
        <w:spacing w:after="0" w:line="240" w:lineRule="auto"/>
        <w:jc w:val="both"/>
        <w:rPr>
          <w:rFonts w:asciiTheme="majorHAnsi" w:hAnsiTheme="majorHAnsi"/>
          <w:sz w:val="24"/>
          <w:szCs w:val="24"/>
        </w:rPr>
      </w:pPr>
    </w:p>
    <w:p w14:paraId="692FFE41" w14:textId="77777777" w:rsidR="005B30C8" w:rsidRDefault="00000000">
      <w:pPr>
        <w:shd w:val="clear" w:color="auto" w:fill="FFFFFF"/>
        <w:spacing w:after="0" w:line="240" w:lineRule="auto"/>
        <w:jc w:val="both"/>
        <w:rPr>
          <w:rFonts w:asciiTheme="majorHAnsi" w:hAnsiTheme="majorHAnsi"/>
          <w:sz w:val="24"/>
          <w:szCs w:val="24"/>
        </w:rPr>
      </w:pPr>
      <w:r w:rsidRPr="004330BA">
        <w:rPr>
          <w:rFonts w:asciiTheme="majorHAnsi" w:hAnsiTheme="majorHAnsi"/>
          <w:sz w:val="24"/>
          <w:szCs w:val="24"/>
        </w:rPr>
        <w:t xml:space="preserve">During this essay I will critically examine policing policies and procedures and discuss how police officers adhering to these guidelines may increase public confidence in police. There are </w:t>
      </w:r>
      <w:proofErr w:type="gramStart"/>
      <w:r w:rsidRPr="004330BA">
        <w:rPr>
          <w:rFonts w:asciiTheme="majorHAnsi" w:hAnsiTheme="majorHAnsi"/>
          <w:sz w:val="24"/>
          <w:szCs w:val="24"/>
        </w:rPr>
        <w:t>a number of</w:t>
      </w:r>
      <w:proofErr w:type="gramEnd"/>
      <w:r w:rsidRPr="004330BA">
        <w:rPr>
          <w:rFonts w:asciiTheme="majorHAnsi" w:hAnsiTheme="majorHAnsi"/>
          <w:sz w:val="24"/>
          <w:szCs w:val="24"/>
        </w:rPr>
        <w:t xml:space="preserve"> key underlying </w:t>
      </w:r>
      <w:proofErr w:type="spellStart"/>
      <w:r w:rsidRPr="004330BA">
        <w:rPr>
          <w:rFonts w:asciiTheme="majorHAnsi" w:hAnsiTheme="majorHAnsi"/>
          <w:sz w:val="24"/>
          <w:szCs w:val="24"/>
        </w:rPr>
        <w:t>polices</w:t>
      </w:r>
      <w:proofErr w:type="spellEnd"/>
      <w:r w:rsidRPr="004330BA">
        <w:rPr>
          <w:rFonts w:asciiTheme="majorHAnsi" w:hAnsiTheme="majorHAnsi"/>
          <w:sz w:val="24"/>
          <w:szCs w:val="24"/>
        </w:rPr>
        <w:t xml:space="preserve"> and procedures that police officers must adhere to in order to maintain professional standards. I will discuss the main principles using </w:t>
      </w:r>
      <w:proofErr w:type="gramStart"/>
      <w:r w:rsidRPr="004330BA">
        <w:rPr>
          <w:rFonts w:asciiTheme="majorHAnsi" w:hAnsiTheme="majorHAnsi"/>
          <w:sz w:val="24"/>
          <w:szCs w:val="24"/>
        </w:rPr>
        <w:t>a number of</w:t>
      </w:r>
      <w:proofErr w:type="gramEnd"/>
      <w:r w:rsidRPr="004330BA">
        <w:rPr>
          <w:rFonts w:asciiTheme="majorHAnsi" w:hAnsiTheme="majorHAnsi"/>
          <w:sz w:val="24"/>
          <w:szCs w:val="24"/>
        </w:rPr>
        <w:t xml:space="preserve"> academic sources and give a balanced answer that points out weakness as well as favourable aspects of the topic in question.</w:t>
      </w:r>
    </w:p>
    <w:p w14:paraId="11A201E9" w14:textId="77777777" w:rsidR="004330BA" w:rsidRPr="004330BA" w:rsidRDefault="004330BA">
      <w:pPr>
        <w:shd w:val="clear" w:color="auto" w:fill="FFFFFF"/>
        <w:spacing w:after="0" w:line="240" w:lineRule="auto"/>
        <w:jc w:val="both"/>
        <w:rPr>
          <w:rFonts w:asciiTheme="majorHAnsi" w:hAnsiTheme="majorHAnsi"/>
          <w:sz w:val="24"/>
          <w:szCs w:val="24"/>
        </w:rPr>
      </w:pPr>
    </w:p>
    <w:p w14:paraId="692FFE42" w14:textId="77777777" w:rsidR="005B30C8" w:rsidRPr="004330BA" w:rsidRDefault="00000000">
      <w:pPr>
        <w:pStyle w:val="NormalWeb"/>
        <w:spacing w:before="0" w:after="360"/>
        <w:rPr>
          <w:rFonts w:asciiTheme="majorHAnsi" w:hAnsiTheme="majorHAnsi"/>
        </w:rPr>
      </w:pPr>
      <w:r w:rsidRPr="004330BA">
        <w:rPr>
          <w:rFonts w:asciiTheme="majorHAnsi" w:eastAsia="Aptos" w:hAnsiTheme="majorHAnsi"/>
          <w:kern w:val="3"/>
          <w:lang w:eastAsia="en-US"/>
        </w:rPr>
        <w:t xml:space="preserve">The key provisions of PACE are Balancing Rights, Safeguards and Transparency. PACE incorporates essential safeguards to prevent the abuse of power by law enforcement agencies. These protective measures ensure a fair balance between police authority and individual rights Right to Legal Representation: PACE grants individuals the right to legal advice and representation during police interviews and proceedings. This ensures that their rights are protected and that they can make informed decisions. Detention Limits PACE sets strict time limits for detaining individuals without charge. This prevents arbitrary or prolonged detention and ensures that suspects are promptly informed of the reasons for their arrest. Search Procedures PACE outlines guidelines for conducting searches, including stop and search procedures. These rules help prevent unwarranted intrusions into an individual’s privacy while allowing the police to carry out their duties effectively. By incorporating these safeguards, PACE aims to maintain a delicate balance between effective policing and safeguarding individual liberties. </w:t>
      </w:r>
      <w:r w:rsidRPr="004330BA">
        <w:rPr>
          <w:rFonts w:asciiTheme="majorHAnsi" w:eastAsia="Aptos" w:hAnsiTheme="majorHAnsi"/>
          <w:i/>
          <w:iCs/>
          <w:kern w:val="3"/>
          <w:lang w:eastAsia="en-US"/>
        </w:rPr>
        <w:t>(Gov.uk, Police and Criminal Evidence Act 1984 (PACE) Codes of Practice).</w:t>
      </w:r>
    </w:p>
    <w:p w14:paraId="692FFE43" w14:textId="1622AA98" w:rsidR="005B30C8" w:rsidRPr="004330BA" w:rsidRDefault="00000000">
      <w:pPr>
        <w:pStyle w:val="NormalWeb"/>
        <w:spacing w:before="0" w:after="360"/>
        <w:rPr>
          <w:rFonts w:asciiTheme="majorHAnsi" w:hAnsiTheme="majorHAnsi"/>
        </w:rPr>
      </w:pPr>
      <w:r w:rsidRPr="004330BA">
        <w:rPr>
          <w:rFonts w:asciiTheme="majorHAnsi" w:eastAsia="Aptos" w:hAnsiTheme="majorHAnsi"/>
          <w:kern w:val="3"/>
          <w:lang w:eastAsia="en-US"/>
        </w:rPr>
        <w:t xml:space="preserve">While PACE is designed to enhance transparency, accountability, and fairness, certain factors can lead to decreased public trust for example high profile failures and misconduct, </w:t>
      </w:r>
      <w:r w:rsidR="002F66E0" w:rsidRPr="004330BA">
        <w:rPr>
          <w:rFonts w:asciiTheme="majorHAnsi" w:eastAsia="Aptos" w:hAnsiTheme="majorHAnsi"/>
          <w:kern w:val="3"/>
          <w:lang w:eastAsia="en-US"/>
        </w:rPr>
        <w:t>for example t</w:t>
      </w:r>
      <w:r w:rsidRPr="004330BA">
        <w:rPr>
          <w:rFonts w:asciiTheme="majorHAnsi" w:eastAsia="Aptos" w:hAnsiTheme="majorHAnsi"/>
          <w:kern w:val="3"/>
          <w:lang w:eastAsia="en-US"/>
        </w:rPr>
        <w:t xml:space="preserve">he shockingly </w:t>
      </w:r>
      <w:proofErr w:type="gramStart"/>
      <w:r w:rsidRPr="004330BA">
        <w:rPr>
          <w:rFonts w:asciiTheme="majorHAnsi" w:eastAsia="Aptos" w:hAnsiTheme="majorHAnsi"/>
          <w:kern w:val="3"/>
          <w:lang w:eastAsia="en-US"/>
        </w:rPr>
        <w:t>high profile</w:t>
      </w:r>
      <w:proofErr w:type="gramEnd"/>
      <w:r w:rsidRPr="004330BA">
        <w:rPr>
          <w:rFonts w:asciiTheme="majorHAnsi" w:eastAsia="Aptos" w:hAnsiTheme="majorHAnsi"/>
          <w:kern w:val="3"/>
          <w:lang w:eastAsia="en-US"/>
        </w:rPr>
        <w:t xml:space="preserve"> even</w:t>
      </w:r>
      <w:r w:rsidR="002F66E0" w:rsidRPr="004330BA">
        <w:rPr>
          <w:rFonts w:asciiTheme="majorHAnsi" w:eastAsia="Aptos" w:hAnsiTheme="majorHAnsi"/>
          <w:kern w:val="3"/>
          <w:lang w:eastAsia="en-US"/>
        </w:rPr>
        <w:t>t,</w:t>
      </w:r>
      <w:r w:rsidRPr="004330BA">
        <w:rPr>
          <w:rFonts w:asciiTheme="majorHAnsi" w:eastAsia="Aptos" w:hAnsiTheme="majorHAnsi"/>
          <w:kern w:val="3"/>
          <w:lang w:eastAsia="en-US"/>
        </w:rPr>
        <w:t xml:space="preserve"> such as the kidnap, rape and murder of Sarah Everard by a serving Metropolitan Police Officer. This case has severely impacted public trust in policing. A significant decline was reported by the group More in Common, who surveyed a representative sample of over 2,000 British adults and found that trust in the police fell from 63% in February 2020 to 53% in November 2021, shortly after the sentencing of former Metropolitan Police Service (MPS) officer Wayne Couzens for the kidnap, </w:t>
      </w:r>
      <w:proofErr w:type="gramStart"/>
      <w:r w:rsidRPr="004330BA">
        <w:rPr>
          <w:rFonts w:asciiTheme="majorHAnsi" w:eastAsia="Aptos" w:hAnsiTheme="majorHAnsi"/>
          <w:kern w:val="3"/>
          <w:lang w:eastAsia="en-US"/>
        </w:rPr>
        <w:t>rape</w:t>
      </w:r>
      <w:proofErr w:type="gramEnd"/>
      <w:r w:rsidRPr="004330BA">
        <w:rPr>
          <w:rFonts w:asciiTheme="majorHAnsi" w:eastAsia="Aptos" w:hAnsiTheme="majorHAnsi"/>
          <w:kern w:val="3"/>
          <w:lang w:eastAsia="en-US"/>
        </w:rPr>
        <w:t xml:space="preserve"> and murder of Sarah Everard. </w:t>
      </w:r>
      <w:r w:rsidRPr="004330BA">
        <w:rPr>
          <w:rFonts w:asciiTheme="majorHAnsi" w:eastAsia="Aptos" w:hAnsiTheme="majorHAnsi"/>
          <w:i/>
          <w:iCs/>
          <w:kern w:val="3"/>
          <w:lang w:eastAsia="en-US"/>
        </w:rPr>
        <w:t>(Brown &amp; Hobbs, 2023)</w:t>
      </w:r>
    </w:p>
    <w:p w14:paraId="343FD2CD" w14:textId="77777777" w:rsidR="00A9690C" w:rsidRPr="004330BA" w:rsidRDefault="00000000">
      <w:pPr>
        <w:pStyle w:val="NormalWeb"/>
        <w:spacing w:before="0" w:after="360"/>
        <w:rPr>
          <w:rFonts w:asciiTheme="majorHAnsi" w:eastAsia="Aptos" w:hAnsiTheme="majorHAnsi"/>
          <w:kern w:val="3"/>
          <w:lang w:eastAsia="en-US"/>
        </w:rPr>
      </w:pPr>
      <w:r w:rsidRPr="004330BA">
        <w:rPr>
          <w:rFonts w:asciiTheme="majorHAnsi" w:eastAsia="Aptos" w:hAnsiTheme="majorHAnsi"/>
          <w:kern w:val="3"/>
          <w:lang w:eastAsia="en-US"/>
        </w:rPr>
        <w:t xml:space="preserve">The College of Policing Code of Ethics is another key policy that police forces in England and Wales have adopted. The code of </w:t>
      </w:r>
      <w:proofErr w:type="gramStart"/>
      <w:r w:rsidRPr="004330BA">
        <w:rPr>
          <w:rFonts w:asciiTheme="majorHAnsi" w:eastAsia="Aptos" w:hAnsiTheme="majorHAnsi"/>
          <w:kern w:val="3"/>
          <w:lang w:eastAsia="en-US"/>
        </w:rPr>
        <w:t>Ethics</w:t>
      </w:r>
      <w:proofErr w:type="gramEnd"/>
      <w:r w:rsidRPr="004330BA">
        <w:rPr>
          <w:rFonts w:asciiTheme="majorHAnsi" w:eastAsia="Aptos" w:hAnsiTheme="majorHAnsi"/>
          <w:kern w:val="3"/>
          <w:lang w:eastAsia="en-US"/>
        </w:rPr>
        <w:t xml:space="preserve"> which was first published in 2014 and reviewed and adapted in 2024 sets out professional standards and behaviours. It covers areas such as integrity, honesty, fairness, and respect for human rights. The Code aims to promote a culture of ethical conduct within police forces and hold officers accountable for their actions. Commitment to this ethical code will no doubt increase public confidence.</w:t>
      </w:r>
    </w:p>
    <w:p w14:paraId="692FFE45" w14:textId="17C9D011" w:rsidR="005B30C8" w:rsidRPr="004330BA" w:rsidRDefault="00000000">
      <w:pPr>
        <w:pStyle w:val="NormalWeb"/>
        <w:spacing w:before="0" w:after="360"/>
        <w:rPr>
          <w:rFonts w:asciiTheme="majorHAnsi" w:eastAsia="Aptos" w:hAnsiTheme="majorHAnsi"/>
          <w:kern w:val="3"/>
          <w:lang w:eastAsia="en-US"/>
        </w:rPr>
      </w:pPr>
      <w:r w:rsidRPr="004330BA">
        <w:rPr>
          <w:rFonts w:asciiTheme="majorHAnsi" w:eastAsia="Aptos" w:hAnsiTheme="majorHAnsi"/>
          <w:kern w:val="3"/>
          <w:lang w:eastAsia="en-US"/>
        </w:rPr>
        <w:lastRenderedPageBreak/>
        <w:t xml:space="preserve">However, without robust mechanisms for monitoring and enforcing compliance by senior officers and staff, the Code may be perceived as merely symbolic, rather than a meaningful deterrent against misconduct. In relation to stop searches in the year ending 2022 there were 516,684 stop and searches in England and Wales, at a rate of 8.7 for every 1,000 people there were 27.2 stop and searches for every 1,000 black people, compared with 5.6 for every </w:t>
      </w:r>
      <w:proofErr w:type="gramStart"/>
      <w:r w:rsidRPr="004330BA">
        <w:rPr>
          <w:rFonts w:asciiTheme="majorHAnsi" w:eastAsia="Aptos" w:hAnsiTheme="majorHAnsi"/>
          <w:kern w:val="3"/>
          <w:lang w:eastAsia="en-US"/>
        </w:rPr>
        <w:t>1,000 white</w:t>
      </w:r>
      <w:proofErr w:type="gramEnd"/>
      <w:r w:rsidRPr="004330BA">
        <w:rPr>
          <w:rFonts w:asciiTheme="majorHAnsi" w:eastAsia="Aptos" w:hAnsiTheme="majorHAnsi"/>
          <w:kern w:val="3"/>
          <w:lang w:eastAsia="en-US"/>
        </w:rPr>
        <w:t xml:space="preserve"> people. (Stop and search 2023) These figures suggest a significant disparity in the rates of stop and searches based on racial or ethnic identity, with black individuals being disproportionately targeted compared to white individuals. The disproportionate rates of stop and searches based on racial or ethnic identity, as indicated in the provided statistics, can decrease public confidence in policing for several reasons, which align with the policing Code of Ethics. The Code of Ethics emphasises the importance of fairness and impartiality in policing. When certain racial or ethnic groups are disproportionately targeted for stop and searches, it creates a perception of bias and unfair treatment. This therefore undermines the principle of impartiality, eroding trust in</w:t>
      </w:r>
      <w:r w:rsidRPr="004330BA">
        <w:rPr>
          <w:rFonts w:asciiTheme="majorHAnsi" w:hAnsiTheme="majorHAnsi"/>
        </w:rPr>
        <w:t xml:space="preserve"> the police </w:t>
      </w:r>
      <w:r w:rsidRPr="004330BA">
        <w:rPr>
          <w:rFonts w:asciiTheme="majorHAnsi" w:eastAsia="Aptos" w:hAnsiTheme="majorHAnsi"/>
          <w:kern w:val="3"/>
          <w:lang w:eastAsia="en-US"/>
        </w:rPr>
        <w:t>among affected communities.</w:t>
      </w:r>
    </w:p>
    <w:p w14:paraId="692FFE46" w14:textId="77777777" w:rsidR="005B30C8" w:rsidRPr="004330BA" w:rsidRDefault="00000000">
      <w:pPr>
        <w:pStyle w:val="NormalWeb"/>
        <w:spacing w:before="0" w:after="360"/>
        <w:rPr>
          <w:rFonts w:asciiTheme="majorHAnsi" w:eastAsia="Aptos" w:hAnsiTheme="majorHAnsi"/>
          <w:kern w:val="3"/>
          <w:lang w:eastAsia="en-US"/>
        </w:rPr>
      </w:pPr>
      <w:r w:rsidRPr="004330BA">
        <w:rPr>
          <w:rFonts w:asciiTheme="majorHAnsi" w:eastAsia="Aptos" w:hAnsiTheme="majorHAnsi"/>
          <w:kern w:val="3"/>
          <w:lang w:eastAsia="en-US"/>
        </w:rPr>
        <w:t xml:space="preserve">The National Decision Model (NDM) is a national framework used by all police forces in the United Kingdom to assist officers and staff to make ethical and effective decisions whilst conducting their duties in operational and non-operational roles. It provides them </w:t>
      </w:r>
      <w:proofErr w:type="gramStart"/>
      <w:r w:rsidRPr="004330BA">
        <w:rPr>
          <w:rFonts w:asciiTheme="majorHAnsi" w:eastAsia="Aptos" w:hAnsiTheme="majorHAnsi"/>
          <w:kern w:val="3"/>
          <w:lang w:eastAsia="en-US"/>
        </w:rPr>
        <w:t>with  a</w:t>
      </w:r>
      <w:proofErr w:type="gramEnd"/>
      <w:r w:rsidRPr="004330BA">
        <w:rPr>
          <w:rFonts w:asciiTheme="majorHAnsi" w:eastAsia="Aptos" w:hAnsiTheme="majorHAnsi"/>
          <w:kern w:val="3"/>
          <w:lang w:eastAsia="en-US"/>
        </w:rPr>
        <w:t xml:space="preserve"> structured approach to decision-making in situations. It is designed to be flexible and adaptable to different circumstances. The NDM helps officers and staff to consider various factors, including legal, ethical, operational, and situational considerations, when making decisions and indeed to review decisions made during both operational and non-operations situations. The NDM puts the Code of Ethics at the centre of all police decision making. </w:t>
      </w:r>
    </w:p>
    <w:p w14:paraId="692FFE47" w14:textId="77777777" w:rsidR="005B30C8" w:rsidRPr="004330BA" w:rsidRDefault="00000000">
      <w:pPr>
        <w:pStyle w:val="NormalWeb"/>
        <w:spacing w:before="0" w:after="360"/>
        <w:rPr>
          <w:rFonts w:asciiTheme="majorHAnsi" w:hAnsiTheme="majorHAnsi"/>
        </w:rPr>
      </w:pPr>
      <w:r w:rsidRPr="004330BA">
        <w:rPr>
          <w:rFonts w:asciiTheme="majorHAnsi" w:eastAsia="Aptos" w:hAnsiTheme="majorHAnsi"/>
          <w:kern w:val="3"/>
          <w:lang w:eastAsia="en-US"/>
        </w:rPr>
        <w:t>This distinguishes the NDM from other decision-making models and recognises the need for all police decisions to be consistent with the </w:t>
      </w:r>
      <w:hyperlink r:id="rId6" w:history="1">
        <w:r w:rsidRPr="004330BA">
          <w:rPr>
            <w:rFonts w:asciiTheme="majorHAnsi" w:eastAsia="Aptos" w:hAnsiTheme="majorHAnsi"/>
            <w:kern w:val="3"/>
            <w:lang w:eastAsia="en-US"/>
          </w:rPr>
          <w:t>Ethical policing principles</w:t>
        </w:r>
      </w:hyperlink>
      <w:r w:rsidRPr="004330BA">
        <w:rPr>
          <w:rFonts w:asciiTheme="majorHAnsi" w:eastAsia="Aptos" w:hAnsiTheme="majorHAnsi"/>
          <w:kern w:val="3"/>
          <w:lang w:eastAsia="en-US"/>
        </w:rPr>
        <w:t> and the </w:t>
      </w:r>
      <w:hyperlink r:id="rId7" w:history="1">
        <w:r w:rsidRPr="004330BA">
          <w:rPr>
            <w:rFonts w:asciiTheme="majorHAnsi" w:eastAsia="Aptos" w:hAnsiTheme="majorHAnsi"/>
            <w:kern w:val="3"/>
            <w:lang w:eastAsia="en-US"/>
          </w:rPr>
          <w:t>Guidance for ethical and professional behaviour in policing</w:t>
        </w:r>
      </w:hyperlink>
      <w:r w:rsidRPr="004330BA">
        <w:rPr>
          <w:rFonts w:asciiTheme="majorHAnsi" w:eastAsia="Aptos" w:hAnsiTheme="majorHAnsi"/>
          <w:i/>
          <w:iCs/>
          <w:kern w:val="3"/>
          <w:lang w:eastAsia="en-US"/>
        </w:rPr>
        <w:t xml:space="preserve">. </w:t>
      </w:r>
      <w:r w:rsidRPr="004330BA">
        <w:rPr>
          <w:rFonts w:asciiTheme="majorHAnsi" w:hAnsiTheme="majorHAnsi"/>
          <w:i/>
          <w:iCs/>
        </w:rPr>
        <w:t>(National decision model 2013).</w:t>
      </w:r>
      <w:r w:rsidRPr="004330BA">
        <w:rPr>
          <w:rFonts w:asciiTheme="majorHAnsi" w:hAnsiTheme="majorHAnsi"/>
        </w:rPr>
        <w:t xml:space="preserve"> </w:t>
      </w:r>
      <w:r w:rsidRPr="004330BA">
        <w:rPr>
          <w:rFonts w:asciiTheme="majorHAnsi" w:eastAsia="Aptos" w:hAnsiTheme="majorHAnsi"/>
          <w:kern w:val="3"/>
          <w:lang w:eastAsia="en-US"/>
        </w:rPr>
        <w:t xml:space="preserve">The NDM is designed to promote transparency, accountability, and professionalism in policing. When officers do not adhere to this framework, it can undermine public trust and confidence in the police. Communities may perceive policing practices as arbitrary, unfair, or biased, leading to increased tension and decreased cooperation the police. An example of how discrimination by police officers affects community tensions </w:t>
      </w:r>
      <w:proofErr w:type="gramStart"/>
      <w:r w:rsidRPr="004330BA">
        <w:rPr>
          <w:rFonts w:asciiTheme="majorHAnsi" w:eastAsia="Aptos" w:hAnsiTheme="majorHAnsi"/>
          <w:kern w:val="3"/>
          <w:lang w:eastAsia="en-US"/>
        </w:rPr>
        <w:t>were</w:t>
      </w:r>
      <w:proofErr w:type="gramEnd"/>
      <w:r w:rsidRPr="004330BA">
        <w:rPr>
          <w:rFonts w:asciiTheme="majorHAnsi" w:eastAsia="Aptos" w:hAnsiTheme="majorHAnsi"/>
          <w:kern w:val="3"/>
          <w:lang w:eastAsia="en-US"/>
        </w:rPr>
        <w:t xml:space="preserve"> the 2011 London riots were a series of riots and civil disturbances that occurred in London and other cities across England during August 2011. The riots began on August 6, 2011, in the Tottenham area of North London following the fatal shooting of Mark Duggan, a young black man, by Metropolitan police officers. The riots were fuelled by a combination of factors, including socioeconomic inequalities, high unemployment rates, perceived police misconduct, and a sense of alienation and frustration among some segments of the population, particularly young people from disadvantaged ethical backgrounds.</w:t>
      </w:r>
    </w:p>
    <w:p w14:paraId="692FFE48" w14:textId="77777777" w:rsidR="005B30C8" w:rsidRPr="004330BA" w:rsidRDefault="00000000">
      <w:pPr>
        <w:pStyle w:val="NormalWeb"/>
        <w:spacing w:before="0" w:after="360"/>
        <w:rPr>
          <w:rFonts w:asciiTheme="majorHAnsi" w:eastAsia="Aptos" w:hAnsiTheme="majorHAnsi"/>
          <w:kern w:val="3"/>
          <w:lang w:eastAsia="en-US"/>
        </w:rPr>
      </w:pPr>
      <w:r w:rsidRPr="004330BA">
        <w:rPr>
          <w:rFonts w:asciiTheme="majorHAnsi" w:eastAsia="Aptos" w:hAnsiTheme="majorHAnsi"/>
          <w:kern w:val="3"/>
          <w:lang w:eastAsia="en-US"/>
        </w:rPr>
        <w:t xml:space="preserve">In conclusion robust policies, adherence to ethical standards, and transparent practices contribute to public confidence in policing. Policing policies and procedures such as the Police and Criminal Evidence Act (PACE), the Code of Ethics and the National Decision Model (NDM), play a crucial role in maintaining professional standards and assist in reducing misconduct within policing and increasing public confidence. While these measures have strengths in promoting accountability, transparency, and procedural fairness, they also face </w:t>
      </w:r>
      <w:r w:rsidRPr="004330BA">
        <w:rPr>
          <w:rFonts w:asciiTheme="majorHAnsi" w:eastAsia="Aptos" w:hAnsiTheme="majorHAnsi"/>
          <w:kern w:val="3"/>
          <w:lang w:eastAsia="en-US"/>
        </w:rPr>
        <w:lastRenderedPageBreak/>
        <w:t>challenges and limitations in their implementation and effectiveness. Addressing these weaknesses will reduce misconduct and malpractice by police officers however this will require ongoing efforts from all police officers and staff to refine and improve policing practices, which will most certainly increase public confidence in policing.</w:t>
      </w:r>
    </w:p>
    <w:p w14:paraId="34A15249" w14:textId="270501A4" w:rsidR="002F66E0" w:rsidRPr="004330BA" w:rsidRDefault="00000000" w:rsidP="00775B8B">
      <w:pPr>
        <w:pStyle w:val="NormalWeb"/>
        <w:spacing w:before="0" w:after="360"/>
        <w:rPr>
          <w:rFonts w:asciiTheme="majorHAnsi" w:eastAsia="Aptos" w:hAnsiTheme="majorHAnsi"/>
          <w:b/>
          <w:bCs/>
          <w:kern w:val="3"/>
          <w:lang w:eastAsia="en-US"/>
        </w:rPr>
      </w:pPr>
      <w:r w:rsidRPr="004330BA">
        <w:rPr>
          <w:rFonts w:asciiTheme="majorHAnsi" w:eastAsia="Aptos" w:hAnsiTheme="majorHAnsi"/>
          <w:b/>
          <w:bCs/>
          <w:kern w:val="3"/>
          <w:lang w:eastAsia="en-US"/>
        </w:rPr>
        <w:t>106</w:t>
      </w:r>
      <w:r w:rsidR="002F66E0" w:rsidRPr="004330BA">
        <w:rPr>
          <w:rFonts w:asciiTheme="majorHAnsi" w:eastAsia="Aptos" w:hAnsiTheme="majorHAnsi"/>
          <w:b/>
          <w:bCs/>
          <w:kern w:val="3"/>
          <w:lang w:eastAsia="en-US"/>
        </w:rPr>
        <w:t>4</w:t>
      </w:r>
      <w:r w:rsidRPr="004330BA">
        <w:rPr>
          <w:rFonts w:asciiTheme="majorHAnsi" w:eastAsia="Aptos" w:hAnsiTheme="majorHAnsi"/>
          <w:b/>
          <w:bCs/>
          <w:kern w:val="3"/>
          <w:lang w:eastAsia="en-US"/>
        </w:rPr>
        <w:t xml:space="preserve"> Words</w:t>
      </w:r>
    </w:p>
    <w:p w14:paraId="1402A9B4" w14:textId="77777777" w:rsidR="002F66E0" w:rsidRPr="004330BA" w:rsidRDefault="002F66E0">
      <w:pPr>
        <w:suppressAutoHyphens w:val="0"/>
        <w:spacing w:before="100" w:after="100" w:line="240" w:lineRule="auto"/>
        <w:ind w:left="567" w:hanging="567"/>
        <w:rPr>
          <w:rFonts w:asciiTheme="majorHAnsi" w:hAnsiTheme="majorHAnsi"/>
          <w:sz w:val="24"/>
          <w:szCs w:val="24"/>
        </w:rPr>
      </w:pPr>
    </w:p>
    <w:p w14:paraId="692FFE50" w14:textId="54B65082" w:rsidR="005B30C8" w:rsidRPr="004330BA" w:rsidRDefault="002F66E0">
      <w:pPr>
        <w:pStyle w:val="NormalWeb"/>
        <w:spacing w:before="0" w:after="360"/>
        <w:rPr>
          <w:rFonts w:asciiTheme="majorHAnsi" w:hAnsiTheme="majorHAnsi"/>
          <w:b/>
          <w:bCs/>
        </w:rPr>
      </w:pPr>
      <w:r w:rsidRPr="004330BA">
        <w:rPr>
          <w:rFonts w:asciiTheme="majorHAnsi" w:hAnsiTheme="majorHAnsi"/>
          <w:b/>
          <w:bCs/>
        </w:rPr>
        <w:t>Essay two – Public Protection What characteristics (socio-economic, psychological etc.) can make a person vulnerable to exploitation to criminal gangs? Your answer must be based on academic research.</w:t>
      </w:r>
    </w:p>
    <w:p w14:paraId="39B9C8EB" w14:textId="77777777" w:rsidR="00775B8B" w:rsidRPr="004330BA" w:rsidRDefault="00775B8B" w:rsidP="00775B8B">
      <w:pPr>
        <w:spacing w:after="0" w:line="240" w:lineRule="auto"/>
        <w:rPr>
          <w:rFonts w:asciiTheme="majorHAnsi" w:hAnsiTheme="majorHAnsi"/>
          <w:color w:val="000000" w:themeColor="text1"/>
          <w:sz w:val="24"/>
          <w:szCs w:val="24"/>
        </w:rPr>
      </w:pPr>
      <w:r w:rsidRPr="004330BA">
        <w:rPr>
          <w:rFonts w:asciiTheme="majorHAnsi" w:hAnsiTheme="majorHAnsi"/>
          <w:color w:val="000000" w:themeColor="text1"/>
          <w:sz w:val="24"/>
          <w:szCs w:val="24"/>
        </w:rPr>
        <w:t>In the UK, organized crime gangs are a severe challenge to individual and community safety. This study explores the social, economic, mental, and environmental determinants behind the risk of financial insecurity (Densley et al. 2020. Pg. 7). Looking into them, this research will clarify why gangs are used by the youth in the UK. Poverty, failure to attend educational institutions, and unsafe housing are the most common socioeconomic factors that make people become the target of the gang network (Densley et al. 2020. Pg. 4). Cultural and social norms commonly allow and sometimes encourage exploitation, thereby regenerating the vicious cycle (Densley et al. 2020. Pg. 7). Thus, we can create better solutions and targeted prevention efforts that will keep the vulnerable off the hard criminal gang hands in the UK.</w:t>
      </w:r>
    </w:p>
    <w:p w14:paraId="275DBCF5" w14:textId="77777777" w:rsidR="00775B8B" w:rsidRPr="004330BA" w:rsidRDefault="00775B8B" w:rsidP="00775B8B">
      <w:pPr>
        <w:spacing w:after="0" w:line="240" w:lineRule="auto"/>
        <w:rPr>
          <w:rFonts w:asciiTheme="majorHAnsi" w:hAnsiTheme="majorHAnsi"/>
          <w:color w:val="000000" w:themeColor="text1"/>
          <w:sz w:val="24"/>
          <w:szCs w:val="24"/>
        </w:rPr>
      </w:pPr>
    </w:p>
    <w:p w14:paraId="5226D7D2" w14:textId="77777777" w:rsidR="00775B8B" w:rsidRPr="004330BA" w:rsidRDefault="00775B8B" w:rsidP="00775B8B">
      <w:pPr>
        <w:spacing w:after="0" w:line="240" w:lineRule="auto"/>
        <w:rPr>
          <w:rFonts w:asciiTheme="majorHAnsi" w:hAnsiTheme="majorHAnsi"/>
          <w:color w:val="000000" w:themeColor="text1"/>
          <w:sz w:val="24"/>
          <w:szCs w:val="24"/>
        </w:rPr>
      </w:pPr>
      <w:r w:rsidRPr="004330BA">
        <w:rPr>
          <w:rFonts w:asciiTheme="majorHAnsi" w:hAnsiTheme="majorHAnsi"/>
          <w:color w:val="000000" w:themeColor="text1"/>
          <w:sz w:val="24"/>
          <w:szCs w:val="24"/>
        </w:rPr>
        <w:t>The influence of social and economic factors has been found to play a substantial role in the United Kingdom concerning the risks of being lured to gangs and exploitations. Trends such as poverty and low-income force people to eventually take up gang recruitment (Densley et al. 2020. Pg. 7). High unemployment rates become additional factors influencing the situation, so more and more individuals become highly vulnerable because they urgently need well-being (</w:t>
      </w:r>
      <w:r w:rsidRPr="004330BA">
        <w:rPr>
          <w:rFonts w:asciiTheme="majorHAnsi" w:hAnsiTheme="majorHAnsi"/>
          <w:color w:val="000000" w:themeColor="text1"/>
          <w:sz w:val="24"/>
          <w:szCs w:val="24"/>
          <w:shd w:val="clear" w:color="auto" w:fill="FFFFFF"/>
        </w:rPr>
        <w:t>Felix da Costa 2024. Pg. 107</w:t>
      </w:r>
      <w:r w:rsidRPr="004330BA">
        <w:rPr>
          <w:rFonts w:asciiTheme="majorHAnsi" w:hAnsiTheme="majorHAnsi"/>
          <w:color w:val="000000" w:themeColor="text1"/>
          <w:sz w:val="24"/>
          <w:szCs w:val="24"/>
        </w:rPr>
        <w:t>). The lack of stable support systems and a desire for belonging predisposes them to gang recruitment (</w:t>
      </w:r>
      <w:r w:rsidRPr="004330BA">
        <w:rPr>
          <w:rFonts w:asciiTheme="majorHAnsi" w:hAnsiTheme="majorHAnsi"/>
          <w:color w:val="000000" w:themeColor="text1"/>
          <w:sz w:val="24"/>
          <w:szCs w:val="24"/>
          <w:shd w:val="clear" w:color="auto" w:fill="FFFFFF"/>
        </w:rPr>
        <w:t>Felix da Costa, 2024. Pg. 101</w:t>
      </w:r>
      <w:r w:rsidRPr="004330BA">
        <w:rPr>
          <w:rFonts w:asciiTheme="majorHAnsi" w:hAnsiTheme="majorHAnsi"/>
          <w:color w:val="000000" w:themeColor="text1"/>
          <w:sz w:val="24"/>
          <w:szCs w:val="24"/>
        </w:rPr>
        <w:t>). The following section focuses on psychological factors.</w:t>
      </w:r>
    </w:p>
    <w:p w14:paraId="373284CE" w14:textId="77777777" w:rsidR="00775B8B" w:rsidRPr="004330BA" w:rsidRDefault="00775B8B" w:rsidP="00775B8B">
      <w:pPr>
        <w:spacing w:after="0" w:line="240" w:lineRule="auto"/>
        <w:rPr>
          <w:rFonts w:asciiTheme="majorHAnsi" w:hAnsiTheme="majorHAnsi"/>
          <w:color w:val="000000" w:themeColor="text1"/>
          <w:sz w:val="24"/>
          <w:szCs w:val="24"/>
        </w:rPr>
      </w:pPr>
    </w:p>
    <w:p w14:paraId="281DB3CC" w14:textId="77777777" w:rsidR="00775B8B" w:rsidRPr="004330BA" w:rsidRDefault="00775B8B" w:rsidP="00775B8B">
      <w:pPr>
        <w:spacing w:after="0" w:line="240" w:lineRule="auto"/>
        <w:rPr>
          <w:rFonts w:asciiTheme="majorHAnsi" w:hAnsiTheme="majorHAnsi"/>
          <w:color w:val="000000" w:themeColor="text1"/>
          <w:sz w:val="24"/>
          <w:szCs w:val="24"/>
        </w:rPr>
      </w:pPr>
      <w:r w:rsidRPr="004330BA">
        <w:rPr>
          <w:rFonts w:asciiTheme="majorHAnsi" w:hAnsiTheme="majorHAnsi"/>
          <w:color w:val="000000" w:themeColor="text1"/>
          <w:sz w:val="24"/>
          <w:szCs w:val="24"/>
        </w:rPr>
        <w:t>Psychological factors are of significant significance in the entire process of throwing the individual at risk of gang exploitation. People with low self-esteem and small self-perception are most vulnerable to the temptation of gangs that offer belongingness and identity in their place (</w:t>
      </w:r>
      <w:r w:rsidRPr="004330BA">
        <w:rPr>
          <w:rFonts w:asciiTheme="majorHAnsi" w:hAnsiTheme="majorHAnsi"/>
          <w:color w:val="000000" w:themeColor="text1"/>
          <w:sz w:val="24"/>
          <w:szCs w:val="24"/>
          <w:shd w:val="clear" w:color="auto" w:fill="FFFFFF"/>
        </w:rPr>
        <w:t>Felix da Costa 2024. Pg. 101</w:t>
      </w:r>
      <w:r w:rsidRPr="004330BA">
        <w:rPr>
          <w:rFonts w:asciiTheme="majorHAnsi" w:hAnsiTheme="majorHAnsi"/>
          <w:color w:val="000000" w:themeColor="text1"/>
          <w:sz w:val="24"/>
          <w:szCs w:val="24"/>
        </w:rPr>
        <w:t>). Moreover, a history of abuse and harmful childhood experiences can leave permanent scars such that people end up becoming more defenceless against the manipulation and bullying approaches used by gangs (</w:t>
      </w:r>
      <w:r w:rsidRPr="004330BA">
        <w:rPr>
          <w:rFonts w:asciiTheme="majorHAnsi" w:hAnsiTheme="majorHAnsi"/>
          <w:color w:val="000000" w:themeColor="text1"/>
          <w:sz w:val="24"/>
          <w:szCs w:val="24"/>
          <w:shd w:val="clear" w:color="auto" w:fill="FFFFFF"/>
        </w:rPr>
        <w:t>Felix da Costa, 2024. Pg. 108</w:t>
      </w:r>
      <w:r w:rsidRPr="004330BA">
        <w:rPr>
          <w:rFonts w:asciiTheme="majorHAnsi" w:hAnsiTheme="majorHAnsi"/>
          <w:color w:val="000000" w:themeColor="text1"/>
          <w:sz w:val="24"/>
          <w:szCs w:val="24"/>
        </w:rPr>
        <w:t>). Comprehending these psychological vulnerabilities is the cornerstone for developing effectual intervention and prevention mechanisms.</w:t>
      </w:r>
    </w:p>
    <w:p w14:paraId="16874E3D" w14:textId="77777777" w:rsidR="00775B8B" w:rsidRPr="004330BA" w:rsidRDefault="00775B8B" w:rsidP="00775B8B">
      <w:pPr>
        <w:spacing w:after="0" w:line="240" w:lineRule="auto"/>
        <w:rPr>
          <w:rFonts w:asciiTheme="majorHAnsi" w:hAnsiTheme="majorHAnsi"/>
          <w:color w:val="000000" w:themeColor="text1"/>
          <w:sz w:val="24"/>
          <w:szCs w:val="24"/>
        </w:rPr>
      </w:pPr>
    </w:p>
    <w:p w14:paraId="5FD12551" w14:textId="77777777" w:rsidR="00775B8B" w:rsidRPr="004330BA" w:rsidRDefault="00775B8B" w:rsidP="00775B8B">
      <w:pPr>
        <w:spacing w:after="0" w:line="240" w:lineRule="auto"/>
        <w:rPr>
          <w:rFonts w:asciiTheme="majorHAnsi" w:hAnsiTheme="majorHAnsi"/>
          <w:color w:val="000000" w:themeColor="text1"/>
          <w:sz w:val="24"/>
          <w:szCs w:val="24"/>
        </w:rPr>
      </w:pPr>
      <w:r w:rsidRPr="004330BA">
        <w:rPr>
          <w:rFonts w:asciiTheme="majorHAnsi" w:hAnsiTheme="majorHAnsi"/>
          <w:color w:val="000000" w:themeColor="text1"/>
          <w:sz w:val="24"/>
          <w:szCs w:val="24"/>
        </w:rPr>
        <w:t>The residents, who restrict interactions, are perhaps vulnerable to criminal activities day and night, which may have a higher chance of joining gangs. Harassment, drinking, and drug abuse increase the population's vulnerability and are another factor that leads people to join gangs to be in a position of minor influence (Densley et al. 2020. Pg. 2). The detrimental effect family connections in criminal acts have on personal risk is exacerbated as it entrenches such participation, hence promulgating cyclic exploitation of the younger generation (</w:t>
      </w:r>
      <w:r w:rsidRPr="004330BA">
        <w:rPr>
          <w:rFonts w:asciiTheme="majorHAnsi" w:hAnsiTheme="majorHAnsi"/>
          <w:color w:val="000000" w:themeColor="text1"/>
          <w:sz w:val="24"/>
          <w:szCs w:val="24"/>
          <w:shd w:val="clear" w:color="auto" w:fill="FFFFFF"/>
        </w:rPr>
        <w:t xml:space="preserve">Felix da Costa </w:t>
      </w:r>
      <w:r w:rsidRPr="004330BA">
        <w:rPr>
          <w:rFonts w:asciiTheme="majorHAnsi" w:hAnsiTheme="majorHAnsi"/>
          <w:color w:val="000000" w:themeColor="text1"/>
          <w:sz w:val="24"/>
          <w:szCs w:val="24"/>
          <w:shd w:val="clear" w:color="auto" w:fill="FFFFFF"/>
        </w:rPr>
        <w:lastRenderedPageBreak/>
        <w:t>2024. Pg. 103</w:t>
      </w:r>
      <w:r w:rsidRPr="004330BA">
        <w:rPr>
          <w:rFonts w:asciiTheme="majorHAnsi" w:hAnsiTheme="majorHAnsi"/>
          <w:color w:val="000000" w:themeColor="text1"/>
          <w:sz w:val="24"/>
          <w:szCs w:val="24"/>
        </w:rPr>
        <w:t xml:space="preserve">). Impoverished young people cannot find alternative sources of information, and no one protects them from gang influence. </w:t>
      </w:r>
    </w:p>
    <w:p w14:paraId="7591863D" w14:textId="77777777" w:rsidR="00775B8B" w:rsidRPr="004330BA" w:rsidRDefault="00775B8B" w:rsidP="00775B8B">
      <w:pPr>
        <w:spacing w:after="0" w:line="240" w:lineRule="auto"/>
        <w:rPr>
          <w:rFonts w:asciiTheme="majorHAnsi" w:hAnsiTheme="majorHAnsi"/>
          <w:color w:val="000000" w:themeColor="text1"/>
          <w:sz w:val="24"/>
          <w:szCs w:val="24"/>
        </w:rPr>
      </w:pPr>
    </w:p>
    <w:p w14:paraId="6AD7CEFD" w14:textId="77777777" w:rsidR="00775B8B" w:rsidRPr="004330BA" w:rsidRDefault="00775B8B" w:rsidP="00775B8B">
      <w:pPr>
        <w:spacing w:after="0" w:line="240" w:lineRule="auto"/>
        <w:rPr>
          <w:rFonts w:asciiTheme="majorHAnsi" w:hAnsiTheme="majorHAnsi"/>
          <w:color w:val="000000" w:themeColor="text1"/>
          <w:sz w:val="24"/>
          <w:szCs w:val="24"/>
        </w:rPr>
      </w:pPr>
      <w:r w:rsidRPr="004330BA">
        <w:rPr>
          <w:rFonts w:asciiTheme="majorHAnsi" w:hAnsiTheme="majorHAnsi"/>
          <w:color w:val="000000" w:themeColor="text1"/>
          <w:sz w:val="24"/>
          <w:szCs w:val="24"/>
        </w:rPr>
        <w:t>Possible glorification of a wrong guy type of character in the media may become a cultural norm and normalize criminal way of behaviour, especially among a marginalized community (Densley et al. 2020. Pg. 2). Exhibiting behaviours of racism, ethnic discrimination, or socioeconomic alienation may foment sentiments of dejection and invite one to unite in gangs (Densley et al. 2020. Pg. 2). It is also vital for the community to have an insight and grasp of these social and cultural factors because intervention can be more targeted.</w:t>
      </w:r>
    </w:p>
    <w:p w14:paraId="742CB16C" w14:textId="77777777" w:rsidR="00775B8B" w:rsidRPr="004330BA" w:rsidRDefault="00775B8B" w:rsidP="00775B8B">
      <w:pPr>
        <w:spacing w:after="0" w:line="240" w:lineRule="auto"/>
        <w:rPr>
          <w:rFonts w:asciiTheme="majorHAnsi" w:hAnsiTheme="majorHAnsi"/>
          <w:color w:val="000000" w:themeColor="text1"/>
          <w:sz w:val="24"/>
          <w:szCs w:val="24"/>
        </w:rPr>
      </w:pPr>
    </w:p>
    <w:p w14:paraId="719F83A1" w14:textId="77777777" w:rsidR="00775B8B" w:rsidRPr="004330BA" w:rsidRDefault="00775B8B" w:rsidP="00775B8B">
      <w:pPr>
        <w:spacing w:after="0" w:line="240" w:lineRule="auto"/>
        <w:rPr>
          <w:rFonts w:asciiTheme="majorHAnsi" w:hAnsiTheme="majorHAnsi"/>
          <w:color w:val="000000" w:themeColor="text1"/>
          <w:sz w:val="24"/>
          <w:szCs w:val="24"/>
        </w:rPr>
      </w:pPr>
      <w:r w:rsidRPr="004330BA">
        <w:rPr>
          <w:rFonts w:asciiTheme="majorHAnsi" w:hAnsiTheme="majorHAnsi"/>
          <w:color w:val="000000" w:themeColor="text1"/>
          <w:sz w:val="24"/>
          <w:szCs w:val="24"/>
        </w:rPr>
        <w:t>Membership in gangs in the UK is standard when other factors are in play to create complicated weaknesses in gang exploitation. Those fighting with different barriers, including poverty, trauma, and racial discrimination, are facing the highest risk of a variety of synergistic problems (Densley et al. 2020. Pg. 5). There exists an interaction between these factors, which may heighten the state of vulnerability, especially among the youth and immigrants who are not well-established in the new setting (</w:t>
      </w:r>
      <w:r w:rsidRPr="004330BA">
        <w:rPr>
          <w:rFonts w:asciiTheme="majorHAnsi" w:hAnsiTheme="majorHAnsi"/>
          <w:color w:val="000000" w:themeColor="text1"/>
          <w:sz w:val="24"/>
          <w:szCs w:val="24"/>
          <w:shd w:val="clear" w:color="auto" w:fill="FFFFFF"/>
        </w:rPr>
        <w:t>Felix da Costa 2024. Pg. 107</w:t>
      </w:r>
      <w:r w:rsidRPr="004330BA">
        <w:rPr>
          <w:rFonts w:asciiTheme="majorHAnsi" w:hAnsiTheme="majorHAnsi"/>
          <w:color w:val="000000" w:themeColor="text1"/>
          <w:sz w:val="24"/>
          <w:szCs w:val="24"/>
        </w:rPr>
        <w:t xml:space="preserve">). The featured examples and case studies demonstrate the complexity of vulnerability; thus, there is a need to develop unique intervention strategies. </w:t>
      </w:r>
    </w:p>
    <w:p w14:paraId="0F899A06" w14:textId="77777777" w:rsidR="00775B8B" w:rsidRPr="004330BA" w:rsidRDefault="00775B8B" w:rsidP="00775B8B">
      <w:pPr>
        <w:spacing w:after="0" w:line="240" w:lineRule="auto"/>
        <w:rPr>
          <w:rFonts w:asciiTheme="majorHAnsi" w:hAnsiTheme="majorHAnsi"/>
          <w:color w:val="000000" w:themeColor="text1"/>
          <w:sz w:val="24"/>
          <w:szCs w:val="24"/>
        </w:rPr>
      </w:pPr>
    </w:p>
    <w:p w14:paraId="2CE68643" w14:textId="77777777" w:rsidR="00775B8B" w:rsidRPr="004330BA" w:rsidRDefault="00775B8B" w:rsidP="00775B8B">
      <w:pPr>
        <w:spacing w:after="0" w:line="240" w:lineRule="auto"/>
        <w:rPr>
          <w:rFonts w:asciiTheme="majorHAnsi" w:hAnsiTheme="majorHAnsi"/>
          <w:color w:val="000000" w:themeColor="text1"/>
          <w:sz w:val="24"/>
          <w:szCs w:val="24"/>
        </w:rPr>
      </w:pPr>
      <w:r w:rsidRPr="004330BA">
        <w:rPr>
          <w:rFonts w:asciiTheme="majorHAnsi" w:hAnsiTheme="majorHAnsi"/>
          <w:color w:val="000000" w:themeColor="text1"/>
          <w:sz w:val="24"/>
          <w:szCs w:val="24"/>
        </w:rPr>
        <w:t xml:space="preserve">The traumatized people from gang activity suffer emotional and physical abuse, which may then culminate in violence. As a result, the victims' reactions are most likely to be more severe. Also, social disintegration, which hinders the victims and their families, is the issue it creates (Densley et al. 2020. Pg. 2). Indeed, downstream effects are </w:t>
      </w:r>
      <w:proofErr w:type="gramStart"/>
      <w:r w:rsidRPr="004330BA">
        <w:rPr>
          <w:rFonts w:asciiTheme="majorHAnsi" w:hAnsiTheme="majorHAnsi"/>
          <w:color w:val="000000" w:themeColor="text1"/>
          <w:sz w:val="24"/>
          <w:szCs w:val="24"/>
        </w:rPr>
        <w:t>pretty remarkable</w:t>
      </w:r>
      <w:proofErr w:type="gramEnd"/>
      <w:r w:rsidRPr="004330BA">
        <w:rPr>
          <w:rFonts w:asciiTheme="majorHAnsi" w:hAnsiTheme="majorHAnsi"/>
          <w:color w:val="000000" w:themeColor="text1"/>
          <w:sz w:val="24"/>
          <w:szCs w:val="24"/>
        </w:rPr>
        <w:t xml:space="preserve"> because they spread from the family to the community level and disintegrate societies and youth into cynical inhabitants. There is a need to set up an inclusive system, and if possible, measures should be carried out as required.</w:t>
      </w:r>
    </w:p>
    <w:p w14:paraId="22B98704" w14:textId="77777777" w:rsidR="00775B8B" w:rsidRPr="004330BA" w:rsidRDefault="00775B8B" w:rsidP="00775B8B">
      <w:pPr>
        <w:spacing w:after="0" w:line="240" w:lineRule="auto"/>
        <w:rPr>
          <w:rFonts w:asciiTheme="majorHAnsi" w:hAnsiTheme="majorHAnsi"/>
          <w:color w:val="000000" w:themeColor="text1"/>
          <w:sz w:val="24"/>
          <w:szCs w:val="24"/>
        </w:rPr>
      </w:pPr>
    </w:p>
    <w:p w14:paraId="427D73A7" w14:textId="77777777" w:rsidR="00775B8B" w:rsidRPr="004330BA" w:rsidRDefault="00775B8B" w:rsidP="00775B8B">
      <w:pPr>
        <w:spacing w:after="0" w:line="240" w:lineRule="auto"/>
        <w:rPr>
          <w:rFonts w:asciiTheme="majorHAnsi" w:hAnsiTheme="majorHAnsi"/>
          <w:color w:val="000000" w:themeColor="text1"/>
          <w:sz w:val="24"/>
          <w:szCs w:val="24"/>
        </w:rPr>
      </w:pPr>
      <w:r w:rsidRPr="004330BA">
        <w:rPr>
          <w:rFonts w:asciiTheme="majorHAnsi" w:hAnsiTheme="majorHAnsi"/>
          <w:color w:val="000000" w:themeColor="text1"/>
          <w:sz w:val="24"/>
          <w:szCs w:val="24"/>
        </w:rPr>
        <w:t>Preventive programs spotting those who are at high risk for joining gangs assist and lead to avoidance of association with gangs. Education and awareness programs inform community members about the hazards of gang membership and offer various possibilities as alternatives (</w:t>
      </w:r>
      <w:r w:rsidRPr="004330BA">
        <w:rPr>
          <w:rFonts w:asciiTheme="majorHAnsi" w:hAnsiTheme="majorHAnsi"/>
          <w:color w:val="000000" w:themeColor="text1"/>
          <w:sz w:val="24"/>
          <w:szCs w:val="24"/>
          <w:shd w:val="clear" w:color="auto" w:fill="FFFFFF"/>
        </w:rPr>
        <w:t>Felix da Costa 2024. Pg. 100</w:t>
      </w:r>
      <w:r w:rsidRPr="004330BA">
        <w:rPr>
          <w:rFonts w:asciiTheme="majorHAnsi" w:hAnsiTheme="majorHAnsi"/>
          <w:color w:val="000000" w:themeColor="text1"/>
          <w:sz w:val="24"/>
          <w:szCs w:val="24"/>
        </w:rPr>
        <w:t>). Reinforcing social support systems and community solidity creates shielding factors against gangs' influence. Social policies aiming to solve the causes, like poverty and inequality, are necessary for preventive action in the long run (</w:t>
      </w:r>
      <w:r w:rsidRPr="004330BA">
        <w:rPr>
          <w:rFonts w:asciiTheme="majorHAnsi" w:hAnsiTheme="majorHAnsi"/>
          <w:color w:val="000000" w:themeColor="text1"/>
          <w:sz w:val="24"/>
          <w:szCs w:val="24"/>
          <w:shd w:val="clear" w:color="auto" w:fill="FFFFFF"/>
        </w:rPr>
        <w:t>Felix da Costa 2024. Pg. 100</w:t>
      </w:r>
      <w:r w:rsidRPr="004330BA">
        <w:rPr>
          <w:rFonts w:asciiTheme="majorHAnsi" w:hAnsiTheme="majorHAnsi"/>
          <w:color w:val="000000" w:themeColor="text1"/>
          <w:sz w:val="24"/>
          <w:szCs w:val="24"/>
        </w:rPr>
        <w:t>). These measures will hence help lessen the influence of gangs and thus protect vulnerable people and communities.</w:t>
      </w:r>
    </w:p>
    <w:p w14:paraId="61CAA748" w14:textId="77777777" w:rsidR="00775B8B" w:rsidRPr="004330BA" w:rsidRDefault="00775B8B" w:rsidP="00775B8B">
      <w:pPr>
        <w:spacing w:after="0" w:line="240" w:lineRule="auto"/>
        <w:rPr>
          <w:rFonts w:asciiTheme="majorHAnsi" w:hAnsiTheme="majorHAnsi"/>
          <w:color w:val="000000" w:themeColor="text1"/>
          <w:sz w:val="24"/>
          <w:szCs w:val="24"/>
        </w:rPr>
      </w:pPr>
    </w:p>
    <w:p w14:paraId="09323316" w14:textId="1C46ECAF" w:rsidR="00775B8B" w:rsidRDefault="00775B8B" w:rsidP="004330BA">
      <w:pPr>
        <w:spacing w:after="0" w:line="240" w:lineRule="auto"/>
        <w:rPr>
          <w:rFonts w:asciiTheme="majorHAnsi" w:hAnsiTheme="majorHAnsi"/>
          <w:color w:val="000000" w:themeColor="text1"/>
          <w:sz w:val="24"/>
          <w:szCs w:val="24"/>
        </w:rPr>
      </w:pPr>
      <w:r w:rsidRPr="004330BA">
        <w:rPr>
          <w:rFonts w:asciiTheme="majorHAnsi" w:hAnsiTheme="majorHAnsi"/>
          <w:color w:val="000000" w:themeColor="text1"/>
          <w:sz w:val="24"/>
          <w:szCs w:val="24"/>
        </w:rPr>
        <w:t xml:space="preserve">In the final place, we need to have exact knowledge about the socioeconomic, psychological, environmental, and cultural factors of susceptibility to gang exploitation in the UK is a must. The gang exploitation outdoors has heavy impacts on the personal lives of the victims, their </w:t>
      </w:r>
      <w:proofErr w:type="gramStart"/>
      <w:r w:rsidRPr="004330BA">
        <w:rPr>
          <w:rFonts w:asciiTheme="majorHAnsi" w:hAnsiTheme="majorHAnsi"/>
          <w:color w:val="000000" w:themeColor="text1"/>
          <w:sz w:val="24"/>
          <w:szCs w:val="24"/>
        </w:rPr>
        <w:t>families</w:t>
      </w:r>
      <w:proofErr w:type="gramEnd"/>
      <w:r w:rsidRPr="004330BA">
        <w:rPr>
          <w:rFonts w:asciiTheme="majorHAnsi" w:hAnsiTheme="majorHAnsi"/>
          <w:color w:val="000000" w:themeColor="text1"/>
          <w:sz w:val="24"/>
          <w:szCs w:val="24"/>
        </w:rPr>
        <w:t xml:space="preserve"> and their communities. Strategies designed to produce effective intervention and prevention in the UK context are vital for handling the problem. The UK can reduce the effect of young people joining gangs by developing desirable and safer communities. Therefore, the research should be carried on, and cooperation should be strengthened to set up the appropriate and effective measures aimed at diminishing gang involvement and prostitution in the UK.</w:t>
      </w:r>
    </w:p>
    <w:p w14:paraId="647FBB8E" w14:textId="77777777" w:rsidR="004330BA" w:rsidRPr="004330BA" w:rsidRDefault="004330BA" w:rsidP="004330BA">
      <w:pPr>
        <w:spacing w:after="0" w:line="240" w:lineRule="auto"/>
        <w:rPr>
          <w:rFonts w:asciiTheme="majorHAnsi" w:hAnsiTheme="majorHAnsi"/>
          <w:color w:val="000000" w:themeColor="text1"/>
          <w:sz w:val="24"/>
          <w:szCs w:val="24"/>
        </w:rPr>
      </w:pPr>
    </w:p>
    <w:p w14:paraId="785163C7" w14:textId="37662274" w:rsidR="002F66E0" w:rsidRPr="004330BA" w:rsidRDefault="002F66E0">
      <w:pPr>
        <w:pStyle w:val="NormalWeb"/>
        <w:spacing w:before="0" w:after="360"/>
        <w:rPr>
          <w:rFonts w:asciiTheme="majorHAnsi" w:hAnsiTheme="majorHAnsi"/>
          <w:b/>
          <w:bCs/>
        </w:rPr>
      </w:pPr>
      <w:r w:rsidRPr="004330BA">
        <w:rPr>
          <w:rFonts w:asciiTheme="majorHAnsi" w:hAnsiTheme="majorHAnsi"/>
          <w:b/>
          <w:bCs/>
        </w:rPr>
        <w:lastRenderedPageBreak/>
        <w:t>Essay three – Vulnerability &amp; Risk Is early intervention an effective means of preventing young people from offending? What increases or detracts from its effectiveness?</w:t>
      </w:r>
    </w:p>
    <w:p w14:paraId="4AEF74A1" w14:textId="77777777" w:rsidR="00A9690C" w:rsidRPr="004330BA" w:rsidRDefault="00A9690C" w:rsidP="00A9690C">
      <w:pPr>
        <w:spacing w:line="240" w:lineRule="auto"/>
        <w:rPr>
          <w:rFonts w:asciiTheme="majorHAnsi" w:hAnsiTheme="majorHAnsi"/>
          <w:sz w:val="24"/>
          <w:szCs w:val="24"/>
        </w:rPr>
      </w:pPr>
      <w:r w:rsidRPr="004330BA">
        <w:rPr>
          <w:rFonts w:asciiTheme="majorHAnsi" w:hAnsiTheme="majorHAnsi"/>
          <w:sz w:val="24"/>
          <w:szCs w:val="24"/>
        </w:rPr>
        <w:t>Youth delinquency has numerous harmful impacts on adolescents' lives</w:t>
      </w:r>
      <w:r w:rsidRPr="004330BA">
        <w:rPr>
          <w:rFonts w:asciiTheme="majorHAnsi" w:hAnsiTheme="majorHAnsi"/>
          <w:sz w:val="24"/>
          <w:szCs w:val="24"/>
        </w:rPr>
        <w:t xml:space="preserve"> and their communities</w:t>
      </w:r>
      <w:r w:rsidRPr="004330BA">
        <w:rPr>
          <w:rFonts w:asciiTheme="majorHAnsi" w:hAnsiTheme="majorHAnsi"/>
          <w:sz w:val="24"/>
          <w:szCs w:val="24"/>
        </w:rPr>
        <w:t xml:space="preserve">. It also affects the relationships between youths and their parents, tutors, and other individuals in authority. Youth offenders experience poor academic achievement, unplanned pregnancies, employment issues, and mental health issues (Hoffmann, </w:t>
      </w:r>
      <w:proofErr w:type="gramStart"/>
      <w:r w:rsidRPr="004330BA">
        <w:rPr>
          <w:rFonts w:asciiTheme="majorHAnsi" w:hAnsiTheme="majorHAnsi"/>
          <w:sz w:val="24"/>
          <w:szCs w:val="24"/>
        </w:rPr>
        <w:t>Thorpe</w:t>
      </w:r>
      <w:proofErr w:type="gramEnd"/>
      <w:r w:rsidRPr="004330BA">
        <w:rPr>
          <w:rFonts w:asciiTheme="majorHAnsi" w:hAnsiTheme="majorHAnsi"/>
          <w:sz w:val="24"/>
          <w:szCs w:val="24"/>
        </w:rPr>
        <w:t xml:space="preserve"> and Dufur, 2020). Therefore, early intervention is essential before young individuals engage in crime. Early intervention is an effective strategy for addressing youth offenders globally. It aims to prevent the occurrence of offender behaviour by reaching out to the youth who show patterns of offending risk (Hancock, 2023). In the UK, such measures are regarded as the most effective way of dealing with juvenile delinquency. This </w:t>
      </w:r>
      <w:r w:rsidRPr="004330BA">
        <w:rPr>
          <w:rFonts w:asciiTheme="majorHAnsi" w:hAnsiTheme="majorHAnsi"/>
          <w:sz w:val="24"/>
          <w:szCs w:val="24"/>
        </w:rPr>
        <w:t>essay</w:t>
      </w:r>
      <w:r w:rsidRPr="004330BA">
        <w:rPr>
          <w:rFonts w:asciiTheme="majorHAnsi" w:hAnsiTheme="majorHAnsi"/>
          <w:sz w:val="24"/>
          <w:szCs w:val="24"/>
        </w:rPr>
        <w:t xml:space="preserve"> focuses on the efficacy of early intervention programs in stopping youth offending by investigating factors facilitating their success founded on academic research and the UK context.</w:t>
      </w:r>
      <w:r w:rsidRPr="004330BA">
        <w:rPr>
          <w:rFonts w:asciiTheme="majorHAnsi" w:hAnsiTheme="majorHAnsi"/>
          <w:sz w:val="24"/>
          <w:szCs w:val="24"/>
        </w:rPr>
        <w:t xml:space="preserve"> </w:t>
      </w:r>
    </w:p>
    <w:p w14:paraId="4D2E9770" w14:textId="37E0ECF6" w:rsidR="00A9690C" w:rsidRPr="004330BA" w:rsidRDefault="00A9690C" w:rsidP="00A9690C">
      <w:pPr>
        <w:spacing w:line="240" w:lineRule="auto"/>
        <w:rPr>
          <w:rFonts w:asciiTheme="majorHAnsi" w:hAnsiTheme="majorHAnsi"/>
          <w:sz w:val="24"/>
          <w:szCs w:val="24"/>
        </w:rPr>
      </w:pPr>
      <w:r w:rsidRPr="004330BA">
        <w:rPr>
          <w:rFonts w:asciiTheme="majorHAnsi" w:hAnsiTheme="majorHAnsi"/>
          <w:sz w:val="24"/>
          <w:szCs w:val="24"/>
        </w:rPr>
        <w:t xml:space="preserve">In youth justice, early intervention tends to be split into prevention and diversion. Prevention is crucial in keeping our youth from the dangers of crime (Hancock, 2023). Adequately meeting the needs of the child and those of their environment and providing the proper support to access resources and keep children in school or safe homes will serve well in this process (Hancock, 2023). Diversion involves children who have committed or are related to an offence where services intercede early to address the underlying reasons for their behaviour (Hancock, 2023). The child </w:t>
      </w:r>
      <w:proofErr w:type="gramStart"/>
      <w:r w:rsidRPr="004330BA">
        <w:rPr>
          <w:rFonts w:asciiTheme="majorHAnsi" w:hAnsiTheme="majorHAnsi"/>
          <w:sz w:val="24"/>
          <w:szCs w:val="24"/>
        </w:rPr>
        <w:t>has to</w:t>
      </w:r>
      <w:proofErr w:type="gramEnd"/>
      <w:r w:rsidRPr="004330BA">
        <w:rPr>
          <w:rFonts w:asciiTheme="majorHAnsi" w:hAnsiTheme="majorHAnsi"/>
          <w:sz w:val="24"/>
          <w:szCs w:val="24"/>
        </w:rPr>
        <w:t xml:space="preserve"> be granted the right to get the same help or intervention that will help him to make the right decisions without getting the consequences of a criminal record that brings with it the stigma and limitations that follow a criminal record.</w:t>
      </w:r>
    </w:p>
    <w:p w14:paraId="0F747177" w14:textId="77777777" w:rsidR="00A9690C" w:rsidRPr="004330BA" w:rsidRDefault="00A9690C" w:rsidP="00A9690C">
      <w:pPr>
        <w:spacing w:line="240" w:lineRule="auto"/>
        <w:rPr>
          <w:rFonts w:asciiTheme="majorHAnsi" w:hAnsiTheme="majorHAnsi"/>
          <w:sz w:val="24"/>
          <w:szCs w:val="24"/>
        </w:rPr>
      </w:pPr>
      <w:r w:rsidRPr="004330BA">
        <w:rPr>
          <w:rFonts w:asciiTheme="majorHAnsi" w:hAnsiTheme="majorHAnsi"/>
          <w:sz w:val="24"/>
          <w:szCs w:val="24"/>
        </w:rPr>
        <w:t>Early intervention aims to minimize risk factors and enhance the protection available to a child, preventing undesirable long-term outcomes (Early Intervention Foundation, 2018). Overtime research shows that risk factors may damage children cognitively and socially, thus lowering their future social and economic mobility and even making them vulnerable to mental and bodily health challenges as well as crimes, substance abuse, or exploitation and abuse (Early Intervention Foundation, 2018).  Nonetheless, these factors function through the child's individual, family, community, and society surroundings, the interactions of which are varied and multi-layered. These risk factors are not deterministic or predictive individually: they cannot clearly outline which children or youth need support. However, they can help identify children susceptible to social evils and those requiring additional help. </w:t>
      </w:r>
    </w:p>
    <w:p w14:paraId="0131AA8A" w14:textId="77777777" w:rsidR="00A9690C" w:rsidRPr="004330BA" w:rsidRDefault="00A9690C" w:rsidP="00A9690C">
      <w:pPr>
        <w:spacing w:line="240" w:lineRule="auto"/>
        <w:rPr>
          <w:rFonts w:asciiTheme="majorHAnsi" w:hAnsiTheme="majorHAnsi"/>
          <w:sz w:val="24"/>
          <w:szCs w:val="24"/>
        </w:rPr>
      </w:pPr>
      <w:r w:rsidRPr="004330BA">
        <w:rPr>
          <w:rFonts w:asciiTheme="majorHAnsi" w:hAnsiTheme="majorHAnsi"/>
          <w:sz w:val="24"/>
          <w:szCs w:val="24"/>
        </w:rPr>
        <w:t xml:space="preserve">Youths associated with criminal activities usually expect to commit crimes in the future based on their prior experiences. For the period ending March 2021, 16.4% was the recidivism rate for those with no previous convictions, while 63.8% was for those who had committed at least 11 offences (Hancock, 2023). An early intervention breaks this deadly cycle. According to the Ministry of Justice, the estimated reoffending by children amounts to around £ 1.5 billion per year (Hancock, 2023). Investing this money in something more beneficial for the children would be a good idea.  Through our efforts as a society, each child should be able to develop the potential, and the communities protected from crime will be fewer victims. </w:t>
      </w:r>
    </w:p>
    <w:p w14:paraId="0E28B3F9" w14:textId="77777777" w:rsidR="00A9690C" w:rsidRPr="004330BA" w:rsidRDefault="00A9690C" w:rsidP="00A9690C">
      <w:pPr>
        <w:spacing w:line="240" w:lineRule="auto"/>
        <w:rPr>
          <w:rFonts w:asciiTheme="majorHAnsi" w:hAnsiTheme="majorHAnsi"/>
          <w:sz w:val="24"/>
          <w:szCs w:val="24"/>
        </w:rPr>
      </w:pPr>
      <w:r w:rsidRPr="004330BA">
        <w:rPr>
          <w:rFonts w:asciiTheme="majorHAnsi" w:hAnsiTheme="majorHAnsi"/>
          <w:sz w:val="24"/>
          <w:szCs w:val="24"/>
        </w:rPr>
        <w:t xml:space="preserve">Effectiveness is significantly enhanced when the interventions target the major at-risk groups. Moreover, the effectiveness of the programs tends to depend on the characteristics of the targeted juvenile delinquents. In general, programs are more effective when those at high risk of the issue they had offended in the past (Ross et al., 2010). This finding, which demonstrates </w:t>
      </w:r>
      <w:r w:rsidRPr="004330BA">
        <w:rPr>
          <w:rFonts w:asciiTheme="majorHAnsi" w:hAnsiTheme="majorHAnsi"/>
          <w:sz w:val="24"/>
          <w:szCs w:val="24"/>
        </w:rPr>
        <w:lastRenderedPageBreak/>
        <w:t>a tendency throughout the articles, shows that prevention should focus on young people with high-risk behaviours in this context. As an advantage, targeted help improves productivity and reduces spending. On the other hand, this approach is grounded in an assumption that puts the effectiveness of targeted approaches against a greater need for treatment among the targeted population (Ross et al., 2010). Since their needs are dire and they are closer to criminal activities in the future, they have more room for development.</w:t>
      </w:r>
    </w:p>
    <w:p w14:paraId="1F5C6AD6" w14:textId="77777777" w:rsidR="00A9690C" w:rsidRPr="004330BA" w:rsidRDefault="00A9690C" w:rsidP="00A9690C">
      <w:pPr>
        <w:spacing w:line="240" w:lineRule="auto"/>
        <w:rPr>
          <w:rFonts w:asciiTheme="majorHAnsi" w:hAnsiTheme="majorHAnsi"/>
          <w:sz w:val="24"/>
          <w:szCs w:val="24"/>
        </w:rPr>
      </w:pPr>
      <w:r w:rsidRPr="004330BA">
        <w:rPr>
          <w:rFonts w:asciiTheme="majorHAnsi" w:hAnsiTheme="majorHAnsi"/>
          <w:sz w:val="24"/>
          <w:szCs w:val="24"/>
        </w:rPr>
        <w:t>In the process, steps that aggressively involve family members, including parents, show effectiveness. A level of family functioning or lack of it at home could profoundly affect the subject of youngsters committing illegal acts or antisocial activities (Ross et al., 2010). As a rule, the empowering intervention programs in family life are based on giving the families tools to cope with this crisis independently. People choose this approach to deal with problems such as deadlock in behaviour supervision and discrepancies in family control measures. Based on the findings, behavioural parent training (BPT) was rated as the best of all types of intervention. The BPT model focuses on parents' consistency in due recognition of good behaviour and the opposite, which indicates that it is a well-defined norm (Ross et al., 2010). As such, parental support positively affects the youth crime rate and is essential for successful interventions.</w:t>
      </w:r>
    </w:p>
    <w:p w14:paraId="10DAD056" w14:textId="77777777" w:rsidR="00A9690C" w:rsidRPr="004330BA" w:rsidRDefault="00A9690C" w:rsidP="00A9690C">
      <w:pPr>
        <w:spacing w:line="240" w:lineRule="auto"/>
        <w:rPr>
          <w:rFonts w:asciiTheme="majorHAnsi" w:hAnsiTheme="majorHAnsi"/>
          <w:sz w:val="24"/>
          <w:szCs w:val="24"/>
        </w:rPr>
      </w:pPr>
      <w:r w:rsidRPr="004330BA">
        <w:rPr>
          <w:rFonts w:asciiTheme="majorHAnsi" w:hAnsiTheme="majorHAnsi"/>
          <w:sz w:val="24"/>
          <w:szCs w:val="24"/>
        </w:rPr>
        <w:t>Adopting evidence-based practices within intervention programs ensures that the strategies implemented have been proven effective through rigorous research. This includes using validated therapeutic techniques such as cognitive-behavioural therapy (CBT), motivational interviewing, and other approaches with a solid empirical foundation. CBT benefits children from 7 years old and adolescents by training them to regulate anger and providing social problem-solving skills that help them behave more independently and situationally appropriately (Matthys and Schutter, 2021). The Anger Control Program and Problem-Solving Skills Training were created as independent treatments for kids with conduct disorders (Matthys and Schutter, 2021). Therefore, when used early, CBT can effectively lower the rate of young offenders. </w:t>
      </w:r>
    </w:p>
    <w:p w14:paraId="35772BBD" w14:textId="77777777" w:rsidR="00A9690C" w:rsidRPr="004330BA" w:rsidRDefault="00A9690C" w:rsidP="00A9690C">
      <w:pPr>
        <w:spacing w:line="240" w:lineRule="auto"/>
        <w:rPr>
          <w:rFonts w:asciiTheme="majorHAnsi" w:hAnsiTheme="majorHAnsi"/>
          <w:sz w:val="24"/>
          <w:szCs w:val="24"/>
        </w:rPr>
      </w:pPr>
      <w:r w:rsidRPr="004330BA">
        <w:rPr>
          <w:rFonts w:asciiTheme="majorHAnsi" w:hAnsiTheme="majorHAnsi"/>
          <w:sz w:val="24"/>
          <w:szCs w:val="24"/>
        </w:rPr>
        <w:t>In conclusion, early intervention programs protect youth from committing crimes by dealing with factors predisposing them to delinquency. The inclusion of such interventions as those targeted at youths who are at risk, the involvement of families and the use of evidence-based practices such as cognitive-behavioural therapy are what make up the overall effectiveness improvement. Through combined strategies of these components, youths who are at risk of recidivism, early intervention can break the cycle and enable the citizens to lead healthier and more productive lives. It helps the young and their families while contributing extensively to society's broader well-being by lowering the crime rate and associated economic costs. Thus, investing in early intervention is a moral duty and a practical solution that ensures lifelong advantages for families and the community.</w:t>
      </w:r>
    </w:p>
    <w:p w14:paraId="0E3F8242" w14:textId="77777777" w:rsidR="00A9690C" w:rsidRPr="004330BA" w:rsidRDefault="00A9690C" w:rsidP="00A9690C">
      <w:pPr>
        <w:spacing w:line="240" w:lineRule="auto"/>
        <w:rPr>
          <w:rFonts w:asciiTheme="majorHAnsi" w:hAnsiTheme="majorHAnsi"/>
          <w:b/>
          <w:bCs/>
          <w:sz w:val="24"/>
          <w:szCs w:val="24"/>
        </w:rPr>
      </w:pPr>
      <w:r w:rsidRPr="004330BA">
        <w:rPr>
          <w:rFonts w:asciiTheme="majorHAnsi" w:hAnsiTheme="majorHAnsi"/>
          <w:b/>
          <w:bCs/>
          <w:sz w:val="24"/>
          <w:szCs w:val="24"/>
        </w:rPr>
        <w:t>1032 Words</w:t>
      </w:r>
    </w:p>
    <w:p w14:paraId="5FEFC5A7" w14:textId="77777777" w:rsidR="00A9690C" w:rsidRPr="004330BA" w:rsidRDefault="00A9690C" w:rsidP="00A9690C">
      <w:pPr>
        <w:spacing w:line="240" w:lineRule="auto"/>
        <w:rPr>
          <w:rFonts w:asciiTheme="majorHAnsi" w:hAnsiTheme="majorHAnsi"/>
          <w:b/>
          <w:bCs/>
          <w:sz w:val="24"/>
          <w:szCs w:val="24"/>
        </w:rPr>
      </w:pPr>
    </w:p>
    <w:p w14:paraId="1FAD8205" w14:textId="7F25CFB6" w:rsidR="00A9690C" w:rsidRPr="004330BA" w:rsidRDefault="00A9690C" w:rsidP="00A9690C">
      <w:pPr>
        <w:spacing w:line="240" w:lineRule="auto"/>
        <w:jc w:val="center"/>
        <w:rPr>
          <w:rFonts w:asciiTheme="majorHAnsi" w:hAnsiTheme="majorHAnsi"/>
          <w:b/>
          <w:bCs/>
          <w:sz w:val="24"/>
          <w:szCs w:val="24"/>
        </w:rPr>
      </w:pPr>
    </w:p>
    <w:p w14:paraId="6915D371" w14:textId="5D48EF28" w:rsidR="00A9690C" w:rsidRPr="004330BA" w:rsidRDefault="00A9690C" w:rsidP="00A9690C">
      <w:pPr>
        <w:spacing w:line="240" w:lineRule="auto"/>
        <w:rPr>
          <w:rFonts w:asciiTheme="majorHAnsi" w:eastAsia="Times New Roman" w:hAnsiTheme="majorHAnsi"/>
          <w:sz w:val="24"/>
          <w:szCs w:val="24"/>
          <w:lang w:val="en-US"/>
        </w:rPr>
      </w:pPr>
    </w:p>
    <w:p w14:paraId="23CD3887" w14:textId="3203178B" w:rsidR="002F66E0" w:rsidRPr="004330BA" w:rsidRDefault="00A9690C" w:rsidP="00BE47F6">
      <w:pPr>
        <w:ind w:left="720" w:hanging="720"/>
        <w:rPr>
          <w:rFonts w:asciiTheme="majorHAnsi" w:eastAsia="Times New Roman" w:hAnsiTheme="majorHAnsi"/>
          <w:sz w:val="24"/>
          <w:szCs w:val="24"/>
          <w:lang w:val="en-US"/>
        </w:rPr>
      </w:pPr>
      <w:r w:rsidRPr="004330BA">
        <w:rPr>
          <w:rFonts w:asciiTheme="majorHAnsi" w:eastAsia="Times New Roman" w:hAnsiTheme="majorHAnsi"/>
          <w:sz w:val="24"/>
          <w:szCs w:val="24"/>
          <w:lang w:val="en-US"/>
        </w:rPr>
        <w:t xml:space="preserve"> </w:t>
      </w:r>
    </w:p>
    <w:p w14:paraId="425C9189" w14:textId="7A87D196" w:rsidR="002F66E0" w:rsidRPr="004330BA" w:rsidRDefault="002F66E0">
      <w:pPr>
        <w:pStyle w:val="NormalWeb"/>
        <w:spacing w:before="0" w:after="360"/>
        <w:rPr>
          <w:rFonts w:asciiTheme="majorHAnsi" w:hAnsiTheme="majorHAnsi"/>
          <w:b/>
          <w:bCs/>
        </w:rPr>
      </w:pPr>
      <w:r w:rsidRPr="004330BA">
        <w:rPr>
          <w:rFonts w:asciiTheme="majorHAnsi" w:hAnsiTheme="majorHAnsi"/>
          <w:b/>
          <w:bCs/>
        </w:rPr>
        <w:lastRenderedPageBreak/>
        <w:t>Essay four – Valuing Difference &amp; Inclusion How effectively has policing adapted to accommodate diversity within the UK? Consider the police force itself and/or the way police engage with diverse communities.</w:t>
      </w:r>
    </w:p>
    <w:p w14:paraId="28B354FD" w14:textId="77777777" w:rsidR="00B1207E" w:rsidRPr="004330BA" w:rsidRDefault="00B1207E" w:rsidP="00B1207E">
      <w:pPr>
        <w:pStyle w:val="NormalWeb"/>
        <w:spacing w:before="0" w:after="0"/>
        <w:jc w:val="center"/>
        <w:rPr>
          <w:rFonts w:asciiTheme="majorHAnsi" w:eastAsiaTheme="minorEastAsia" w:hAnsiTheme="majorHAnsi"/>
          <w:lang w:eastAsia="en-US"/>
        </w:rPr>
      </w:pPr>
    </w:p>
    <w:p w14:paraId="02D02D01" w14:textId="77777777" w:rsidR="00B1207E" w:rsidRPr="004330BA" w:rsidRDefault="00B1207E" w:rsidP="00B1207E">
      <w:pPr>
        <w:pStyle w:val="NormalWeb"/>
        <w:spacing w:before="0" w:after="0"/>
        <w:rPr>
          <w:rFonts w:asciiTheme="majorHAnsi" w:hAnsiTheme="majorHAnsi"/>
        </w:rPr>
      </w:pPr>
      <w:r w:rsidRPr="004330BA">
        <w:rPr>
          <w:rFonts w:asciiTheme="majorHAnsi" w:hAnsiTheme="majorHAnsi"/>
        </w:rPr>
        <w:t>In the United Kingdom, Police have been subjected to critical analysis, and their perspectives have changed to foster inclusivity and successful community interaction. The College of Policing Diversity, Equality, and Inclusion Plan, through fair access, provides solutions to ethnicity-related issues. This essay explores the College's teamwork efforts and clarifies the effectiveness of continuing professional development initiatives on organisational culture and diversity. The development of police forces in the UK over the years, conducted within the framework of the College of Policing’s Diversity, Equality, and Inclusion Strategy 2021-2024, manifests community values and engagement. The essay examines collaborative approaches and the instructional role of continuous professional development activities in achieving a culture of diversity within an organisation.</w:t>
      </w:r>
    </w:p>
    <w:p w14:paraId="075B3098" w14:textId="77777777" w:rsidR="00B1207E" w:rsidRPr="004330BA" w:rsidRDefault="00B1207E" w:rsidP="00B1207E">
      <w:pPr>
        <w:pStyle w:val="NormalWeb"/>
        <w:spacing w:before="0" w:after="0"/>
        <w:rPr>
          <w:rFonts w:asciiTheme="majorHAnsi" w:hAnsiTheme="majorHAnsi"/>
        </w:rPr>
      </w:pPr>
    </w:p>
    <w:p w14:paraId="5063F7A9" w14:textId="77777777" w:rsidR="00B1207E" w:rsidRPr="004330BA" w:rsidRDefault="00B1207E" w:rsidP="00B1207E">
      <w:pPr>
        <w:pStyle w:val="NormalWeb"/>
        <w:spacing w:before="0" w:after="0"/>
        <w:rPr>
          <w:rFonts w:asciiTheme="majorHAnsi" w:hAnsiTheme="majorHAnsi"/>
        </w:rPr>
      </w:pPr>
      <w:r w:rsidRPr="004330BA">
        <w:rPr>
          <w:rFonts w:asciiTheme="majorHAnsi" w:hAnsiTheme="majorHAnsi"/>
        </w:rPr>
        <w:t>The College of Policing, the policing professional body in England and Wales, plays a core role in the Diversity Equality Inclusion initiative by all police forces as they set the policies and standards for diversity, equality, and inclusion. Their Diversity, Equality, and Inclusion Strategy 2021-2024 serves as a means of establishing solid commitment towards equitable distribution of knowledge and skill development opportunities, addressing issues of ethnic inequalities that arose during the Black Lives Matter movement and the death of George Floyd. Firstly, this strategy clearly shows the importance of DEI (College of Policing, 2024). Secondly, as a professional institution, it is one of the duties of police officers to lead by example to strengthen the image of the Police as an icon of professionalism.</w:t>
      </w:r>
    </w:p>
    <w:p w14:paraId="2620E0F5" w14:textId="77777777" w:rsidR="00B1207E" w:rsidRPr="004330BA" w:rsidRDefault="00B1207E" w:rsidP="00B1207E">
      <w:pPr>
        <w:pStyle w:val="NormalWeb"/>
        <w:spacing w:before="0" w:after="0"/>
        <w:rPr>
          <w:rFonts w:asciiTheme="majorHAnsi" w:hAnsiTheme="majorHAnsi"/>
        </w:rPr>
      </w:pPr>
    </w:p>
    <w:p w14:paraId="5662E800" w14:textId="77777777" w:rsidR="00B1207E" w:rsidRPr="004330BA" w:rsidRDefault="00B1207E" w:rsidP="00B1207E">
      <w:pPr>
        <w:pStyle w:val="NormalWeb"/>
        <w:spacing w:before="0" w:after="0"/>
        <w:rPr>
          <w:rFonts w:asciiTheme="majorHAnsi" w:hAnsiTheme="majorHAnsi"/>
        </w:rPr>
      </w:pPr>
      <w:r w:rsidRPr="004330BA">
        <w:rPr>
          <w:rFonts w:asciiTheme="majorHAnsi" w:hAnsiTheme="majorHAnsi"/>
        </w:rPr>
        <w:t>One of the crucial issues to consider related to shaping the policing approach in diversity is how the representation in the workforce is going. The latest figures from March 2022 show that significant strikes have been made by white police officers, representing 91.9%, while the remaining 8.1% are coming from ethnic minority backgrounds. This illustrates that there is still more to do in the Police institution to improve diversity across the spectrum that the Police serves. Recruiting individuals in underrepresented sectors has been a success. Additionally, there is much more to be done regarding addressing this gap and developing a diverse workforce, considering society in general. The involvement of different partners and the cooperative scheme of the College of Policing, as depicted through its working with diverse stakeholders, could be indicative of the police service in the UK setting the turn into motion to promote DEI (College of Policing, 2024). The College develops its partnerships with numerous organizations, including municipal institutions, community organizations, and advocates, and demonstrates that it is on board with all the stakeholders in combating DEI issues.</w:t>
      </w:r>
    </w:p>
    <w:p w14:paraId="2B6B2F67" w14:textId="77777777" w:rsidR="00B1207E" w:rsidRPr="004330BA" w:rsidRDefault="00B1207E" w:rsidP="00B1207E">
      <w:pPr>
        <w:pStyle w:val="NormalWeb"/>
        <w:spacing w:before="0" w:after="0"/>
        <w:rPr>
          <w:rFonts w:asciiTheme="majorHAnsi" w:hAnsiTheme="majorHAnsi"/>
        </w:rPr>
      </w:pPr>
    </w:p>
    <w:p w14:paraId="4A064F5E" w14:textId="77777777" w:rsidR="00B1207E" w:rsidRPr="004330BA" w:rsidRDefault="00B1207E" w:rsidP="00B1207E">
      <w:pPr>
        <w:pStyle w:val="NormalWeb"/>
        <w:spacing w:before="0" w:after="0"/>
        <w:rPr>
          <w:rFonts w:asciiTheme="majorHAnsi" w:hAnsiTheme="majorHAnsi"/>
        </w:rPr>
      </w:pPr>
      <w:r w:rsidRPr="004330BA">
        <w:rPr>
          <w:rFonts w:asciiTheme="majorHAnsi" w:hAnsiTheme="majorHAnsi"/>
        </w:rPr>
        <w:t xml:space="preserve"> However, the College has various collaborative actions with other agencies, including the NPCC Plan of Action, which improves policing by extending equal and inclusive racial practices. The College is responsible for creatively engaging with intelligent people in the community and contributing to developing and implementing solution-based strategies that are proven to work in limiting the systemic issues of diversity and inclusion (College of Policing, 2024). Furthermore, emphasizing robust evaluation frameworks, the College guarantees its programs capture and reveal concrete impact and proper outcomes. The </w:t>
      </w:r>
      <w:r w:rsidRPr="004330BA">
        <w:rPr>
          <w:rFonts w:asciiTheme="majorHAnsi" w:hAnsiTheme="majorHAnsi"/>
        </w:rPr>
        <w:lastRenderedPageBreak/>
        <w:t>organisations' firmness in monitoring the results highlights the present values of the policing profession, which should move towards creating a long-term inclusive and equitable culture.</w:t>
      </w:r>
    </w:p>
    <w:p w14:paraId="62B1E8D3" w14:textId="77777777" w:rsidR="00B1207E" w:rsidRPr="004330BA" w:rsidRDefault="00B1207E" w:rsidP="00B1207E">
      <w:pPr>
        <w:pStyle w:val="NormalWeb"/>
        <w:spacing w:before="0" w:after="0"/>
        <w:rPr>
          <w:rFonts w:asciiTheme="majorHAnsi" w:hAnsiTheme="majorHAnsi"/>
        </w:rPr>
      </w:pPr>
    </w:p>
    <w:p w14:paraId="6F1FB7E4" w14:textId="7C36F069" w:rsidR="00B1207E" w:rsidRPr="004330BA" w:rsidRDefault="00B1207E" w:rsidP="00B1207E">
      <w:pPr>
        <w:pStyle w:val="NormalWeb"/>
        <w:spacing w:before="0" w:after="0"/>
        <w:rPr>
          <w:rFonts w:asciiTheme="majorHAnsi" w:hAnsiTheme="majorHAnsi"/>
        </w:rPr>
      </w:pPr>
      <w:r w:rsidRPr="004330BA">
        <w:rPr>
          <w:rFonts w:asciiTheme="majorHAnsi" w:hAnsiTheme="majorHAnsi"/>
        </w:rPr>
        <w:t xml:space="preserve">Continuous Professional Development (CPD), whose purpose is to engender diversity and inclusion within policing, is acknowledged to be an essential aspect. Individuals can be provided with a program focused on DEI through everyone’s CPD. Thus, issues like unconscious bias can be avoided, and underrepresented groups can be recruited during recruitment and continue to promote their advancement (College of Policing, 2020). Nevertheless, police agencies have come into a position to improve their public contact and community policing programs by gathering and elaborating on parameters such as attendants' satisfaction results, learning outcomes, and behavioural changes. Applying data-driven techniques enables the leadership to match resourcefully the most suitable training methods and curriculum content to the varied categories of staff within the policing organisation. </w:t>
      </w:r>
    </w:p>
    <w:p w14:paraId="57982ECA" w14:textId="77777777" w:rsidR="00B1207E" w:rsidRPr="004330BA" w:rsidRDefault="00B1207E" w:rsidP="00B1207E">
      <w:pPr>
        <w:pStyle w:val="NormalWeb"/>
        <w:spacing w:before="0" w:after="0"/>
        <w:rPr>
          <w:rFonts w:asciiTheme="majorHAnsi" w:hAnsiTheme="majorHAnsi"/>
        </w:rPr>
      </w:pPr>
    </w:p>
    <w:p w14:paraId="2EDE9180" w14:textId="18C4F92F" w:rsidR="00B1207E" w:rsidRPr="004330BA" w:rsidRDefault="00B1207E" w:rsidP="00B1207E">
      <w:pPr>
        <w:pStyle w:val="NormalWeb"/>
        <w:spacing w:before="0" w:after="0"/>
        <w:rPr>
          <w:rFonts w:asciiTheme="majorHAnsi" w:hAnsiTheme="majorHAnsi"/>
        </w:rPr>
      </w:pPr>
      <w:r w:rsidRPr="004330BA">
        <w:rPr>
          <w:rFonts w:asciiTheme="majorHAnsi" w:hAnsiTheme="majorHAnsi"/>
        </w:rPr>
        <w:t xml:space="preserve">Based on the data obtained, leadership can define critical issues experienced by the group from the field of satisfaction indicators, including educational outcomes and behavioural changes. This is one of the primary ways of applying a tailored and precise professional training method that focuses on addressing the </w:t>
      </w:r>
      <w:proofErr w:type="gramStart"/>
      <w:r w:rsidRPr="004330BA">
        <w:rPr>
          <w:rFonts w:asciiTheme="majorHAnsi" w:hAnsiTheme="majorHAnsi"/>
        </w:rPr>
        <w:t>particular needs</w:t>
      </w:r>
      <w:proofErr w:type="gramEnd"/>
      <w:r w:rsidRPr="004330BA">
        <w:rPr>
          <w:rFonts w:asciiTheme="majorHAnsi" w:hAnsiTheme="majorHAnsi"/>
        </w:rPr>
        <w:t xml:space="preserve"> of the diverse interests of groups (College of Policing, 2024). Therefore, the team becomes more competent and experiences the need to invent and improve their skills. This translates into more effective and efficient roles and the capacity to adjust to dynamic contexts. Lastly, a culture of constant improvement is nurtured using a data-driven approach, encouraging organisations to assess training initiatives with empirical evidence and real-time feedback and then work towards adopting or modifying, thus enhancing overall organisational effectiveness and performance.</w:t>
      </w:r>
    </w:p>
    <w:p w14:paraId="571FDB8F" w14:textId="77777777" w:rsidR="00B1207E" w:rsidRPr="004330BA" w:rsidRDefault="00B1207E" w:rsidP="00B1207E">
      <w:pPr>
        <w:pStyle w:val="NormalWeb"/>
        <w:spacing w:before="0" w:after="0"/>
        <w:rPr>
          <w:rFonts w:asciiTheme="majorHAnsi" w:hAnsiTheme="majorHAnsi"/>
        </w:rPr>
      </w:pPr>
    </w:p>
    <w:p w14:paraId="2B80B617" w14:textId="0447F21C" w:rsidR="00B1207E" w:rsidRPr="004330BA" w:rsidRDefault="00B1207E" w:rsidP="00B1207E">
      <w:pPr>
        <w:pStyle w:val="NormalWeb"/>
        <w:spacing w:before="0" w:after="0"/>
        <w:rPr>
          <w:rFonts w:asciiTheme="majorHAnsi" w:hAnsiTheme="majorHAnsi"/>
        </w:rPr>
      </w:pPr>
      <w:r w:rsidRPr="004330BA">
        <w:rPr>
          <w:rFonts w:asciiTheme="majorHAnsi" w:hAnsiTheme="majorHAnsi"/>
        </w:rPr>
        <w:t>Furthermore, how the effect of the professional development initiatives can be projected goes far beyond the individual skills advancement to take the full range of the organisational dynamics. Through exploring changes in organisational cultures, such as the starting of issues related to diversity, the interaction of the group, and a commitment to be inclusive, the policing agencies can assess the degree to which CPD efforts are triggering a cultural change in a meaningful way (College of Policing, 2020). However, the periodic evaluation identifies unanticipated adverse consequences and more areas of disparities in democratic participation and conclusion, particularly among the underrepresented groups. This allows police forces in the UK to implement systematic changes, including eliminating the walls impeding participation and equal access of all workers to professional skills development resources.</w:t>
      </w:r>
    </w:p>
    <w:p w14:paraId="2F097472" w14:textId="77777777" w:rsidR="00B1207E" w:rsidRPr="004330BA" w:rsidRDefault="00B1207E" w:rsidP="00B1207E">
      <w:pPr>
        <w:pStyle w:val="NormalWeb"/>
        <w:spacing w:before="0" w:after="0"/>
        <w:rPr>
          <w:rFonts w:asciiTheme="majorHAnsi" w:hAnsiTheme="majorHAnsi"/>
        </w:rPr>
      </w:pPr>
    </w:p>
    <w:p w14:paraId="03D65AFD" w14:textId="77777777" w:rsidR="00B1207E" w:rsidRPr="004330BA" w:rsidRDefault="00B1207E" w:rsidP="00B1207E">
      <w:pPr>
        <w:pStyle w:val="NormalWeb"/>
        <w:spacing w:before="0" w:after="0"/>
        <w:rPr>
          <w:rFonts w:asciiTheme="majorHAnsi" w:hAnsiTheme="majorHAnsi"/>
        </w:rPr>
      </w:pPr>
      <w:r w:rsidRPr="004330BA">
        <w:rPr>
          <w:rFonts w:asciiTheme="majorHAnsi" w:hAnsiTheme="majorHAnsi"/>
        </w:rPr>
        <w:t>In conclusion, while steps have been taken to adapt policing to accommodate diversity within the UK, a collective responsibility remains to ensure these efforts are sustained and impactful. College of Policing’s strategy, coupled with the Commission on Tackling Violent Crime's continuous work and Professional Development for police officers, gives a foundation for Policing to grow and improve. Nevertheless, equality in workforce representation, eliminating prejudicial attitudes, and an inclusive environment are continuous processes. Thus, police forces could achieve their role of safeguarding and serving the public with no religious, sex-orientation, or racial discrimination.</w:t>
      </w:r>
    </w:p>
    <w:p w14:paraId="516D4C17" w14:textId="77777777" w:rsidR="00B1207E" w:rsidRPr="004330BA" w:rsidRDefault="00B1207E" w:rsidP="00B1207E">
      <w:pPr>
        <w:pStyle w:val="NormalWeb"/>
        <w:spacing w:before="0" w:after="0"/>
        <w:jc w:val="center"/>
        <w:rPr>
          <w:rFonts w:asciiTheme="majorHAnsi" w:hAnsiTheme="majorHAnsi"/>
          <w:b/>
          <w:bCs/>
        </w:rPr>
      </w:pPr>
    </w:p>
    <w:p w14:paraId="653CF357" w14:textId="77777777" w:rsidR="00937A1D" w:rsidRPr="004330BA" w:rsidRDefault="00937A1D" w:rsidP="00775B8B">
      <w:pPr>
        <w:pStyle w:val="NormalWeb"/>
        <w:rPr>
          <w:rFonts w:asciiTheme="majorHAnsi" w:hAnsiTheme="majorHAnsi"/>
          <w:i/>
          <w:iCs/>
        </w:rPr>
      </w:pPr>
    </w:p>
    <w:p w14:paraId="149BA789" w14:textId="7D16682B" w:rsidR="00937A1D" w:rsidRPr="004330BA" w:rsidRDefault="00937A1D" w:rsidP="00937A1D">
      <w:pPr>
        <w:pStyle w:val="NormalWeb"/>
        <w:jc w:val="center"/>
        <w:rPr>
          <w:rFonts w:asciiTheme="majorHAnsi" w:hAnsiTheme="majorHAnsi"/>
          <w:b/>
          <w:bCs/>
        </w:rPr>
      </w:pPr>
      <w:r w:rsidRPr="004330BA">
        <w:rPr>
          <w:rFonts w:asciiTheme="majorHAnsi" w:hAnsiTheme="majorHAnsi"/>
          <w:b/>
          <w:bCs/>
        </w:rPr>
        <w:lastRenderedPageBreak/>
        <w:t>Bibliography</w:t>
      </w:r>
    </w:p>
    <w:p w14:paraId="1A76A201" w14:textId="77777777" w:rsidR="00937A1D" w:rsidRPr="004330BA" w:rsidRDefault="00937A1D" w:rsidP="00775B8B">
      <w:pPr>
        <w:pStyle w:val="NormalWeb"/>
        <w:rPr>
          <w:rFonts w:asciiTheme="majorHAnsi" w:hAnsiTheme="majorHAnsi"/>
        </w:rPr>
      </w:pPr>
    </w:p>
    <w:p w14:paraId="31DC4D9B" w14:textId="1D4D6B0B" w:rsidR="00775B8B" w:rsidRPr="004330BA" w:rsidRDefault="00775B8B" w:rsidP="00775B8B">
      <w:pPr>
        <w:pStyle w:val="NormalWeb"/>
        <w:rPr>
          <w:rFonts w:asciiTheme="majorHAnsi" w:hAnsiTheme="majorHAnsi"/>
        </w:rPr>
      </w:pPr>
      <w:r w:rsidRPr="004330BA">
        <w:rPr>
          <w:rFonts w:asciiTheme="majorHAnsi" w:hAnsiTheme="majorHAnsi"/>
        </w:rPr>
        <w:t xml:space="preserve">Police and criminal evidence act 1984 (PACE) codes of </w:t>
      </w:r>
      <w:r w:rsidR="004330BA" w:rsidRPr="004330BA">
        <w:rPr>
          <w:rFonts w:asciiTheme="majorHAnsi" w:hAnsiTheme="majorHAnsi"/>
        </w:rPr>
        <w:t>Practice GOV.UK</w:t>
      </w:r>
      <w:r w:rsidRPr="004330BA">
        <w:rPr>
          <w:rFonts w:asciiTheme="majorHAnsi" w:hAnsiTheme="majorHAnsi"/>
        </w:rPr>
        <w:t xml:space="preserve">. Available at: https://www.gov.uk/guidance/police-and-criminal-evidence-act-1984-pace-codes-of-practice (Accessed: 13 March 2024). </w:t>
      </w:r>
    </w:p>
    <w:p w14:paraId="6B99F04C" w14:textId="77777777" w:rsidR="00775B8B" w:rsidRPr="004330BA" w:rsidRDefault="00775B8B" w:rsidP="00775B8B">
      <w:pPr>
        <w:suppressAutoHyphens w:val="0"/>
        <w:spacing w:before="100" w:after="100" w:line="240" w:lineRule="auto"/>
        <w:rPr>
          <w:rFonts w:asciiTheme="majorHAnsi" w:hAnsiTheme="majorHAnsi"/>
          <w:sz w:val="24"/>
          <w:szCs w:val="24"/>
        </w:rPr>
      </w:pPr>
      <w:r w:rsidRPr="004330BA">
        <w:rPr>
          <w:rFonts w:asciiTheme="majorHAnsi" w:eastAsia="Times New Roman" w:hAnsiTheme="majorHAnsi"/>
          <w:kern w:val="0"/>
          <w:sz w:val="24"/>
          <w:szCs w:val="24"/>
          <w:lang w:eastAsia="en-GB"/>
        </w:rPr>
        <w:t xml:space="preserve">Stop and search (2023) GOV.UK Ethnicity facts and figures. Available at: https://www.ethnicity-facts-figures.service.gov.uk/crime-justice-and-the-law/policing/stop-and-search/latest/ (Accessed: 14 March 2024). </w:t>
      </w:r>
    </w:p>
    <w:p w14:paraId="0BA48E45" w14:textId="77777777" w:rsidR="00775B8B" w:rsidRPr="004330BA" w:rsidRDefault="00775B8B" w:rsidP="00775B8B">
      <w:pPr>
        <w:suppressAutoHyphens w:val="0"/>
        <w:spacing w:before="100" w:after="100" w:line="240" w:lineRule="auto"/>
        <w:rPr>
          <w:rFonts w:asciiTheme="majorHAnsi" w:hAnsiTheme="majorHAnsi"/>
          <w:sz w:val="24"/>
          <w:szCs w:val="24"/>
        </w:rPr>
      </w:pPr>
      <w:r w:rsidRPr="004330BA">
        <w:rPr>
          <w:rFonts w:asciiTheme="majorHAnsi" w:eastAsia="Times New Roman" w:hAnsiTheme="majorHAnsi"/>
          <w:kern w:val="0"/>
          <w:sz w:val="24"/>
          <w:szCs w:val="24"/>
          <w:lang w:eastAsia="en-GB"/>
        </w:rPr>
        <w:t xml:space="preserve">National decision model (2013) College of Policing. Available at: https://www.college.police.uk/app/national-decision-model/national-decision-model?highlight=neighbourhood+policing (Accessed: 14 March 2024). </w:t>
      </w:r>
    </w:p>
    <w:p w14:paraId="16668C63" w14:textId="134B2363" w:rsidR="00775B8B" w:rsidRPr="004330BA" w:rsidRDefault="00775B8B" w:rsidP="004330BA">
      <w:pPr>
        <w:suppressAutoHyphens w:val="0"/>
        <w:spacing w:before="100" w:after="100" w:line="240" w:lineRule="auto"/>
        <w:rPr>
          <w:rFonts w:asciiTheme="majorHAnsi" w:eastAsia="Times New Roman" w:hAnsiTheme="majorHAnsi"/>
          <w:kern w:val="0"/>
          <w:sz w:val="24"/>
          <w:szCs w:val="24"/>
          <w:lang w:eastAsia="en-GB"/>
        </w:rPr>
      </w:pPr>
      <w:r w:rsidRPr="004330BA">
        <w:rPr>
          <w:rFonts w:asciiTheme="majorHAnsi" w:eastAsia="Times New Roman" w:hAnsiTheme="majorHAnsi"/>
          <w:kern w:val="0"/>
          <w:sz w:val="24"/>
          <w:szCs w:val="24"/>
          <w:lang w:eastAsia="en-GB"/>
        </w:rPr>
        <w:t xml:space="preserve">Brown, R. and Hobbs, A. (2023) ‘Trust in the police’, Trust in the police [Preprint]. doi:10.58248/pn693. </w:t>
      </w:r>
    </w:p>
    <w:p w14:paraId="52593080" w14:textId="77777777" w:rsidR="00775B8B" w:rsidRPr="004330BA" w:rsidRDefault="00775B8B" w:rsidP="00775B8B">
      <w:pPr>
        <w:spacing w:line="240" w:lineRule="auto"/>
        <w:rPr>
          <w:rFonts w:asciiTheme="majorHAnsi" w:hAnsiTheme="majorHAnsi"/>
          <w:bCs/>
          <w:sz w:val="24"/>
          <w:szCs w:val="24"/>
          <w:lang w:val="en-US"/>
        </w:rPr>
      </w:pPr>
      <w:r w:rsidRPr="004330BA">
        <w:rPr>
          <w:rFonts w:asciiTheme="majorHAnsi" w:hAnsiTheme="majorHAnsi"/>
          <w:bCs/>
          <w:sz w:val="24"/>
          <w:szCs w:val="24"/>
          <w:lang w:val="en-US"/>
        </w:rPr>
        <w:t xml:space="preserve">Densley, J., Deuchar, R. and Harding, S., 2020. An introduction to gangs and serious youth violence in the United Kingdom. Youth justice, 20(1-2), pp.3-10. </w:t>
      </w:r>
      <w:hyperlink r:id="rId8" w:history="1">
        <w:r w:rsidRPr="004330BA">
          <w:rPr>
            <w:rFonts w:asciiTheme="majorHAnsi" w:hAnsiTheme="majorHAnsi"/>
            <w:bCs/>
            <w:lang w:val="en-US"/>
          </w:rPr>
          <w:t>https://doi.org/10.1177/1473225420902848</w:t>
        </w:r>
      </w:hyperlink>
      <w:r w:rsidRPr="004330BA">
        <w:rPr>
          <w:rFonts w:asciiTheme="majorHAnsi" w:hAnsiTheme="majorHAnsi"/>
          <w:bCs/>
          <w:sz w:val="24"/>
          <w:szCs w:val="24"/>
          <w:lang w:val="en-US"/>
        </w:rPr>
        <w:t xml:space="preserve"> </w:t>
      </w:r>
    </w:p>
    <w:p w14:paraId="4D863CEE" w14:textId="42A670B2" w:rsidR="00775B8B" w:rsidRPr="004330BA" w:rsidRDefault="00775B8B" w:rsidP="00775B8B">
      <w:pPr>
        <w:pStyle w:val="NormalWeb"/>
        <w:spacing w:before="0" w:after="0"/>
        <w:rPr>
          <w:rFonts w:asciiTheme="majorHAnsi" w:hAnsiTheme="majorHAnsi"/>
          <w:b/>
          <w:bCs/>
        </w:rPr>
      </w:pPr>
      <w:r w:rsidRPr="004330BA">
        <w:rPr>
          <w:rFonts w:asciiTheme="majorHAnsi" w:hAnsiTheme="majorHAnsi"/>
          <w:bCs/>
          <w:lang w:val="en-US"/>
        </w:rPr>
        <w:t xml:space="preserve">Felix da Costa, D., 2024. Youth Gangs and Overcoming Waithood in a United Nations Protection of Civilians Site in South Sudan. Journal of Intervention and State Building, 18(1), pp.99-116. </w:t>
      </w:r>
      <w:hyperlink r:id="rId9" w:history="1">
        <w:r w:rsidRPr="004330BA">
          <w:rPr>
            <w:rFonts w:asciiTheme="majorHAnsi" w:hAnsiTheme="majorHAnsi"/>
            <w:bCs/>
            <w:lang w:val="en-US"/>
          </w:rPr>
          <w:t>https://doi.org/10.1080/17502977.2023.2212993</w:t>
        </w:r>
      </w:hyperlink>
    </w:p>
    <w:p w14:paraId="3E8D6B46" w14:textId="77777777" w:rsidR="00775B8B" w:rsidRPr="004330BA" w:rsidRDefault="00775B8B" w:rsidP="00B1207E">
      <w:pPr>
        <w:pStyle w:val="NormalWeb"/>
        <w:spacing w:before="0" w:after="0"/>
        <w:jc w:val="center"/>
        <w:rPr>
          <w:rFonts w:asciiTheme="majorHAnsi" w:hAnsiTheme="majorHAnsi"/>
          <w:b/>
          <w:bCs/>
        </w:rPr>
      </w:pPr>
    </w:p>
    <w:p w14:paraId="520BAA52" w14:textId="77777777" w:rsidR="00775B8B" w:rsidRPr="004330BA" w:rsidRDefault="00775B8B" w:rsidP="00775B8B">
      <w:pPr>
        <w:spacing w:line="240" w:lineRule="auto"/>
        <w:rPr>
          <w:rFonts w:asciiTheme="majorHAnsi" w:eastAsiaTheme="minorHAnsi" w:hAnsiTheme="majorHAnsi"/>
          <w:sz w:val="24"/>
          <w:szCs w:val="24"/>
          <w:lang w:val="en-US"/>
        </w:rPr>
      </w:pPr>
      <w:r w:rsidRPr="004330BA">
        <w:rPr>
          <w:rFonts w:asciiTheme="majorHAnsi" w:eastAsia="Times New Roman" w:hAnsiTheme="majorHAnsi"/>
          <w:sz w:val="24"/>
          <w:szCs w:val="24"/>
          <w:lang w:val="en-US"/>
        </w:rPr>
        <w:t xml:space="preserve">Caulfield, L., Brooks-Wilson, S., Booth, J. and Monaghan, M. (2023). Engaging parents to reduce youth violence: evidence from a youth justice board pathfinder program. Crime Prevention and Community Safety, 25(4), pp.401–426. </w:t>
      </w:r>
      <w:proofErr w:type="spellStart"/>
      <w:r w:rsidRPr="004330BA">
        <w:rPr>
          <w:rFonts w:asciiTheme="majorHAnsi" w:eastAsia="Times New Roman" w:hAnsiTheme="majorHAnsi"/>
          <w:sz w:val="24"/>
          <w:szCs w:val="24"/>
          <w:lang w:val="en-US"/>
        </w:rPr>
        <w:t>doi</w:t>
      </w:r>
      <w:proofErr w:type="spellEnd"/>
      <w:r w:rsidRPr="004330BA">
        <w:rPr>
          <w:rFonts w:asciiTheme="majorHAnsi" w:eastAsia="Times New Roman" w:hAnsiTheme="majorHAnsi"/>
          <w:sz w:val="24"/>
          <w:szCs w:val="24"/>
          <w:lang w:val="en-US"/>
        </w:rPr>
        <w:t>: h</w:t>
      </w:r>
      <w:r w:rsidRPr="004330BA">
        <w:rPr>
          <w:rFonts w:asciiTheme="majorHAnsi" w:hAnsiTheme="majorHAnsi"/>
          <w:sz w:val="24"/>
          <w:szCs w:val="24"/>
          <w:lang w:val="en-US"/>
        </w:rPr>
        <w:t>ttps://doi.org/10.1057/s41300-023-00190-4</w:t>
      </w:r>
    </w:p>
    <w:p w14:paraId="2491EEFF" w14:textId="77777777" w:rsidR="00775B8B" w:rsidRPr="004330BA" w:rsidRDefault="00775B8B" w:rsidP="00775B8B">
      <w:pPr>
        <w:spacing w:line="240" w:lineRule="auto"/>
        <w:rPr>
          <w:rFonts w:asciiTheme="majorHAnsi" w:eastAsia="Times New Roman" w:hAnsiTheme="majorHAnsi"/>
          <w:sz w:val="24"/>
          <w:szCs w:val="24"/>
          <w:lang w:val="en-US"/>
        </w:rPr>
      </w:pPr>
      <w:r w:rsidRPr="004330BA">
        <w:rPr>
          <w:rFonts w:asciiTheme="majorHAnsi" w:eastAsia="Times New Roman" w:hAnsiTheme="majorHAnsi"/>
          <w:sz w:val="24"/>
          <w:szCs w:val="24"/>
          <w:lang w:val="en-US"/>
        </w:rPr>
        <w:t xml:space="preserve">Early Intervention Foundation (2018). What Is Early Intervention? [online] Early Intervention Foundation. Available at: </w:t>
      </w:r>
      <w:hyperlink r:id="rId10" w:history="1">
        <w:r w:rsidRPr="004330BA">
          <w:rPr>
            <w:rFonts w:asciiTheme="majorHAnsi" w:hAnsiTheme="majorHAnsi"/>
            <w:sz w:val="24"/>
            <w:szCs w:val="24"/>
            <w:lang w:val="en-US"/>
          </w:rPr>
          <w:t>https://www.eif.org.uk/why-it-matters/what-is-early-intervention</w:t>
        </w:r>
      </w:hyperlink>
      <w:r w:rsidRPr="004330BA">
        <w:rPr>
          <w:rFonts w:asciiTheme="majorHAnsi" w:eastAsia="Times New Roman" w:hAnsiTheme="majorHAnsi"/>
          <w:sz w:val="24"/>
          <w:szCs w:val="24"/>
          <w:lang w:val="en-US"/>
        </w:rPr>
        <w:t>.</w:t>
      </w:r>
    </w:p>
    <w:p w14:paraId="0D8A72FF" w14:textId="77777777" w:rsidR="00775B8B" w:rsidRPr="004330BA" w:rsidRDefault="00775B8B" w:rsidP="00775B8B">
      <w:pPr>
        <w:spacing w:line="240" w:lineRule="auto"/>
        <w:rPr>
          <w:rFonts w:asciiTheme="majorHAnsi" w:eastAsia="Times New Roman" w:hAnsiTheme="majorHAnsi"/>
          <w:sz w:val="24"/>
          <w:szCs w:val="24"/>
          <w:lang w:val="en-US"/>
        </w:rPr>
      </w:pPr>
      <w:r w:rsidRPr="004330BA">
        <w:rPr>
          <w:rFonts w:asciiTheme="majorHAnsi" w:eastAsia="Times New Roman" w:hAnsiTheme="majorHAnsi"/>
          <w:sz w:val="24"/>
          <w:szCs w:val="24"/>
          <w:lang w:val="en-US"/>
        </w:rPr>
        <w:t xml:space="preserve">Hancock, S. (2023). Early intervention for lifelong benefits. [online] GOV.UK. Available at: </w:t>
      </w:r>
      <w:hyperlink r:id="rId11" w:history="1">
        <w:r w:rsidRPr="004330BA">
          <w:rPr>
            <w:rFonts w:asciiTheme="majorHAnsi" w:eastAsiaTheme="minorHAnsi" w:hAnsiTheme="majorHAnsi"/>
            <w:sz w:val="24"/>
            <w:szCs w:val="24"/>
            <w:lang w:val="en-US"/>
          </w:rPr>
          <w:t>h</w:t>
        </w:r>
        <w:r w:rsidRPr="004330BA">
          <w:rPr>
            <w:rFonts w:asciiTheme="majorHAnsi" w:eastAsiaTheme="minorHAnsi" w:hAnsiTheme="majorHAnsi"/>
            <w:sz w:val="24"/>
            <w:szCs w:val="24"/>
            <w:lang w:val="en-US"/>
          </w:rPr>
          <w:t>ttps://www.gov.uk/government/news/early-intervention-for-lifelong-benefits</w:t>
        </w:r>
      </w:hyperlink>
      <w:r w:rsidRPr="004330BA">
        <w:rPr>
          <w:rFonts w:asciiTheme="majorHAnsi" w:eastAsiaTheme="minorHAnsi" w:hAnsiTheme="majorHAnsi"/>
          <w:sz w:val="24"/>
          <w:szCs w:val="24"/>
          <w:lang w:val="en-US"/>
        </w:rPr>
        <w:t>.</w:t>
      </w:r>
    </w:p>
    <w:p w14:paraId="136A699F" w14:textId="77777777" w:rsidR="00775B8B" w:rsidRPr="004330BA" w:rsidRDefault="00775B8B" w:rsidP="00775B8B">
      <w:pPr>
        <w:spacing w:line="240" w:lineRule="auto"/>
        <w:rPr>
          <w:rFonts w:asciiTheme="majorHAnsi" w:eastAsia="Times New Roman" w:hAnsiTheme="majorHAnsi"/>
          <w:sz w:val="24"/>
          <w:szCs w:val="24"/>
          <w:lang w:val="en-US"/>
        </w:rPr>
      </w:pPr>
      <w:r w:rsidRPr="004330BA">
        <w:rPr>
          <w:rFonts w:asciiTheme="majorHAnsi" w:eastAsia="Times New Roman" w:hAnsiTheme="majorHAnsi"/>
          <w:sz w:val="24"/>
          <w:szCs w:val="24"/>
          <w:lang w:val="en-US"/>
        </w:rPr>
        <w:t xml:space="preserve">Hoffmann, J.P., Thorpe, </w:t>
      </w:r>
      <w:proofErr w:type="gramStart"/>
      <w:r w:rsidRPr="004330BA">
        <w:rPr>
          <w:rFonts w:asciiTheme="majorHAnsi" w:eastAsia="Times New Roman" w:hAnsiTheme="majorHAnsi"/>
          <w:sz w:val="24"/>
          <w:szCs w:val="24"/>
          <w:lang w:val="en-US"/>
        </w:rPr>
        <w:t>J.D.</w:t>
      </w:r>
      <w:proofErr w:type="gramEnd"/>
      <w:r w:rsidRPr="004330BA">
        <w:rPr>
          <w:rFonts w:asciiTheme="majorHAnsi" w:eastAsia="Times New Roman" w:hAnsiTheme="majorHAnsi"/>
          <w:sz w:val="24"/>
          <w:szCs w:val="24"/>
          <w:lang w:val="en-US"/>
        </w:rPr>
        <w:t xml:space="preserve"> and Dufur, M.J. (2020). Family Social Capital and Delinquent Behavior in the United Kingdom. Social Sciences, 9(10), p.178. </w:t>
      </w:r>
      <w:proofErr w:type="spellStart"/>
      <w:r w:rsidRPr="004330BA">
        <w:rPr>
          <w:rFonts w:asciiTheme="majorHAnsi" w:eastAsia="Times New Roman" w:hAnsiTheme="majorHAnsi"/>
          <w:sz w:val="24"/>
          <w:szCs w:val="24"/>
          <w:lang w:val="en-US"/>
        </w:rPr>
        <w:t>doi</w:t>
      </w:r>
      <w:proofErr w:type="spellEnd"/>
      <w:r w:rsidRPr="004330BA">
        <w:rPr>
          <w:rFonts w:asciiTheme="majorHAnsi" w:eastAsia="Times New Roman" w:hAnsiTheme="majorHAnsi"/>
          <w:sz w:val="24"/>
          <w:szCs w:val="24"/>
          <w:lang w:val="en-US"/>
        </w:rPr>
        <w:t xml:space="preserve">: </w:t>
      </w:r>
      <w:hyperlink r:id="rId12" w:history="1">
        <w:r w:rsidRPr="004330BA">
          <w:rPr>
            <w:rFonts w:asciiTheme="majorHAnsi" w:eastAsiaTheme="minorHAnsi" w:hAnsiTheme="majorHAnsi"/>
            <w:sz w:val="24"/>
            <w:szCs w:val="24"/>
            <w:lang w:val="en-US"/>
          </w:rPr>
          <w:t>https://doi.org/10.3390/socsci9100178</w:t>
        </w:r>
      </w:hyperlink>
      <w:r w:rsidRPr="004330BA">
        <w:rPr>
          <w:rFonts w:asciiTheme="majorHAnsi" w:eastAsiaTheme="minorHAnsi" w:hAnsiTheme="majorHAnsi"/>
          <w:sz w:val="24"/>
          <w:szCs w:val="24"/>
          <w:lang w:val="en-US"/>
        </w:rPr>
        <w:t>.</w:t>
      </w:r>
    </w:p>
    <w:p w14:paraId="7462A916" w14:textId="77777777" w:rsidR="00775B8B" w:rsidRPr="004330BA" w:rsidRDefault="00775B8B" w:rsidP="00775B8B">
      <w:pPr>
        <w:spacing w:line="240" w:lineRule="auto"/>
        <w:rPr>
          <w:rFonts w:asciiTheme="majorHAnsi" w:eastAsia="Times New Roman" w:hAnsiTheme="majorHAnsi"/>
          <w:sz w:val="24"/>
          <w:szCs w:val="24"/>
          <w:lang w:val="en-US"/>
        </w:rPr>
      </w:pPr>
      <w:r w:rsidRPr="004330BA">
        <w:rPr>
          <w:rFonts w:asciiTheme="majorHAnsi" w:eastAsia="Times New Roman" w:hAnsiTheme="majorHAnsi"/>
          <w:sz w:val="24"/>
          <w:szCs w:val="24"/>
          <w:lang w:val="en-US"/>
        </w:rPr>
        <w:t xml:space="preserve">Matthys, W. and Schutter, D.J.L.G. (2021). Increasing effectiveness of cognitive </w:t>
      </w:r>
      <w:proofErr w:type="spellStart"/>
      <w:r w:rsidRPr="004330BA">
        <w:rPr>
          <w:rFonts w:asciiTheme="majorHAnsi" w:eastAsia="Times New Roman" w:hAnsiTheme="majorHAnsi"/>
          <w:sz w:val="24"/>
          <w:szCs w:val="24"/>
          <w:lang w:val="en-US"/>
        </w:rPr>
        <w:t>behavioural</w:t>
      </w:r>
      <w:proofErr w:type="spellEnd"/>
      <w:r w:rsidRPr="004330BA">
        <w:rPr>
          <w:rFonts w:asciiTheme="majorHAnsi" w:eastAsia="Times New Roman" w:hAnsiTheme="majorHAnsi"/>
          <w:sz w:val="24"/>
          <w:szCs w:val="24"/>
          <w:lang w:val="en-US"/>
        </w:rPr>
        <w:t xml:space="preserve"> therapy for conduct problems in children and adolescents: What can we learn from neuroimaging studies? Clinical Child and Family Psychology Review, 24(3). </w:t>
      </w:r>
      <w:proofErr w:type="spellStart"/>
      <w:r w:rsidRPr="004330BA">
        <w:rPr>
          <w:rFonts w:asciiTheme="majorHAnsi" w:eastAsia="Times New Roman" w:hAnsiTheme="majorHAnsi"/>
          <w:sz w:val="24"/>
          <w:szCs w:val="24"/>
          <w:lang w:val="en-US"/>
        </w:rPr>
        <w:t>doi</w:t>
      </w:r>
      <w:proofErr w:type="spellEnd"/>
      <w:r w:rsidRPr="004330BA">
        <w:rPr>
          <w:rFonts w:asciiTheme="majorHAnsi" w:eastAsia="Times New Roman" w:hAnsiTheme="majorHAnsi"/>
          <w:sz w:val="24"/>
          <w:szCs w:val="24"/>
          <w:lang w:val="en-US"/>
        </w:rPr>
        <w:t xml:space="preserve">: </w:t>
      </w:r>
      <w:hyperlink r:id="rId13" w:history="1">
        <w:r w:rsidRPr="004330BA">
          <w:rPr>
            <w:rFonts w:asciiTheme="majorHAnsi" w:eastAsiaTheme="minorHAnsi" w:hAnsiTheme="majorHAnsi"/>
            <w:sz w:val="24"/>
            <w:szCs w:val="24"/>
            <w:lang w:val="en-US"/>
          </w:rPr>
          <w:t>https://doi.org/10.1007/s10567-021-00346-4</w:t>
        </w:r>
      </w:hyperlink>
      <w:r w:rsidRPr="004330BA">
        <w:rPr>
          <w:rFonts w:asciiTheme="majorHAnsi" w:eastAsiaTheme="minorHAnsi" w:hAnsiTheme="majorHAnsi"/>
          <w:sz w:val="24"/>
          <w:szCs w:val="24"/>
          <w:lang w:val="en-US"/>
        </w:rPr>
        <w:t>.</w:t>
      </w:r>
    </w:p>
    <w:p w14:paraId="2C45221E" w14:textId="15A34AA8" w:rsidR="00775B8B" w:rsidRPr="004330BA" w:rsidRDefault="00775B8B" w:rsidP="00B1207E">
      <w:pPr>
        <w:spacing w:line="240" w:lineRule="auto"/>
        <w:rPr>
          <w:rFonts w:asciiTheme="majorHAnsi" w:eastAsia="Times New Roman" w:hAnsiTheme="majorHAnsi"/>
          <w:b/>
          <w:bCs/>
          <w:sz w:val="24"/>
          <w:szCs w:val="24"/>
          <w:lang w:val="en-US"/>
        </w:rPr>
      </w:pPr>
      <w:r w:rsidRPr="004330BA">
        <w:rPr>
          <w:rFonts w:asciiTheme="majorHAnsi" w:eastAsia="Times New Roman" w:hAnsiTheme="majorHAnsi"/>
          <w:sz w:val="24"/>
          <w:szCs w:val="24"/>
          <w:lang w:val="en-US"/>
        </w:rPr>
        <w:t xml:space="preserve">Ross, A., Duckworth, K., Smith, D., </w:t>
      </w:r>
      <w:proofErr w:type="spellStart"/>
      <w:r w:rsidRPr="004330BA">
        <w:rPr>
          <w:rFonts w:asciiTheme="majorHAnsi" w:eastAsia="Times New Roman" w:hAnsiTheme="majorHAnsi"/>
          <w:sz w:val="24"/>
          <w:szCs w:val="24"/>
          <w:lang w:val="en-US"/>
        </w:rPr>
        <w:t>Wyness</w:t>
      </w:r>
      <w:proofErr w:type="spellEnd"/>
      <w:r w:rsidRPr="004330BA">
        <w:rPr>
          <w:rFonts w:asciiTheme="majorHAnsi" w:eastAsia="Times New Roman" w:hAnsiTheme="majorHAnsi"/>
          <w:sz w:val="24"/>
          <w:szCs w:val="24"/>
          <w:lang w:val="en-US"/>
        </w:rPr>
        <w:t xml:space="preserve">, G. and Schoon, I. (2010). Prevention and Reduction: A review of strategies for intervening early to prevent or reduce youth crime and anti-social </w:t>
      </w:r>
      <w:proofErr w:type="spellStart"/>
      <w:r w:rsidRPr="004330BA">
        <w:rPr>
          <w:rFonts w:asciiTheme="majorHAnsi" w:eastAsia="Times New Roman" w:hAnsiTheme="majorHAnsi"/>
          <w:sz w:val="24"/>
          <w:szCs w:val="24"/>
          <w:lang w:val="en-US"/>
        </w:rPr>
        <w:t>behaviour</w:t>
      </w:r>
      <w:proofErr w:type="spellEnd"/>
      <w:r w:rsidRPr="004330BA">
        <w:rPr>
          <w:rFonts w:asciiTheme="majorHAnsi" w:eastAsia="Times New Roman" w:hAnsiTheme="majorHAnsi"/>
          <w:sz w:val="24"/>
          <w:szCs w:val="24"/>
          <w:lang w:val="en-US"/>
        </w:rPr>
        <w:t xml:space="preserve"> Centre for Analysis of Youth Transitions (CAYT). [online] Available at: https://assets.publishing.service.gov.uk/media/5a7a36f2e5274a34770e5114/DFE-RR111.pdf.</w:t>
      </w:r>
    </w:p>
    <w:p w14:paraId="54D0579C" w14:textId="44131CD0" w:rsidR="00B1207E" w:rsidRPr="00937A1D" w:rsidRDefault="00B1207E" w:rsidP="00B1207E">
      <w:pPr>
        <w:spacing w:line="240" w:lineRule="auto"/>
        <w:rPr>
          <w:rFonts w:asciiTheme="majorHAnsi" w:eastAsia="Times New Roman" w:hAnsiTheme="majorHAnsi"/>
          <w:b/>
          <w:bCs/>
          <w:sz w:val="24"/>
          <w:szCs w:val="24"/>
          <w:lang w:val="en-US"/>
        </w:rPr>
      </w:pPr>
      <w:r w:rsidRPr="00937A1D">
        <w:rPr>
          <w:rFonts w:asciiTheme="majorHAnsi" w:eastAsia="Times New Roman" w:hAnsiTheme="majorHAnsi"/>
          <w:sz w:val="24"/>
          <w:szCs w:val="24"/>
          <w:lang w:val="en-US"/>
        </w:rPr>
        <w:lastRenderedPageBreak/>
        <w:t>College of Policing (2020). Promoting and supporting diversity and inclusion. [online] College of Policing. Available at: https://www.college.police.uk/article/diversity-and-inclusion-cpd-in-focus.</w:t>
      </w:r>
    </w:p>
    <w:p w14:paraId="57BDEF49" w14:textId="77777777" w:rsidR="00B1207E" w:rsidRPr="00937A1D" w:rsidRDefault="00B1207E" w:rsidP="00B1207E">
      <w:pPr>
        <w:spacing w:line="240" w:lineRule="auto"/>
        <w:rPr>
          <w:rFonts w:asciiTheme="majorHAnsi" w:eastAsia="Times New Roman" w:hAnsiTheme="majorHAnsi"/>
          <w:sz w:val="24"/>
          <w:szCs w:val="24"/>
          <w:lang w:val="en-US"/>
        </w:rPr>
      </w:pPr>
      <w:r w:rsidRPr="00937A1D">
        <w:rPr>
          <w:rFonts w:asciiTheme="majorHAnsi" w:eastAsia="Times New Roman" w:hAnsiTheme="majorHAnsi"/>
          <w:sz w:val="24"/>
          <w:szCs w:val="24"/>
          <w:lang w:val="en-US"/>
        </w:rPr>
        <w:t>College of Policing (2024). Equality and diversity. [online] College of Policing. Available at: https://www.college.polic</w:t>
      </w:r>
      <w:r w:rsidRPr="00937A1D">
        <w:rPr>
          <w:rFonts w:asciiTheme="majorHAnsi" w:eastAsia="Times New Roman" w:hAnsiTheme="majorHAnsi"/>
          <w:sz w:val="24"/>
          <w:szCs w:val="24"/>
          <w:lang w:val="en-US"/>
        </w:rPr>
        <w:t>e</w:t>
      </w:r>
      <w:r w:rsidRPr="00937A1D">
        <w:rPr>
          <w:rFonts w:asciiTheme="majorHAnsi" w:eastAsia="Times New Roman" w:hAnsiTheme="majorHAnsi"/>
          <w:sz w:val="24"/>
          <w:szCs w:val="24"/>
          <w:lang w:val="en-US"/>
        </w:rPr>
        <w:t>.uk/about/equality-and-diversity.</w:t>
      </w:r>
    </w:p>
    <w:p w14:paraId="6ADE321D" w14:textId="77777777" w:rsidR="00B1207E" w:rsidRPr="00937A1D" w:rsidRDefault="00B1207E" w:rsidP="00B1207E">
      <w:pPr>
        <w:spacing w:line="240" w:lineRule="auto"/>
        <w:rPr>
          <w:rFonts w:asciiTheme="majorHAnsi" w:eastAsia="Times New Roman" w:hAnsiTheme="majorHAnsi"/>
          <w:sz w:val="24"/>
          <w:szCs w:val="24"/>
          <w:lang w:val="en-US"/>
        </w:rPr>
      </w:pPr>
      <w:r w:rsidRPr="00937A1D">
        <w:rPr>
          <w:rFonts w:asciiTheme="majorHAnsi" w:eastAsia="Times New Roman" w:hAnsiTheme="majorHAnsi"/>
          <w:sz w:val="24"/>
          <w:szCs w:val="24"/>
          <w:lang w:val="en-US"/>
        </w:rPr>
        <w:t>College of Policing (2024) Modern slavery statement. [online] College of Policing. Available at: https://www.coll</w:t>
      </w:r>
      <w:r w:rsidRPr="00937A1D">
        <w:rPr>
          <w:rFonts w:asciiTheme="majorHAnsi" w:eastAsia="Times New Roman" w:hAnsiTheme="majorHAnsi"/>
          <w:sz w:val="24"/>
          <w:szCs w:val="24"/>
          <w:lang w:val="en-US"/>
        </w:rPr>
        <w:t>e</w:t>
      </w:r>
      <w:r w:rsidRPr="00937A1D">
        <w:rPr>
          <w:rFonts w:asciiTheme="majorHAnsi" w:eastAsia="Times New Roman" w:hAnsiTheme="majorHAnsi"/>
          <w:sz w:val="24"/>
          <w:szCs w:val="24"/>
          <w:lang w:val="en-US"/>
        </w:rPr>
        <w:t>ge.police.uk/modern-slavery-statement.</w:t>
      </w:r>
    </w:p>
    <w:p w14:paraId="3553A796" w14:textId="34251E83" w:rsidR="002F66E0" w:rsidRPr="002F66E0" w:rsidRDefault="002F66E0">
      <w:pPr>
        <w:pStyle w:val="NormalWeb"/>
        <w:spacing w:before="0" w:after="360"/>
        <w:rPr>
          <w:rFonts w:ascii="Aptos" w:eastAsia="Aptos" w:hAnsi="Aptos"/>
          <w:b/>
          <w:bCs/>
          <w:kern w:val="3"/>
          <w:sz w:val="22"/>
          <w:szCs w:val="22"/>
          <w:u w:val="single"/>
          <w:lang w:eastAsia="en-US"/>
        </w:rPr>
      </w:pPr>
    </w:p>
    <w:sectPr w:rsidR="002F66E0" w:rsidRPr="002F66E0">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EB962A" w14:textId="77777777" w:rsidR="00A33D81" w:rsidRDefault="00A33D81">
      <w:pPr>
        <w:spacing w:after="0" w:line="240" w:lineRule="auto"/>
      </w:pPr>
      <w:r>
        <w:separator/>
      </w:r>
    </w:p>
  </w:endnote>
  <w:endnote w:type="continuationSeparator" w:id="0">
    <w:p w14:paraId="7906B81E" w14:textId="77777777" w:rsidR="00A33D81" w:rsidRDefault="00A33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pg-6ff2">
    <w:altName w:val="Cambria"/>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169B4E" w14:textId="77777777" w:rsidR="00A33D81" w:rsidRDefault="00A33D81">
      <w:pPr>
        <w:spacing w:after="0" w:line="240" w:lineRule="auto"/>
      </w:pPr>
      <w:r>
        <w:rPr>
          <w:color w:val="000000"/>
        </w:rPr>
        <w:separator/>
      </w:r>
    </w:p>
  </w:footnote>
  <w:footnote w:type="continuationSeparator" w:id="0">
    <w:p w14:paraId="18CD97D5" w14:textId="77777777" w:rsidR="00A33D81" w:rsidRDefault="00A33D8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5B30C8"/>
    <w:rsid w:val="002F66E0"/>
    <w:rsid w:val="00426C38"/>
    <w:rsid w:val="004330BA"/>
    <w:rsid w:val="005B30C8"/>
    <w:rsid w:val="00775B8B"/>
    <w:rsid w:val="00937A1D"/>
    <w:rsid w:val="00A0176B"/>
    <w:rsid w:val="00A33D81"/>
    <w:rsid w:val="00A9690C"/>
    <w:rsid w:val="00AA65B2"/>
    <w:rsid w:val="00B1207E"/>
    <w:rsid w:val="00BE4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FFE1D"/>
  <w15:docId w15:val="{402E5786-7F82-4249-90C1-E9FF37493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2"/>
        <w:szCs w:val="22"/>
        <w:lang w:val="en-GB" w:eastAsia="en-US" w:bidi="ar-SA"/>
      </w:rPr>
    </w:rPrDefault>
    <w:pPrDefault>
      <w:pPr>
        <w:autoSpaceDN w:val="0"/>
        <w:spacing w:after="160" w:line="25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styleId="NormalWeb">
    <w:name w:val="Normal (Web)"/>
    <w:basedOn w:val="Normal"/>
    <w:uiPriority w:val="99"/>
    <w:pPr>
      <w:spacing w:before="100" w:after="100" w:line="240" w:lineRule="auto"/>
    </w:pPr>
    <w:rPr>
      <w:rFonts w:ascii="Times New Roman" w:eastAsia="Times New Roman" w:hAnsi="Times New Roman"/>
      <w:kern w:val="0"/>
      <w:sz w:val="24"/>
      <w:szCs w:val="24"/>
      <w:lang w:eastAsia="en-GB"/>
    </w:rPr>
  </w:style>
  <w:style w:type="character" w:styleId="Strong">
    <w:name w:val="Strong"/>
    <w:basedOn w:val="DefaultParagraphFont"/>
    <w:rPr>
      <w:b/>
      <w:bCs/>
    </w:rPr>
  </w:style>
  <w:style w:type="character" w:styleId="Hyperlink">
    <w:name w:val="Hyperlink"/>
    <w:basedOn w:val="DefaultParagraphFont"/>
    <w:rPr>
      <w:color w:val="0000FF"/>
      <w:u w:val="single"/>
    </w:rPr>
  </w:style>
  <w:style w:type="paragraph" w:styleId="NoSpacing">
    <w:name w:val="No Spacing"/>
    <w:uiPriority w:val="1"/>
    <w:qFormat/>
    <w:rsid w:val="00B1207E"/>
    <w:pPr>
      <w:pBdr>
        <w:top w:val="nil"/>
        <w:left w:val="nil"/>
        <w:bottom w:val="nil"/>
        <w:right w:val="nil"/>
        <w:between w:val="nil"/>
        <w:bar w:val="nil"/>
      </w:pBdr>
      <w:autoSpaceDN/>
      <w:spacing w:after="0" w:line="240" w:lineRule="auto"/>
      <w:ind w:firstLine="720"/>
    </w:pPr>
    <w:rPr>
      <w:rFonts w:ascii="Times New Roman" w:eastAsia="Arial Unicode MS" w:hAnsi="Times New Roman"/>
      <w:kern w:val="0"/>
      <w:sz w:val="24"/>
      <w:szCs w:val="24"/>
      <w:bdr w:val="nil"/>
      <w:lang w:val="en-US"/>
    </w:rPr>
  </w:style>
  <w:style w:type="paragraph" w:styleId="Header">
    <w:name w:val="header"/>
    <w:basedOn w:val="Normal"/>
    <w:link w:val="HeaderChar"/>
    <w:uiPriority w:val="99"/>
    <w:unhideWhenUsed/>
    <w:rsid w:val="00B1207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207E"/>
  </w:style>
  <w:style w:type="paragraph" w:styleId="Footer">
    <w:name w:val="footer"/>
    <w:basedOn w:val="Normal"/>
    <w:link w:val="FooterChar"/>
    <w:uiPriority w:val="99"/>
    <w:unhideWhenUsed/>
    <w:rsid w:val="00B12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207E"/>
  </w:style>
  <w:style w:type="character" w:styleId="UnresolvedMention">
    <w:name w:val="Unresolved Mention"/>
    <w:basedOn w:val="DefaultParagraphFont"/>
    <w:uiPriority w:val="99"/>
    <w:semiHidden/>
    <w:unhideWhenUsed/>
    <w:rsid w:val="00775B8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doi.org/10.1177/1473225420902848" TargetMode="External"/><Relationship Id="rId13" Type="http://schemas.openxmlformats.org/officeDocument/2006/relationships/hyperlink" Target="https://doi.org/10.1007/s10567-021-00346-4" TargetMode="External"/><Relationship Id="rId3" Type="http://schemas.openxmlformats.org/officeDocument/2006/relationships/webSettings" Target="webSettings.xml"/><Relationship Id="rId7" Type="http://schemas.openxmlformats.org/officeDocument/2006/relationships/hyperlink" Target="https://www.college.police.uk/ethics/code-of-ethics/guidance" TargetMode="External"/><Relationship Id="rId12" Type="http://schemas.openxmlformats.org/officeDocument/2006/relationships/hyperlink" Target="https://doi.org/10.3390/socsci9100178"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college.police.uk/ethics/code-of-ethics/principles" TargetMode="External"/><Relationship Id="rId11" Type="http://schemas.openxmlformats.org/officeDocument/2006/relationships/hyperlink" Target="https://www.gov.uk/government/news/early-intervention-for-lifelong-benefits"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eif.org.uk/why-it-matters/what-is-early-intervention" TargetMode="External"/><Relationship Id="rId4" Type="http://schemas.openxmlformats.org/officeDocument/2006/relationships/footnotes" Target="footnotes.xml"/><Relationship Id="rId9" Type="http://schemas.openxmlformats.org/officeDocument/2006/relationships/hyperlink" Target="https://doi.org/10.1080/17502977.2023.2212993"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5164</Words>
  <Characters>29437</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Ciaron Jackson</dc:creator>
  <dc:description/>
  <cp:lastModifiedBy>Ciaron Jackson</cp:lastModifiedBy>
  <cp:revision>2</cp:revision>
  <dcterms:created xsi:type="dcterms:W3CDTF">2024-05-06T22:54:00Z</dcterms:created>
  <dcterms:modified xsi:type="dcterms:W3CDTF">2024-05-06T22:54:00Z</dcterms:modified>
</cp:coreProperties>
</file>