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1B6361" w14:textId="77777777" w:rsidR="00B54C55" w:rsidRPr="00B54C55" w:rsidRDefault="00B54C55" w:rsidP="00B54C55">
      <w:pPr>
        <w:spacing w:before="120" w:after="120" w:line="360" w:lineRule="auto"/>
        <w:jc w:val="both"/>
        <w:outlineLvl w:val="0"/>
        <w:rPr>
          <w:rFonts w:ascii="Times New Roman" w:eastAsia="Times New Roman" w:hAnsi="Times New Roman" w:cs="Times New Roman"/>
          <w:b/>
          <w:bCs/>
          <w:kern w:val="0"/>
          <w:lang w:eastAsia="en-GB"/>
          <w14:ligatures w14:val="none"/>
        </w:rPr>
      </w:pPr>
      <w:r w:rsidRPr="00B54C55">
        <w:rPr>
          <w:rFonts w:ascii="Times New Roman" w:eastAsia="Times New Roman" w:hAnsi="Times New Roman" w:cs="Times New Roman"/>
          <w:b/>
          <w:bCs/>
          <w:kern w:val="0"/>
          <w:lang w:eastAsia="en-GB"/>
          <w14:ligatures w14:val="none"/>
        </w:rPr>
        <w:t>Element 2. Business Environment &amp; Competitor Analysis</w:t>
      </w:r>
    </w:p>
    <w:p w14:paraId="30C0555C" w14:textId="77777777" w:rsidR="00B54C55" w:rsidRPr="00B54C55" w:rsidRDefault="00B54C55" w:rsidP="00B54C55">
      <w:pPr>
        <w:spacing w:before="120" w:after="120" w:line="360" w:lineRule="auto"/>
        <w:jc w:val="both"/>
        <w:outlineLvl w:val="1"/>
        <w:rPr>
          <w:rFonts w:ascii="Times New Roman" w:eastAsia="Times New Roman" w:hAnsi="Times New Roman" w:cs="Times New Roman"/>
          <w:b/>
          <w:bCs/>
          <w:kern w:val="0"/>
          <w:lang w:eastAsia="en-GB"/>
          <w14:ligatures w14:val="none"/>
        </w:rPr>
      </w:pPr>
      <w:bookmarkStart w:id="0" w:name="_heading=h.ru4ymf89yyqy" w:colFirst="0" w:colLast="0"/>
      <w:bookmarkEnd w:id="0"/>
      <w:r w:rsidRPr="00B54C55">
        <w:rPr>
          <w:rFonts w:ascii="Times New Roman" w:eastAsia="Times New Roman" w:hAnsi="Times New Roman" w:cs="Times New Roman"/>
          <w:b/>
          <w:bCs/>
          <w:kern w:val="0"/>
          <w:lang w:eastAsia="en-GB"/>
          <w14:ligatures w14:val="none"/>
        </w:rPr>
        <w:t>2.1 PESTEL Analysis</w:t>
      </w:r>
    </w:p>
    <w:p w14:paraId="5D976B15" w14:textId="66BCED6B" w:rsidR="00B54C55" w:rsidRPr="00B54C55" w:rsidRDefault="00B54C55" w:rsidP="00B54C55">
      <w:pPr>
        <w:spacing w:before="120" w:after="120" w:line="360" w:lineRule="auto"/>
        <w:jc w:val="both"/>
        <w:rPr>
          <w:rFonts w:ascii="Times New Roman" w:eastAsia="Times New Roman" w:hAnsi="Times New Roman" w:cs="Times New Roman"/>
          <w:kern w:val="0"/>
          <w:lang w:eastAsia="en-GB"/>
          <w14:ligatures w14:val="none"/>
        </w:rPr>
      </w:pPr>
      <w:r w:rsidRPr="00B54C55">
        <w:rPr>
          <w:rFonts w:ascii="Times New Roman" w:eastAsia="Times New Roman" w:hAnsi="Times New Roman" w:cs="Times New Roman"/>
          <w:kern w:val="0"/>
          <w:lang w:eastAsia="en-GB"/>
          <w14:ligatures w14:val="none"/>
        </w:rPr>
        <w:t xml:space="preserve">A PESTEL analysis </w:t>
      </w:r>
      <w:r w:rsidR="00CF6072">
        <w:rPr>
          <w:rFonts w:ascii="Times New Roman" w:eastAsia="Times New Roman" w:hAnsi="Times New Roman" w:cs="Times New Roman"/>
          <w:kern w:val="0"/>
          <w:lang w:eastAsia="en-GB"/>
          <w14:ligatures w14:val="none"/>
        </w:rPr>
        <w:t>helps assess</w:t>
      </w:r>
      <w:r w:rsidRPr="00B54C55">
        <w:rPr>
          <w:rFonts w:ascii="Times New Roman" w:eastAsia="Times New Roman" w:hAnsi="Times New Roman" w:cs="Times New Roman"/>
          <w:kern w:val="0"/>
          <w:lang w:eastAsia="en-GB"/>
          <w14:ligatures w14:val="none"/>
        </w:rPr>
        <w:t xml:space="preserve"> the macro-environmental forces that could affect the growth and development of Sprinkle and Smile in the UK party and family leisure market.</w:t>
      </w:r>
    </w:p>
    <w:p w14:paraId="14F3FB78" w14:textId="04806297" w:rsidR="00B54C55" w:rsidRPr="00B54C55" w:rsidRDefault="004F5759" w:rsidP="00B54C55">
      <w:pPr>
        <w:spacing w:before="120" w:after="120" w:line="360" w:lineRule="auto"/>
        <w:jc w:val="both"/>
        <w:rPr>
          <w:rFonts w:ascii="Times New Roman" w:eastAsia="Times New Roman" w:hAnsi="Times New Roman" w:cs="Times New Roman"/>
          <w:kern w:val="0"/>
          <w:lang w:eastAsia="en-GB"/>
          <w14:ligatures w14:val="none"/>
        </w:rPr>
      </w:pPr>
      <w:r>
        <w:rPr>
          <w:rFonts w:ascii="Times New Roman" w:eastAsia="Times New Roman" w:hAnsi="Times New Roman" w:cs="Times New Roman"/>
          <w:b/>
          <w:bCs/>
          <w:kern w:val="0"/>
          <w:lang w:eastAsia="en-GB"/>
          <w14:ligatures w14:val="none"/>
        </w:rPr>
        <w:t xml:space="preserve">Political factors: </w:t>
      </w:r>
      <w:r w:rsidRPr="00B33CB6">
        <w:rPr>
          <w:rFonts w:ascii="Times New Roman" w:eastAsia="Times New Roman" w:hAnsi="Times New Roman" w:cs="Times New Roman"/>
          <w:kern w:val="0"/>
          <w:lang w:eastAsia="en-GB"/>
          <w14:ligatures w14:val="none"/>
        </w:rPr>
        <w:t>Government policies affecting food preparation and event services are crucial for businesses dealing with edible commodities. The UK enforces laws and regulations against such businesses, including the Food Safety Act 1990 and the Food Hygiene Regulations 2013, which require proper food handling, storage, and hygiene practices (VisitBritain, 2015). Additionally, event-related businesses involving children must comply with safeguarding and health and safety standards. Although these regulations increase operational responsibilities, they also provide opportunities to build customer trust.</w:t>
      </w:r>
    </w:p>
    <w:p w14:paraId="6F02E137" w14:textId="60734553" w:rsidR="00B54C55" w:rsidRPr="00B54C55" w:rsidRDefault="00B33CB6" w:rsidP="00B54C55">
      <w:pPr>
        <w:spacing w:before="120" w:after="120" w:line="360" w:lineRule="auto"/>
        <w:jc w:val="both"/>
        <w:rPr>
          <w:rFonts w:ascii="Times New Roman" w:eastAsia="Times New Roman" w:hAnsi="Times New Roman" w:cs="Times New Roman"/>
          <w:kern w:val="0"/>
          <w:lang w:eastAsia="en-GB"/>
          <w14:ligatures w14:val="none"/>
        </w:rPr>
      </w:pPr>
      <w:r>
        <w:rPr>
          <w:rFonts w:ascii="Times New Roman" w:eastAsia="Times New Roman" w:hAnsi="Times New Roman" w:cs="Times New Roman"/>
          <w:b/>
          <w:bCs/>
          <w:kern w:val="0"/>
          <w:lang w:eastAsia="en-GB"/>
          <w14:ligatures w14:val="none"/>
        </w:rPr>
        <w:t xml:space="preserve">Economic factors: </w:t>
      </w:r>
      <w:r w:rsidRPr="00B33CB6">
        <w:rPr>
          <w:rFonts w:ascii="Times New Roman" w:eastAsia="Times New Roman" w:hAnsi="Times New Roman" w:cs="Times New Roman"/>
          <w:kern w:val="0"/>
          <w:lang w:eastAsia="en-GB"/>
          <w14:ligatures w14:val="none"/>
        </w:rPr>
        <w:t>Higher inflation and ingredient prices may lead to increased operational costs for small businesses. The UK Consumer Price Index is one example, showing food prices have risen by about 19% in 2023, affecting baking ingredients like flour, sugar, and dairy products (Office for National Statistics, 2024). Flexible and experience-based packages can therefore help sustain the business during economic strain.</w:t>
      </w:r>
    </w:p>
    <w:p w14:paraId="5C86E4C7" w14:textId="6EFC461E" w:rsidR="00B54C55" w:rsidRPr="00B54C55" w:rsidRDefault="0044521F" w:rsidP="00B54C55">
      <w:pPr>
        <w:spacing w:before="120" w:after="120" w:line="360" w:lineRule="auto"/>
        <w:jc w:val="both"/>
        <w:rPr>
          <w:rFonts w:ascii="Times New Roman" w:eastAsia="Times New Roman" w:hAnsi="Times New Roman" w:cs="Times New Roman"/>
          <w:kern w:val="0"/>
          <w:lang w:eastAsia="en-GB"/>
          <w14:ligatures w14:val="none"/>
        </w:rPr>
      </w:pPr>
      <w:r>
        <w:rPr>
          <w:rFonts w:ascii="Times New Roman" w:eastAsia="Times New Roman" w:hAnsi="Times New Roman" w:cs="Times New Roman"/>
          <w:b/>
          <w:bCs/>
          <w:kern w:val="0"/>
          <w:lang w:eastAsia="en-GB"/>
          <w14:ligatures w14:val="none"/>
        </w:rPr>
        <w:t xml:space="preserve">Social factors: </w:t>
      </w:r>
      <w:r w:rsidRPr="0044521F">
        <w:rPr>
          <w:rFonts w:ascii="Times New Roman" w:eastAsia="Times New Roman" w:hAnsi="Times New Roman" w:cs="Times New Roman"/>
          <w:kern w:val="0"/>
          <w:lang w:eastAsia="en-GB"/>
          <w14:ligatures w14:val="none"/>
        </w:rPr>
        <w:t>The concept behind Sprinkle &amp; Smile is highly supported by social trends. Consumers are increasingly interested in encounter-driven, experience-based activities that boost creativity and socialisation, rather than solely making purchases (Mintel, 2023). Additionally, innovative workshops such as craft, baking, and decorating classes have become popular leisure activities, especially for children and families. This trend provides a clear opportunity for Sprinkle &amp; Smile to offer an interactive celebration experience.</w:t>
      </w:r>
    </w:p>
    <w:p w14:paraId="3E03926A" w14:textId="03A755C0" w:rsidR="00B54C55" w:rsidRPr="00B54C55" w:rsidRDefault="00B54C55" w:rsidP="00B54C55">
      <w:pPr>
        <w:spacing w:before="120" w:after="120" w:line="360" w:lineRule="auto"/>
        <w:jc w:val="both"/>
        <w:rPr>
          <w:rFonts w:ascii="Times New Roman" w:eastAsia="Times New Roman" w:hAnsi="Times New Roman" w:cs="Times New Roman"/>
          <w:kern w:val="0"/>
          <w:lang w:eastAsia="en-GB"/>
          <w14:ligatures w14:val="none"/>
        </w:rPr>
      </w:pPr>
      <w:r w:rsidRPr="00B54C55">
        <w:rPr>
          <w:rFonts w:ascii="Times New Roman" w:eastAsia="Times New Roman" w:hAnsi="Times New Roman" w:cs="Times New Roman"/>
          <w:b/>
          <w:bCs/>
          <w:kern w:val="0"/>
          <w:lang w:eastAsia="en-GB"/>
          <w14:ligatures w14:val="none"/>
        </w:rPr>
        <w:t>Technological factors:</w:t>
      </w:r>
      <w:r w:rsidRPr="00B54C55">
        <w:rPr>
          <w:rFonts w:ascii="Times New Roman" w:eastAsia="Times New Roman" w:hAnsi="Times New Roman" w:cs="Times New Roman"/>
          <w:kern w:val="0"/>
          <w:lang w:eastAsia="en-GB"/>
          <w14:ligatures w14:val="none"/>
        </w:rPr>
        <w:t xml:space="preserve"> </w:t>
      </w:r>
      <w:r w:rsidR="00E4454C">
        <w:rPr>
          <w:rFonts w:ascii="Times New Roman" w:eastAsia="Times New Roman" w:hAnsi="Times New Roman" w:cs="Times New Roman"/>
          <w:kern w:val="0"/>
          <w:lang w:eastAsia="en-GB"/>
          <w14:ligatures w14:val="none"/>
        </w:rPr>
        <w:t>Small event businesses depend heavily on technology for marketing and service delivery. Digital platforms are among the primary marketing channels used by new companies in the UK, given that over 57 million individuals are social media users (Statista, 2024). Online booking and payment options also enhance convenience for customers, while e-commerce platforms can promote the future sale of home decorating packages and themed celebration packages.</w:t>
      </w:r>
    </w:p>
    <w:p w14:paraId="2A14CA78" w14:textId="6767C64B" w:rsidR="00B54C55" w:rsidRPr="00B54C55" w:rsidRDefault="00B54C55" w:rsidP="00B54C55">
      <w:pPr>
        <w:spacing w:before="120" w:after="120" w:line="360" w:lineRule="auto"/>
        <w:jc w:val="both"/>
        <w:rPr>
          <w:rFonts w:ascii="Times New Roman" w:eastAsia="Times New Roman" w:hAnsi="Times New Roman" w:cs="Times New Roman"/>
          <w:kern w:val="0"/>
          <w:lang w:eastAsia="en-GB"/>
          <w14:ligatures w14:val="none"/>
        </w:rPr>
      </w:pPr>
      <w:r w:rsidRPr="00B54C55">
        <w:rPr>
          <w:rFonts w:ascii="Times New Roman" w:eastAsia="Times New Roman" w:hAnsi="Times New Roman" w:cs="Times New Roman"/>
          <w:b/>
          <w:bCs/>
          <w:kern w:val="0"/>
          <w:lang w:eastAsia="en-GB"/>
          <w14:ligatures w14:val="none"/>
        </w:rPr>
        <w:t>Environmental factors:</w:t>
      </w:r>
      <w:r w:rsidRPr="00B54C55">
        <w:rPr>
          <w:rFonts w:ascii="Times New Roman" w:eastAsia="Times New Roman" w:hAnsi="Times New Roman" w:cs="Times New Roman"/>
          <w:kern w:val="0"/>
          <w:lang w:eastAsia="en-GB"/>
          <w14:ligatures w14:val="none"/>
        </w:rPr>
        <w:t xml:space="preserve"> Sustainability is emerging as a significant factor to consumers in their product and service selection. </w:t>
      </w:r>
      <w:proofErr w:type="gramStart"/>
      <w:r w:rsidRPr="00B54C55">
        <w:rPr>
          <w:rFonts w:ascii="Times New Roman" w:eastAsia="Times New Roman" w:hAnsi="Times New Roman" w:cs="Times New Roman"/>
          <w:kern w:val="0"/>
          <w:lang w:eastAsia="en-GB"/>
          <w14:ligatures w14:val="none"/>
        </w:rPr>
        <w:t>A large number of</w:t>
      </w:r>
      <w:proofErr w:type="gramEnd"/>
      <w:r w:rsidRPr="00B54C55">
        <w:rPr>
          <w:rFonts w:ascii="Times New Roman" w:eastAsia="Times New Roman" w:hAnsi="Times New Roman" w:cs="Times New Roman"/>
          <w:kern w:val="0"/>
          <w:lang w:eastAsia="en-GB"/>
          <w14:ligatures w14:val="none"/>
        </w:rPr>
        <w:t xml:space="preserve"> customers would much rather work with companies that package their products in environmentally friendly </w:t>
      </w:r>
      <w:r w:rsidR="00E4454C">
        <w:rPr>
          <w:rFonts w:ascii="Times New Roman" w:eastAsia="Times New Roman" w:hAnsi="Times New Roman" w:cs="Times New Roman"/>
          <w:kern w:val="0"/>
          <w:lang w:eastAsia="en-GB"/>
          <w14:ligatures w14:val="none"/>
        </w:rPr>
        <w:t xml:space="preserve">packaging, use </w:t>
      </w:r>
      <w:r w:rsidR="00E4454C">
        <w:rPr>
          <w:rFonts w:ascii="Times New Roman" w:eastAsia="Times New Roman" w:hAnsi="Times New Roman" w:cs="Times New Roman"/>
          <w:kern w:val="0"/>
          <w:lang w:eastAsia="en-GB"/>
          <w14:ligatures w14:val="none"/>
        </w:rPr>
        <w:lastRenderedPageBreak/>
        <w:t xml:space="preserve">biodegradable decorations, and offer </w:t>
      </w:r>
      <w:r w:rsidRPr="00B54C55">
        <w:rPr>
          <w:rFonts w:ascii="Times New Roman" w:eastAsia="Times New Roman" w:hAnsi="Times New Roman" w:cs="Times New Roman"/>
          <w:kern w:val="0"/>
          <w:lang w:eastAsia="en-GB"/>
          <w14:ligatures w14:val="none"/>
        </w:rPr>
        <w:t xml:space="preserve">ethically sourced products. It is shown that approximately 64% of consumers in the UK attempt to decrease the consumption of single-use plastic (Statista, 2023). Sprinkle &amp; Smile will be able to enhance its brand image and attract </w:t>
      </w:r>
      <w:r w:rsidR="00E4454C" w:rsidRPr="00B54C55">
        <w:rPr>
          <w:rFonts w:ascii="Times New Roman" w:eastAsia="Times New Roman" w:hAnsi="Times New Roman" w:cs="Times New Roman"/>
          <w:kern w:val="0"/>
          <w:lang w:eastAsia="en-GB"/>
          <w14:ligatures w14:val="none"/>
        </w:rPr>
        <w:t>environmentally conscious</w:t>
      </w:r>
      <w:r w:rsidRPr="00B54C55">
        <w:rPr>
          <w:rFonts w:ascii="Times New Roman" w:eastAsia="Times New Roman" w:hAnsi="Times New Roman" w:cs="Times New Roman"/>
          <w:kern w:val="0"/>
          <w:lang w:eastAsia="en-GB"/>
          <w14:ligatures w14:val="none"/>
        </w:rPr>
        <w:t xml:space="preserve"> families by being environmentally responsible in packaging and material usage.</w:t>
      </w:r>
    </w:p>
    <w:p w14:paraId="7AA82EE3" w14:textId="1ADFAC8C" w:rsidR="00B54C55" w:rsidRPr="00B54C55" w:rsidRDefault="00A07650" w:rsidP="00B54C55">
      <w:pPr>
        <w:spacing w:before="120" w:after="120" w:line="360" w:lineRule="auto"/>
        <w:jc w:val="both"/>
        <w:rPr>
          <w:rFonts w:ascii="Times New Roman" w:eastAsia="Times New Roman" w:hAnsi="Times New Roman" w:cs="Times New Roman"/>
          <w:kern w:val="0"/>
          <w:lang w:eastAsia="en-GB"/>
          <w14:ligatures w14:val="none"/>
        </w:rPr>
      </w:pPr>
      <w:r>
        <w:rPr>
          <w:rFonts w:ascii="Times New Roman" w:eastAsia="Times New Roman" w:hAnsi="Times New Roman" w:cs="Times New Roman"/>
          <w:b/>
          <w:bCs/>
          <w:kern w:val="0"/>
          <w:lang w:eastAsia="en-GB"/>
          <w14:ligatures w14:val="none"/>
        </w:rPr>
        <w:t xml:space="preserve">Legal factors: </w:t>
      </w:r>
      <w:r w:rsidRPr="00B22241">
        <w:rPr>
          <w:rFonts w:ascii="Times New Roman" w:eastAsia="Times New Roman" w:hAnsi="Times New Roman" w:cs="Times New Roman"/>
          <w:kern w:val="0"/>
          <w:lang w:eastAsia="en-GB"/>
          <w14:ligatures w14:val="none"/>
        </w:rPr>
        <w:t>Legal requirements include food hygiene certification, event activities, public liability insurance, and intellectual property regulations. Food businesses must also be registered with the local authorities by the Food Standards Agency and ensure they meet hygiene standards before operating (Food Standards Agency, 2023). This compliance guarantees customer safety and minimises legal risks for the business, while also boosting credibility within the competitive event services industry.</w:t>
      </w:r>
    </w:p>
    <w:p w14:paraId="211BBDBE" w14:textId="77777777" w:rsidR="00B54C55" w:rsidRPr="00B54C55" w:rsidRDefault="00B54C55" w:rsidP="00B54C55">
      <w:pPr>
        <w:spacing w:before="120" w:after="120" w:line="360" w:lineRule="auto"/>
        <w:jc w:val="both"/>
        <w:outlineLvl w:val="1"/>
        <w:rPr>
          <w:rFonts w:ascii="Times New Roman" w:eastAsia="Times New Roman" w:hAnsi="Times New Roman" w:cs="Times New Roman"/>
          <w:b/>
          <w:bCs/>
          <w:kern w:val="0"/>
          <w:lang w:eastAsia="en-GB"/>
          <w14:ligatures w14:val="none"/>
        </w:rPr>
      </w:pPr>
      <w:bookmarkStart w:id="1" w:name="_heading=h.aqm2qksuym20" w:colFirst="0" w:colLast="0"/>
      <w:bookmarkEnd w:id="1"/>
      <w:r w:rsidRPr="00B54C55">
        <w:rPr>
          <w:rFonts w:ascii="Times New Roman" w:eastAsia="Times New Roman" w:hAnsi="Times New Roman" w:cs="Times New Roman"/>
          <w:b/>
          <w:bCs/>
          <w:kern w:val="0"/>
          <w:lang w:eastAsia="en-GB"/>
          <w14:ligatures w14:val="none"/>
        </w:rPr>
        <w:t>2.2 SWOT Analysis</w:t>
      </w:r>
    </w:p>
    <w:p w14:paraId="404ADE7E" w14:textId="29E88AF6" w:rsidR="00B54C55" w:rsidRPr="00B54C55" w:rsidRDefault="00B22241" w:rsidP="00B54C55">
      <w:pPr>
        <w:spacing w:before="120" w:after="120" w:line="360" w:lineRule="auto"/>
        <w:jc w:val="both"/>
        <w:rPr>
          <w:rFonts w:ascii="Times New Roman" w:eastAsia="Times New Roman" w:hAnsi="Times New Roman" w:cs="Times New Roman"/>
          <w:kern w:val="0"/>
          <w:lang w:eastAsia="en-GB"/>
          <w14:ligatures w14:val="none"/>
        </w:rPr>
      </w:pPr>
      <w:r>
        <w:rPr>
          <w:rFonts w:ascii="Times New Roman" w:eastAsia="Times New Roman" w:hAnsi="Times New Roman" w:cs="Times New Roman"/>
          <w:b/>
          <w:bCs/>
          <w:kern w:val="0"/>
          <w:lang w:eastAsia="en-GB"/>
          <w14:ligatures w14:val="none"/>
        </w:rPr>
        <w:t xml:space="preserve">Strengths: </w:t>
      </w:r>
      <w:r w:rsidRPr="00B22241">
        <w:rPr>
          <w:rFonts w:ascii="Times New Roman" w:eastAsia="Times New Roman" w:hAnsi="Times New Roman" w:cs="Times New Roman"/>
          <w:kern w:val="0"/>
          <w:lang w:eastAsia="en-GB"/>
          <w14:ligatures w14:val="none"/>
        </w:rPr>
        <w:t>A key feature of Sprinkle &amp; Smile's experience-based approach, such as the interactive cake and cupcake decorating classes rather than selling baked goods, is a major advantage for the company. This aligns with the growing trend towards experience-based leisure activities and the increasing consumer focus on experiences (‌Zhang et al., 2024). Another significant strength is the availability of sensory-friendly decorating sessions, making the service accessible to younger children and diverse participants. Inclusivity can help boost customer loyalty and expand the potential customer base (Sahoo, Mishra and Rout, 2024). Additionally, the mobile business model enables the company to offer services directly at homes, schools, and community centres. This structure results in lower retail outlet costs and allows access to many more potential customers across multiple areas.</w:t>
      </w:r>
    </w:p>
    <w:p w14:paraId="134651A8" w14:textId="3856FD93" w:rsidR="00B54C55" w:rsidRPr="00B54C55" w:rsidRDefault="0026495A" w:rsidP="00B54C55">
      <w:pPr>
        <w:spacing w:before="120" w:after="120" w:line="360" w:lineRule="auto"/>
        <w:jc w:val="both"/>
        <w:rPr>
          <w:rFonts w:ascii="Times New Roman" w:eastAsia="Times New Roman" w:hAnsi="Times New Roman" w:cs="Times New Roman"/>
          <w:kern w:val="0"/>
          <w:lang w:eastAsia="en-GB"/>
          <w14:ligatures w14:val="none"/>
        </w:rPr>
      </w:pPr>
      <w:r>
        <w:rPr>
          <w:rFonts w:ascii="Times New Roman" w:eastAsia="Times New Roman" w:hAnsi="Times New Roman" w:cs="Times New Roman"/>
          <w:b/>
          <w:bCs/>
          <w:kern w:val="0"/>
          <w:lang w:eastAsia="en-GB"/>
          <w14:ligatures w14:val="none"/>
        </w:rPr>
        <w:t xml:space="preserve">Weaknesses: </w:t>
      </w:r>
      <w:r w:rsidRPr="0026495A">
        <w:rPr>
          <w:rFonts w:ascii="Times New Roman" w:eastAsia="Times New Roman" w:hAnsi="Times New Roman" w:cs="Times New Roman"/>
          <w:kern w:val="0"/>
          <w:lang w:eastAsia="en-GB"/>
          <w14:ligatures w14:val="none"/>
        </w:rPr>
        <w:t>Although the concept of Sprinkle &amp; Smile is innovative, the company faces several internal limitations. One weakness is its limited start-up resources, which can restrict early investments in equipment, staff, and advertising. Small businesses often encounter financial constraints during the initial development phases (Barringer, 2019). Additionally, the business is heavily dependent on booking events; fluctuations in demand or seasonal variations in party events could directly affect revenue and cash flow stability.</w:t>
      </w:r>
    </w:p>
    <w:p w14:paraId="0BB75142" w14:textId="77777777" w:rsidR="00B54C55" w:rsidRPr="00B54C55" w:rsidRDefault="00B54C55" w:rsidP="00B54C55">
      <w:pPr>
        <w:spacing w:before="120" w:after="120" w:line="360" w:lineRule="auto"/>
        <w:jc w:val="both"/>
        <w:rPr>
          <w:rFonts w:ascii="Times New Roman" w:eastAsia="Times New Roman" w:hAnsi="Times New Roman" w:cs="Times New Roman"/>
          <w:kern w:val="0"/>
          <w:lang w:eastAsia="en-GB"/>
          <w14:ligatures w14:val="none"/>
        </w:rPr>
      </w:pPr>
      <w:r w:rsidRPr="00B54C55">
        <w:rPr>
          <w:rFonts w:ascii="Times New Roman" w:eastAsia="Times New Roman" w:hAnsi="Times New Roman" w:cs="Times New Roman"/>
          <w:b/>
          <w:bCs/>
          <w:kern w:val="0"/>
          <w:lang w:eastAsia="en-GB"/>
          <w14:ligatures w14:val="none"/>
        </w:rPr>
        <w:t xml:space="preserve">Opportunities: </w:t>
      </w:r>
      <w:r w:rsidRPr="00B54C55">
        <w:rPr>
          <w:rFonts w:ascii="Times New Roman" w:eastAsia="Times New Roman" w:hAnsi="Times New Roman" w:cs="Times New Roman"/>
          <w:kern w:val="0"/>
          <w:lang w:eastAsia="en-GB"/>
          <w14:ligatures w14:val="none"/>
        </w:rPr>
        <w:t xml:space="preserve">There are some external opportunities that favour the growth prospects of Sprinkle and Smile. The trend to experience economy in the world is still affecting consumer behaviour, with more families demanding to have creative and interactive celebrations instead of conventional party entertainment (Hudson and Hudson, 2023). The market of children's </w:t>
      </w:r>
      <w:r w:rsidRPr="00B54C55">
        <w:rPr>
          <w:rFonts w:ascii="Times New Roman" w:eastAsia="Times New Roman" w:hAnsi="Times New Roman" w:cs="Times New Roman"/>
          <w:kern w:val="0"/>
          <w:lang w:eastAsia="en-GB"/>
          <w14:ligatures w14:val="none"/>
        </w:rPr>
        <w:lastRenderedPageBreak/>
        <w:t>birthday parties has great potential as well, as birthday parties are one of the most widespread family activities. In the UK, parents remain willing to spend on celebrations for children despite financial constraints, which shows that the demand for services related to parties remains steady (Office for National Statistics, 2021).</w:t>
      </w:r>
    </w:p>
    <w:p w14:paraId="12B4FF6F" w14:textId="77777777" w:rsidR="00B54C55" w:rsidRPr="00B54C55" w:rsidRDefault="00B54C55" w:rsidP="00B54C55">
      <w:pPr>
        <w:spacing w:before="120" w:after="120" w:line="360" w:lineRule="auto"/>
        <w:jc w:val="both"/>
        <w:rPr>
          <w:rFonts w:ascii="Times New Roman" w:eastAsia="Times New Roman" w:hAnsi="Times New Roman" w:cs="Times New Roman"/>
          <w:kern w:val="0"/>
          <w:lang w:eastAsia="en-GB"/>
          <w14:ligatures w14:val="none"/>
        </w:rPr>
      </w:pPr>
      <w:r w:rsidRPr="00B54C55">
        <w:rPr>
          <w:rFonts w:ascii="Times New Roman" w:eastAsia="Times New Roman" w:hAnsi="Times New Roman" w:cs="Times New Roman"/>
          <w:b/>
          <w:bCs/>
          <w:kern w:val="0"/>
          <w:lang w:eastAsia="en-GB"/>
          <w14:ligatures w14:val="none"/>
        </w:rPr>
        <w:t xml:space="preserve">Threats: </w:t>
      </w:r>
      <w:r w:rsidRPr="00B54C55">
        <w:rPr>
          <w:rFonts w:ascii="Times New Roman" w:eastAsia="Times New Roman" w:hAnsi="Times New Roman" w:cs="Times New Roman"/>
          <w:kern w:val="0"/>
          <w:lang w:eastAsia="en-GB"/>
          <w14:ligatures w14:val="none"/>
        </w:rPr>
        <w:t>It is possible that Sprinkle &amp; Smile will have to compete with other local bakeries or event providers that provide decorating workshops or party services. Existing businesses with available customer bases can appeal to similar target audiences. The economic uncertainty might also cut back on discretionary expenditures on leisure activities like birthday celebrations or party events. Indicatively, household spending priorities have been impacted by the increasing inflation in the UK (Office for National Statistics, 2021). Also, there are stringent food safety and hygiene rules that expand the compliance requirements of businesses dealing with edible goods.</w:t>
      </w:r>
    </w:p>
    <w:p w14:paraId="44B8107A" w14:textId="77777777" w:rsidR="00B54C55" w:rsidRPr="00B54C55" w:rsidRDefault="00B54C55" w:rsidP="00B54C55">
      <w:pPr>
        <w:spacing w:before="120" w:after="120" w:line="360" w:lineRule="auto"/>
        <w:jc w:val="both"/>
        <w:rPr>
          <w:rFonts w:ascii="Times New Roman" w:eastAsia="Times New Roman" w:hAnsi="Times New Roman" w:cs="Times New Roman"/>
          <w:kern w:val="0"/>
          <w:lang w:eastAsia="en-GB"/>
          <w14:ligatures w14:val="none"/>
        </w:rPr>
      </w:pPr>
      <w:r w:rsidRPr="00B54C55">
        <w:rPr>
          <w:rFonts w:ascii="Times New Roman" w:eastAsia="Times New Roman" w:hAnsi="Times New Roman" w:cs="Times New Roman"/>
          <w:b/>
          <w:bCs/>
          <w:kern w:val="0"/>
          <w:lang w:eastAsia="en-GB"/>
          <w14:ligatures w14:val="none"/>
        </w:rPr>
        <w:t xml:space="preserve">Evaluation: </w:t>
      </w:r>
      <w:proofErr w:type="gramStart"/>
      <w:r w:rsidRPr="00B54C55">
        <w:rPr>
          <w:rFonts w:ascii="Times New Roman" w:eastAsia="Times New Roman" w:hAnsi="Times New Roman" w:cs="Times New Roman"/>
          <w:kern w:val="0"/>
          <w:lang w:eastAsia="en-GB"/>
          <w14:ligatures w14:val="none"/>
        </w:rPr>
        <w:t>In order to</w:t>
      </w:r>
      <w:proofErr w:type="gramEnd"/>
      <w:r w:rsidRPr="00B54C55">
        <w:rPr>
          <w:rFonts w:ascii="Times New Roman" w:eastAsia="Times New Roman" w:hAnsi="Times New Roman" w:cs="Times New Roman"/>
          <w:kern w:val="0"/>
          <w:lang w:eastAsia="en-GB"/>
          <w14:ligatures w14:val="none"/>
        </w:rPr>
        <w:t xml:space="preserve"> maximise its success, Sprinkle and Smile needs to plan the maximum use of its strengths to exploit the market opportunities. As an example, its mobile and inclusive decorating services can be marketed in collaboration with schools, organisations in community centres, and family organisations to create frequent bookings. The focus on creativity, inclusiveness and convenience will help the business to stand out in the market among the traditional bakeries </w:t>
      </w:r>
      <w:proofErr w:type="gramStart"/>
      <w:r w:rsidRPr="00B54C55">
        <w:rPr>
          <w:rFonts w:ascii="Times New Roman" w:eastAsia="Times New Roman" w:hAnsi="Times New Roman" w:cs="Times New Roman"/>
          <w:kern w:val="0"/>
          <w:lang w:eastAsia="en-GB"/>
          <w14:ligatures w14:val="none"/>
        </w:rPr>
        <w:t>and also</w:t>
      </w:r>
      <w:proofErr w:type="gramEnd"/>
      <w:r w:rsidRPr="00B54C55">
        <w:rPr>
          <w:rFonts w:ascii="Times New Roman" w:eastAsia="Times New Roman" w:hAnsi="Times New Roman" w:cs="Times New Roman"/>
          <w:kern w:val="0"/>
          <w:lang w:eastAsia="en-GB"/>
          <w14:ligatures w14:val="none"/>
        </w:rPr>
        <w:t xml:space="preserve"> win the market within the growing experience-based celebration market.</w:t>
      </w:r>
    </w:p>
    <w:p w14:paraId="33E1DE4C" w14:textId="77777777" w:rsidR="00AE1127" w:rsidRDefault="00AE1127"/>
    <w:sectPr w:rsidR="00AE11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2B34"/>
    <w:rsid w:val="00182B34"/>
    <w:rsid w:val="00196FE6"/>
    <w:rsid w:val="0026495A"/>
    <w:rsid w:val="0044521F"/>
    <w:rsid w:val="004F5759"/>
    <w:rsid w:val="005964A5"/>
    <w:rsid w:val="007A46A2"/>
    <w:rsid w:val="009A4FDF"/>
    <w:rsid w:val="00A07650"/>
    <w:rsid w:val="00AE1127"/>
    <w:rsid w:val="00B22241"/>
    <w:rsid w:val="00B33CB6"/>
    <w:rsid w:val="00B54C55"/>
    <w:rsid w:val="00CF6072"/>
    <w:rsid w:val="00E4454C"/>
    <w:rsid w:val="00E454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7FD71B"/>
  <w15:chartTrackingRefBased/>
  <w15:docId w15:val="{19FDBB84-BE6E-4DFF-B433-4061634251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2B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82B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82B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82B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82B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82B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2B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2B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2B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2B3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82B3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82B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82B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82B3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82B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2B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2B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2B34"/>
    <w:rPr>
      <w:rFonts w:eastAsiaTheme="majorEastAsia" w:cstheme="majorBidi"/>
      <w:color w:val="272727" w:themeColor="text1" w:themeTint="D8"/>
    </w:rPr>
  </w:style>
  <w:style w:type="paragraph" w:styleId="Title">
    <w:name w:val="Title"/>
    <w:basedOn w:val="Normal"/>
    <w:next w:val="Normal"/>
    <w:link w:val="TitleChar"/>
    <w:uiPriority w:val="10"/>
    <w:qFormat/>
    <w:rsid w:val="00182B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2B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2B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2B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2B34"/>
    <w:pPr>
      <w:spacing w:before="160"/>
      <w:jc w:val="center"/>
    </w:pPr>
    <w:rPr>
      <w:i/>
      <w:iCs/>
      <w:color w:val="404040" w:themeColor="text1" w:themeTint="BF"/>
    </w:rPr>
  </w:style>
  <w:style w:type="character" w:customStyle="1" w:styleId="QuoteChar">
    <w:name w:val="Quote Char"/>
    <w:basedOn w:val="DefaultParagraphFont"/>
    <w:link w:val="Quote"/>
    <w:uiPriority w:val="29"/>
    <w:rsid w:val="00182B34"/>
    <w:rPr>
      <w:i/>
      <w:iCs/>
      <w:color w:val="404040" w:themeColor="text1" w:themeTint="BF"/>
    </w:rPr>
  </w:style>
  <w:style w:type="paragraph" w:styleId="ListParagraph">
    <w:name w:val="List Paragraph"/>
    <w:basedOn w:val="Normal"/>
    <w:uiPriority w:val="34"/>
    <w:qFormat/>
    <w:rsid w:val="00182B34"/>
    <w:pPr>
      <w:ind w:left="720"/>
      <w:contextualSpacing/>
    </w:pPr>
  </w:style>
  <w:style w:type="character" w:styleId="IntenseEmphasis">
    <w:name w:val="Intense Emphasis"/>
    <w:basedOn w:val="DefaultParagraphFont"/>
    <w:uiPriority w:val="21"/>
    <w:qFormat/>
    <w:rsid w:val="00182B34"/>
    <w:rPr>
      <w:i/>
      <w:iCs/>
      <w:color w:val="0F4761" w:themeColor="accent1" w:themeShade="BF"/>
    </w:rPr>
  </w:style>
  <w:style w:type="paragraph" w:styleId="IntenseQuote">
    <w:name w:val="Intense Quote"/>
    <w:basedOn w:val="Normal"/>
    <w:next w:val="Normal"/>
    <w:link w:val="IntenseQuoteChar"/>
    <w:uiPriority w:val="30"/>
    <w:qFormat/>
    <w:rsid w:val="00182B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82B34"/>
    <w:rPr>
      <w:i/>
      <w:iCs/>
      <w:color w:val="0F4761" w:themeColor="accent1" w:themeShade="BF"/>
    </w:rPr>
  </w:style>
  <w:style w:type="character" w:styleId="IntenseReference">
    <w:name w:val="Intense Reference"/>
    <w:basedOn w:val="DefaultParagraphFont"/>
    <w:uiPriority w:val="32"/>
    <w:qFormat/>
    <w:rsid w:val="00182B3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TotalTime>
  <Pages>3</Pages>
  <Words>977</Words>
  <Characters>5843</Characters>
  <Application>Microsoft Office Word</Application>
  <DocSecurity>0</DocSecurity>
  <Lines>114</Lines>
  <Paragraphs>54</Paragraphs>
  <ScaleCrop>false</ScaleCrop>
  <Company/>
  <LinksUpToDate>false</LinksUpToDate>
  <CharactersWithSpaces>6766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 Uzun</dc:creator>
  <cp:keywords/>
  <dc:description/>
  <cp:lastModifiedBy>Ala Uzun</cp:lastModifiedBy>
  <cp:revision>13</cp:revision>
  <dcterms:created xsi:type="dcterms:W3CDTF">2026-03-20T19:37:00Z</dcterms:created>
  <dcterms:modified xsi:type="dcterms:W3CDTF">2026-03-20T19:51:00Z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f34751f7-627f-4b17-9fd8-37a92e06c4f3</vt:lpwstr>
  </property>
</Properties>
</file>