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4C4DE" w14:textId="77777777" w:rsidR="004F56BC" w:rsidRPr="00A0292D" w:rsidRDefault="00A0292D" w:rsidP="008F61B8">
      <w:pPr>
        <w:spacing w:line="360" w:lineRule="auto"/>
        <w:rPr>
          <w:rFonts w:asciiTheme="minorBidi" w:hAnsiTheme="minorBidi" w:cstheme="minorBidi"/>
          <w:sz w:val="28"/>
          <w:szCs w:val="28"/>
        </w:rPr>
      </w:pPr>
      <w:bookmarkStart w:id="0" w:name="_Hlk227753153"/>
      <w:bookmarkStart w:id="1" w:name="OLE_LINK3"/>
      <w:bookmarkEnd w:id="0"/>
      <w:r w:rsidRPr="00A0292D">
        <w:rPr>
          <w:rFonts w:asciiTheme="minorBidi" w:hAnsiTheme="minorBidi" w:cstheme="minorBidi"/>
          <w:noProof/>
          <w:sz w:val="28"/>
          <w:szCs w:val="28"/>
        </w:rPr>
        <w:drawing>
          <wp:inline distT="0" distB="0" distL="0" distR="0" wp14:anchorId="4677C649" wp14:editId="779E4FD9">
            <wp:extent cx="2311400" cy="1181100"/>
            <wp:effectExtent l="0" t="0" r="0" b="0"/>
            <wp:docPr id="1824807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07126" name=""/>
                    <pic:cNvPicPr/>
                  </pic:nvPicPr>
                  <pic:blipFill>
                    <a:blip r:embed="rId7"/>
                    <a:stretch>
                      <a:fillRect/>
                    </a:stretch>
                  </pic:blipFill>
                  <pic:spPr>
                    <a:xfrm>
                      <a:off x="0" y="0"/>
                      <a:ext cx="2311400" cy="1181100"/>
                    </a:xfrm>
                    <a:prstGeom prst="rect">
                      <a:avLst/>
                    </a:prstGeom>
                  </pic:spPr>
                </pic:pic>
              </a:graphicData>
            </a:graphic>
          </wp:inline>
        </w:drawing>
      </w:r>
    </w:p>
    <w:p w14:paraId="34F17302" w14:textId="77777777" w:rsidR="00A0292D" w:rsidRPr="00A0292D" w:rsidRDefault="00A0292D" w:rsidP="00C51075">
      <w:pPr>
        <w:spacing w:line="360" w:lineRule="auto"/>
        <w:jc w:val="center"/>
        <w:rPr>
          <w:rFonts w:asciiTheme="minorBidi" w:hAnsiTheme="minorBidi" w:cstheme="minorBidi"/>
          <w:b/>
          <w:bCs/>
          <w:sz w:val="36"/>
          <w:szCs w:val="36"/>
        </w:rPr>
      </w:pPr>
    </w:p>
    <w:p w14:paraId="2DD5DEF5" w14:textId="77777777" w:rsidR="00A0292D" w:rsidRPr="00A0292D" w:rsidRDefault="00A0292D" w:rsidP="00C51075">
      <w:pPr>
        <w:spacing w:line="360" w:lineRule="auto"/>
        <w:jc w:val="center"/>
        <w:rPr>
          <w:rFonts w:asciiTheme="minorBidi" w:hAnsiTheme="minorBidi" w:cstheme="minorBidi"/>
          <w:b/>
          <w:bCs/>
          <w:sz w:val="36"/>
          <w:szCs w:val="36"/>
        </w:rPr>
      </w:pPr>
    </w:p>
    <w:p w14:paraId="00D71E92" w14:textId="77777777" w:rsidR="00A0292D" w:rsidRPr="00A0292D" w:rsidRDefault="00A0292D" w:rsidP="00C51075">
      <w:pPr>
        <w:spacing w:line="360" w:lineRule="auto"/>
        <w:jc w:val="center"/>
        <w:rPr>
          <w:rFonts w:asciiTheme="minorBidi" w:hAnsiTheme="minorBidi" w:cstheme="minorBidi"/>
          <w:b/>
          <w:bCs/>
          <w:sz w:val="36"/>
          <w:szCs w:val="36"/>
        </w:rPr>
      </w:pPr>
    </w:p>
    <w:p w14:paraId="57BC780B" w14:textId="77777777" w:rsidR="00C51075" w:rsidRPr="00A0292D" w:rsidRDefault="00C51075" w:rsidP="00C51075">
      <w:pPr>
        <w:spacing w:line="360" w:lineRule="auto"/>
        <w:jc w:val="center"/>
        <w:rPr>
          <w:rFonts w:asciiTheme="minorBidi" w:hAnsiTheme="minorBidi" w:cstheme="minorBidi"/>
          <w:b/>
          <w:bCs/>
          <w:sz w:val="36"/>
          <w:szCs w:val="36"/>
        </w:rPr>
      </w:pPr>
      <w:r w:rsidRPr="00A0292D">
        <w:rPr>
          <w:rFonts w:asciiTheme="minorBidi" w:hAnsiTheme="minorBidi" w:cstheme="minorBidi"/>
          <w:b/>
          <w:bCs/>
          <w:sz w:val="36"/>
          <w:szCs w:val="36"/>
        </w:rPr>
        <w:t>Module: Financial Management</w:t>
      </w:r>
    </w:p>
    <w:p w14:paraId="74560FE4" w14:textId="77777777" w:rsidR="004F56BC" w:rsidRDefault="00C51075" w:rsidP="00C51075">
      <w:pPr>
        <w:spacing w:line="360" w:lineRule="auto"/>
        <w:jc w:val="center"/>
        <w:rPr>
          <w:rFonts w:asciiTheme="minorBidi" w:hAnsiTheme="minorBidi" w:cstheme="minorBidi"/>
          <w:b/>
          <w:bCs/>
          <w:sz w:val="36"/>
          <w:szCs w:val="36"/>
        </w:rPr>
      </w:pPr>
      <w:r w:rsidRPr="00A0292D">
        <w:rPr>
          <w:rFonts w:asciiTheme="minorBidi" w:hAnsiTheme="minorBidi" w:cstheme="minorBidi"/>
          <w:b/>
          <w:bCs/>
          <w:sz w:val="36"/>
          <w:szCs w:val="36"/>
        </w:rPr>
        <w:t>Module code: LCMB7002</w:t>
      </w:r>
    </w:p>
    <w:p w14:paraId="24AC9797" w14:textId="39CC652A" w:rsidR="00A0292D" w:rsidRPr="00732A7A" w:rsidRDefault="00195478" w:rsidP="00C51075">
      <w:pPr>
        <w:spacing w:line="360" w:lineRule="auto"/>
        <w:jc w:val="center"/>
        <w:rPr>
          <w:rFonts w:asciiTheme="minorBidi" w:hAnsiTheme="minorBidi" w:cstheme="minorBidi"/>
          <w:b/>
          <w:bCs/>
          <w:sz w:val="36"/>
          <w:szCs w:val="36"/>
        </w:rPr>
      </w:pPr>
      <w:r>
        <w:rPr>
          <w:rFonts w:asciiTheme="minorBidi" w:hAnsiTheme="minorBidi" w:cstheme="minorBidi"/>
          <w:b/>
          <w:bCs/>
          <w:sz w:val="36"/>
          <w:szCs w:val="36"/>
        </w:rPr>
        <w:t>Lecturer Name:</w:t>
      </w:r>
      <w:r w:rsidR="00732A7A">
        <w:rPr>
          <w:rFonts w:asciiTheme="minorBidi" w:hAnsiTheme="minorBidi" w:cstheme="minorBidi"/>
          <w:b/>
          <w:bCs/>
          <w:sz w:val="36"/>
          <w:szCs w:val="36"/>
        </w:rPr>
        <w:t xml:space="preserve"> Dr Shengfeng Mei</w:t>
      </w:r>
      <w:r w:rsidR="003C6014" w:rsidRPr="003C6014">
        <w:rPr>
          <w:rFonts w:ascii="Segoe UI" w:eastAsia="Times New Roman" w:hAnsi="Segoe UI" w:cs="Segoe UI"/>
          <w:color w:val="1D2125"/>
          <w:shd w:val="clear" w:color="auto" w:fill="FFFFFF"/>
        </w:rPr>
        <w:t xml:space="preserve"> </w:t>
      </w:r>
    </w:p>
    <w:p w14:paraId="0C4035C7" w14:textId="77777777" w:rsidR="00A0292D" w:rsidRPr="00A0292D" w:rsidRDefault="00A0292D" w:rsidP="00C51075">
      <w:pPr>
        <w:spacing w:line="360" w:lineRule="auto"/>
        <w:jc w:val="center"/>
        <w:rPr>
          <w:rFonts w:asciiTheme="minorBidi" w:hAnsiTheme="minorBidi" w:cstheme="minorBidi"/>
          <w:b/>
          <w:bCs/>
          <w:sz w:val="36"/>
          <w:szCs w:val="36"/>
        </w:rPr>
      </w:pPr>
    </w:p>
    <w:p w14:paraId="165BD66E" w14:textId="77777777" w:rsidR="004F56BC" w:rsidRPr="00A0292D" w:rsidRDefault="00A0292D" w:rsidP="00A0292D">
      <w:pPr>
        <w:spacing w:line="360" w:lineRule="auto"/>
        <w:jc w:val="center"/>
        <w:rPr>
          <w:rFonts w:asciiTheme="minorBidi" w:hAnsiTheme="minorBidi" w:cstheme="minorBidi"/>
          <w:sz w:val="28"/>
          <w:szCs w:val="28"/>
        </w:rPr>
      </w:pPr>
      <w:r w:rsidRPr="00A0292D">
        <w:rPr>
          <w:rFonts w:asciiTheme="minorBidi" w:hAnsiTheme="minorBidi" w:cstheme="minorBidi"/>
          <w:b/>
          <w:bCs/>
          <w:color w:val="2E74B5"/>
          <w:sz w:val="32"/>
          <w:szCs w:val="32"/>
        </w:rPr>
        <w:t>CFO Financial Strategy Report</w:t>
      </w:r>
    </w:p>
    <w:p w14:paraId="5C3E0A35" w14:textId="77777777" w:rsidR="004F56BC" w:rsidRPr="00A0292D" w:rsidRDefault="004F56BC" w:rsidP="008F61B8">
      <w:pPr>
        <w:spacing w:line="360" w:lineRule="auto"/>
        <w:rPr>
          <w:rFonts w:asciiTheme="minorBidi" w:hAnsiTheme="minorBidi" w:cstheme="minorBidi"/>
          <w:sz w:val="28"/>
          <w:szCs w:val="28"/>
        </w:rPr>
      </w:pPr>
    </w:p>
    <w:p w14:paraId="531A81B3" w14:textId="77777777" w:rsidR="004F56BC" w:rsidRPr="00A0292D" w:rsidRDefault="00125647" w:rsidP="008F61B8">
      <w:pPr>
        <w:spacing w:after="60" w:line="360" w:lineRule="auto"/>
        <w:jc w:val="center"/>
        <w:rPr>
          <w:rFonts w:asciiTheme="minorBidi" w:hAnsiTheme="minorBidi" w:cstheme="minorBidi"/>
          <w:sz w:val="28"/>
          <w:szCs w:val="28"/>
        </w:rPr>
      </w:pPr>
      <w:r w:rsidRPr="00A0292D">
        <w:rPr>
          <w:rFonts w:asciiTheme="minorBidi" w:hAnsiTheme="minorBidi" w:cstheme="minorBidi"/>
          <w:b/>
          <w:bCs/>
          <w:color w:val="1F4E79"/>
          <w:sz w:val="48"/>
          <w:szCs w:val="48"/>
        </w:rPr>
        <w:t>TOYOTA MOTOR CORPORATION</w:t>
      </w:r>
    </w:p>
    <w:p w14:paraId="3AEE7FD4" w14:textId="77777777" w:rsidR="004F56BC" w:rsidRPr="00A0292D" w:rsidRDefault="00125647" w:rsidP="008F61B8">
      <w:pPr>
        <w:spacing w:after="200" w:line="360" w:lineRule="auto"/>
        <w:jc w:val="center"/>
        <w:rPr>
          <w:rFonts w:asciiTheme="minorBidi" w:hAnsiTheme="minorBidi" w:cstheme="minorBidi"/>
          <w:b/>
          <w:bCs/>
          <w:color w:val="2E74B5"/>
          <w:sz w:val="32"/>
          <w:szCs w:val="32"/>
        </w:rPr>
      </w:pPr>
      <w:r w:rsidRPr="00A0292D">
        <w:rPr>
          <w:rFonts w:asciiTheme="minorBidi" w:hAnsiTheme="minorBidi" w:cstheme="minorBidi"/>
          <w:b/>
          <w:bCs/>
          <w:color w:val="2E74B5"/>
          <w:sz w:val="32"/>
          <w:szCs w:val="32"/>
        </w:rPr>
        <w:t>Fiscal Years 2021-2025</w:t>
      </w:r>
    </w:p>
    <w:p w14:paraId="6AAAACA6" w14:textId="77777777" w:rsidR="00A0292D" w:rsidRPr="00A0292D" w:rsidRDefault="00A0292D" w:rsidP="00195478">
      <w:pPr>
        <w:spacing w:after="200" w:line="360" w:lineRule="auto"/>
        <w:rPr>
          <w:rFonts w:asciiTheme="minorBidi" w:hAnsiTheme="minorBidi" w:cstheme="minorBidi"/>
          <w:b/>
          <w:bCs/>
          <w:color w:val="2E74B5"/>
          <w:sz w:val="32"/>
          <w:szCs w:val="32"/>
        </w:rPr>
      </w:pPr>
    </w:p>
    <w:p w14:paraId="30AE44D5" w14:textId="110F6615" w:rsidR="00A0292D" w:rsidRPr="00A0292D" w:rsidRDefault="00A0292D" w:rsidP="008F61B8">
      <w:pPr>
        <w:spacing w:after="200" w:line="360" w:lineRule="auto"/>
        <w:jc w:val="center"/>
        <w:rPr>
          <w:rFonts w:asciiTheme="minorBidi" w:hAnsiTheme="minorBidi" w:cstheme="minorBidi"/>
          <w:b/>
          <w:bCs/>
          <w:color w:val="2E74B5"/>
          <w:sz w:val="32"/>
          <w:szCs w:val="32"/>
        </w:rPr>
      </w:pPr>
      <w:r w:rsidRPr="00A0292D">
        <w:rPr>
          <w:rFonts w:asciiTheme="minorBidi" w:hAnsiTheme="minorBidi" w:cstheme="minorBidi"/>
          <w:b/>
          <w:bCs/>
          <w:color w:val="2E74B5"/>
          <w:sz w:val="32"/>
          <w:szCs w:val="32"/>
        </w:rPr>
        <w:t xml:space="preserve">Prepared by: </w:t>
      </w:r>
      <w:r w:rsidR="00194507">
        <w:rPr>
          <w:rFonts w:asciiTheme="minorBidi" w:hAnsiTheme="minorBidi" w:cstheme="minorBidi"/>
          <w:b/>
          <w:bCs/>
          <w:color w:val="2E74B5"/>
          <w:sz w:val="32"/>
          <w:szCs w:val="32"/>
        </w:rPr>
        <w:t>Abdul Hakim</w:t>
      </w:r>
    </w:p>
    <w:p w14:paraId="289361C4" w14:textId="3ED6328C" w:rsidR="004F56BC" w:rsidRDefault="00A0292D" w:rsidP="00A0292D">
      <w:pPr>
        <w:spacing w:after="200" w:line="360" w:lineRule="auto"/>
        <w:jc w:val="center"/>
        <w:rPr>
          <w:rFonts w:asciiTheme="minorBidi" w:hAnsiTheme="minorBidi" w:cstheme="minorBidi"/>
          <w:b/>
          <w:bCs/>
          <w:color w:val="2E74B5"/>
          <w:sz w:val="32"/>
          <w:szCs w:val="32"/>
        </w:rPr>
      </w:pPr>
      <w:r w:rsidRPr="00A0292D">
        <w:rPr>
          <w:rFonts w:asciiTheme="minorBidi" w:hAnsiTheme="minorBidi" w:cstheme="minorBidi"/>
          <w:b/>
          <w:bCs/>
          <w:color w:val="2E74B5"/>
          <w:sz w:val="32"/>
          <w:szCs w:val="32"/>
        </w:rPr>
        <w:t>Student ID:</w:t>
      </w:r>
      <w:r w:rsidR="00194507">
        <w:rPr>
          <w:rFonts w:asciiTheme="minorBidi" w:hAnsiTheme="minorBidi" w:cstheme="minorBidi"/>
          <w:b/>
          <w:bCs/>
          <w:color w:val="2E74B5"/>
          <w:sz w:val="32"/>
          <w:szCs w:val="32"/>
        </w:rPr>
        <w:t>2505488</w:t>
      </w:r>
    </w:p>
    <w:p w14:paraId="391A737F" w14:textId="77777777" w:rsidR="00195478" w:rsidRPr="00A0292D" w:rsidRDefault="00195478" w:rsidP="00A0292D">
      <w:pPr>
        <w:spacing w:after="200" w:line="360" w:lineRule="auto"/>
        <w:jc w:val="center"/>
        <w:rPr>
          <w:rFonts w:asciiTheme="minorBidi" w:hAnsiTheme="minorBidi" w:cstheme="minorBidi"/>
          <w:sz w:val="28"/>
          <w:szCs w:val="28"/>
        </w:rPr>
      </w:pPr>
      <w:r>
        <w:rPr>
          <w:rFonts w:asciiTheme="minorBidi" w:hAnsiTheme="minorBidi" w:cstheme="minorBidi"/>
          <w:b/>
          <w:bCs/>
          <w:color w:val="2E74B5"/>
          <w:sz w:val="32"/>
          <w:szCs w:val="32"/>
        </w:rPr>
        <w:t>Words Count: 5498</w:t>
      </w:r>
    </w:p>
    <w:p w14:paraId="46CD9A11" w14:textId="77777777" w:rsidR="004F56BC" w:rsidRPr="00A0292D" w:rsidRDefault="00125647" w:rsidP="00566FB5">
      <w:pPr>
        <w:pStyle w:val="Heading1"/>
        <w:rPr>
          <w:rFonts w:asciiTheme="minorBidi" w:hAnsiTheme="minorBidi" w:cstheme="minorBidi"/>
        </w:rPr>
      </w:pPr>
      <w:bookmarkStart w:id="2" w:name="_Toc227788449"/>
      <w:r w:rsidRPr="00A0292D">
        <w:rPr>
          <w:rFonts w:asciiTheme="minorBidi" w:hAnsiTheme="minorBidi" w:cstheme="minorBidi"/>
        </w:rPr>
        <w:t>Executive Summary</w:t>
      </w:r>
      <w:bookmarkEnd w:id="2"/>
    </w:p>
    <w:p w14:paraId="589C4A3A" w14:textId="77777777" w:rsidR="004F56BC" w:rsidRPr="00A0292D" w:rsidRDefault="00A521E7" w:rsidP="00A521E7">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Toyota Motor Corporation joined the new stage of EV transition with the advantage of scale, brand image, and global manufacturing capabilities. Revenue increased to JPY 48.04 trillion and net profit increased to JPY 2.25 trillion over 2021 to 2025 compared to the JPY 27.21 trillion and JPY 2.25 trillion respectively. Total equity also increased to JPY 35.92 trillion as compared to JPY 23.40 trillion. These trends indicate that Toyota continues to yield good returns in accounting and has a huge capital base. Nevertheless, financial pressure is evident during the same period. The annual free cash flow remained negative, capital expenditure increased at a very high rate, working capital consumed more cash and the amount of debt increased with the magnitude of investment. The health check on the financial stands thus shows a balanced picture. The profitability increased throughout the entire period, but not in a linear manner. Liquidity was satisfactory, but not particularly good as a capital intensive transition. The efficiency was maintained at a good level, but the receivables were high. As growth increased, gearing increased and the quality of cash flow deteriorated as higher profits failed to turn into positive free cash flow. Ratio analysis helps us to believe that Toyota is a financially strong company, however, it also reveals a company that funds a strategic shift with an increasing balance sheet pressure.</w:t>
      </w:r>
    </w:p>
    <w:p w14:paraId="7ED87AEB" w14:textId="77777777" w:rsidR="008F61B8" w:rsidRPr="00A0292D" w:rsidRDefault="00A521E7" w:rsidP="00A521E7">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report contends that Toyota does not need to pursue radical balance sheet reset. Rather, it ought to pursue a disciplined restructuring strategy that is anchored on selective divestiture, EV investment through partnership, greater control of working capital, and focused refinancing. This route safeguards shareholder value without loss of flexibility in operations. In the case of capital budgeting, Project C provides the best strategic fit since it provides the highest NPV, PI, IRR and the shortest payback period compared to the other two alternatives though the NPV of Project C is slightly negative at a discount rate of 10. With capital rationing, Projects B and C are the ones that offer the best combined NPV and the most robust near-term and long-term balance</w:t>
      </w:r>
      <w:r w:rsidR="008F61B8" w:rsidRPr="008F61B8">
        <w:rPr>
          <w:rFonts w:asciiTheme="minorBidi" w:hAnsiTheme="minorBidi" w:cstheme="minorBidi"/>
          <w:sz w:val="24"/>
          <w:szCs w:val="24"/>
        </w:rPr>
        <w:t>.</w:t>
      </w:r>
    </w:p>
    <w:p w14:paraId="51F08022" w14:textId="77777777" w:rsidR="00A521E7" w:rsidRPr="00A0292D" w:rsidRDefault="00A521E7">
      <w:pPr>
        <w:rPr>
          <w:rFonts w:asciiTheme="minorBidi" w:hAnsiTheme="minorBidi" w:cstheme="minorBidi"/>
          <w:b/>
          <w:bCs/>
          <w:sz w:val="24"/>
          <w:szCs w:val="24"/>
        </w:rPr>
      </w:pPr>
      <w:r w:rsidRPr="00A0292D">
        <w:rPr>
          <w:rFonts w:asciiTheme="minorBidi" w:hAnsiTheme="minorBidi" w:cstheme="minorBidi"/>
          <w:b/>
          <w:bCs/>
          <w:sz w:val="24"/>
          <w:szCs w:val="24"/>
        </w:rPr>
        <w:br w:type="page"/>
      </w:r>
    </w:p>
    <w:p w14:paraId="12706E73" w14:textId="77777777" w:rsidR="008F61B8" w:rsidRPr="00A0292D" w:rsidRDefault="008F61B8" w:rsidP="008F61B8">
      <w:pPr>
        <w:spacing w:line="360" w:lineRule="auto"/>
        <w:jc w:val="center"/>
        <w:rPr>
          <w:rFonts w:asciiTheme="minorBidi" w:hAnsiTheme="minorBidi" w:cstheme="minorBidi"/>
          <w:b/>
          <w:bCs/>
          <w:sz w:val="24"/>
          <w:szCs w:val="24"/>
        </w:rPr>
      </w:pPr>
      <w:r w:rsidRPr="00A0292D">
        <w:rPr>
          <w:rFonts w:asciiTheme="minorBidi" w:hAnsiTheme="minorBidi" w:cstheme="minorBidi"/>
          <w:b/>
          <w:bCs/>
          <w:sz w:val="24"/>
          <w:szCs w:val="24"/>
        </w:rPr>
        <w:t>TABLE OF CONTENTS</w:t>
      </w:r>
    </w:p>
    <w:p w14:paraId="7E49D9EF" w14:textId="77777777" w:rsidR="008F61B8" w:rsidRPr="00A0292D" w:rsidRDefault="008F61B8" w:rsidP="008F61B8">
      <w:pPr>
        <w:spacing w:line="360" w:lineRule="auto"/>
        <w:rPr>
          <w:rFonts w:asciiTheme="minorBidi" w:hAnsiTheme="minorBidi" w:cstheme="minorBidi"/>
          <w:sz w:val="24"/>
          <w:szCs w:val="24"/>
        </w:rPr>
      </w:pPr>
    </w:p>
    <w:sdt>
      <w:sdtPr>
        <w:rPr>
          <w:rFonts w:ascii="Arial" w:eastAsia="Times New Roman" w:hAnsi="Arial" w:cs="Arial"/>
          <w:b w:val="0"/>
          <w:bCs w:val="0"/>
          <w:noProof w:val="0"/>
          <w:kern w:val="3"/>
          <w:sz w:val="36"/>
          <w:szCs w:val="32"/>
          <w:lang w:val="en-US" w:eastAsia="en-GB"/>
        </w:rPr>
        <w:id w:val="-646970633"/>
        <w:docPartObj>
          <w:docPartGallery w:val="Table of Contents"/>
          <w:docPartUnique/>
        </w:docPartObj>
      </w:sdtPr>
      <w:sdtEndPr>
        <w:rPr>
          <w:rFonts w:eastAsia="Arial"/>
          <w:kern w:val="0"/>
          <w:sz w:val="24"/>
          <w:szCs w:val="24"/>
          <w:lang w:eastAsia="zh-TW"/>
        </w:rPr>
      </w:sdtEndPr>
      <w:sdtContent>
        <w:p w14:paraId="723AB3D0" w14:textId="77777777" w:rsidR="00195478" w:rsidRDefault="008F61B8">
          <w:pPr>
            <w:pStyle w:val="TOC1"/>
            <w:rPr>
              <w:rFonts w:asciiTheme="minorHAnsi" w:eastAsiaTheme="minorEastAsia" w:hAnsiTheme="minorHAnsi"/>
              <w:b w:val="0"/>
              <w:bCs w:val="0"/>
              <w:kern w:val="2"/>
              <w:szCs w:val="24"/>
              <w:lang w:eastAsia="zh-TW"/>
              <w14:ligatures w14:val="standardContextual"/>
            </w:rPr>
          </w:pPr>
          <w:r w:rsidRPr="00A0292D">
            <w:rPr>
              <w:rFonts w:eastAsiaTheme="minorEastAsia"/>
              <w:noProof w:val="0"/>
              <w:sz w:val="21"/>
              <w:szCs w:val="20"/>
              <w:lang w:val="en-US"/>
            </w:rPr>
            <w:fldChar w:fldCharType="begin"/>
          </w:r>
          <w:r w:rsidRPr="00A0292D">
            <w:rPr>
              <w:sz w:val="21"/>
              <w:szCs w:val="20"/>
            </w:rPr>
            <w:instrText xml:space="preserve"> TOC \o "1-3" \h \z \u </w:instrText>
          </w:r>
          <w:r w:rsidRPr="00A0292D">
            <w:rPr>
              <w:rFonts w:eastAsiaTheme="minorEastAsia"/>
              <w:noProof w:val="0"/>
              <w:sz w:val="21"/>
              <w:szCs w:val="20"/>
              <w:lang w:val="en-US"/>
            </w:rPr>
            <w:fldChar w:fldCharType="separate"/>
          </w:r>
          <w:hyperlink w:anchor="_Toc227788449" w:history="1">
            <w:r w:rsidR="00195478" w:rsidRPr="0051667C">
              <w:rPr>
                <w:rStyle w:val="Hyperlink"/>
              </w:rPr>
              <w:t>Executive Summary</w:t>
            </w:r>
            <w:r w:rsidR="00195478">
              <w:rPr>
                <w:webHidden/>
              </w:rPr>
              <w:tab/>
            </w:r>
            <w:r w:rsidR="00195478">
              <w:rPr>
                <w:webHidden/>
              </w:rPr>
              <w:fldChar w:fldCharType="begin"/>
            </w:r>
            <w:r w:rsidR="00195478">
              <w:rPr>
                <w:webHidden/>
              </w:rPr>
              <w:instrText xml:space="preserve"> PAGEREF _Toc227788449 \h </w:instrText>
            </w:r>
            <w:r w:rsidR="00195478">
              <w:rPr>
                <w:webHidden/>
              </w:rPr>
            </w:r>
            <w:r w:rsidR="00195478">
              <w:rPr>
                <w:webHidden/>
              </w:rPr>
              <w:fldChar w:fldCharType="separate"/>
            </w:r>
            <w:r w:rsidR="00195478">
              <w:rPr>
                <w:webHidden/>
              </w:rPr>
              <w:t>2</w:t>
            </w:r>
            <w:r w:rsidR="00195478">
              <w:rPr>
                <w:webHidden/>
              </w:rPr>
              <w:fldChar w:fldCharType="end"/>
            </w:r>
          </w:hyperlink>
        </w:p>
        <w:p w14:paraId="5111147E"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50" w:history="1">
            <w:r w:rsidRPr="0051667C">
              <w:rPr>
                <w:rStyle w:val="Hyperlink"/>
              </w:rPr>
              <w:t>1. Introduction</w:t>
            </w:r>
            <w:r>
              <w:rPr>
                <w:webHidden/>
              </w:rPr>
              <w:tab/>
            </w:r>
            <w:r>
              <w:rPr>
                <w:webHidden/>
              </w:rPr>
              <w:fldChar w:fldCharType="begin"/>
            </w:r>
            <w:r>
              <w:rPr>
                <w:webHidden/>
              </w:rPr>
              <w:instrText xml:space="preserve"> PAGEREF _Toc227788450 \h </w:instrText>
            </w:r>
            <w:r>
              <w:rPr>
                <w:webHidden/>
              </w:rPr>
            </w:r>
            <w:r>
              <w:rPr>
                <w:webHidden/>
              </w:rPr>
              <w:fldChar w:fldCharType="separate"/>
            </w:r>
            <w:r>
              <w:rPr>
                <w:webHidden/>
              </w:rPr>
              <w:t>5</w:t>
            </w:r>
            <w:r>
              <w:rPr>
                <w:webHidden/>
              </w:rPr>
              <w:fldChar w:fldCharType="end"/>
            </w:r>
          </w:hyperlink>
        </w:p>
        <w:p w14:paraId="174C0F33"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51" w:history="1">
            <w:r w:rsidRPr="0051667C">
              <w:rPr>
                <w:rStyle w:val="Hyperlink"/>
              </w:rPr>
              <w:t>2. Financial Health Check</w:t>
            </w:r>
            <w:r>
              <w:rPr>
                <w:webHidden/>
              </w:rPr>
              <w:tab/>
            </w:r>
            <w:r>
              <w:rPr>
                <w:webHidden/>
              </w:rPr>
              <w:fldChar w:fldCharType="begin"/>
            </w:r>
            <w:r>
              <w:rPr>
                <w:webHidden/>
              </w:rPr>
              <w:instrText xml:space="preserve"> PAGEREF _Toc227788451 \h </w:instrText>
            </w:r>
            <w:r>
              <w:rPr>
                <w:webHidden/>
              </w:rPr>
            </w:r>
            <w:r>
              <w:rPr>
                <w:webHidden/>
              </w:rPr>
              <w:fldChar w:fldCharType="separate"/>
            </w:r>
            <w:r>
              <w:rPr>
                <w:webHidden/>
              </w:rPr>
              <w:t>5</w:t>
            </w:r>
            <w:r>
              <w:rPr>
                <w:webHidden/>
              </w:rPr>
              <w:fldChar w:fldCharType="end"/>
            </w:r>
          </w:hyperlink>
        </w:p>
        <w:p w14:paraId="5BEFE0CE"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52" w:history="1">
            <w:r w:rsidRPr="0051667C">
              <w:rPr>
                <w:rStyle w:val="Hyperlink"/>
                <w:rFonts w:asciiTheme="minorBidi" w:hAnsiTheme="minorBidi"/>
                <w:noProof/>
              </w:rPr>
              <w:t>2.1 Overview of Financial Performance</w:t>
            </w:r>
            <w:r>
              <w:rPr>
                <w:noProof/>
                <w:webHidden/>
              </w:rPr>
              <w:tab/>
            </w:r>
            <w:r>
              <w:rPr>
                <w:noProof/>
                <w:webHidden/>
              </w:rPr>
              <w:fldChar w:fldCharType="begin"/>
            </w:r>
            <w:r>
              <w:rPr>
                <w:noProof/>
                <w:webHidden/>
              </w:rPr>
              <w:instrText xml:space="preserve"> PAGEREF _Toc227788452 \h </w:instrText>
            </w:r>
            <w:r>
              <w:rPr>
                <w:noProof/>
                <w:webHidden/>
              </w:rPr>
            </w:r>
            <w:r>
              <w:rPr>
                <w:noProof/>
                <w:webHidden/>
              </w:rPr>
              <w:fldChar w:fldCharType="separate"/>
            </w:r>
            <w:r>
              <w:rPr>
                <w:noProof/>
                <w:webHidden/>
              </w:rPr>
              <w:t>5</w:t>
            </w:r>
            <w:r>
              <w:rPr>
                <w:noProof/>
                <w:webHidden/>
              </w:rPr>
              <w:fldChar w:fldCharType="end"/>
            </w:r>
          </w:hyperlink>
        </w:p>
        <w:p w14:paraId="1C903167"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53" w:history="1">
            <w:r w:rsidRPr="0051667C">
              <w:rPr>
                <w:rStyle w:val="Hyperlink"/>
                <w:rFonts w:asciiTheme="minorBidi" w:hAnsiTheme="minorBidi"/>
                <w:noProof/>
              </w:rPr>
              <w:t>2.2 Profitability Analysis</w:t>
            </w:r>
            <w:r>
              <w:rPr>
                <w:noProof/>
                <w:webHidden/>
              </w:rPr>
              <w:tab/>
            </w:r>
            <w:r>
              <w:rPr>
                <w:noProof/>
                <w:webHidden/>
              </w:rPr>
              <w:fldChar w:fldCharType="begin"/>
            </w:r>
            <w:r>
              <w:rPr>
                <w:noProof/>
                <w:webHidden/>
              </w:rPr>
              <w:instrText xml:space="preserve"> PAGEREF _Toc227788453 \h </w:instrText>
            </w:r>
            <w:r>
              <w:rPr>
                <w:noProof/>
                <w:webHidden/>
              </w:rPr>
            </w:r>
            <w:r>
              <w:rPr>
                <w:noProof/>
                <w:webHidden/>
              </w:rPr>
              <w:fldChar w:fldCharType="separate"/>
            </w:r>
            <w:r>
              <w:rPr>
                <w:noProof/>
                <w:webHidden/>
              </w:rPr>
              <w:t>6</w:t>
            </w:r>
            <w:r>
              <w:rPr>
                <w:noProof/>
                <w:webHidden/>
              </w:rPr>
              <w:fldChar w:fldCharType="end"/>
            </w:r>
          </w:hyperlink>
        </w:p>
        <w:p w14:paraId="62C40BD7"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54" w:history="1">
            <w:r w:rsidRPr="0051667C">
              <w:rPr>
                <w:rStyle w:val="Hyperlink"/>
                <w:rFonts w:asciiTheme="minorBidi" w:hAnsiTheme="minorBidi"/>
                <w:noProof/>
              </w:rPr>
              <w:t>2.3 Liquidity Analysis</w:t>
            </w:r>
            <w:r>
              <w:rPr>
                <w:noProof/>
                <w:webHidden/>
              </w:rPr>
              <w:tab/>
            </w:r>
            <w:r>
              <w:rPr>
                <w:noProof/>
                <w:webHidden/>
              </w:rPr>
              <w:fldChar w:fldCharType="begin"/>
            </w:r>
            <w:r>
              <w:rPr>
                <w:noProof/>
                <w:webHidden/>
              </w:rPr>
              <w:instrText xml:space="preserve"> PAGEREF _Toc227788454 \h </w:instrText>
            </w:r>
            <w:r>
              <w:rPr>
                <w:noProof/>
                <w:webHidden/>
              </w:rPr>
            </w:r>
            <w:r>
              <w:rPr>
                <w:noProof/>
                <w:webHidden/>
              </w:rPr>
              <w:fldChar w:fldCharType="separate"/>
            </w:r>
            <w:r>
              <w:rPr>
                <w:noProof/>
                <w:webHidden/>
              </w:rPr>
              <w:t>8</w:t>
            </w:r>
            <w:r>
              <w:rPr>
                <w:noProof/>
                <w:webHidden/>
              </w:rPr>
              <w:fldChar w:fldCharType="end"/>
            </w:r>
          </w:hyperlink>
        </w:p>
        <w:p w14:paraId="160725A1"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55" w:history="1">
            <w:r w:rsidRPr="0051667C">
              <w:rPr>
                <w:rStyle w:val="Hyperlink"/>
                <w:rFonts w:asciiTheme="minorBidi" w:hAnsiTheme="minorBidi"/>
                <w:noProof/>
              </w:rPr>
              <w:t>2.4 Efficiency Analysis</w:t>
            </w:r>
            <w:r>
              <w:rPr>
                <w:noProof/>
                <w:webHidden/>
              </w:rPr>
              <w:tab/>
            </w:r>
            <w:r>
              <w:rPr>
                <w:noProof/>
                <w:webHidden/>
              </w:rPr>
              <w:fldChar w:fldCharType="begin"/>
            </w:r>
            <w:r>
              <w:rPr>
                <w:noProof/>
                <w:webHidden/>
              </w:rPr>
              <w:instrText xml:space="preserve"> PAGEREF _Toc227788455 \h </w:instrText>
            </w:r>
            <w:r>
              <w:rPr>
                <w:noProof/>
                <w:webHidden/>
              </w:rPr>
            </w:r>
            <w:r>
              <w:rPr>
                <w:noProof/>
                <w:webHidden/>
              </w:rPr>
              <w:fldChar w:fldCharType="separate"/>
            </w:r>
            <w:r>
              <w:rPr>
                <w:noProof/>
                <w:webHidden/>
              </w:rPr>
              <w:t>9</w:t>
            </w:r>
            <w:r>
              <w:rPr>
                <w:noProof/>
                <w:webHidden/>
              </w:rPr>
              <w:fldChar w:fldCharType="end"/>
            </w:r>
          </w:hyperlink>
        </w:p>
        <w:p w14:paraId="2B3B41E5"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56" w:history="1">
            <w:r w:rsidRPr="0051667C">
              <w:rPr>
                <w:rStyle w:val="Hyperlink"/>
                <w:rFonts w:asciiTheme="minorBidi" w:hAnsiTheme="minorBidi"/>
                <w:noProof/>
              </w:rPr>
              <w:t>2.5 Gearing and Capital Structure</w:t>
            </w:r>
            <w:r>
              <w:rPr>
                <w:noProof/>
                <w:webHidden/>
              </w:rPr>
              <w:tab/>
            </w:r>
            <w:r>
              <w:rPr>
                <w:noProof/>
                <w:webHidden/>
              </w:rPr>
              <w:fldChar w:fldCharType="begin"/>
            </w:r>
            <w:r>
              <w:rPr>
                <w:noProof/>
                <w:webHidden/>
              </w:rPr>
              <w:instrText xml:space="preserve"> PAGEREF _Toc227788456 \h </w:instrText>
            </w:r>
            <w:r>
              <w:rPr>
                <w:noProof/>
                <w:webHidden/>
              </w:rPr>
            </w:r>
            <w:r>
              <w:rPr>
                <w:noProof/>
                <w:webHidden/>
              </w:rPr>
              <w:fldChar w:fldCharType="separate"/>
            </w:r>
            <w:r>
              <w:rPr>
                <w:noProof/>
                <w:webHidden/>
              </w:rPr>
              <w:t>10</w:t>
            </w:r>
            <w:r>
              <w:rPr>
                <w:noProof/>
                <w:webHidden/>
              </w:rPr>
              <w:fldChar w:fldCharType="end"/>
            </w:r>
          </w:hyperlink>
        </w:p>
        <w:p w14:paraId="1B5BAEB5"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57" w:history="1">
            <w:r w:rsidRPr="0051667C">
              <w:rPr>
                <w:rStyle w:val="Hyperlink"/>
                <w:rFonts w:asciiTheme="minorBidi" w:hAnsiTheme="minorBidi"/>
                <w:noProof/>
              </w:rPr>
              <w:t>2.6 Investment Ratios</w:t>
            </w:r>
            <w:r>
              <w:rPr>
                <w:noProof/>
                <w:webHidden/>
              </w:rPr>
              <w:tab/>
            </w:r>
            <w:r>
              <w:rPr>
                <w:noProof/>
                <w:webHidden/>
              </w:rPr>
              <w:fldChar w:fldCharType="begin"/>
            </w:r>
            <w:r>
              <w:rPr>
                <w:noProof/>
                <w:webHidden/>
              </w:rPr>
              <w:instrText xml:space="preserve"> PAGEREF _Toc227788457 \h </w:instrText>
            </w:r>
            <w:r>
              <w:rPr>
                <w:noProof/>
                <w:webHidden/>
              </w:rPr>
            </w:r>
            <w:r>
              <w:rPr>
                <w:noProof/>
                <w:webHidden/>
              </w:rPr>
              <w:fldChar w:fldCharType="separate"/>
            </w:r>
            <w:r>
              <w:rPr>
                <w:noProof/>
                <w:webHidden/>
              </w:rPr>
              <w:t>11</w:t>
            </w:r>
            <w:r>
              <w:rPr>
                <w:noProof/>
                <w:webHidden/>
              </w:rPr>
              <w:fldChar w:fldCharType="end"/>
            </w:r>
          </w:hyperlink>
        </w:p>
        <w:p w14:paraId="274A184B"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58" w:history="1">
            <w:r w:rsidRPr="0051667C">
              <w:rPr>
                <w:rStyle w:val="Hyperlink"/>
                <w:rFonts w:asciiTheme="minorBidi" w:hAnsiTheme="minorBidi"/>
                <w:noProof/>
              </w:rPr>
              <w:t>2.7 Cash Flow Analysis</w:t>
            </w:r>
            <w:r>
              <w:rPr>
                <w:noProof/>
                <w:webHidden/>
              </w:rPr>
              <w:tab/>
            </w:r>
            <w:r>
              <w:rPr>
                <w:noProof/>
                <w:webHidden/>
              </w:rPr>
              <w:fldChar w:fldCharType="begin"/>
            </w:r>
            <w:r>
              <w:rPr>
                <w:noProof/>
                <w:webHidden/>
              </w:rPr>
              <w:instrText xml:space="preserve"> PAGEREF _Toc227788458 \h </w:instrText>
            </w:r>
            <w:r>
              <w:rPr>
                <w:noProof/>
                <w:webHidden/>
              </w:rPr>
            </w:r>
            <w:r>
              <w:rPr>
                <w:noProof/>
                <w:webHidden/>
              </w:rPr>
              <w:fldChar w:fldCharType="separate"/>
            </w:r>
            <w:r>
              <w:rPr>
                <w:noProof/>
                <w:webHidden/>
              </w:rPr>
              <w:t>12</w:t>
            </w:r>
            <w:r>
              <w:rPr>
                <w:noProof/>
                <w:webHidden/>
              </w:rPr>
              <w:fldChar w:fldCharType="end"/>
            </w:r>
          </w:hyperlink>
        </w:p>
        <w:p w14:paraId="6092B41C"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59" w:history="1">
            <w:r w:rsidRPr="0051667C">
              <w:rPr>
                <w:rStyle w:val="Hyperlink"/>
                <w:rFonts w:asciiTheme="minorBidi" w:hAnsiTheme="minorBidi"/>
                <w:noProof/>
              </w:rPr>
              <w:t>2.8 Key Trends, Strengths and Weaknesses</w:t>
            </w:r>
            <w:r>
              <w:rPr>
                <w:noProof/>
                <w:webHidden/>
              </w:rPr>
              <w:tab/>
            </w:r>
            <w:r>
              <w:rPr>
                <w:noProof/>
                <w:webHidden/>
              </w:rPr>
              <w:fldChar w:fldCharType="begin"/>
            </w:r>
            <w:r>
              <w:rPr>
                <w:noProof/>
                <w:webHidden/>
              </w:rPr>
              <w:instrText xml:space="preserve"> PAGEREF _Toc227788459 \h </w:instrText>
            </w:r>
            <w:r>
              <w:rPr>
                <w:noProof/>
                <w:webHidden/>
              </w:rPr>
            </w:r>
            <w:r>
              <w:rPr>
                <w:noProof/>
                <w:webHidden/>
              </w:rPr>
              <w:fldChar w:fldCharType="separate"/>
            </w:r>
            <w:r>
              <w:rPr>
                <w:noProof/>
                <w:webHidden/>
              </w:rPr>
              <w:t>13</w:t>
            </w:r>
            <w:r>
              <w:rPr>
                <w:noProof/>
                <w:webHidden/>
              </w:rPr>
              <w:fldChar w:fldCharType="end"/>
            </w:r>
          </w:hyperlink>
        </w:p>
        <w:p w14:paraId="77147F38"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60" w:history="1">
            <w:r w:rsidRPr="0051667C">
              <w:rPr>
                <w:rStyle w:val="Hyperlink"/>
              </w:rPr>
              <w:t>3. Working Capital Management Analysis</w:t>
            </w:r>
            <w:r>
              <w:rPr>
                <w:webHidden/>
              </w:rPr>
              <w:tab/>
            </w:r>
            <w:r>
              <w:rPr>
                <w:webHidden/>
              </w:rPr>
              <w:fldChar w:fldCharType="begin"/>
            </w:r>
            <w:r>
              <w:rPr>
                <w:webHidden/>
              </w:rPr>
              <w:instrText xml:space="preserve"> PAGEREF _Toc227788460 \h </w:instrText>
            </w:r>
            <w:r>
              <w:rPr>
                <w:webHidden/>
              </w:rPr>
            </w:r>
            <w:r>
              <w:rPr>
                <w:webHidden/>
              </w:rPr>
              <w:fldChar w:fldCharType="separate"/>
            </w:r>
            <w:r>
              <w:rPr>
                <w:webHidden/>
              </w:rPr>
              <w:t>14</w:t>
            </w:r>
            <w:r>
              <w:rPr>
                <w:webHidden/>
              </w:rPr>
              <w:fldChar w:fldCharType="end"/>
            </w:r>
          </w:hyperlink>
        </w:p>
        <w:p w14:paraId="68617A82"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61" w:history="1">
            <w:r w:rsidRPr="0051667C">
              <w:rPr>
                <w:rStyle w:val="Hyperlink"/>
                <w:rFonts w:asciiTheme="minorBidi" w:hAnsiTheme="minorBidi"/>
                <w:noProof/>
              </w:rPr>
              <w:t>3.1 Cash Operating Cycle</w:t>
            </w:r>
            <w:r>
              <w:rPr>
                <w:noProof/>
                <w:webHidden/>
              </w:rPr>
              <w:tab/>
            </w:r>
            <w:r>
              <w:rPr>
                <w:noProof/>
                <w:webHidden/>
              </w:rPr>
              <w:fldChar w:fldCharType="begin"/>
            </w:r>
            <w:r>
              <w:rPr>
                <w:noProof/>
                <w:webHidden/>
              </w:rPr>
              <w:instrText xml:space="preserve"> PAGEREF _Toc227788461 \h </w:instrText>
            </w:r>
            <w:r>
              <w:rPr>
                <w:noProof/>
                <w:webHidden/>
              </w:rPr>
            </w:r>
            <w:r>
              <w:rPr>
                <w:noProof/>
                <w:webHidden/>
              </w:rPr>
              <w:fldChar w:fldCharType="separate"/>
            </w:r>
            <w:r>
              <w:rPr>
                <w:noProof/>
                <w:webHidden/>
              </w:rPr>
              <w:t>14</w:t>
            </w:r>
            <w:r>
              <w:rPr>
                <w:noProof/>
                <w:webHidden/>
              </w:rPr>
              <w:fldChar w:fldCharType="end"/>
            </w:r>
          </w:hyperlink>
        </w:p>
        <w:p w14:paraId="7EA5AE1B"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62" w:history="1">
            <w:r w:rsidRPr="0051667C">
              <w:rPr>
                <w:rStyle w:val="Hyperlink"/>
                <w:rFonts w:asciiTheme="minorBidi" w:hAnsiTheme="minorBidi"/>
                <w:noProof/>
              </w:rPr>
              <w:t>3.2 Working Capital Trends</w:t>
            </w:r>
            <w:r>
              <w:rPr>
                <w:noProof/>
                <w:webHidden/>
              </w:rPr>
              <w:tab/>
            </w:r>
            <w:r>
              <w:rPr>
                <w:noProof/>
                <w:webHidden/>
              </w:rPr>
              <w:fldChar w:fldCharType="begin"/>
            </w:r>
            <w:r>
              <w:rPr>
                <w:noProof/>
                <w:webHidden/>
              </w:rPr>
              <w:instrText xml:space="preserve"> PAGEREF _Toc227788462 \h </w:instrText>
            </w:r>
            <w:r>
              <w:rPr>
                <w:noProof/>
                <w:webHidden/>
              </w:rPr>
            </w:r>
            <w:r>
              <w:rPr>
                <w:noProof/>
                <w:webHidden/>
              </w:rPr>
              <w:fldChar w:fldCharType="separate"/>
            </w:r>
            <w:r>
              <w:rPr>
                <w:noProof/>
                <w:webHidden/>
              </w:rPr>
              <w:t>15</w:t>
            </w:r>
            <w:r>
              <w:rPr>
                <w:noProof/>
                <w:webHidden/>
              </w:rPr>
              <w:fldChar w:fldCharType="end"/>
            </w:r>
          </w:hyperlink>
        </w:p>
        <w:p w14:paraId="35153CB1"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63" w:history="1">
            <w:r w:rsidRPr="0051667C">
              <w:rPr>
                <w:rStyle w:val="Hyperlink"/>
                <w:rFonts w:asciiTheme="minorBidi" w:hAnsiTheme="minorBidi"/>
                <w:noProof/>
              </w:rPr>
              <w:t>3.3 Liquidity Challenges</w:t>
            </w:r>
            <w:r>
              <w:rPr>
                <w:noProof/>
                <w:webHidden/>
              </w:rPr>
              <w:tab/>
            </w:r>
            <w:r>
              <w:rPr>
                <w:noProof/>
                <w:webHidden/>
              </w:rPr>
              <w:fldChar w:fldCharType="begin"/>
            </w:r>
            <w:r>
              <w:rPr>
                <w:noProof/>
                <w:webHidden/>
              </w:rPr>
              <w:instrText xml:space="preserve"> PAGEREF _Toc227788463 \h </w:instrText>
            </w:r>
            <w:r>
              <w:rPr>
                <w:noProof/>
                <w:webHidden/>
              </w:rPr>
            </w:r>
            <w:r>
              <w:rPr>
                <w:noProof/>
                <w:webHidden/>
              </w:rPr>
              <w:fldChar w:fldCharType="separate"/>
            </w:r>
            <w:r>
              <w:rPr>
                <w:noProof/>
                <w:webHidden/>
              </w:rPr>
              <w:t>16</w:t>
            </w:r>
            <w:r>
              <w:rPr>
                <w:noProof/>
                <w:webHidden/>
              </w:rPr>
              <w:fldChar w:fldCharType="end"/>
            </w:r>
          </w:hyperlink>
        </w:p>
        <w:p w14:paraId="0AC627F3"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64" w:history="1">
            <w:r w:rsidRPr="0051667C">
              <w:rPr>
                <w:rStyle w:val="Hyperlink"/>
                <w:rFonts w:asciiTheme="minorBidi" w:hAnsiTheme="minorBidi"/>
                <w:noProof/>
              </w:rPr>
              <w:t>3.4 Recommendations for Improvement</w:t>
            </w:r>
            <w:r>
              <w:rPr>
                <w:noProof/>
                <w:webHidden/>
              </w:rPr>
              <w:tab/>
            </w:r>
            <w:r>
              <w:rPr>
                <w:noProof/>
                <w:webHidden/>
              </w:rPr>
              <w:fldChar w:fldCharType="begin"/>
            </w:r>
            <w:r>
              <w:rPr>
                <w:noProof/>
                <w:webHidden/>
              </w:rPr>
              <w:instrText xml:space="preserve"> PAGEREF _Toc227788464 \h </w:instrText>
            </w:r>
            <w:r>
              <w:rPr>
                <w:noProof/>
                <w:webHidden/>
              </w:rPr>
            </w:r>
            <w:r>
              <w:rPr>
                <w:noProof/>
                <w:webHidden/>
              </w:rPr>
              <w:fldChar w:fldCharType="separate"/>
            </w:r>
            <w:r>
              <w:rPr>
                <w:noProof/>
                <w:webHidden/>
              </w:rPr>
              <w:t>16</w:t>
            </w:r>
            <w:r>
              <w:rPr>
                <w:noProof/>
                <w:webHidden/>
              </w:rPr>
              <w:fldChar w:fldCharType="end"/>
            </w:r>
          </w:hyperlink>
        </w:p>
        <w:p w14:paraId="6EF739FD"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65" w:history="1">
            <w:r w:rsidRPr="0051667C">
              <w:rPr>
                <w:rStyle w:val="Hyperlink"/>
                <w:rFonts w:asciiTheme="minorBidi" w:hAnsiTheme="minorBidi"/>
                <w:noProof/>
              </w:rPr>
              <w:t>3.5 Short-Term and Long-Term Financing Options</w:t>
            </w:r>
            <w:r>
              <w:rPr>
                <w:noProof/>
                <w:webHidden/>
              </w:rPr>
              <w:tab/>
            </w:r>
            <w:r>
              <w:rPr>
                <w:noProof/>
                <w:webHidden/>
              </w:rPr>
              <w:fldChar w:fldCharType="begin"/>
            </w:r>
            <w:r>
              <w:rPr>
                <w:noProof/>
                <w:webHidden/>
              </w:rPr>
              <w:instrText xml:space="preserve"> PAGEREF _Toc227788465 \h </w:instrText>
            </w:r>
            <w:r>
              <w:rPr>
                <w:noProof/>
                <w:webHidden/>
              </w:rPr>
            </w:r>
            <w:r>
              <w:rPr>
                <w:noProof/>
                <w:webHidden/>
              </w:rPr>
              <w:fldChar w:fldCharType="separate"/>
            </w:r>
            <w:r>
              <w:rPr>
                <w:noProof/>
                <w:webHidden/>
              </w:rPr>
              <w:t>17</w:t>
            </w:r>
            <w:r>
              <w:rPr>
                <w:noProof/>
                <w:webHidden/>
              </w:rPr>
              <w:fldChar w:fldCharType="end"/>
            </w:r>
          </w:hyperlink>
        </w:p>
        <w:p w14:paraId="1D789F44"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66" w:history="1">
            <w:r w:rsidRPr="0051667C">
              <w:rPr>
                <w:rStyle w:val="Hyperlink"/>
              </w:rPr>
              <w:t>4. Strategic Financial Restructuring Plan</w:t>
            </w:r>
            <w:r>
              <w:rPr>
                <w:webHidden/>
              </w:rPr>
              <w:tab/>
            </w:r>
            <w:r>
              <w:rPr>
                <w:webHidden/>
              </w:rPr>
              <w:fldChar w:fldCharType="begin"/>
            </w:r>
            <w:r>
              <w:rPr>
                <w:webHidden/>
              </w:rPr>
              <w:instrText xml:space="preserve"> PAGEREF _Toc227788466 \h </w:instrText>
            </w:r>
            <w:r>
              <w:rPr>
                <w:webHidden/>
              </w:rPr>
            </w:r>
            <w:r>
              <w:rPr>
                <w:webHidden/>
              </w:rPr>
              <w:fldChar w:fldCharType="separate"/>
            </w:r>
            <w:r>
              <w:rPr>
                <w:webHidden/>
              </w:rPr>
              <w:t>17</w:t>
            </w:r>
            <w:r>
              <w:rPr>
                <w:webHidden/>
              </w:rPr>
              <w:fldChar w:fldCharType="end"/>
            </w:r>
          </w:hyperlink>
        </w:p>
        <w:p w14:paraId="3782AD06"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67" w:history="1">
            <w:r w:rsidRPr="0051667C">
              <w:rPr>
                <w:rStyle w:val="Hyperlink"/>
                <w:rFonts w:asciiTheme="minorBidi" w:hAnsiTheme="minorBidi"/>
                <w:noProof/>
              </w:rPr>
              <w:t>4.1 Restructuring objective</w:t>
            </w:r>
            <w:r>
              <w:rPr>
                <w:noProof/>
                <w:webHidden/>
              </w:rPr>
              <w:tab/>
            </w:r>
            <w:r>
              <w:rPr>
                <w:noProof/>
                <w:webHidden/>
              </w:rPr>
              <w:fldChar w:fldCharType="begin"/>
            </w:r>
            <w:r>
              <w:rPr>
                <w:noProof/>
                <w:webHidden/>
              </w:rPr>
              <w:instrText xml:space="preserve"> PAGEREF _Toc227788467 \h </w:instrText>
            </w:r>
            <w:r>
              <w:rPr>
                <w:noProof/>
                <w:webHidden/>
              </w:rPr>
            </w:r>
            <w:r>
              <w:rPr>
                <w:noProof/>
                <w:webHidden/>
              </w:rPr>
              <w:fldChar w:fldCharType="separate"/>
            </w:r>
            <w:r>
              <w:rPr>
                <w:noProof/>
                <w:webHidden/>
              </w:rPr>
              <w:t>17</w:t>
            </w:r>
            <w:r>
              <w:rPr>
                <w:noProof/>
                <w:webHidden/>
              </w:rPr>
              <w:fldChar w:fldCharType="end"/>
            </w:r>
          </w:hyperlink>
        </w:p>
        <w:p w14:paraId="2B34974C"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68" w:history="1">
            <w:r w:rsidRPr="0051667C">
              <w:rPr>
                <w:rStyle w:val="Hyperlink"/>
                <w:rFonts w:asciiTheme="minorBidi" w:hAnsiTheme="minorBidi"/>
                <w:noProof/>
              </w:rPr>
              <w:t>4.2 Recommended restructuring actions</w:t>
            </w:r>
            <w:r>
              <w:rPr>
                <w:noProof/>
                <w:webHidden/>
              </w:rPr>
              <w:tab/>
            </w:r>
            <w:r>
              <w:rPr>
                <w:noProof/>
                <w:webHidden/>
              </w:rPr>
              <w:fldChar w:fldCharType="begin"/>
            </w:r>
            <w:r>
              <w:rPr>
                <w:noProof/>
                <w:webHidden/>
              </w:rPr>
              <w:instrText xml:space="preserve"> PAGEREF _Toc227788468 \h </w:instrText>
            </w:r>
            <w:r>
              <w:rPr>
                <w:noProof/>
                <w:webHidden/>
              </w:rPr>
            </w:r>
            <w:r>
              <w:rPr>
                <w:noProof/>
                <w:webHidden/>
              </w:rPr>
              <w:fldChar w:fldCharType="separate"/>
            </w:r>
            <w:r>
              <w:rPr>
                <w:noProof/>
                <w:webHidden/>
              </w:rPr>
              <w:t>18</w:t>
            </w:r>
            <w:r>
              <w:rPr>
                <w:noProof/>
                <w:webHidden/>
              </w:rPr>
              <w:fldChar w:fldCharType="end"/>
            </w:r>
          </w:hyperlink>
        </w:p>
        <w:p w14:paraId="1B9D0977"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69" w:history="1">
            <w:r w:rsidRPr="0051667C">
              <w:rPr>
                <w:rStyle w:val="Hyperlink"/>
                <w:rFonts w:asciiTheme="minorBidi" w:hAnsiTheme="minorBidi"/>
                <w:noProof/>
              </w:rPr>
              <w:t>4.3 Impact on shareholder value, debt structure and flexibility</w:t>
            </w:r>
            <w:r>
              <w:rPr>
                <w:noProof/>
                <w:webHidden/>
              </w:rPr>
              <w:tab/>
            </w:r>
            <w:r>
              <w:rPr>
                <w:noProof/>
                <w:webHidden/>
              </w:rPr>
              <w:fldChar w:fldCharType="begin"/>
            </w:r>
            <w:r>
              <w:rPr>
                <w:noProof/>
                <w:webHidden/>
              </w:rPr>
              <w:instrText xml:space="preserve"> PAGEREF _Toc227788469 \h </w:instrText>
            </w:r>
            <w:r>
              <w:rPr>
                <w:noProof/>
                <w:webHidden/>
              </w:rPr>
            </w:r>
            <w:r>
              <w:rPr>
                <w:noProof/>
                <w:webHidden/>
              </w:rPr>
              <w:fldChar w:fldCharType="separate"/>
            </w:r>
            <w:r>
              <w:rPr>
                <w:noProof/>
                <w:webHidden/>
              </w:rPr>
              <w:t>18</w:t>
            </w:r>
            <w:r>
              <w:rPr>
                <w:noProof/>
                <w:webHidden/>
              </w:rPr>
              <w:fldChar w:fldCharType="end"/>
            </w:r>
          </w:hyperlink>
        </w:p>
        <w:p w14:paraId="7280DF50"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0" w:history="1">
            <w:r w:rsidRPr="0051667C">
              <w:rPr>
                <w:rStyle w:val="Hyperlink"/>
                <w:rFonts w:asciiTheme="minorBidi" w:hAnsiTheme="minorBidi"/>
                <w:noProof/>
              </w:rPr>
              <w:t>4.4 International risks and ethical considerations</w:t>
            </w:r>
            <w:r>
              <w:rPr>
                <w:noProof/>
                <w:webHidden/>
              </w:rPr>
              <w:tab/>
            </w:r>
            <w:r>
              <w:rPr>
                <w:noProof/>
                <w:webHidden/>
              </w:rPr>
              <w:fldChar w:fldCharType="begin"/>
            </w:r>
            <w:r>
              <w:rPr>
                <w:noProof/>
                <w:webHidden/>
              </w:rPr>
              <w:instrText xml:space="preserve"> PAGEREF _Toc227788470 \h </w:instrText>
            </w:r>
            <w:r>
              <w:rPr>
                <w:noProof/>
                <w:webHidden/>
              </w:rPr>
            </w:r>
            <w:r>
              <w:rPr>
                <w:noProof/>
                <w:webHidden/>
              </w:rPr>
              <w:fldChar w:fldCharType="separate"/>
            </w:r>
            <w:r>
              <w:rPr>
                <w:noProof/>
                <w:webHidden/>
              </w:rPr>
              <w:t>19</w:t>
            </w:r>
            <w:r>
              <w:rPr>
                <w:noProof/>
                <w:webHidden/>
              </w:rPr>
              <w:fldChar w:fldCharType="end"/>
            </w:r>
          </w:hyperlink>
        </w:p>
        <w:p w14:paraId="5503EC09"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1" w:history="1">
            <w:r w:rsidRPr="0051667C">
              <w:rPr>
                <w:rStyle w:val="Hyperlink"/>
                <w:rFonts w:asciiTheme="minorBidi" w:hAnsiTheme="minorBidi"/>
                <w:noProof/>
              </w:rPr>
              <w:t>4.5 Competitor lessons</w:t>
            </w:r>
            <w:r>
              <w:rPr>
                <w:noProof/>
                <w:webHidden/>
              </w:rPr>
              <w:tab/>
            </w:r>
            <w:r>
              <w:rPr>
                <w:noProof/>
                <w:webHidden/>
              </w:rPr>
              <w:fldChar w:fldCharType="begin"/>
            </w:r>
            <w:r>
              <w:rPr>
                <w:noProof/>
                <w:webHidden/>
              </w:rPr>
              <w:instrText xml:space="preserve"> PAGEREF _Toc227788471 \h </w:instrText>
            </w:r>
            <w:r>
              <w:rPr>
                <w:noProof/>
                <w:webHidden/>
              </w:rPr>
            </w:r>
            <w:r>
              <w:rPr>
                <w:noProof/>
                <w:webHidden/>
              </w:rPr>
              <w:fldChar w:fldCharType="separate"/>
            </w:r>
            <w:r>
              <w:rPr>
                <w:noProof/>
                <w:webHidden/>
              </w:rPr>
              <w:t>20</w:t>
            </w:r>
            <w:r>
              <w:rPr>
                <w:noProof/>
                <w:webHidden/>
              </w:rPr>
              <w:fldChar w:fldCharType="end"/>
            </w:r>
          </w:hyperlink>
        </w:p>
        <w:p w14:paraId="1282E55F"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2" w:history="1">
            <w:r w:rsidRPr="0051667C">
              <w:rPr>
                <w:rStyle w:val="Hyperlink"/>
                <w:rFonts w:asciiTheme="minorBidi" w:hAnsiTheme="minorBidi"/>
                <w:noProof/>
              </w:rPr>
              <w:t>4.6 Restructuring conclusion</w:t>
            </w:r>
            <w:r>
              <w:rPr>
                <w:noProof/>
                <w:webHidden/>
              </w:rPr>
              <w:tab/>
            </w:r>
            <w:r>
              <w:rPr>
                <w:noProof/>
                <w:webHidden/>
              </w:rPr>
              <w:fldChar w:fldCharType="begin"/>
            </w:r>
            <w:r>
              <w:rPr>
                <w:noProof/>
                <w:webHidden/>
              </w:rPr>
              <w:instrText xml:space="preserve"> PAGEREF _Toc227788472 \h </w:instrText>
            </w:r>
            <w:r>
              <w:rPr>
                <w:noProof/>
                <w:webHidden/>
              </w:rPr>
            </w:r>
            <w:r>
              <w:rPr>
                <w:noProof/>
                <w:webHidden/>
              </w:rPr>
              <w:fldChar w:fldCharType="separate"/>
            </w:r>
            <w:r>
              <w:rPr>
                <w:noProof/>
                <w:webHidden/>
              </w:rPr>
              <w:t>20</w:t>
            </w:r>
            <w:r>
              <w:rPr>
                <w:noProof/>
                <w:webHidden/>
              </w:rPr>
              <w:fldChar w:fldCharType="end"/>
            </w:r>
          </w:hyperlink>
        </w:p>
        <w:p w14:paraId="42A627A8"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73" w:history="1">
            <w:r w:rsidRPr="0051667C">
              <w:rPr>
                <w:rStyle w:val="Hyperlink"/>
              </w:rPr>
              <w:t>5. Investment Appraisal and Capital Budgeting</w:t>
            </w:r>
            <w:r>
              <w:rPr>
                <w:webHidden/>
              </w:rPr>
              <w:tab/>
            </w:r>
            <w:r>
              <w:rPr>
                <w:webHidden/>
              </w:rPr>
              <w:fldChar w:fldCharType="begin"/>
            </w:r>
            <w:r>
              <w:rPr>
                <w:webHidden/>
              </w:rPr>
              <w:instrText xml:space="preserve"> PAGEREF _Toc227788473 \h </w:instrText>
            </w:r>
            <w:r>
              <w:rPr>
                <w:webHidden/>
              </w:rPr>
            </w:r>
            <w:r>
              <w:rPr>
                <w:webHidden/>
              </w:rPr>
              <w:fldChar w:fldCharType="separate"/>
            </w:r>
            <w:r>
              <w:rPr>
                <w:webHidden/>
              </w:rPr>
              <w:t>20</w:t>
            </w:r>
            <w:r>
              <w:rPr>
                <w:webHidden/>
              </w:rPr>
              <w:fldChar w:fldCharType="end"/>
            </w:r>
          </w:hyperlink>
        </w:p>
        <w:p w14:paraId="7B4C3012"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4" w:history="1">
            <w:r w:rsidRPr="0051667C">
              <w:rPr>
                <w:rStyle w:val="Hyperlink"/>
                <w:rFonts w:asciiTheme="minorBidi" w:hAnsiTheme="minorBidi"/>
                <w:noProof/>
              </w:rPr>
              <w:t>5.1 Introduction</w:t>
            </w:r>
            <w:r>
              <w:rPr>
                <w:noProof/>
                <w:webHidden/>
              </w:rPr>
              <w:tab/>
            </w:r>
            <w:r>
              <w:rPr>
                <w:noProof/>
                <w:webHidden/>
              </w:rPr>
              <w:fldChar w:fldCharType="begin"/>
            </w:r>
            <w:r>
              <w:rPr>
                <w:noProof/>
                <w:webHidden/>
              </w:rPr>
              <w:instrText xml:space="preserve"> PAGEREF _Toc227788474 \h </w:instrText>
            </w:r>
            <w:r>
              <w:rPr>
                <w:noProof/>
                <w:webHidden/>
              </w:rPr>
            </w:r>
            <w:r>
              <w:rPr>
                <w:noProof/>
                <w:webHidden/>
              </w:rPr>
              <w:fldChar w:fldCharType="separate"/>
            </w:r>
            <w:r>
              <w:rPr>
                <w:noProof/>
                <w:webHidden/>
              </w:rPr>
              <w:t>20</w:t>
            </w:r>
            <w:r>
              <w:rPr>
                <w:noProof/>
                <w:webHidden/>
              </w:rPr>
              <w:fldChar w:fldCharType="end"/>
            </w:r>
          </w:hyperlink>
        </w:p>
        <w:p w14:paraId="34DD0CCA"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5" w:history="1">
            <w:r w:rsidRPr="0051667C">
              <w:rPr>
                <w:rStyle w:val="Hyperlink"/>
                <w:rFonts w:asciiTheme="minorBidi" w:hAnsiTheme="minorBidi"/>
                <w:noProof/>
              </w:rPr>
              <w:t>5.2 Payback Period</w:t>
            </w:r>
            <w:r>
              <w:rPr>
                <w:noProof/>
                <w:webHidden/>
              </w:rPr>
              <w:tab/>
            </w:r>
            <w:r>
              <w:rPr>
                <w:noProof/>
                <w:webHidden/>
              </w:rPr>
              <w:fldChar w:fldCharType="begin"/>
            </w:r>
            <w:r>
              <w:rPr>
                <w:noProof/>
                <w:webHidden/>
              </w:rPr>
              <w:instrText xml:space="preserve"> PAGEREF _Toc227788475 \h </w:instrText>
            </w:r>
            <w:r>
              <w:rPr>
                <w:noProof/>
                <w:webHidden/>
              </w:rPr>
            </w:r>
            <w:r>
              <w:rPr>
                <w:noProof/>
                <w:webHidden/>
              </w:rPr>
              <w:fldChar w:fldCharType="separate"/>
            </w:r>
            <w:r>
              <w:rPr>
                <w:noProof/>
                <w:webHidden/>
              </w:rPr>
              <w:t>21</w:t>
            </w:r>
            <w:r>
              <w:rPr>
                <w:noProof/>
                <w:webHidden/>
              </w:rPr>
              <w:fldChar w:fldCharType="end"/>
            </w:r>
          </w:hyperlink>
        </w:p>
        <w:p w14:paraId="1F406A97"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6" w:history="1">
            <w:r w:rsidRPr="0051667C">
              <w:rPr>
                <w:rStyle w:val="Hyperlink"/>
                <w:rFonts w:asciiTheme="minorBidi" w:hAnsiTheme="minorBidi"/>
                <w:noProof/>
              </w:rPr>
              <w:t>5.3 Accounting Rate of Return</w:t>
            </w:r>
            <w:r>
              <w:rPr>
                <w:noProof/>
                <w:webHidden/>
              </w:rPr>
              <w:tab/>
            </w:r>
            <w:r>
              <w:rPr>
                <w:noProof/>
                <w:webHidden/>
              </w:rPr>
              <w:fldChar w:fldCharType="begin"/>
            </w:r>
            <w:r>
              <w:rPr>
                <w:noProof/>
                <w:webHidden/>
              </w:rPr>
              <w:instrText xml:space="preserve"> PAGEREF _Toc227788476 \h </w:instrText>
            </w:r>
            <w:r>
              <w:rPr>
                <w:noProof/>
                <w:webHidden/>
              </w:rPr>
            </w:r>
            <w:r>
              <w:rPr>
                <w:noProof/>
                <w:webHidden/>
              </w:rPr>
              <w:fldChar w:fldCharType="separate"/>
            </w:r>
            <w:r>
              <w:rPr>
                <w:noProof/>
                <w:webHidden/>
              </w:rPr>
              <w:t>22</w:t>
            </w:r>
            <w:r>
              <w:rPr>
                <w:noProof/>
                <w:webHidden/>
              </w:rPr>
              <w:fldChar w:fldCharType="end"/>
            </w:r>
          </w:hyperlink>
        </w:p>
        <w:p w14:paraId="0545E818"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7" w:history="1">
            <w:r w:rsidRPr="0051667C">
              <w:rPr>
                <w:rStyle w:val="Hyperlink"/>
                <w:rFonts w:asciiTheme="minorBidi" w:hAnsiTheme="minorBidi"/>
                <w:noProof/>
              </w:rPr>
              <w:t>5.4 Net Present Value</w:t>
            </w:r>
            <w:r>
              <w:rPr>
                <w:noProof/>
                <w:webHidden/>
              </w:rPr>
              <w:tab/>
            </w:r>
            <w:r>
              <w:rPr>
                <w:noProof/>
                <w:webHidden/>
              </w:rPr>
              <w:fldChar w:fldCharType="begin"/>
            </w:r>
            <w:r>
              <w:rPr>
                <w:noProof/>
                <w:webHidden/>
              </w:rPr>
              <w:instrText xml:space="preserve"> PAGEREF _Toc227788477 \h </w:instrText>
            </w:r>
            <w:r>
              <w:rPr>
                <w:noProof/>
                <w:webHidden/>
              </w:rPr>
            </w:r>
            <w:r>
              <w:rPr>
                <w:noProof/>
                <w:webHidden/>
              </w:rPr>
              <w:fldChar w:fldCharType="separate"/>
            </w:r>
            <w:r>
              <w:rPr>
                <w:noProof/>
                <w:webHidden/>
              </w:rPr>
              <w:t>22</w:t>
            </w:r>
            <w:r>
              <w:rPr>
                <w:noProof/>
                <w:webHidden/>
              </w:rPr>
              <w:fldChar w:fldCharType="end"/>
            </w:r>
          </w:hyperlink>
        </w:p>
        <w:p w14:paraId="65E58DE6"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8" w:history="1">
            <w:r w:rsidRPr="0051667C">
              <w:rPr>
                <w:rStyle w:val="Hyperlink"/>
                <w:rFonts w:asciiTheme="minorBidi" w:hAnsiTheme="minorBidi"/>
                <w:noProof/>
              </w:rPr>
              <w:t>5.5 Internal Rate of Return</w:t>
            </w:r>
            <w:r>
              <w:rPr>
                <w:noProof/>
                <w:webHidden/>
              </w:rPr>
              <w:tab/>
            </w:r>
            <w:r>
              <w:rPr>
                <w:noProof/>
                <w:webHidden/>
              </w:rPr>
              <w:fldChar w:fldCharType="begin"/>
            </w:r>
            <w:r>
              <w:rPr>
                <w:noProof/>
                <w:webHidden/>
              </w:rPr>
              <w:instrText xml:space="preserve"> PAGEREF _Toc227788478 \h </w:instrText>
            </w:r>
            <w:r>
              <w:rPr>
                <w:noProof/>
                <w:webHidden/>
              </w:rPr>
            </w:r>
            <w:r>
              <w:rPr>
                <w:noProof/>
                <w:webHidden/>
              </w:rPr>
              <w:fldChar w:fldCharType="separate"/>
            </w:r>
            <w:r>
              <w:rPr>
                <w:noProof/>
                <w:webHidden/>
              </w:rPr>
              <w:t>23</w:t>
            </w:r>
            <w:r>
              <w:rPr>
                <w:noProof/>
                <w:webHidden/>
              </w:rPr>
              <w:fldChar w:fldCharType="end"/>
            </w:r>
          </w:hyperlink>
        </w:p>
        <w:p w14:paraId="32819EB3"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79" w:history="1">
            <w:r w:rsidRPr="0051667C">
              <w:rPr>
                <w:rStyle w:val="Hyperlink"/>
                <w:rFonts w:asciiTheme="minorBidi" w:hAnsiTheme="minorBidi"/>
                <w:noProof/>
              </w:rPr>
              <w:t>5.6 Profitability Index</w:t>
            </w:r>
            <w:r>
              <w:rPr>
                <w:noProof/>
                <w:webHidden/>
              </w:rPr>
              <w:tab/>
            </w:r>
            <w:r>
              <w:rPr>
                <w:noProof/>
                <w:webHidden/>
              </w:rPr>
              <w:fldChar w:fldCharType="begin"/>
            </w:r>
            <w:r>
              <w:rPr>
                <w:noProof/>
                <w:webHidden/>
              </w:rPr>
              <w:instrText xml:space="preserve"> PAGEREF _Toc227788479 \h </w:instrText>
            </w:r>
            <w:r>
              <w:rPr>
                <w:noProof/>
                <w:webHidden/>
              </w:rPr>
            </w:r>
            <w:r>
              <w:rPr>
                <w:noProof/>
                <w:webHidden/>
              </w:rPr>
              <w:fldChar w:fldCharType="separate"/>
            </w:r>
            <w:r>
              <w:rPr>
                <w:noProof/>
                <w:webHidden/>
              </w:rPr>
              <w:t>23</w:t>
            </w:r>
            <w:r>
              <w:rPr>
                <w:noProof/>
                <w:webHidden/>
              </w:rPr>
              <w:fldChar w:fldCharType="end"/>
            </w:r>
          </w:hyperlink>
        </w:p>
        <w:p w14:paraId="31B21351"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80" w:history="1">
            <w:r w:rsidRPr="0051667C">
              <w:rPr>
                <w:rStyle w:val="Hyperlink"/>
                <w:rFonts w:asciiTheme="minorBidi" w:hAnsiTheme="minorBidi"/>
                <w:noProof/>
              </w:rPr>
              <w:t>5.7 Project Comparison and Recommendation</w:t>
            </w:r>
            <w:r>
              <w:rPr>
                <w:noProof/>
                <w:webHidden/>
              </w:rPr>
              <w:tab/>
            </w:r>
            <w:r>
              <w:rPr>
                <w:noProof/>
                <w:webHidden/>
              </w:rPr>
              <w:fldChar w:fldCharType="begin"/>
            </w:r>
            <w:r>
              <w:rPr>
                <w:noProof/>
                <w:webHidden/>
              </w:rPr>
              <w:instrText xml:space="preserve"> PAGEREF _Toc227788480 \h </w:instrText>
            </w:r>
            <w:r>
              <w:rPr>
                <w:noProof/>
                <w:webHidden/>
              </w:rPr>
            </w:r>
            <w:r>
              <w:rPr>
                <w:noProof/>
                <w:webHidden/>
              </w:rPr>
              <w:fldChar w:fldCharType="separate"/>
            </w:r>
            <w:r>
              <w:rPr>
                <w:noProof/>
                <w:webHidden/>
              </w:rPr>
              <w:t>24</w:t>
            </w:r>
            <w:r>
              <w:rPr>
                <w:noProof/>
                <w:webHidden/>
              </w:rPr>
              <w:fldChar w:fldCharType="end"/>
            </w:r>
          </w:hyperlink>
        </w:p>
        <w:p w14:paraId="179BDF8C"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81" w:history="1">
            <w:r w:rsidRPr="0051667C">
              <w:rPr>
                <w:rStyle w:val="Hyperlink"/>
                <w:rFonts w:asciiTheme="minorBidi" w:hAnsiTheme="minorBidi"/>
                <w:noProof/>
              </w:rPr>
              <w:t>5.8 Capital Rationing Decision</w:t>
            </w:r>
            <w:r>
              <w:rPr>
                <w:noProof/>
                <w:webHidden/>
              </w:rPr>
              <w:tab/>
            </w:r>
            <w:r>
              <w:rPr>
                <w:noProof/>
                <w:webHidden/>
              </w:rPr>
              <w:fldChar w:fldCharType="begin"/>
            </w:r>
            <w:r>
              <w:rPr>
                <w:noProof/>
                <w:webHidden/>
              </w:rPr>
              <w:instrText xml:space="preserve"> PAGEREF _Toc227788481 \h </w:instrText>
            </w:r>
            <w:r>
              <w:rPr>
                <w:noProof/>
                <w:webHidden/>
              </w:rPr>
            </w:r>
            <w:r>
              <w:rPr>
                <w:noProof/>
                <w:webHidden/>
              </w:rPr>
              <w:fldChar w:fldCharType="separate"/>
            </w:r>
            <w:r>
              <w:rPr>
                <w:noProof/>
                <w:webHidden/>
              </w:rPr>
              <w:t>25</w:t>
            </w:r>
            <w:r>
              <w:rPr>
                <w:noProof/>
                <w:webHidden/>
              </w:rPr>
              <w:fldChar w:fldCharType="end"/>
            </w:r>
          </w:hyperlink>
        </w:p>
        <w:p w14:paraId="51DBBE86"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82" w:history="1">
            <w:r w:rsidRPr="0051667C">
              <w:rPr>
                <w:rStyle w:val="Hyperlink"/>
              </w:rPr>
              <w:t>6. Conclusion</w:t>
            </w:r>
            <w:r>
              <w:rPr>
                <w:webHidden/>
              </w:rPr>
              <w:tab/>
            </w:r>
            <w:r>
              <w:rPr>
                <w:webHidden/>
              </w:rPr>
              <w:fldChar w:fldCharType="begin"/>
            </w:r>
            <w:r>
              <w:rPr>
                <w:webHidden/>
              </w:rPr>
              <w:instrText xml:space="preserve"> PAGEREF _Toc227788482 \h </w:instrText>
            </w:r>
            <w:r>
              <w:rPr>
                <w:webHidden/>
              </w:rPr>
            </w:r>
            <w:r>
              <w:rPr>
                <w:webHidden/>
              </w:rPr>
              <w:fldChar w:fldCharType="separate"/>
            </w:r>
            <w:r>
              <w:rPr>
                <w:webHidden/>
              </w:rPr>
              <w:t>26</w:t>
            </w:r>
            <w:r>
              <w:rPr>
                <w:webHidden/>
              </w:rPr>
              <w:fldChar w:fldCharType="end"/>
            </w:r>
          </w:hyperlink>
        </w:p>
        <w:p w14:paraId="7628EB26"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83" w:history="1">
            <w:r w:rsidRPr="0051667C">
              <w:rPr>
                <w:rStyle w:val="Hyperlink"/>
              </w:rPr>
              <w:t>References</w:t>
            </w:r>
            <w:r>
              <w:rPr>
                <w:webHidden/>
              </w:rPr>
              <w:tab/>
            </w:r>
            <w:r>
              <w:rPr>
                <w:webHidden/>
              </w:rPr>
              <w:fldChar w:fldCharType="begin"/>
            </w:r>
            <w:r>
              <w:rPr>
                <w:webHidden/>
              </w:rPr>
              <w:instrText xml:space="preserve"> PAGEREF _Toc227788483 \h </w:instrText>
            </w:r>
            <w:r>
              <w:rPr>
                <w:webHidden/>
              </w:rPr>
            </w:r>
            <w:r>
              <w:rPr>
                <w:webHidden/>
              </w:rPr>
              <w:fldChar w:fldCharType="separate"/>
            </w:r>
            <w:r>
              <w:rPr>
                <w:webHidden/>
              </w:rPr>
              <w:t>27</w:t>
            </w:r>
            <w:r>
              <w:rPr>
                <w:webHidden/>
              </w:rPr>
              <w:fldChar w:fldCharType="end"/>
            </w:r>
          </w:hyperlink>
        </w:p>
        <w:p w14:paraId="1AD21428"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84" w:history="1">
            <w:r w:rsidRPr="0051667C">
              <w:rPr>
                <w:rStyle w:val="Hyperlink"/>
              </w:rPr>
              <w:t>Appendices</w:t>
            </w:r>
            <w:r>
              <w:rPr>
                <w:webHidden/>
              </w:rPr>
              <w:tab/>
            </w:r>
            <w:r>
              <w:rPr>
                <w:webHidden/>
              </w:rPr>
              <w:fldChar w:fldCharType="begin"/>
            </w:r>
            <w:r>
              <w:rPr>
                <w:webHidden/>
              </w:rPr>
              <w:instrText xml:space="preserve"> PAGEREF _Toc227788484 \h </w:instrText>
            </w:r>
            <w:r>
              <w:rPr>
                <w:webHidden/>
              </w:rPr>
            </w:r>
            <w:r>
              <w:rPr>
                <w:webHidden/>
              </w:rPr>
              <w:fldChar w:fldCharType="separate"/>
            </w:r>
            <w:r>
              <w:rPr>
                <w:webHidden/>
              </w:rPr>
              <w:t>31</w:t>
            </w:r>
            <w:r>
              <w:rPr>
                <w:webHidden/>
              </w:rPr>
              <w:fldChar w:fldCharType="end"/>
            </w:r>
          </w:hyperlink>
        </w:p>
        <w:p w14:paraId="085C060C"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85" w:history="1">
            <w:r w:rsidRPr="0051667C">
              <w:rPr>
                <w:rStyle w:val="Hyperlink"/>
                <w:rFonts w:asciiTheme="minorBidi" w:hAnsiTheme="minorBidi"/>
                <w:noProof/>
              </w:rPr>
              <w:t>Appendix A: Full Ratio Calculations with Formulas (2021-2025)</w:t>
            </w:r>
            <w:r>
              <w:rPr>
                <w:noProof/>
                <w:webHidden/>
              </w:rPr>
              <w:tab/>
            </w:r>
            <w:r>
              <w:rPr>
                <w:noProof/>
                <w:webHidden/>
              </w:rPr>
              <w:fldChar w:fldCharType="begin"/>
            </w:r>
            <w:r>
              <w:rPr>
                <w:noProof/>
                <w:webHidden/>
              </w:rPr>
              <w:instrText xml:space="preserve"> PAGEREF _Toc227788485 \h </w:instrText>
            </w:r>
            <w:r>
              <w:rPr>
                <w:noProof/>
                <w:webHidden/>
              </w:rPr>
            </w:r>
            <w:r>
              <w:rPr>
                <w:noProof/>
                <w:webHidden/>
              </w:rPr>
              <w:fldChar w:fldCharType="separate"/>
            </w:r>
            <w:r>
              <w:rPr>
                <w:noProof/>
                <w:webHidden/>
              </w:rPr>
              <w:t>31</w:t>
            </w:r>
            <w:r>
              <w:rPr>
                <w:noProof/>
                <w:webHidden/>
              </w:rPr>
              <w:fldChar w:fldCharType="end"/>
            </w:r>
          </w:hyperlink>
        </w:p>
        <w:p w14:paraId="4D60A0B9" w14:textId="77777777" w:rsidR="00195478" w:rsidRDefault="00195478">
          <w:pPr>
            <w:pStyle w:val="TOC2"/>
            <w:tabs>
              <w:tab w:val="right" w:leader="dot" w:pos="9830"/>
            </w:tabs>
            <w:rPr>
              <w:rFonts w:asciiTheme="minorHAnsi" w:eastAsiaTheme="minorEastAsia" w:hAnsiTheme="minorHAnsi" w:cstheme="minorBidi"/>
              <w:noProof/>
              <w:kern w:val="2"/>
              <w14:ligatures w14:val="standardContextual"/>
            </w:rPr>
          </w:pPr>
          <w:hyperlink w:anchor="_Toc227788486" w:history="1">
            <w:r w:rsidRPr="0051667C">
              <w:rPr>
                <w:rStyle w:val="Hyperlink"/>
                <w:noProof/>
              </w:rPr>
              <w:t>Appendix B: Investment descisions workings in Excel</w:t>
            </w:r>
            <w:r>
              <w:rPr>
                <w:noProof/>
                <w:webHidden/>
              </w:rPr>
              <w:tab/>
            </w:r>
            <w:r>
              <w:rPr>
                <w:noProof/>
                <w:webHidden/>
              </w:rPr>
              <w:fldChar w:fldCharType="begin"/>
            </w:r>
            <w:r>
              <w:rPr>
                <w:noProof/>
                <w:webHidden/>
              </w:rPr>
              <w:instrText xml:space="preserve"> PAGEREF _Toc227788486 \h </w:instrText>
            </w:r>
            <w:r>
              <w:rPr>
                <w:noProof/>
                <w:webHidden/>
              </w:rPr>
            </w:r>
            <w:r>
              <w:rPr>
                <w:noProof/>
                <w:webHidden/>
              </w:rPr>
              <w:fldChar w:fldCharType="separate"/>
            </w:r>
            <w:r>
              <w:rPr>
                <w:noProof/>
                <w:webHidden/>
              </w:rPr>
              <w:t>34</w:t>
            </w:r>
            <w:r>
              <w:rPr>
                <w:noProof/>
                <w:webHidden/>
              </w:rPr>
              <w:fldChar w:fldCharType="end"/>
            </w:r>
          </w:hyperlink>
        </w:p>
        <w:p w14:paraId="0F02B30D" w14:textId="77777777" w:rsidR="008F61B8" w:rsidRPr="00A0292D" w:rsidRDefault="008F61B8" w:rsidP="008F61B8">
          <w:pPr>
            <w:spacing w:line="360" w:lineRule="auto"/>
            <w:rPr>
              <w:rFonts w:asciiTheme="minorBidi" w:hAnsiTheme="minorBidi" w:cstheme="minorBidi"/>
              <w:sz w:val="24"/>
              <w:szCs w:val="24"/>
            </w:rPr>
          </w:pPr>
          <w:r w:rsidRPr="00A0292D">
            <w:rPr>
              <w:rFonts w:asciiTheme="minorBidi" w:hAnsiTheme="minorBidi" w:cstheme="minorBidi"/>
              <w:b/>
              <w:bCs/>
              <w:noProof/>
              <w:sz w:val="16"/>
              <w:szCs w:val="16"/>
            </w:rPr>
            <w:fldChar w:fldCharType="end"/>
          </w:r>
        </w:p>
      </w:sdtContent>
    </w:sdt>
    <w:p w14:paraId="759BA507" w14:textId="77777777" w:rsidR="008F61B8" w:rsidRPr="00A0292D" w:rsidRDefault="008F61B8" w:rsidP="008F61B8">
      <w:pPr>
        <w:spacing w:line="360" w:lineRule="auto"/>
        <w:rPr>
          <w:rFonts w:asciiTheme="minorBidi" w:hAnsiTheme="minorBidi" w:cstheme="minorBidi"/>
          <w:sz w:val="24"/>
          <w:szCs w:val="24"/>
        </w:rPr>
      </w:pPr>
    </w:p>
    <w:p w14:paraId="6F16FD4B"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sz w:val="28"/>
          <w:szCs w:val="28"/>
        </w:rPr>
        <w:br w:type="page"/>
      </w:r>
    </w:p>
    <w:p w14:paraId="60001AE8" w14:textId="77777777" w:rsidR="004F56BC" w:rsidRPr="00A0292D" w:rsidRDefault="00125647" w:rsidP="00566FB5">
      <w:pPr>
        <w:pStyle w:val="Heading1"/>
        <w:rPr>
          <w:rFonts w:asciiTheme="minorBidi" w:hAnsiTheme="minorBidi" w:cstheme="minorBidi"/>
        </w:rPr>
      </w:pPr>
      <w:bookmarkStart w:id="3" w:name="_Toc227788450"/>
      <w:r w:rsidRPr="00A0292D">
        <w:rPr>
          <w:rFonts w:asciiTheme="minorBidi" w:hAnsiTheme="minorBidi" w:cstheme="minorBidi"/>
        </w:rPr>
        <w:t>1. Introduction</w:t>
      </w:r>
      <w:bookmarkEnd w:id="3"/>
    </w:p>
    <w:p w14:paraId="7F152F70" w14:textId="77777777" w:rsidR="00335F39"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Toyota Motor Corporation is still among the most successful automotive groups in the world. It serves large markets around the world, has a workforce of over 383,000 employees, and competes in an industry which has now become electrified, digitalized in manufacturing, more regulated and reporting on sustainability ( Toyota Motor Corporation, 2025). Toyota has developed its current strength based on scale, production power and hybrid leadership. However, the current global transition to battery electric mobility exerts higher demands on investment choices, the working capital management, and financial organization (International Energy Agency, 2025; European Environment Agency, 2024).</w:t>
      </w:r>
    </w:p>
    <w:p w14:paraId="6AC9D0E0" w14:textId="77777777" w:rsidR="004F56BC" w:rsidRPr="00A0292D" w:rsidRDefault="00335F39" w:rsidP="00335F39">
      <w:pPr>
        <w:spacing w:before="60" w:after="100" w:line="360" w:lineRule="auto"/>
        <w:jc w:val="both"/>
        <w:rPr>
          <w:rFonts w:asciiTheme="minorBidi" w:hAnsiTheme="minorBidi" w:cstheme="minorBidi"/>
          <w:sz w:val="32"/>
          <w:szCs w:val="32"/>
        </w:rPr>
      </w:pPr>
      <w:r w:rsidRPr="00A0292D">
        <w:rPr>
          <w:rFonts w:asciiTheme="minorBidi" w:hAnsiTheme="minorBidi" w:cstheme="minorBidi"/>
          <w:sz w:val="24"/>
          <w:szCs w:val="24"/>
        </w:rPr>
        <w:t>This report is a detailed financial report that has been prepared based on the view of the Chief Financial Officer of Toyota. Section 1 explores financial performance (ratio analysis) in five years. Section 2 evaluates the management of working capital. Section 3 suggests a financial restructuring strategy. Section 4 reviews three capital investment projects based on various evaluation techniques</w:t>
      </w:r>
      <w:r w:rsidRPr="00A0292D">
        <w:rPr>
          <w:rFonts w:asciiTheme="minorBidi" w:hAnsiTheme="minorBidi" w:cstheme="minorBidi"/>
          <w:sz w:val="28"/>
          <w:szCs w:val="28"/>
        </w:rPr>
        <w:t xml:space="preserve">. </w:t>
      </w:r>
    </w:p>
    <w:p w14:paraId="5B5EFE82" w14:textId="77777777" w:rsidR="004F56BC" w:rsidRPr="00A0292D" w:rsidRDefault="00125647" w:rsidP="00566FB5">
      <w:pPr>
        <w:pStyle w:val="Heading1"/>
        <w:rPr>
          <w:rFonts w:asciiTheme="minorBidi" w:hAnsiTheme="minorBidi" w:cstheme="minorBidi"/>
        </w:rPr>
      </w:pPr>
      <w:bookmarkStart w:id="4" w:name="_Toc227788451"/>
      <w:r w:rsidRPr="00A0292D">
        <w:rPr>
          <w:rFonts w:asciiTheme="minorBidi" w:hAnsiTheme="minorBidi" w:cstheme="minorBidi"/>
        </w:rPr>
        <w:t>2. Financial Health Check</w:t>
      </w:r>
      <w:bookmarkEnd w:id="4"/>
    </w:p>
    <w:p w14:paraId="6656B909" w14:textId="77777777" w:rsidR="004F56BC" w:rsidRPr="00A0292D" w:rsidRDefault="00125647" w:rsidP="00566FB5">
      <w:pPr>
        <w:pStyle w:val="Heading2"/>
        <w:rPr>
          <w:rFonts w:asciiTheme="minorBidi" w:hAnsiTheme="minorBidi" w:cstheme="minorBidi"/>
        </w:rPr>
      </w:pPr>
      <w:bookmarkStart w:id="5" w:name="_Toc227788452"/>
      <w:r w:rsidRPr="00A0292D">
        <w:rPr>
          <w:rFonts w:asciiTheme="minorBidi" w:hAnsiTheme="minorBidi" w:cstheme="minorBidi"/>
        </w:rPr>
        <w:t>2.1 Overview of Financial Performance</w:t>
      </w:r>
      <w:bookmarkEnd w:id="5"/>
    </w:p>
    <w:p w14:paraId="2805791E" w14:textId="77777777" w:rsidR="004F56BC" w:rsidRPr="00A0292D" w:rsidRDefault="00335F39" w:rsidP="00335F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increase in revenue was steady with JPY 27.21 trillion in 2021, then JPY 48.04 trillion in 2025. This growth is a sign of post pandemic volume recovery, a weaker yen increasing export revenue and continued hybrid demand. Cost of revenue increased to JPY 38.46 trillion as compared to JPY 22.38 trillion. Gross profit increased to JPY 9.58 trillion as compared to JPY 4.83 trillion. Table 1 below shows the five-year financial summary.</w:t>
      </w:r>
    </w:p>
    <w:p w14:paraId="75044E7C" w14:textId="77777777" w:rsidR="004F56BC" w:rsidRPr="00A0292D" w:rsidRDefault="00125647"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Table 1: Toyota Five-Year Financial Summary (JPY Trillion)</w:t>
      </w:r>
    </w:p>
    <w:tbl>
      <w:tblPr>
        <w:tblW w:w="99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20"/>
        <w:gridCol w:w="1291"/>
        <w:gridCol w:w="1291"/>
        <w:gridCol w:w="1291"/>
        <w:gridCol w:w="1352"/>
        <w:gridCol w:w="1364"/>
      </w:tblGrid>
      <w:tr w:rsidR="004F56BC" w:rsidRPr="00A0292D" w14:paraId="5964A224" w14:textId="77777777" w:rsidTr="00566FB5">
        <w:trPr>
          <w:trHeight w:val="351"/>
        </w:trPr>
        <w:tc>
          <w:tcPr>
            <w:tcW w:w="332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143DC0A"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Metric</w:t>
            </w:r>
          </w:p>
        </w:tc>
        <w:tc>
          <w:tcPr>
            <w:tcW w:w="129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35D422C"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2021</w:t>
            </w:r>
          </w:p>
        </w:tc>
        <w:tc>
          <w:tcPr>
            <w:tcW w:w="129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BC08A53"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2022</w:t>
            </w:r>
          </w:p>
        </w:tc>
        <w:tc>
          <w:tcPr>
            <w:tcW w:w="129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74873AB0"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2023</w:t>
            </w:r>
          </w:p>
        </w:tc>
        <w:tc>
          <w:tcPr>
            <w:tcW w:w="135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2E3560C"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2024</w:t>
            </w:r>
          </w:p>
        </w:tc>
        <w:tc>
          <w:tcPr>
            <w:tcW w:w="136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668B13F"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2025</w:t>
            </w:r>
          </w:p>
        </w:tc>
      </w:tr>
      <w:tr w:rsidR="004F56BC" w:rsidRPr="00A0292D" w14:paraId="7AD955D3"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4AD3146"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Revenue (JPY tn)</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347F70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27.21</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ADC0AD9"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31.38</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6992217"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37.15</w:t>
            </w:r>
          </w:p>
        </w:tc>
        <w:tc>
          <w:tcPr>
            <w:tcW w:w="135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BBDB57B"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45.10</w:t>
            </w:r>
          </w:p>
        </w:tc>
        <w:tc>
          <w:tcPr>
            <w:tcW w:w="136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7E8037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48.04</w:t>
            </w:r>
          </w:p>
        </w:tc>
      </w:tr>
      <w:tr w:rsidR="004F56BC" w:rsidRPr="00A0292D" w14:paraId="5D2043A5"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EBE73F0"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Gross Profit (JPY tn)</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B72BACA"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4.83</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B74DA49"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5.97</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E6E295"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6.31</w:t>
            </w:r>
          </w:p>
        </w:tc>
        <w:tc>
          <w:tcPr>
            <w:tcW w:w="135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08F5396"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9.37</w:t>
            </w:r>
          </w:p>
        </w:tc>
        <w:tc>
          <w:tcPr>
            <w:tcW w:w="136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58652B9"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9.58</w:t>
            </w:r>
          </w:p>
        </w:tc>
      </w:tr>
      <w:tr w:rsidR="004F56BC" w:rsidRPr="00A0292D" w14:paraId="694399B6"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9CFFE60"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Operating Profit (JPY tn)</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B5E7A8B"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2.20</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290263F"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3.00</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F18338D"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2.73</w:t>
            </w:r>
          </w:p>
        </w:tc>
        <w:tc>
          <w:tcPr>
            <w:tcW w:w="135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7E7B0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5.35</w:t>
            </w:r>
          </w:p>
        </w:tc>
        <w:tc>
          <w:tcPr>
            <w:tcW w:w="136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5423DA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4.80</w:t>
            </w:r>
          </w:p>
        </w:tc>
      </w:tr>
      <w:tr w:rsidR="004F56BC" w:rsidRPr="00A0292D" w14:paraId="171841CD" w14:textId="77777777" w:rsidTr="00566FB5">
        <w:trPr>
          <w:trHeight w:val="351"/>
        </w:trPr>
        <w:tc>
          <w:tcPr>
            <w:tcW w:w="332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16CD2DA"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Net Profit (JPY tn)</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6E1D91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2.25</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1518C9D"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2.85</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08C2D49"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2.45</w:t>
            </w:r>
          </w:p>
        </w:tc>
        <w:tc>
          <w:tcPr>
            <w:tcW w:w="135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CB249F2"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4.94</w:t>
            </w:r>
          </w:p>
        </w:tc>
        <w:tc>
          <w:tcPr>
            <w:tcW w:w="136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ECBAF7D"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4.77</w:t>
            </w:r>
          </w:p>
        </w:tc>
      </w:tr>
      <w:tr w:rsidR="004F56BC" w:rsidRPr="00A0292D" w14:paraId="1284E1A4"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8A124D3"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Total Assets (JPY tn)</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90E73D6"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62.27</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A7ED9FF"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67.69</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F7DCBDA"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74.30</w:t>
            </w:r>
          </w:p>
        </w:tc>
        <w:tc>
          <w:tcPr>
            <w:tcW w:w="135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802373A"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90.11</w:t>
            </w:r>
          </w:p>
        </w:tc>
        <w:tc>
          <w:tcPr>
            <w:tcW w:w="136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80D550E"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93.60</w:t>
            </w:r>
          </w:p>
        </w:tc>
      </w:tr>
      <w:tr w:rsidR="004F56BC" w:rsidRPr="00A0292D" w14:paraId="6FF04FC6"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ED1051B"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Total Equity (JPY tn)</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3BD9CF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23.40</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C3ADC56"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26.25</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923A2B7"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28.34</w:t>
            </w:r>
          </w:p>
        </w:tc>
        <w:tc>
          <w:tcPr>
            <w:tcW w:w="135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726074C"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34.22</w:t>
            </w:r>
          </w:p>
        </w:tc>
        <w:tc>
          <w:tcPr>
            <w:tcW w:w="136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8F2A6A8"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35.92</w:t>
            </w:r>
          </w:p>
        </w:tc>
      </w:tr>
      <w:tr w:rsidR="004F56BC" w:rsidRPr="00A0292D" w14:paraId="6FCEDD4B" w14:textId="77777777" w:rsidTr="00566FB5">
        <w:trPr>
          <w:trHeight w:val="686"/>
        </w:trPr>
        <w:tc>
          <w:tcPr>
            <w:tcW w:w="332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131497A"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Operating Cash Flow (JPY tn)</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ADCB267"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2.73</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FB4CE3E"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3.72</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658FC89"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2.96</w:t>
            </w:r>
          </w:p>
        </w:tc>
        <w:tc>
          <w:tcPr>
            <w:tcW w:w="135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DCEFB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4.21</w:t>
            </w:r>
          </w:p>
        </w:tc>
        <w:tc>
          <w:tcPr>
            <w:tcW w:w="136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CE4C7B8"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3.70</w:t>
            </w:r>
          </w:p>
        </w:tc>
      </w:tr>
      <w:tr w:rsidR="004F56BC" w:rsidRPr="00A0292D" w14:paraId="2D3981CB" w14:textId="77777777" w:rsidTr="00566FB5">
        <w:trPr>
          <w:trHeight w:val="351"/>
        </w:trPr>
        <w:tc>
          <w:tcPr>
            <w:tcW w:w="332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E0C8566"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Free Cash Flow (JPY tn)</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1667D55"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(1.04)</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3E319A6"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(0.11)</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A5B9AD8"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(0.75)</w:t>
            </w:r>
          </w:p>
        </w:tc>
        <w:tc>
          <w:tcPr>
            <w:tcW w:w="135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7502A61"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(0.84)</w:t>
            </w:r>
          </w:p>
        </w:tc>
        <w:tc>
          <w:tcPr>
            <w:tcW w:w="136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976CA3F"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(1.56)</w:t>
            </w:r>
          </w:p>
        </w:tc>
      </w:tr>
    </w:tbl>
    <w:p w14:paraId="12351759" w14:textId="77777777" w:rsidR="004F56BC" w:rsidRPr="00A0292D" w:rsidRDefault="00125647" w:rsidP="008F61B8">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Toyota Motor Corporation Integrated Reports (2021, 2022, 2023, 2024, 2025)</w:t>
      </w:r>
    </w:p>
    <w:p w14:paraId="19CD7991" w14:textId="77777777" w:rsidR="004F56BC" w:rsidRPr="00A0292D" w:rsidRDefault="00EE5347" w:rsidP="00335F39">
      <w:pPr>
        <w:spacing w:before="60" w:after="100" w:line="360" w:lineRule="auto"/>
        <w:jc w:val="both"/>
        <w:rPr>
          <w:rFonts w:asciiTheme="minorBidi" w:hAnsiTheme="minorBidi" w:cstheme="minorBidi"/>
          <w:sz w:val="28"/>
          <w:szCs w:val="28"/>
        </w:rPr>
      </w:pPr>
      <w:r w:rsidRPr="00A0292D">
        <w:rPr>
          <w:rFonts w:asciiTheme="minorBidi" w:hAnsiTheme="minorBidi" w:cstheme="minorBidi"/>
          <w:noProof/>
        </w:rPr>
        <w:drawing>
          <wp:inline distT="0" distB="0" distL="0" distR="0" wp14:anchorId="7D656A36" wp14:editId="2C9743A0">
            <wp:extent cx="6248400" cy="3293745"/>
            <wp:effectExtent l="0" t="0" r="12700" b="8255"/>
            <wp:docPr id="1999512754"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335F39" w:rsidRPr="00A0292D">
        <w:rPr>
          <w:rFonts w:asciiTheme="minorBidi" w:hAnsiTheme="minorBidi" w:cstheme="minorBidi"/>
          <w:sz w:val="24"/>
          <w:szCs w:val="24"/>
        </w:rPr>
        <w:t>In 2023, net profit experienced a decrease of JPY 2.45 trillion, which was followed by a robust upswing of JPY 4.94 trillion in 2024. The 2023 dip was an indication of supply chain disruptions and high input prices. The recovery in 2024 could be partly explained by the fact that the depreciation of the yen increased the revenues of the company in the overseas market in the yen currency (Toyota Motor Corporation, 2024). It is clear that all the times the free cash flow was negative indicating that the business is yet to create enough cash to finance the business investment programme fully</w:t>
      </w:r>
      <w:r w:rsidRPr="00A0292D">
        <w:rPr>
          <w:rFonts w:asciiTheme="minorBidi" w:hAnsiTheme="minorBidi" w:cstheme="minorBidi"/>
          <w:sz w:val="24"/>
          <w:szCs w:val="24"/>
        </w:rPr>
        <w:t>.</w:t>
      </w:r>
    </w:p>
    <w:p w14:paraId="7ABD670B" w14:textId="77777777" w:rsidR="004F56BC" w:rsidRPr="00A0292D" w:rsidRDefault="00125647" w:rsidP="00EE5347">
      <w:pPr>
        <w:pStyle w:val="Heading2"/>
        <w:rPr>
          <w:rFonts w:asciiTheme="minorBidi" w:hAnsiTheme="minorBidi" w:cstheme="minorBidi"/>
        </w:rPr>
      </w:pPr>
      <w:bookmarkStart w:id="6" w:name="_Toc227788453"/>
      <w:r w:rsidRPr="00A0292D">
        <w:rPr>
          <w:rFonts w:asciiTheme="minorBidi" w:hAnsiTheme="minorBidi" w:cstheme="minorBidi"/>
        </w:rPr>
        <w:t>2.2 Profitability Analysis</w:t>
      </w:r>
      <w:bookmarkEnd w:id="6"/>
    </w:p>
    <w:p w14:paraId="4F271A1D" w14:textId="77777777" w:rsidR="004F56BC"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profitability ratios indicate that Toyota has been performing well in the five years. Gross margin rose from 17.75% in 2021 to 19.94% in 2025, although it dipped in 2023. The net profit margin went up to 9.93 percent. The ratio of the return on assets rose to 5.10 as compared to 3.61, and the ratio of the return on equity rose to 13.28 as compared to 9.62. These ratios suggest that Toyota put its asset base and shareholder funds to a better use by the end of the period (Easton et al., 2018). One of the strongest financial aspects that Toyota has is its profitability. A huge car maker requires a good margin in order to fund capital spending, research and strategic repositioning. That was the case at Toyota throughout the entire period, although 2023 experienced a bit of margin pressure. Profitability is not however a risk aversion. More robust accounting returns should also be accompanied by more robust cash generation in order to fund a long-term EV transition (Fridson and Alvarez, 2022).</w:t>
      </w:r>
    </w:p>
    <w:p w14:paraId="2A21B3D0" w14:textId="77777777" w:rsidR="004F56BC" w:rsidRPr="00A0292D" w:rsidRDefault="00125647"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Table 2: Toyota Five-Year Ratio Summary</w:t>
      </w:r>
    </w:p>
    <w:tbl>
      <w:tblPr>
        <w:tblW w:w="98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63"/>
        <w:gridCol w:w="1307"/>
        <w:gridCol w:w="1307"/>
        <w:gridCol w:w="1307"/>
        <w:gridCol w:w="1307"/>
        <w:gridCol w:w="1307"/>
      </w:tblGrid>
      <w:tr w:rsidR="004F56BC" w:rsidRPr="00A0292D" w14:paraId="4641ED9F" w14:textId="77777777" w:rsidTr="00566FB5">
        <w:trPr>
          <w:trHeight w:val="343"/>
        </w:trPr>
        <w:tc>
          <w:tcPr>
            <w:tcW w:w="3363"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9FBEDE7"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Ratio</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0E2B1BB"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2021</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13C8FB3F"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2022</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05B6F17"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2023</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EC1841B"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2024</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10F5F197"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2025</w:t>
            </w:r>
          </w:p>
        </w:tc>
      </w:tr>
      <w:tr w:rsidR="004F56BC" w:rsidRPr="00A0292D" w14:paraId="3DB215A9" w14:textId="77777777" w:rsidTr="00566FB5">
        <w:trPr>
          <w:trHeight w:val="326"/>
        </w:trPr>
        <w:tc>
          <w:tcPr>
            <w:tcW w:w="3363"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A45B657"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Gross Profit Margin (%)</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F710FAF"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17.8%</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F736B83"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19.0%</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9F0709C"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17.0%</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81CD96D"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20.8%</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5CE12C0"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19.9%</w:t>
            </w:r>
          </w:p>
        </w:tc>
      </w:tr>
      <w:tr w:rsidR="004F56BC" w:rsidRPr="00A0292D" w14:paraId="673D397C" w14:textId="77777777" w:rsidTr="00566FB5">
        <w:trPr>
          <w:trHeight w:val="326"/>
        </w:trPr>
        <w:tc>
          <w:tcPr>
            <w:tcW w:w="336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3F5B9ED"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Operating Margin (%)</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4EAA88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8.1%</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94FADB1"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9.6%</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0C71BB1"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7.3%</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17E3E9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11.9%</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3336F30"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10.0%</w:t>
            </w:r>
          </w:p>
        </w:tc>
      </w:tr>
      <w:tr w:rsidR="004F56BC" w:rsidRPr="00A0292D" w14:paraId="20226544" w14:textId="77777777" w:rsidTr="00566FB5">
        <w:trPr>
          <w:trHeight w:val="326"/>
        </w:trPr>
        <w:tc>
          <w:tcPr>
            <w:tcW w:w="3363"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2D33AF8"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Net Profit Margin (%)</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C89FC4E"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8.3%</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4A12FBB"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9.1%</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6B0C1EC"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6.6%</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60C3BEC"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11.0%</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E63A7A0"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9.9%</w:t>
            </w:r>
          </w:p>
        </w:tc>
      </w:tr>
      <w:tr w:rsidR="004F56BC" w:rsidRPr="00A0292D" w14:paraId="1A72200C" w14:textId="77777777" w:rsidTr="00566FB5">
        <w:trPr>
          <w:trHeight w:val="343"/>
        </w:trPr>
        <w:tc>
          <w:tcPr>
            <w:tcW w:w="336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293A7C2"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Return on Assets (%)</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597B74F"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3.6%</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86038E0"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4.2%</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E72C7C8"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3.3%</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4673EC3"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5.5%</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7DFA96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5.1%</w:t>
            </w:r>
          </w:p>
        </w:tc>
      </w:tr>
      <w:tr w:rsidR="004F56BC" w:rsidRPr="00A0292D" w14:paraId="19E6C6D9" w14:textId="77777777" w:rsidTr="00566FB5">
        <w:trPr>
          <w:trHeight w:val="326"/>
        </w:trPr>
        <w:tc>
          <w:tcPr>
            <w:tcW w:w="3363"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744211C"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Return on Equity (%)</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BB70436"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9.6%</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729920A"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10.9%</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0D45E3A"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8.6%</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2FB3AE"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14.4%</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70D0789"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13.3%</w:t>
            </w:r>
          </w:p>
        </w:tc>
      </w:tr>
    </w:tbl>
    <w:p w14:paraId="45672F86" w14:textId="77777777" w:rsidR="004F56BC" w:rsidRPr="00A0292D" w:rsidRDefault="00125647" w:rsidP="00EE5347">
      <w:pPr>
        <w:spacing w:before="50" w:after="130" w:line="360" w:lineRule="auto"/>
        <w:jc w:val="center"/>
        <w:rPr>
          <w:rFonts w:asciiTheme="minorBidi" w:hAnsiTheme="minorBidi" w:cstheme="minorBidi"/>
          <w:i/>
          <w:iCs/>
          <w:color w:val="595959"/>
          <w:sz w:val="20"/>
          <w:szCs w:val="20"/>
        </w:rPr>
      </w:pPr>
      <w:r w:rsidRPr="00A0292D">
        <w:rPr>
          <w:rFonts w:asciiTheme="minorBidi" w:hAnsiTheme="minorBidi" w:cstheme="minorBidi"/>
          <w:i/>
          <w:iCs/>
          <w:color w:val="595959"/>
          <w:sz w:val="20"/>
          <w:szCs w:val="20"/>
        </w:rPr>
        <w:t>Source: Author's calculations based on Toyota Motor Corporation Integrated Reports (2021-2025). Full workings in Appendix A.</w:t>
      </w:r>
    </w:p>
    <w:p w14:paraId="22970677" w14:textId="77777777" w:rsidR="00EE5347" w:rsidRPr="00A0292D" w:rsidRDefault="00EE5347" w:rsidP="00EE5347">
      <w:pPr>
        <w:spacing w:before="50" w:after="130" w:line="360" w:lineRule="auto"/>
        <w:jc w:val="center"/>
        <w:rPr>
          <w:rFonts w:asciiTheme="minorBidi" w:hAnsiTheme="minorBidi" w:cstheme="minorBidi"/>
          <w:sz w:val="28"/>
          <w:szCs w:val="28"/>
        </w:rPr>
      </w:pPr>
      <w:r w:rsidRPr="00A0292D">
        <w:rPr>
          <w:rFonts w:asciiTheme="minorBidi" w:hAnsiTheme="minorBidi" w:cstheme="minorBidi"/>
          <w:noProof/>
        </w:rPr>
        <w:drawing>
          <wp:inline distT="0" distB="0" distL="0" distR="0" wp14:anchorId="45B49353" wp14:editId="24DDD39B">
            <wp:extent cx="6248400" cy="2950845"/>
            <wp:effectExtent l="0" t="0" r="12700" b="8255"/>
            <wp:docPr id="1633806754"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DFD475" w14:textId="77777777" w:rsidR="004F56BC" w:rsidRPr="00A0292D" w:rsidRDefault="00125647" w:rsidP="00EE5347">
      <w:pPr>
        <w:pStyle w:val="Heading2"/>
        <w:rPr>
          <w:rFonts w:asciiTheme="minorBidi" w:hAnsiTheme="minorBidi" w:cstheme="minorBidi"/>
        </w:rPr>
      </w:pPr>
      <w:bookmarkStart w:id="7" w:name="_Toc227788454"/>
      <w:r w:rsidRPr="00A0292D">
        <w:rPr>
          <w:rFonts w:asciiTheme="minorBidi" w:hAnsiTheme="minorBidi" w:cstheme="minorBidi"/>
        </w:rPr>
        <w:t>2.3 Liquidity Analysis</w:t>
      </w:r>
      <w:bookmarkEnd w:id="7"/>
    </w:p>
    <w:p w14:paraId="23E63C16" w14:textId="77777777" w:rsidR="004F56BC"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liquidity ratios indicate a slight improvement over the period. The current ratio increased from 1.06 in 2021 to 1.26 in 2025. The quick ratio rose from 0.93 to 1.10, while the cash ratio rose from 0.43 to 0.54. According to these changes, it is possible to state that Toyota became more solvent in the short term, which was facilitated by increased amounts of cash and short-term investments. Nevertheless, the liquidity was only moderately good. Current liabilities grew to JPY 29.43 trillion and short-term obligations were still high. It is an indication that the short-term position of Toyota has improved, but not to an extent that it would eliminate the necessity of a more rigorous cash discipline. It is reported in the financial accounting literature that manufacturers can operate on moderate liquidity ratios, but these companies are at risk when working capital is tied up consuming more and more cash (Winfield, Graham and Miller, 2021</w:t>
      </w:r>
      <w:r w:rsidR="00EE5347" w:rsidRPr="00EE5347">
        <w:rPr>
          <w:rFonts w:asciiTheme="minorBidi" w:hAnsiTheme="minorBidi" w:cstheme="minorBidi"/>
          <w:sz w:val="24"/>
          <w:szCs w:val="24"/>
        </w:rPr>
        <w:t>)</w:t>
      </w:r>
      <w:r w:rsidRPr="00A0292D">
        <w:rPr>
          <w:rFonts w:asciiTheme="minorBidi" w:hAnsiTheme="minorBidi" w:cstheme="minorBidi"/>
          <w:sz w:val="24"/>
          <w:szCs w:val="24"/>
        </w:rPr>
        <w:t>.</w:t>
      </w:r>
    </w:p>
    <w:p w14:paraId="529BD894" w14:textId="77777777" w:rsidR="00566FB5" w:rsidRPr="00566FB5" w:rsidRDefault="00566FB5" w:rsidP="00566FB5">
      <w:pPr>
        <w:spacing w:before="60" w:after="100" w:line="360" w:lineRule="auto"/>
        <w:jc w:val="center"/>
        <w:rPr>
          <w:rFonts w:asciiTheme="minorBidi" w:hAnsiTheme="minorBidi" w:cstheme="minorBidi"/>
          <w:b/>
          <w:bCs/>
          <w:sz w:val="24"/>
          <w:szCs w:val="24"/>
        </w:rPr>
      </w:pPr>
      <w:r w:rsidRPr="00566FB5">
        <w:rPr>
          <w:rFonts w:asciiTheme="minorBidi" w:hAnsiTheme="minorBidi" w:cstheme="minorBidi"/>
          <w:b/>
          <w:bCs/>
          <w:sz w:val="24"/>
          <w:szCs w:val="24"/>
        </w:rPr>
        <w:t>Table 3 Liquidity ratios, 2021 to 2025</w:t>
      </w:r>
    </w:p>
    <w:tbl>
      <w:tblPr>
        <w:tblStyle w:val="GridTable4-Accent1"/>
        <w:tblW w:w="9918" w:type="dxa"/>
        <w:tblLook w:val="04A0" w:firstRow="1" w:lastRow="0" w:firstColumn="1" w:lastColumn="0" w:noHBand="0" w:noVBand="1"/>
      </w:tblPr>
      <w:tblGrid>
        <w:gridCol w:w="2989"/>
        <w:gridCol w:w="1373"/>
        <w:gridCol w:w="1373"/>
        <w:gridCol w:w="1373"/>
        <w:gridCol w:w="1373"/>
        <w:gridCol w:w="1437"/>
      </w:tblGrid>
      <w:tr w:rsidR="00566FB5" w:rsidRPr="00A0292D" w14:paraId="78391BCB" w14:textId="77777777" w:rsidTr="00566FB5">
        <w:trPr>
          <w:cnfStyle w:val="100000000000" w:firstRow="1" w:lastRow="0" w:firstColumn="0" w:lastColumn="0" w:oddVBand="0" w:evenVBand="0" w:oddHBand="0"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3FD095A2" w14:textId="77777777" w:rsidR="00566FB5" w:rsidRPr="00566FB5" w:rsidRDefault="00566FB5"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Ratio</w:t>
            </w:r>
          </w:p>
        </w:tc>
        <w:tc>
          <w:tcPr>
            <w:tcW w:w="0" w:type="auto"/>
            <w:hideMark/>
          </w:tcPr>
          <w:p w14:paraId="400948F5"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2021</w:t>
            </w:r>
          </w:p>
        </w:tc>
        <w:tc>
          <w:tcPr>
            <w:tcW w:w="0" w:type="auto"/>
            <w:hideMark/>
          </w:tcPr>
          <w:p w14:paraId="3F40C86E"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2022</w:t>
            </w:r>
          </w:p>
        </w:tc>
        <w:tc>
          <w:tcPr>
            <w:tcW w:w="0" w:type="auto"/>
            <w:hideMark/>
          </w:tcPr>
          <w:p w14:paraId="3355ED3E"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2023</w:t>
            </w:r>
          </w:p>
        </w:tc>
        <w:tc>
          <w:tcPr>
            <w:tcW w:w="0" w:type="auto"/>
            <w:hideMark/>
          </w:tcPr>
          <w:p w14:paraId="027B2FBB"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2024</w:t>
            </w:r>
          </w:p>
        </w:tc>
        <w:tc>
          <w:tcPr>
            <w:tcW w:w="1437" w:type="dxa"/>
            <w:hideMark/>
          </w:tcPr>
          <w:p w14:paraId="4AE2C1FE"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2025</w:t>
            </w:r>
          </w:p>
        </w:tc>
      </w:tr>
      <w:tr w:rsidR="00566FB5" w:rsidRPr="00A0292D" w14:paraId="527ED6E3" w14:textId="77777777" w:rsidTr="00566FB5">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41EC2884" w14:textId="77777777" w:rsidR="00566FB5" w:rsidRPr="00566FB5" w:rsidRDefault="00566FB5"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Current ratio</w:t>
            </w:r>
          </w:p>
        </w:tc>
        <w:tc>
          <w:tcPr>
            <w:tcW w:w="0" w:type="auto"/>
            <w:hideMark/>
          </w:tcPr>
          <w:p w14:paraId="1BDB2DD7"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1.06</w:t>
            </w:r>
          </w:p>
        </w:tc>
        <w:tc>
          <w:tcPr>
            <w:tcW w:w="0" w:type="auto"/>
            <w:hideMark/>
          </w:tcPr>
          <w:p w14:paraId="427A5B6F"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1.09</w:t>
            </w:r>
          </w:p>
        </w:tc>
        <w:tc>
          <w:tcPr>
            <w:tcW w:w="0" w:type="auto"/>
            <w:hideMark/>
          </w:tcPr>
          <w:p w14:paraId="6B12925B"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1.10</w:t>
            </w:r>
          </w:p>
        </w:tc>
        <w:tc>
          <w:tcPr>
            <w:tcW w:w="0" w:type="auto"/>
            <w:hideMark/>
          </w:tcPr>
          <w:p w14:paraId="42858F84"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1.19</w:t>
            </w:r>
          </w:p>
        </w:tc>
        <w:tc>
          <w:tcPr>
            <w:tcW w:w="1437" w:type="dxa"/>
            <w:hideMark/>
          </w:tcPr>
          <w:p w14:paraId="18DF885B"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1.26</w:t>
            </w:r>
          </w:p>
        </w:tc>
      </w:tr>
      <w:tr w:rsidR="00566FB5" w:rsidRPr="00A0292D" w14:paraId="79F99A15" w14:textId="77777777" w:rsidTr="00566FB5">
        <w:trPr>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67069569" w14:textId="77777777" w:rsidR="00566FB5" w:rsidRPr="00566FB5" w:rsidRDefault="00566FB5"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Quick ratio</w:t>
            </w:r>
          </w:p>
        </w:tc>
        <w:tc>
          <w:tcPr>
            <w:tcW w:w="0" w:type="auto"/>
            <w:hideMark/>
          </w:tcPr>
          <w:p w14:paraId="029EB9E9"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0.93</w:t>
            </w:r>
          </w:p>
        </w:tc>
        <w:tc>
          <w:tcPr>
            <w:tcW w:w="0" w:type="auto"/>
            <w:hideMark/>
          </w:tcPr>
          <w:p w14:paraId="1E4ECE2D"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0.91</w:t>
            </w:r>
          </w:p>
        </w:tc>
        <w:tc>
          <w:tcPr>
            <w:tcW w:w="0" w:type="auto"/>
            <w:hideMark/>
          </w:tcPr>
          <w:p w14:paraId="50486679"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0.93</w:t>
            </w:r>
          </w:p>
        </w:tc>
        <w:tc>
          <w:tcPr>
            <w:tcW w:w="0" w:type="auto"/>
            <w:hideMark/>
          </w:tcPr>
          <w:p w14:paraId="048FFD70"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1.03</w:t>
            </w:r>
          </w:p>
        </w:tc>
        <w:tc>
          <w:tcPr>
            <w:tcW w:w="1437" w:type="dxa"/>
            <w:hideMark/>
          </w:tcPr>
          <w:p w14:paraId="22FA5E1F"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1.10</w:t>
            </w:r>
          </w:p>
        </w:tc>
      </w:tr>
      <w:tr w:rsidR="00566FB5" w:rsidRPr="00A0292D" w14:paraId="51648D1E" w14:textId="77777777" w:rsidTr="00566FB5">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77991B20" w14:textId="77777777" w:rsidR="00566FB5" w:rsidRPr="00566FB5" w:rsidRDefault="00566FB5"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Cash ratio</w:t>
            </w:r>
          </w:p>
        </w:tc>
        <w:tc>
          <w:tcPr>
            <w:tcW w:w="0" w:type="auto"/>
            <w:hideMark/>
          </w:tcPr>
          <w:p w14:paraId="47B2926F"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0.43</w:t>
            </w:r>
          </w:p>
        </w:tc>
        <w:tc>
          <w:tcPr>
            <w:tcW w:w="0" w:type="auto"/>
            <w:hideMark/>
          </w:tcPr>
          <w:p w14:paraId="28A89740"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0.39</w:t>
            </w:r>
          </w:p>
        </w:tc>
        <w:tc>
          <w:tcPr>
            <w:tcW w:w="0" w:type="auto"/>
            <w:hideMark/>
          </w:tcPr>
          <w:p w14:paraId="66BF2D71"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0.39</w:t>
            </w:r>
          </w:p>
        </w:tc>
        <w:tc>
          <w:tcPr>
            <w:tcW w:w="0" w:type="auto"/>
            <w:hideMark/>
          </w:tcPr>
          <w:p w14:paraId="4F3F34EC"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0.48</w:t>
            </w:r>
          </w:p>
        </w:tc>
        <w:tc>
          <w:tcPr>
            <w:tcW w:w="1437" w:type="dxa"/>
            <w:hideMark/>
          </w:tcPr>
          <w:p w14:paraId="46DE18A7"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0.54</w:t>
            </w:r>
          </w:p>
        </w:tc>
      </w:tr>
    </w:tbl>
    <w:p w14:paraId="1986988F" w14:textId="77777777" w:rsidR="00EE5347" w:rsidRPr="00A0292D" w:rsidRDefault="00EE5347" w:rsidP="00EE5347">
      <w:pPr>
        <w:rPr>
          <w:rFonts w:asciiTheme="minorBidi" w:hAnsiTheme="minorBidi" w:cstheme="minorBidi"/>
        </w:rPr>
      </w:pPr>
      <w:r w:rsidRPr="00A0292D">
        <w:rPr>
          <w:rFonts w:asciiTheme="minorBidi" w:hAnsiTheme="minorBidi" w:cstheme="minorBidi"/>
          <w:noProof/>
        </w:rPr>
        <w:drawing>
          <wp:inline distT="0" distB="0" distL="0" distR="0" wp14:anchorId="3DF08123" wp14:editId="6E2AA0AE">
            <wp:extent cx="6248400" cy="2950845"/>
            <wp:effectExtent l="0" t="0" r="12700" b="8255"/>
            <wp:docPr id="1144869695" name="Chart 1">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976590" w14:textId="77777777" w:rsidR="004F56BC" w:rsidRPr="00A0292D" w:rsidRDefault="00125647" w:rsidP="00566FB5">
      <w:pPr>
        <w:pStyle w:val="Heading2"/>
        <w:rPr>
          <w:rFonts w:asciiTheme="minorBidi" w:hAnsiTheme="minorBidi" w:cstheme="minorBidi"/>
        </w:rPr>
      </w:pPr>
      <w:bookmarkStart w:id="8" w:name="_Toc227788455"/>
      <w:r w:rsidRPr="00A0292D">
        <w:rPr>
          <w:rFonts w:asciiTheme="minorBidi" w:hAnsiTheme="minorBidi" w:cstheme="minorBidi"/>
        </w:rPr>
        <w:t>2.4 Efficiency Analysis</w:t>
      </w:r>
      <w:bookmarkEnd w:id="8"/>
    </w:p>
    <w:p w14:paraId="5A202751" w14:textId="77777777" w:rsidR="004F56BC"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 xml:space="preserve">The efficiency ratios of Toyota were relatively good during the period. Inventory turnover rose from 7.74 times in 2021 to 8.36 times in 2025. The improvement in the turnover of receivables was 2.77 to 3.13 times and the turnover of assets was 0.44 to 0.51. These outcomes suggest that Toyota continued to utilize inventory, receivables, and assets (Marshall, McManus and Viele, 2023; Wild, 2021). These values indicate that Toyota did not face its core financial stress due to poor operating discipline. </w:t>
      </w:r>
    </w:p>
    <w:p w14:paraId="1E913EBF" w14:textId="77777777" w:rsidR="00566FB5" w:rsidRPr="00566FB5" w:rsidRDefault="00566FB5" w:rsidP="00EE5347">
      <w:pPr>
        <w:spacing w:before="60" w:after="100" w:line="360" w:lineRule="auto"/>
        <w:jc w:val="center"/>
        <w:rPr>
          <w:rFonts w:asciiTheme="minorBidi" w:hAnsiTheme="minorBidi" w:cstheme="minorBidi"/>
          <w:b/>
          <w:bCs/>
        </w:rPr>
      </w:pPr>
      <w:r w:rsidRPr="00566FB5">
        <w:rPr>
          <w:rFonts w:asciiTheme="minorBidi" w:hAnsiTheme="minorBidi" w:cstheme="minorBidi"/>
          <w:b/>
          <w:bCs/>
        </w:rPr>
        <w:t xml:space="preserve">Table </w:t>
      </w:r>
      <w:r w:rsidR="00EE5347" w:rsidRPr="00A0292D">
        <w:rPr>
          <w:rFonts w:asciiTheme="minorBidi" w:hAnsiTheme="minorBidi" w:cstheme="minorBidi"/>
          <w:b/>
          <w:bCs/>
        </w:rPr>
        <w:t>4</w:t>
      </w:r>
      <w:r w:rsidRPr="00566FB5">
        <w:rPr>
          <w:rFonts w:asciiTheme="minorBidi" w:hAnsiTheme="minorBidi" w:cstheme="minorBidi"/>
          <w:b/>
          <w:bCs/>
        </w:rPr>
        <w:t xml:space="preserve"> Efficiency ratios, 2021 to 2025</w:t>
      </w:r>
    </w:p>
    <w:tbl>
      <w:tblPr>
        <w:tblStyle w:val="GridTable4-Accent1"/>
        <w:tblW w:w="9927" w:type="dxa"/>
        <w:tblLook w:val="04A0" w:firstRow="1" w:lastRow="0" w:firstColumn="1" w:lastColumn="0" w:noHBand="0" w:noVBand="1"/>
      </w:tblPr>
      <w:tblGrid>
        <w:gridCol w:w="3842"/>
        <w:gridCol w:w="1217"/>
        <w:gridCol w:w="1217"/>
        <w:gridCol w:w="1217"/>
        <w:gridCol w:w="1217"/>
        <w:gridCol w:w="1217"/>
      </w:tblGrid>
      <w:tr w:rsidR="00EE5347" w:rsidRPr="00A0292D" w14:paraId="23A41BEB" w14:textId="77777777" w:rsidTr="00EE5347">
        <w:trPr>
          <w:cnfStyle w:val="100000000000" w:firstRow="1" w:lastRow="0" w:firstColumn="0" w:lastColumn="0" w:oddVBand="0" w:evenVBand="0" w:oddHBand="0"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4520E394"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Ratio</w:t>
            </w:r>
          </w:p>
        </w:tc>
        <w:tc>
          <w:tcPr>
            <w:tcW w:w="0" w:type="auto"/>
            <w:hideMark/>
          </w:tcPr>
          <w:p w14:paraId="19C77577"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2021</w:t>
            </w:r>
          </w:p>
        </w:tc>
        <w:tc>
          <w:tcPr>
            <w:tcW w:w="0" w:type="auto"/>
            <w:hideMark/>
          </w:tcPr>
          <w:p w14:paraId="13F221C3"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2022</w:t>
            </w:r>
          </w:p>
        </w:tc>
        <w:tc>
          <w:tcPr>
            <w:tcW w:w="0" w:type="auto"/>
            <w:hideMark/>
          </w:tcPr>
          <w:p w14:paraId="4B05ECE9"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2023</w:t>
            </w:r>
          </w:p>
        </w:tc>
        <w:tc>
          <w:tcPr>
            <w:tcW w:w="0" w:type="auto"/>
            <w:hideMark/>
          </w:tcPr>
          <w:p w14:paraId="3D5E93E4"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2024</w:t>
            </w:r>
          </w:p>
        </w:tc>
        <w:tc>
          <w:tcPr>
            <w:tcW w:w="0" w:type="auto"/>
            <w:hideMark/>
          </w:tcPr>
          <w:p w14:paraId="705C6538"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2025</w:t>
            </w:r>
          </w:p>
        </w:tc>
      </w:tr>
      <w:tr w:rsidR="00EE5347" w:rsidRPr="00A0292D" w14:paraId="0740905C" w14:textId="77777777" w:rsidTr="00EE5347">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0" w:type="auto"/>
            <w:hideMark/>
          </w:tcPr>
          <w:p w14:paraId="69CFC289"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Inventory turnover</w:t>
            </w:r>
          </w:p>
        </w:tc>
        <w:tc>
          <w:tcPr>
            <w:tcW w:w="0" w:type="auto"/>
            <w:hideMark/>
          </w:tcPr>
          <w:p w14:paraId="6266FC80"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7.74</w:t>
            </w:r>
          </w:p>
        </w:tc>
        <w:tc>
          <w:tcPr>
            <w:tcW w:w="0" w:type="auto"/>
            <w:hideMark/>
          </w:tcPr>
          <w:p w14:paraId="23F1A892"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6.65</w:t>
            </w:r>
          </w:p>
        </w:tc>
        <w:tc>
          <w:tcPr>
            <w:tcW w:w="0" w:type="auto"/>
            <w:hideMark/>
          </w:tcPr>
          <w:p w14:paraId="08DCBC5D"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7.24</w:t>
            </w:r>
          </w:p>
        </w:tc>
        <w:tc>
          <w:tcPr>
            <w:tcW w:w="0" w:type="auto"/>
            <w:hideMark/>
          </w:tcPr>
          <w:p w14:paraId="1732EEAA"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7.75</w:t>
            </w:r>
          </w:p>
        </w:tc>
        <w:tc>
          <w:tcPr>
            <w:tcW w:w="0" w:type="auto"/>
            <w:hideMark/>
          </w:tcPr>
          <w:p w14:paraId="17FAB00D"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8.36</w:t>
            </w:r>
          </w:p>
        </w:tc>
      </w:tr>
      <w:tr w:rsidR="00EE5347" w:rsidRPr="00A0292D" w14:paraId="464F8CAA" w14:textId="77777777" w:rsidTr="00EE5347">
        <w:trPr>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52EEBE49"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Receivables turnover</w:t>
            </w:r>
          </w:p>
        </w:tc>
        <w:tc>
          <w:tcPr>
            <w:tcW w:w="0" w:type="auto"/>
            <w:hideMark/>
          </w:tcPr>
          <w:p w14:paraId="2C06DE72"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2.77</w:t>
            </w:r>
          </w:p>
        </w:tc>
        <w:tc>
          <w:tcPr>
            <w:tcW w:w="0" w:type="auto"/>
            <w:hideMark/>
          </w:tcPr>
          <w:p w14:paraId="1E9092C8"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2.99</w:t>
            </w:r>
          </w:p>
        </w:tc>
        <w:tc>
          <w:tcPr>
            <w:tcW w:w="0" w:type="auto"/>
            <w:hideMark/>
          </w:tcPr>
          <w:p w14:paraId="2B5BD48E"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3.08</w:t>
            </w:r>
          </w:p>
        </w:tc>
        <w:tc>
          <w:tcPr>
            <w:tcW w:w="0" w:type="auto"/>
            <w:hideMark/>
          </w:tcPr>
          <w:p w14:paraId="7CF61384"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3.01</w:t>
            </w:r>
          </w:p>
        </w:tc>
        <w:tc>
          <w:tcPr>
            <w:tcW w:w="0" w:type="auto"/>
            <w:hideMark/>
          </w:tcPr>
          <w:p w14:paraId="0757972F"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3.13</w:t>
            </w:r>
          </w:p>
        </w:tc>
      </w:tr>
      <w:tr w:rsidR="00EE5347" w:rsidRPr="00A0292D" w14:paraId="2272F192" w14:textId="77777777" w:rsidTr="00EE5347">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74D41E23"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Total asset turnover</w:t>
            </w:r>
          </w:p>
        </w:tc>
        <w:tc>
          <w:tcPr>
            <w:tcW w:w="0" w:type="auto"/>
            <w:hideMark/>
          </w:tcPr>
          <w:p w14:paraId="08951064"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0.44</w:t>
            </w:r>
          </w:p>
        </w:tc>
        <w:tc>
          <w:tcPr>
            <w:tcW w:w="0" w:type="auto"/>
            <w:hideMark/>
          </w:tcPr>
          <w:p w14:paraId="59A2808D"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0.46</w:t>
            </w:r>
          </w:p>
        </w:tc>
        <w:tc>
          <w:tcPr>
            <w:tcW w:w="0" w:type="auto"/>
            <w:hideMark/>
          </w:tcPr>
          <w:p w14:paraId="4A2A9237"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0.50</w:t>
            </w:r>
          </w:p>
        </w:tc>
        <w:tc>
          <w:tcPr>
            <w:tcW w:w="0" w:type="auto"/>
            <w:hideMark/>
          </w:tcPr>
          <w:p w14:paraId="5E381E85"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0.50</w:t>
            </w:r>
          </w:p>
        </w:tc>
        <w:tc>
          <w:tcPr>
            <w:tcW w:w="0" w:type="auto"/>
            <w:hideMark/>
          </w:tcPr>
          <w:p w14:paraId="29F7CCA7"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0.51</w:t>
            </w:r>
          </w:p>
        </w:tc>
      </w:tr>
      <w:tr w:rsidR="00EE5347" w:rsidRPr="00A0292D" w14:paraId="6D5A634B" w14:textId="77777777" w:rsidTr="00EE5347">
        <w:trPr>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2EAA2BC8"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Inventory days</w:t>
            </w:r>
          </w:p>
        </w:tc>
        <w:tc>
          <w:tcPr>
            <w:tcW w:w="0" w:type="auto"/>
            <w:hideMark/>
          </w:tcPr>
          <w:p w14:paraId="515E64E8"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47.1</w:t>
            </w:r>
          </w:p>
        </w:tc>
        <w:tc>
          <w:tcPr>
            <w:tcW w:w="0" w:type="auto"/>
            <w:hideMark/>
          </w:tcPr>
          <w:p w14:paraId="2D51FC89"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54.9</w:t>
            </w:r>
          </w:p>
        </w:tc>
        <w:tc>
          <w:tcPr>
            <w:tcW w:w="0" w:type="auto"/>
            <w:hideMark/>
          </w:tcPr>
          <w:p w14:paraId="3D51EEF5"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50.4</w:t>
            </w:r>
          </w:p>
        </w:tc>
        <w:tc>
          <w:tcPr>
            <w:tcW w:w="0" w:type="auto"/>
            <w:hideMark/>
          </w:tcPr>
          <w:p w14:paraId="0B490905"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47.1</w:t>
            </w:r>
          </w:p>
        </w:tc>
        <w:tc>
          <w:tcPr>
            <w:tcW w:w="0" w:type="auto"/>
            <w:hideMark/>
          </w:tcPr>
          <w:p w14:paraId="0BEBBA65"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43.7</w:t>
            </w:r>
          </w:p>
        </w:tc>
      </w:tr>
      <w:tr w:rsidR="00EE5347" w:rsidRPr="00A0292D" w14:paraId="6A6B58D6" w14:textId="77777777" w:rsidTr="00EE5347">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0" w:type="auto"/>
            <w:hideMark/>
          </w:tcPr>
          <w:p w14:paraId="3FA033B3"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Receivables days</w:t>
            </w:r>
          </w:p>
        </w:tc>
        <w:tc>
          <w:tcPr>
            <w:tcW w:w="0" w:type="auto"/>
            <w:hideMark/>
          </w:tcPr>
          <w:p w14:paraId="7FEC32D0"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131.9</w:t>
            </w:r>
          </w:p>
        </w:tc>
        <w:tc>
          <w:tcPr>
            <w:tcW w:w="0" w:type="auto"/>
            <w:hideMark/>
          </w:tcPr>
          <w:p w14:paraId="23665F22"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122.0</w:t>
            </w:r>
          </w:p>
        </w:tc>
        <w:tc>
          <w:tcPr>
            <w:tcW w:w="0" w:type="auto"/>
            <w:hideMark/>
          </w:tcPr>
          <w:p w14:paraId="295C61B6"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118.7</w:t>
            </w:r>
          </w:p>
        </w:tc>
        <w:tc>
          <w:tcPr>
            <w:tcW w:w="0" w:type="auto"/>
            <w:hideMark/>
          </w:tcPr>
          <w:p w14:paraId="581D4C19"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121.1</w:t>
            </w:r>
          </w:p>
        </w:tc>
        <w:tc>
          <w:tcPr>
            <w:tcW w:w="0" w:type="auto"/>
            <w:hideMark/>
          </w:tcPr>
          <w:p w14:paraId="76FD31C5"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116.6</w:t>
            </w:r>
          </w:p>
        </w:tc>
      </w:tr>
      <w:tr w:rsidR="00EE5347" w:rsidRPr="00A0292D" w14:paraId="62C15935" w14:textId="77777777" w:rsidTr="00EE5347">
        <w:trPr>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333BF6C4"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Payables days</w:t>
            </w:r>
          </w:p>
        </w:tc>
        <w:tc>
          <w:tcPr>
            <w:tcW w:w="0" w:type="auto"/>
            <w:hideMark/>
          </w:tcPr>
          <w:p w14:paraId="1E767BB2"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66.1</w:t>
            </w:r>
          </w:p>
        </w:tc>
        <w:tc>
          <w:tcPr>
            <w:tcW w:w="0" w:type="auto"/>
            <w:hideMark/>
          </w:tcPr>
          <w:p w14:paraId="427421DF"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61.6</w:t>
            </w:r>
          </w:p>
        </w:tc>
        <w:tc>
          <w:tcPr>
            <w:tcW w:w="0" w:type="auto"/>
            <w:hideMark/>
          </w:tcPr>
          <w:p w14:paraId="7C44496A"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59.1</w:t>
            </w:r>
          </w:p>
        </w:tc>
        <w:tc>
          <w:tcPr>
            <w:tcW w:w="0" w:type="auto"/>
            <w:hideMark/>
          </w:tcPr>
          <w:p w14:paraId="62C16CCE"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53.6</w:t>
            </w:r>
          </w:p>
        </w:tc>
        <w:tc>
          <w:tcPr>
            <w:tcW w:w="0" w:type="auto"/>
            <w:hideMark/>
          </w:tcPr>
          <w:p w14:paraId="3177FA12"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52.5</w:t>
            </w:r>
          </w:p>
        </w:tc>
      </w:tr>
    </w:tbl>
    <w:p w14:paraId="2E8829D6" w14:textId="77777777" w:rsidR="00EE5347" w:rsidRPr="00A0292D" w:rsidRDefault="00EE5347" w:rsidP="00EE5347">
      <w:pPr>
        <w:rPr>
          <w:rFonts w:asciiTheme="minorBidi" w:hAnsiTheme="minorBidi" w:cstheme="minorBidi"/>
        </w:rPr>
      </w:pPr>
      <w:r w:rsidRPr="00A0292D">
        <w:rPr>
          <w:rFonts w:asciiTheme="minorBidi" w:hAnsiTheme="minorBidi" w:cstheme="minorBidi"/>
          <w:noProof/>
        </w:rPr>
        <w:drawing>
          <wp:inline distT="0" distB="0" distL="0" distR="0" wp14:anchorId="558D4516" wp14:editId="69D81BEA">
            <wp:extent cx="6248400" cy="2950845"/>
            <wp:effectExtent l="0" t="0" r="12700" b="8255"/>
            <wp:docPr id="1060662500" name="Chart 1">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B9B994" w14:textId="77777777" w:rsidR="004F56BC" w:rsidRPr="00A0292D" w:rsidRDefault="00125647" w:rsidP="00566FB5">
      <w:pPr>
        <w:pStyle w:val="Heading2"/>
        <w:rPr>
          <w:rFonts w:asciiTheme="minorBidi" w:hAnsiTheme="minorBidi" w:cstheme="minorBidi"/>
        </w:rPr>
      </w:pPr>
      <w:bookmarkStart w:id="9" w:name="_Toc227788456"/>
      <w:r w:rsidRPr="00A0292D">
        <w:rPr>
          <w:rFonts w:asciiTheme="minorBidi" w:hAnsiTheme="minorBidi" w:cstheme="minorBidi"/>
        </w:rPr>
        <w:t>2.5 Gearing and Capital Structure</w:t>
      </w:r>
      <w:bookmarkEnd w:id="9"/>
    </w:p>
    <w:p w14:paraId="48113D81" w14:textId="77777777" w:rsidR="004F56BC"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capital structure of Toyota indicates that its liability is increasing, as well as its equity. In 2021, total liabilities were JPY 38.86 trillion and in 2025, it was JPY 57.68 trillion. The increase in total equity was also JPY 23.40 trillion to JPY 35.92 trillion. Consequently, debt-to-equity ratio was relatively steady (ranging between 1.58 to 1.66 times), whereas debt ratio was near to 61% to 62 percent. This stability must be taken in a cautious way. It represents an increase in the balance sheet as opposed to decreased financial strain. The net debt increased to JPY 17.41 trillion by moving up to JPY 12.00 trillion, and long-term debt increased significantly. Toyota thus seems firm on the headline gearing, but more extended when cash-backed debt capacity is taken into consideration</w:t>
      </w:r>
      <w:r w:rsidR="00C51075" w:rsidRPr="00A0292D">
        <w:rPr>
          <w:rFonts w:asciiTheme="minorBidi" w:hAnsiTheme="minorBidi" w:cstheme="minorBidi"/>
          <w:sz w:val="24"/>
          <w:szCs w:val="24"/>
        </w:rPr>
        <w:t xml:space="preserve"> (Watson and Head, 2010).</w:t>
      </w:r>
      <w:r w:rsidRPr="00A0292D">
        <w:rPr>
          <w:rFonts w:asciiTheme="minorBidi" w:hAnsiTheme="minorBidi" w:cstheme="minorBidi"/>
          <w:sz w:val="24"/>
          <w:szCs w:val="24"/>
        </w:rPr>
        <w:t>.</w:t>
      </w:r>
    </w:p>
    <w:p w14:paraId="5871566D" w14:textId="77777777" w:rsidR="00566FB5" w:rsidRPr="00566FB5" w:rsidRDefault="00566FB5" w:rsidP="00EE5347">
      <w:pPr>
        <w:spacing w:before="60" w:after="100" w:line="360" w:lineRule="auto"/>
        <w:jc w:val="center"/>
        <w:rPr>
          <w:rFonts w:asciiTheme="minorBidi" w:hAnsiTheme="minorBidi" w:cstheme="minorBidi"/>
          <w:b/>
          <w:bCs/>
        </w:rPr>
      </w:pPr>
      <w:r w:rsidRPr="00566FB5">
        <w:rPr>
          <w:rFonts w:asciiTheme="minorBidi" w:hAnsiTheme="minorBidi" w:cstheme="minorBidi"/>
          <w:b/>
          <w:bCs/>
        </w:rPr>
        <w:t xml:space="preserve">Table </w:t>
      </w:r>
      <w:r w:rsidR="00EE5347" w:rsidRPr="00A0292D">
        <w:rPr>
          <w:rFonts w:asciiTheme="minorBidi" w:hAnsiTheme="minorBidi" w:cstheme="minorBidi"/>
          <w:b/>
          <w:bCs/>
        </w:rPr>
        <w:t>5</w:t>
      </w:r>
      <w:r w:rsidRPr="00566FB5">
        <w:rPr>
          <w:rFonts w:asciiTheme="minorBidi" w:hAnsiTheme="minorBidi" w:cstheme="minorBidi"/>
          <w:b/>
          <w:bCs/>
        </w:rPr>
        <w:t xml:space="preserve"> Gearing ratios, 2021 to 2025</w:t>
      </w:r>
    </w:p>
    <w:tbl>
      <w:tblPr>
        <w:tblStyle w:val="GridTable4-Accent1"/>
        <w:tblW w:w="9807" w:type="dxa"/>
        <w:tblLook w:val="04A0" w:firstRow="1" w:lastRow="0" w:firstColumn="1" w:lastColumn="0" w:noHBand="0" w:noVBand="1"/>
      </w:tblPr>
      <w:tblGrid>
        <w:gridCol w:w="3442"/>
        <w:gridCol w:w="1273"/>
        <w:gridCol w:w="1273"/>
        <w:gridCol w:w="1273"/>
        <w:gridCol w:w="1273"/>
        <w:gridCol w:w="1273"/>
      </w:tblGrid>
      <w:tr w:rsidR="00EE5347" w:rsidRPr="00A0292D" w14:paraId="47426F7B" w14:textId="77777777" w:rsidTr="00EE5347">
        <w:trPr>
          <w:cnfStyle w:val="100000000000" w:firstRow="1" w:lastRow="0" w:firstColumn="0" w:lastColumn="0" w:oddVBand="0" w:evenVBand="0" w:oddHBand="0"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0F0D8844" w14:textId="77777777" w:rsidR="00EE5347" w:rsidRPr="00566FB5" w:rsidRDefault="00EE5347" w:rsidP="00EE5347">
            <w:pPr>
              <w:spacing w:before="60" w:after="100" w:line="360" w:lineRule="auto"/>
              <w:jc w:val="center"/>
              <w:rPr>
                <w:rFonts w:asciiTheme="minorBidi" w:hAnsiTheme="minorBidi" w:cstheme="minorBidi"/>
              </w:rPr>
            </w:pPr>
            <w:r w:rsidRPr="00566FB5">
              <w:rPr>
                <w:rFonts w:asciiTheme="minorBidi" w:hAnsiTheme="minorBidi" w:cstheme="minorBidi"/>
              </w:rPr>
              <w:t>Ratio</w:t>
            </w:r>
          </w:p>
        </w:tc>
        <w:tc>
          <w:tcPr>
            <w:tcW w:w="0" w:type="auto"/>
            <w:hideMark/>
          </w:tcPr>
          <w:p w14:paraId="15314510"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2021</w:t>
            </w:r>
          </w:p>
        </w:tc>
        <w:tc>
          <w:tcPr>
            <w:tcW w:w="0" w:type="auto"/>
            <w:hideMark/>
          </w:tcPr>
          <w:p w14:paraId="1E333EAC"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2022</w:t>
            </w:r>
          </w:p>
        </w:tc>
        <w:tc>
          <w:tcPr>
            <w:tcW w:w="0" w:type="auto"/>
            <w:hideMark/>
          </w:tcPr>
          <w:p w14:paraId="2EF80761"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2023</w:t>
            </w:r>
          </w:p>
        </w:tc>
        <w:tc>
          <w:tcPr>
            <w:tcW w:w="0" w:type="auto"/>
            <w:hideMark/>
          </w:tcPr>
          <w:p w14:paraId="7C3FE53B"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2024</w:t>
            </w:r>
          </w:p>
        </w:tc>
        <w:tc>
          <w:tcPr>
            <w:tcW w:w="0" w:type="auto"/>
            <w:hideMark/>
          </w:tcPr>
          <w:p w14:paraId="3A4A1633"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2025</w:t>
            </w:r>
          </w:p>
        </w:tc>
      </w:tr>
      <w:tr w:rsidR="00EE5347" w:rsidRPr="00A0292D" w14:paraId="053D3459" w14:textId="77777777" w:rsidTr="00EE5347">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5ABB8A10" w14:textId="77777777" w:rsidR="00EE5347" w:rsidRPr="00566FB5" w:rsidRDefault="00EE5347" w:rsidP="00EE5347">
            <w:pPr>
              <w:spacing w:before="60" w:after="100" w:line="360" w:lineRule="auto"/>
              <w:jc w:val="center"/>
              <w:rPr>
                <w:rFonts w:asciiTheme="minorBidi" w:hAnsiTheme="minorBidi" w:cstheme="minorBidi"/>
              </w:rPr>
            </w:pPr>
            <w:r w:rsidRPr="00566FB5">
              <w:rPr>
                <w:rFonts w:asciiTheme="minorBidi" w:hAnsiTheme="minorBidi" w:cstheme="minorBidi"/>
              </w:rPr>
              <w:t>Debt to equity</w:t>
            </w:r>
          </w:p>
        </w:tc>
        <w:tc>
          <w:tcPr>
            <w:tcW w:w="0" w:type="auto"/>
            <w:hideMark/>
          </w:tcPr>
          <w:p w14:paraId="67AC737B"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1.66</w:t>
            </w:r>
          </w:p>
        </w:tc>
        <w:tc>
          <w:tcPr>
            <w:tcW w:w="0" w:type="auto"/>
            <w:hideMark/>
          </w:tcPr>
          <w:p w14:paraId="5DD7368F"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1.58</w:t>
            </w:r>
          </w:p>
        </w:tc>
        <w:tc>
          <w:tcPr>
            <w:tcW w:w="0" w:type="auto"/>
            <w:hideMark/>
          </w:tcPr>
          <w:p w14:paraId="2454F5FA"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1.62</w:t>
            </w:r>
          </w:p>
        </w:tc>
        <w:tc>
          <w:tcPr>
            <w:tcW w:w="0" w:type="auto"/>
            <w:hideMark/>
          </w:tcPr>
          <w:p w14:paraId="6A6D2C1E"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1.63</w:t>
            </w:r>
          </w:p>
        </w:tc>
        <w:tc>
          <w:tcPr>
            <w:tcW w:w="0" w:type="auto"/>
            <w:hideMark/>
          </w:tcPr>
          <w:p w14:paraId="794272DB"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1.61</w:t>
            </w:r>
          </w:p>
        </w:tc>
      </w:tr>
      <w:tr w:rsidR="00EE5347" w:rsidRPr="00A0292D" w14:paraId="42D76204" w14:textId="77777777" w:rsidTr="00EE5347">
        <w:trPr>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180DE651" w14:textId="77777777" w:rsidR="00EE5347" w:rsidRPr="00566FB5" w:rsidRDefault="00EE5347" w:rsidP="00EE5347">
            <w:pPr>
              <w:spacing w:before="60" w:after="100" w:line="360" w:lineRule="auto"/>
              <w:jc w:val="center"/>
              <w:rPr>
                <w:rFonts w:asciiTheme="minorBidi" w:hAnsiTheme="minorBidi" w:cstheme="minorBidi"/>
              </w:rPr>
            </w:pPr>
            <w:r w:rsidRPr="00566FB5">
              <w:rPr>
                <w:rFonts w:asciiTheme="minorBidi" w:hAnsiTheme="minorBidi" w:cstheme="minorBidi"/>
              </w:rPr>
              <w:t>Debt ratio %</w:t>
            </w:r>
          </w:p>
        </w:tc>
        <w:tc>
          <w:tcPr>
            <w:tcW w:w="0" w:type="auto"/>
            <w:hideMark/>
          </w:tcPr>
          <w:p w14:paraId="68497CCD"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62.40</w:t>
            </w:r>
          </w:p>
        </w:tc>
        <w:tc>
          <w:tcPr>
            <w:tcW w:w="0" w:type="auto"/>
            <w:hideMark/>
          </w:tcPr>
          <w:p w14:paraId="6645BA55"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61.22</w:t>
            </w:r>
          </w:p>
        </w:tc>
        <w:tc>
          <w:tcPr>
            <w:tcW w:w="0" w:type="auto"/>
            <w:hideMark/>
          </w:tcPr>
          <w:p w14:paraId="1C0A445E"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61.86</w:t>
            </w:r>
          </w:p>
        </w:tc>
        <w:tc>
          <w:tcPr>
            <w:tcW w:w="0" w:type="auto"/>
            <w:hideMark/>
          </w:tcPr>
          <w:p w14:paraId="50ED9CCB"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62.02</w:t>
            </w:r>
          </w:p>
        </w:tc>
        <w:tc>
          <w:tcPr>
            <w:tcW w:w="0" w:type="auto"/>
            <w:hideMark/>
          </w:tcPr>
          <w:p w14:paraId="46A4FEFF"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61.62</w:t>
            </w:r>
          </w:p>
        </w:tc>
      </w:tr>
      <w:tr w:rsidR="00EE5347" w:rsidRPr="00A0292D" w14:paraId="37B7F193" w14:textId="77777777" w:rsidTr="00EE5347">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0" w:type="auto"/>
            <w:hideMark/>
          </w:tcPr>
          <w:p w14:paraId="5BD80413" w14:textId="77777777" w:rsidR="00EE5347" w:rsidRPr="00566FB5" w:rsidRDefault="00EE5347" w:rsidP="00EE5347">
            <w:pPr>
              <w:spacing w:before="60" w:after="100" w:line="360" w:lineRule="auto"/>
              <w:jc w:val="center"/>
              <w:rPr>
                <w:rFonts w:asciiTheme="minorBidi" w:hAnsiTheme="minorBidi" w:cstheme="minorBidi"/>
              </w:rPr>
            </w:pPr>
            <w:r w:rsidRPr="00566FB5">
              <w:rPr>
                <w:rFonts w:asciiTheme="minorBidi" w:hAnsiTheme="minorBidi" w:cstheme="minorBidi"/>
              </w:rPr>
              <w:t>Net debt to equity</w:t>
            </w:r>
          </w:p>
        </w:tc>
        <w:tc>
          <w:tcPr>
            <w:tcW w:w="0" w:type="auto"/>
            <w:hideMark/>
          </w:tcPr>
          <w:p w14:paraId="092137D4"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0.51</w:t>
            </w:r>
          </w:p>
        </w:tc>
        <w:tc>
          <w:tcPr>
            <w:tcW w:w="0" w:type="auto"/>
            <w:hideMark/>
          </w:tcPr>
          <w:p w14:paraId="5A677B35"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0.52</w:t>
            </w:r>
          </w:p>
        </w:tc>
        <w:tc>
          <w:tcPr>
            <w:tcW w:w="0" w:type="auto"/>
            <w:hideMark/>
          </w:tcPr>
          <w:p w14:paraId="4EEE8D20"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0.55</w:t>
            </w:r>
          </w:p>
        </w:tc>
        <w:tc>
          <w:tcPr>
            <w:tcW w:w="0" w:type="auto"/>
            <w:hideMark/>
          </w:tcPr>
          <w:p w14:paraId="30A8DB8B"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0.50</w:t>
            </w:r>
          </w:p>
        </w:tc>
        <w:tc>
          <w:tcPr>
            <w:tcW w:w="0" w:type="auto"/>
            <w:hideMark/>
          </w:tcPr>
          <w:p w14:paraId="58FB31F2"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0.48</w:t>
            </w:r>
          </w:p>
        </w:tc>
      </w:tr>
    </w:tbl>
    <w:p w14:paraId="26BB5405" w14:textId="77777777" w:rsidR="00EE5347" w:rsidRPr="00A0292D" w:rsidRDefault="00EE5347" w:rsidP="00EE5347">
      <w:pPr>
        <w:rPr>
          <w:rFonts w:asciiTheme="minorBidi" w:hAnsiTheme="minorBidi" w:cstheme="minorBidi"/>
        </w:rPr>
      </w:pPr>
      <w:r w:rsidRPr="00A0292D">
        <w:rPr>
          <w:rFonts w:asciiTheme="minorBidi" w:hAnsiTheme="minorBidi" w:cstheme="minorBidi"/>
          <w:noProof/>
        </w:rPr>
        <w:drawing>
          <wp:inline distT="0" distB="0" distL="0" distR="0" wp14:anchorId="1D205CF5" wp14:editId="7A5D1D79">
            <wp:extent cx="6248400" cy="2950845"/>
            <wp:effectExtent l="0" t="0" r="12700" b="8255"/>
            <wp:docPr id="1673296813" name="Chart 1">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92FF75" w14:textId="77777777" w:rsidR="004F56BC" w:rsidRPr="00A0292D" w:rsidRDefault="00125647" w:rsidP="00EE5347">
      <w:pPr>
        <w:pStyle w:val="Heading2"/>
        <w:rPr>
          <w:rFonts w:asciiTheme="minorBidi" w:hAnsiTheme="minorBidi" w:cstheme="minorBidi"/>
        </w:rPr>
      </w:pPr>
      <w:bookmarkStart w:id="10" w:name="_Toc227788457"/>
      <w:r w:rsidRPr="00A0292D">
        <w:rPr>
          <w:rFonts w:asciiTheme="minorBidi" w:hAnsiTheme="minorBidi" w:cstheme="minorBidi"/>
        </w:rPr>
        <w:t>2.6 Investment Ratios</w:t>
      </w:r>
      <w:bookmarkEnd w:id="10"/>
    </w:p>
    <w:p w14:paraId="515F1BD2" w14:textId="77777777" w:rsidR="00EE5347" w:rsidRPr="00EE5347"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ratios of investment indicate a better performance trend of shareholders over the period. Diluted EPS rose from JPY 158.93 in 2021 to JPY 359.56 in 2025, after peaking in 2024 at JPY 365.94. The retained earnings also improved consistently between JPY 24.10 trillion to JPY 35.84 trillion. These are the numbers which suggest Toyota was still creating value to shareholders and building internal reserves</w:t>
      </w:r>
      <w:r w:rsidR="00EE5347" w:rsidRPr="00EE5347">
        <w:rPr>
          <w:rFonts w:asciiTheme="minorBidi" w:hAnsiTheme="minorBidi" w:cstheme="minorBidi"/>
          <w:sz w:val="24"/>
          <w:szCs w:val="24"/>
        </w:rPr>
        <w:t xml:space="preserve">. </w:t>
      </w:r>
    </w:p>
    <w:p w14:paraId="48BB2BEB" w14:textId="77777777" w:rsidR="004F56BC" w:rsidRPr="00A0292D" w:rsidRDefault="00A31045" w:rsidP="00A31045">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Nevertheless, the dividend record presented in the assignment data is not complete, and only 2021 has a figure of dividend per share. Meanwhile, the amount of total dividends paid increased to JPY 0.63 trillion in 2021 to JPY 1.13 trillion in 2025. This implies that the amount of investments that were made in the shareholders was high at a time when there was negative free cash flow (Fridson and Alvarez, 2022</w:t>
      </w:r>
      <w:r w:rsidR="00EE5347" w:rsidRPr="00EE5347">
        <w:rPr>
          <w:rFonts w:asciiTheme="minorBidi" w:hAnsiTheme="minorBidi" w:cstheme="minorBidi"/>
          <w:sz w:val="24"/>
          <w:szCs w:val="24"/>
        </w:rPr>
        <w:t>)</w:t>
      </w:r>
      <w:r w:rsidRPr="00A0292D">
        <w:rPr>
          <w:rFonts w:asciiTheme="minorBidi" w:hAnsiTheme="minorBidi" w:cstheme="minorBidi"/>
          <w:sz w:val="24"/>
          <w:szCs w:val="24"/>
        </w:rPr>
        <w:t>.</w:t>
      </w:r>
    </w:p>
    <w:p w14:paraId="4F90AE09" w14:textId="77777777" w:rsidR="00566FB5" w:rsidRPr="00566FB5" w:rsidRDefault="00566FB5" w:rsidP="00EE5347">
      <w:pPr>
        <w:spacing w:before="60" w:after="100" w:line="360" w:lineRule="auto"/>
        <w:jc w:val="center"/>
        <w:rPr>
          <w:rFonts w:asciiTheme="minorBidi" w:hAnsiTheme="minorBidi" w:cstheme="minorBidi"/>
          <w:b/>
          <w:bCs/>
        </w:rPr>
      </w:pPr>
      <w:r w:rsidRPr="00566FB5">
        <w:rPr>
          <w:rFonts w:asciiTheme="minorBidi" w:hAnsiTheme="minorBidi" w:cstheme="minorBidi"/>
          <w:b/>
          <w:bCs/>
        </w:rPr>
        <w:t xml:space="preserve">Table </w:t>
      </w:r>
      <w:r w:rsidR="00EE5347" w:rsidRPr="00A0292D">
        <w:rPr>
          <w:rFonts w:asciiTheme="minorBidi" w:hAnsiTheme="minorBidi" w:cstheme="minorBidi"/>
          <w:b/>
          <w:bCs/>
        </w:rPr>
        <w:t>6</w:t>
      </w:r>
      <w:r w:rsidRPr="00566FB5">
        <w:rPr>
          <w:rFonts w:asciiTheme="minorBidi" w:hAnsiTheme="minorBidi" w:cstheme="minorBidi"/>
          <w:b/>
          <w:bCs/>
        </w:rPr>
        <w:t xml:space="preserve"> Investment ratios and shareholder indicators, 2021 to 2025</w:t>
      </w:r>
    </w:p>
    <w:tbl>
      <w:tblPr>
        <w:tblStyle w:val="GridTable4-Accent1"/>
        <w:tblW w:w="9694" w:type="dxa"/>
        <w:tblLook w:val="04A0" w:firstRow="1" w:lastRow="0" w:firstColumn="1" w:lastColumn="0" w:noHBand="0" w:noVBand="1"/>
      </w:tblPr>
      <w:tblGrid>
        <w:gridCol w:w="3919"/>
        <w:gridCol w:w="1155"/>
        <w:gridCol w:w="1155"/>
        <w:gridCol w:w="1155"/>
        <w:gridCol w:w="1155"/>
        <w:gridCol w:w="1155"/>
      </w:tblGrid>
      <w:tr w:rsidR="00EE5347" w:rsidRPr="00A0292D" w14:paraId="4768B511" w14:textId="77777777" w:rsidTr="00EE534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7C717D09"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Indicator</w:t>
            </w:r>
          </w:p>
        </w:tc>
        <w:tc>
          <w:tcPr>
            <w:tcW w:w="0" w:type="auto"/>
            <w:hideMark/>
          </w:tcPr>
          <w:p w14:paraId="28D6C672"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2021</w:t>
            </w:r>
          </w:p>
        </w:tc>
        <w:tc>
          <w:tcPr>
            <w:tcW w:w="0" w:type="auto"/>
            <w:hideMark/>
          </w:tcPr>
          <w:p w14:paraId="5287C6C6"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2022</w:t>
            </w:r>
          </w:p>
        </w:tc>
        <w:tc>
          <w:tcPr>
            <w:tcW w:w="0" w:type="auto"/>
            <w:hideMark/>
          </w:tcPr>
          <w:p w14:paraId="3DE17F15"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2023</w:t>
            </w:r>
          </w:p>
        </w:tc>
        <w:tc>
          <w:tcPr>
            <w:tcW w:w="0" w:type="auto"/>
            <w:hideMark/>
          </w:tcPr>
          <w:p w14:paraId="0ED52AB7"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2024</w:t>
            </w:r>
          </w:p>
        </w:tc>
        <w:tc>
          <w:tcPr>
            <w:tcW w:w="0" w:type="auto"/>
            <w:hideMark/>
          </w:tcPr>
          <w:p w14:paraId="22D4590B"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2025</w:t>
            </w:r>
          </w:p>
        </w:tc>
      </w:tr>
      <w:tr w:rsidR="00EE5347" w:rsidRPr="00A0292D" w14:paraId="6E414590" w14:textId="77777777" w:rsidTr="00EE534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16F71E40"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Diluted EPS (JPY)</w:t>
            </w:r>
          </w:p>
        </w:tc>
        <w:tc>
          <w:tcPr>
            <w:tcW w:w="0" w:type="auto"/>
            <w:hideMark/>
          </w:tcPr>
          <w:p w14:paraId="21504542"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158.93</w:t>
            </w:r>
          </w:p>
        </w:tc>
        <w:tc>
          <w:tcPr>
            <w:tcW w:w="0" w:type="auto"/>
            <w:hideMark/>
          </w:tcPr>
          <w:p w14:paraId="1F7DBDCF"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205.23</w:t>
            </w:r>
          </w:p>
        </w:tc>
        <w:tc>
          <w:tcPr>
            <w:tcW w:w="0" w:type="auto"/>
            <w:hideMark/>
          </w:tcPr>
          <w:p w14:paraId="35E776F5"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179.47</w:t>
            </w:r>
          </w:p>
        </w:tc>
        <w:tc>
          <w:tcPr>
            <w:tcW w:w="0" w:type="auto"/>
            <w:hideMark/>
          </w:tcPr>
          <w:p w14:paraId="0BCB56CB"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365.94</w:t>
            </w:r>
          </w:p>
        </w:tc>
        <w:tc>
          <w:tcPr>
            <w:tcW w:w="0" w:type="auto"/>
            <w:hideMark/>
          </w:tcPr>
          <w:p w14:paraId="12CD6FA8"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359.56</w:t>
            </w:r>
          </w:p>
        </w:tc>
      </w:tr>
      <w:tr w:rsidR="00EE5347" w:rsidRPr="00A0292D" w14:paraId="09569273" w14:textId="77777777" w:rsidTr="00EE5347">
        <w:trPr>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591694BB"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Dividend per share (JPY)</w:t>
            </w:r>
          </w:p>
        </w:tc>
        <w:tc>
          <w:tcPr>
            <w:tcW w:w="0" w:type="auto"/>
            <w:hideMark/>
          </w:tcPr>
          <w:p w14:paraId="5254A7AB"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47.00</w:t>
            </w:r>
          </w:p>
        </w:tc>
        <w:tc>
          <w:tcPr>
            <w:tcW w:w="0" w:type="auto"/>
            <w:hideMark/>
          </w:tcPr>
          <w:p w14:paraId="14B12DE1"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n/a</w:t>
            </w:r>
          </w:p>
        </w:tc>
        <w:tc>
          <w:tcPr>
            <w:tcW w:w="0" w:type="auto"/>
            <w:hideMark/>
          </w:tcPr>
          <w:p w14:paraId="6C39D3A6"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n/a</w:t>
            </w:r>
          </w:p>
        </w:tc>
        <w:tc>
          <w:tcPr>
            <w:tcW w:w="0" w:type="auto"/>
            <w:hideMark/>
          </w:tcPr>
          <w:p w14:paraId="01796904"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n/a</w:t>
            </w:r>
          </w:p>
        </w:tc>
        <w:tc>
          <w:tcPr>
            <w:tcW w:w="0" w:type="auto"/>
            <w:hideMark/>
          </w:tcPr>
          <w:p w14:paraId="29BE6C89"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n/a</w:t>
            </w:r>
          </w:p>
        </w:tc>
      </w:tr>
      <w:tr w:rsidR="00EE5347" w:rsidRPr="00A0292D" w14:paraId="42D03D0E" w14:textId="77777777" w:rsidTr="00EE534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593CFA1D"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Retained earnings (JPY tn)</w:t>
            </w:r>
          </w:p>
        </w:tc>
        <w:tc>
          <w:tcPr>
            <w:tcW w:w="0" w:type="auto"/>
            <w:hideMark/>
          </w:tcPr>
          <w:p w14:paraId="135412CD"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24.10</w:t>
            </w:r>
          </w:p>
        </w:tc>
        <w:tc>
          <w:tcPr>
            <w:tcW w:w="0" w:type="auto"/>
            <w:hideMark/>
          </w:tcPr>
          <w:p w14:paraId="1B61FFB1"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26.45</w:t>
            </w:r>
          </w:p>
        </w:tc>
        <w:tc>
          <w:tcPr>
            <w:tcW w:w="0" w:type="auto"/>
            <w:hideMark/>
          </w:tcPr>
          <w:p w14:paraId="199AEC24"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28.34</w:t>
            </w:r>
          </w:p>
        </w:tc>
        <w:tc>
          <w:tcPr>
            <w:tcW w:w="0" w:type="auto"/>
            <w:hideMark/>
          </w:tcPr>
          <w:p w14:paraId="6761D573"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32.80</w:t>
            </w:r>
          </w:p>
        </w:tc>
        <w:tc>
          <w:tcPr>
            <w:tcW w:w="0" w:type="auto"/>
            <w:hideMark/>
          </w:tcPr>
          <w:p w14:paraId="2F469BB5"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35.84</w:t>
            </w:r>
          </w:p>
        </w:tc>
      </w:tr>
      <w:tr w:rsidR="00EE5347" w:rsidRPr="00A0292D" w14:paraId="17FF03B8" w14:textId="77777777" w:rsidTr="00EE5347">
        <w:trPr>
          <w:trHeight w:val="580"/>
        </w:trPr>
        <w:tc>
          <w:tcPr>
            <w:cnfStyle w:val="001000000000" w:firstRow="0" w:lastRow="0" w:firstColumn="1" w:lastColumn="0" w:oddVBand="0" w:evenVBand="0" w:oddHBand="0" w:evenHBand="0" w:firstRowFirstColumn="0" w:firstRowLastColumn="0" w:lastRowFirstColumn="0" w:lastRowLastColumn="0"/>
            <w:tcW w:w="0" w:type="auto"/>
            <w:hideMark/>
          </w:tcPr>
          <w:p w14:paraId="49C314CE"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Dividends paid (JPY tn)</w:t>
            </w:r>
          </w:p>
        </w:tc>
        <w:tc>
          <w:tcPr>
            <w:tcW w:w="0" w:type="auto"/>
            <w:hideMark/>
          </w:tcPr>
          <w:p w14:paraId="5C02110E"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0.63</w:t>
            </w:r>
          </w:p>
        </w:tc>
        <w:tc>
          <w:tcPr>
            <w:tcW w:w="0" w:type="auto"/>
            <w:hideMark/>
          </w:tcPr>
          <w:p w14:paraId="56552758"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0.71</w:t>
            </w:r>
          </w:p>
        </w:tc>
        <w:tc>
          <w:tcPr>
            <w:tcW w:w="0" w:type="auto"/>
            <w:hideMark/>
          </w:tcPr>
          <w:p w14:paraId="1BD32BF8"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0.73</w:t>
            </w:r>
          </w:p>
        </w:tc>
        <w:tc>
          <w:tcPr>
            <w:tcW w:w="0" w:type="auto"/>
            <w:hideMark/>
          </w:tcPr>
          <w:p w14:paraId="0F4A8A23"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0.88</w:t>
            </w:r>
          </w:p>
        </w:tc>
        <w:tc>
          <w:tcPr>
            <w:tcW w:w="0" w:type="auto"/>
            <w:hideMark/>
          </w:tcPr>
          <w:p w14:paraId="39A2074E"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1.13</w:t>
            </w:r>
          </w:p>
        </w:tc>
      </w:tr>
    </w:tbl>
    <w:p w14:paraId="2D3E6F27" w14:textId="77777777" w:rsidR="00EE5347" w:rsidRPr="00A0292D" w:rsidRDefault="00EE5347" w:rsidP="00EE5347">
      <w:pPr>
        <w:rPr>
          <w:rFonts w:asciiTheme="minorBidi" w:hAnsiTheme="minorBidi" w:cstheme="minorBidi"/>
        </w:rPr>
      </w:pPr>
      <w:r w:rsidRPr="00A0292D">
        <w:rPr>
          <w:rFonts w:asciiTheme="minorBidi" w:hAnsiTheme="minorBidi" w:cstheme="minorBidi"/>
          <w:noProof/>
        </w:rPr>
        <w:drawing>
          <wp:inline distT="0" distB="0" distL="0" distR="0" wp14:anchorId="2D76E2BD" wp14:editId="75F7DDAA">
            <wp:extent cx="6248400" cy="2950845"/>
            <wp:effectExtent l="0" t="0" r="12700" b="8255"/>
            <wp:docPr id="1027668085"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F3B05AE" w14:textId="77777777" w:rsidR="004F56BC" w:rsidRPr="00A0292D" w:rsidRDefault="00125647" w:rsidP="00566FB5">
      <w:pPr>
        <w:pStyle w:val="Heading2"/>
        <w:rPr>
          <w:rFonts w:asciiTheme="minorBidi" w:hAnsiTheme="minorBidi" w:cstheme="minorBidi"/>
        </w:rPr>
      </w:pPr>
      <w:bookmarkStart w:id="11" w:name="_Toc227788458"/>
      <w:r w:rsidRPr="00A0292D">
        <w:rPr>
          <w:rFonts w:asciiTheme="minorBidi" w:hAnsiTheme="minorBidi" w:cstheme="minorBidi"/>
        </w:rPr>
        <w:t>2.7 Cash Flow Analysis</w:t>
      </w:r>
      <w:bookmarkEnd w:id="11"/>
    </w:p>
    <w:p w14:paraId="2655CE3D" w14:textId="77777777" w:rsidR="004F56BC" w:rsidRPr="00A0292D" w:rsidRDefault="00A31045" w:rsidP="00A31045">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most evident red flag in the financial health of Toyota is the cash flow analysis. The cash of operating activities was positive in all the years following and this proves that the core business of Toyota, still produced cash. Nevertheless, the working capital consumed more cash per year, and capital expenditure was still quite high. Consequently, cash flow remained in the red over the years and hit a negative mark of JPY 1.56 trillion in 2025. This trend is important since the quality of cash flows is the core of financial resilience. Good profits are good but they do not eliminate the pressure to fund when investment and working capital are constant consumers of operating cash. This mismatch is regarded in the literature of financial statement analysis as a major warning signal, particularly when it comes to capital-intensive industries (Harrison et al., 2019). The cash flow of Toyota thus justifies the opinion that the company is still a strong one, but financially constrained by the transition costs.</w:t>
      </w:r>
    </w:p>
    <w:p w14:paraId="44D5AE76" w14:textId="77777777" w:rsidR="00EE5347"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noProof/>
        </w:rPr>
        <w:drawing>
          <wp:inline distT="0" distB="0" distL="0" distR="0" wp14:anchorId="0B80FF8D" wp14:editId="6A8CE64C">
            <wp:extent cx="6248400" cy="2950845"/>
            <wp:effectExtent l="0" t="0" r="12700" b="8255"/>
            <wp:docPr id="1868807639" name="Chart 1">
              <a:extLst xmlns:a="http://schemas.openxmlformats.org/drawingml/2006/main">
                <a:ext uri="{FF2B5EF4-FFF2-40B4-BE49-F238E27FC236}">
                  <a16:creationId xmlns:a16="http://schemas.microsoft.com/office/drawing/2014/main" id="{00000000-0008-0000-06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492B677" w14:textId="77777777" w:rsidR="00566FB5" w:rsidRPr="00566FB5" w:rsidRDefault="00566FB5" w:rsidP="00EE5347">
      <w:pPr>
        <w:spacing w:before="60" w:after="100" w:line="360" w:lineRule="auto"/>
        <w:jc w:val="center"/>
        <w:rPr>
          <w:rFonts w:asciiTheme="minorBidi" w:hAnsiTheme="minorBidi" w:cstheme="minorBidi"/>
          <w:b/>
          <w:bCs/>
        </w:rPr>
      </w:pPr>
      <w:r w:rsidRPr="00566FB5">
        <w:rPr>
          <w:rFonts w:asciiTheme="minorBidi" w:hAnsiTheme="minorBidi" w:cstheme="minorBidi"/>
          <w:b/>
          <w:bCs/>
        </w:rPr>
        <w:t xml:space="preserve">Table </w:t>
      </w:r>
      <w:r w:rsidR="00EE5347" w:rsidRPr="00A0292D">
        <w:rPr>
          <w:rFonts w:asciiTheme="minorBidi" w:hAnsiTheme="minorBidi" w:cstheme="minorBidi"/>
          <w:b/>
          <w:bCs/>
        </w:rPr>
        <w:t>7</w:t>
      </w:r>
      <w:r w:rsidRPr="00566FB5">
        <w:rPr>
          <w:rFonts w:asciiTheme="minorBidi" w:hAnsiTheme="minorBidi" w:cstheme="minorBidi"/>
          <w:b/>
          <w:bCs/>
        </w:rPr>
        <w:t xml:space="preserve"> Cash flow ratios, 2021 to 2025</w:t>
      </w:r>
    </w:p>
    <w:tbl>
      <w:tblPr>
        <w:tblStyle w:val="GridTable4-Accent1"/>
        <w:tblW w:w="9744" w:type="dxa"/>
        <w:tblLook w:val="04A0" w:firstRow="1" w:lastRow="0" w:firstColumn="1" w:lastColumn="0" w:noHBand="0" w:noVBand="1"/>
      </w:tblPr>
      <w:tblGrid>
        <w:gridCol w:w="4244"/>
        <w:gridCol w:w="1100"/>
        <w:gridCol w:w="1100"/>
        <w:gridCol w:w="1100"/>
        <w:gridCol w:w="1100"/>
        <w:gridCol w:w="1100"/>
      </w:tblGrid>
      <w:tr w:rsidR="00EE5347" w:rsidRPr="00A0292D" w14:paraId="29975FB7" w14:textId="77777777" w:rsidTr="00EE5347">
        <w:trPr>
          <w:cnfStyle w:val="100000000000" w:firstRow="1" w:lastRow="0" w:firstColumn="0" w:lastColumn="0" w:oddVBand="0" w:evenVBand="0" w:oddHBand="0"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0" w:type="auto"/>
            <w:hideMark/>
          </w:tcPr>
          <w:p w14:paraId="1B6EC5A7"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Ratio</w:t>
            </w:r>
          </w:p>
        </w:tc>
        <w:tc>
          <w:tcPr>
            <w:tcW w:w="0" w:type="auto"/>
            <w:hideMark/>
          </w:tcPr>
          <w:p w14:paraId="03A16A05"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2021</w:t>
            </w:r>
          </w:p>
        </w:tc>
        <w:tc>
          <w:tcPr>
            <w:tcW w:w="0" w:type="auto"/>
            <w:hideMark/>
          </w:tcPr>
          <w:p w14:paraId="626CE6D4"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2022</w:t>
            </w:r>
          </w:p>
        </w:tc>
        <w:tc>
          <w:tcPr>
            <w:tcW w:w="0" w:type="auto"/>
            <w:hideMark/>
          </w:tcPr>
          <w:p w14:paraId="06E048E2"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2023</w:t>
            </w:r>
          </w:p>
        </w:tc>
        <w:tc>
          <w:tcPr>
            <w:tcW w:w="0" w:type="auto"/>
            <w:hideMark/>
          </w:tcPr>
          <w:p w14:paraId="6558AEDC"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2024</w:t>
            </w:r>
          </w:p>
        </w:tc>
        <w:tc>
          <w:tcPr>
            <w:tcW w:w="0" w:type="auto"/>
            <w:hideMark/>
          </w:tcPr>
          <w:p w14:paraId="163926EF"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2025</w:t>
            </w:r>
          </w:p>
        </w:tc>
      </w:tr>
      <w:tr w:rsidR="00EE5347" w:rsidRPr="00A0292D" w14:paraId="6D3599F5" w14:textId="77777777" w:rsidTr="00EE5347">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2F3FAE7F"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CFO to current liabilities</w:t>
            </w:r>
          </w:p>
        </w:tc>
        <w:tc>
          <w:tcPr>
            <w:tcW w:w="0" w:type="auto"/>
            <w:hideMark/>
          </w:tcPr>
          <w:p w14:paraId="39160EC3"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0.13</w:t>
            </w:r>
          </w:p>
        </w:tc>
        <w:tc>
          <w:tcPr>
            <w:tcW w:w="0" w:type="auto"/>
            <w:hideMark/>
          </w:tcPr>
          <w:p w14:paraId="1E411367"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0.17</w:t>
            </w:r>
          </w:p>
        </w:tc>
        <w:tc>
          <w:tcPr>
            <w:tcW w:w="0" w:type="auto"/>
            <w:hideMark/>
          </w:tcPr>
          <w:p w14:paraId="4192119D"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0.12</w:t>
            </w:r>
          </w:p>
        </w:tc>
        <w:tc>
          <w:tcPr>
            <w:tcW w:w="0" w:type="auto"/>
            <w:hideMark/>
          </w:tcPr>
          <w:p w14:paraId="1BBA7A8C"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0.14</w:t>
            </w:r>
          </w:p>
        </w:tc>
        <w:tc>
          <w:tcPr>
            <w:tcW w:w="0" w:type="auto"/>
            <w:hideMark/>
          </w:tcPr>
          <w:p w14:paraId="5BFBFD69"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0.13</w:t>
            </w:r>
          </w:p>
        </w:tc>
      </w:tr>
      <w:tr w:rsidR="00EE5347" w:rsidRPr="00A0292D" w14:paraId="398E8865" w14:textId="77777777" w:rsidTr="00EE5347">
        <w:trPr>
          <w:trHeight w:val="496"/>
        </w:trPr>
        <w:tc>
          <w:tcPr>
            <w:cnfStyle w:val="001000000000" w:firstRow="0" w:lastRow="0" w:firstColumn="1" w:lastColumn="0" w:oddVBand="0" w:evenVBand="0" w:oddHBand="0" w:evenHBand="0" w:firstRowFirstColumn="0" w:firstRowLastColumn="0" w:lastRowFirstColumn="0" w:lastRowLastColumn="0"/>
            <w:tcW w:w="0" w:type="auto"/>
            <w:hideMark/>
          </w:tcPr>
          <w:p w14:paraId="3C602CA9"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CFO to debt</w:t>
            </w:r>
          </w:p>
        </w:tc>
        <w:tc>
          <w:tcPr>
            <w:tcW w:w="0" w:type="auto"/>
            <w:hideMark/>
          </w:tcPr>
          <w:p w14:paraId="509E355F"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0.11</w:t>
            </w:r>
          </w:p>
        </w:tc>
        <w:tc>
          <w:tcPr>
            <w:tcW w:w="0" w:type="auto"/>
            <w:hideMark/>
          </w:tcPr>
          <w:p w14:paraId="60725F84"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0.14</w:t>
            </w:r>
          </w:p>
        </w:tc>
        <w:tc>
          <w:tcPr>
            <w:tcW w:w="0" w:type="auto"/>
            <w:hideMark/>
          </w:tcPr>
          <w:p w14:paraId="1EC73B46"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0.10</w:t>
            </w:r>
          </w:p>
        </w:tc>
        <w:tc>
          <w:tcPr>
            <w:tcW w:w="0" w:type="auto"/>
            <w:hideMark/>
          </w:tcPr>
          <w:p w14:paraId="5C39AA9E"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0.12</w:t>
            </w:r>
          </w:p>
        </w:tc>
        <w:tc>
          <w:tcPr>
            <w:tcW w:w="0" w:type="auto"/>
            <w:hideMark/>
          </w:tcPr>
          <w:p w14:paraId="2B536676"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0.10</w:t>
            </w:r>
          </w:p>
        </w:tc>
      </w:tr>
      <w:tr w:rsidR="00EE5347" w:rsidRPr="00A0292D" w14:paraId="6D3EB124" w14:textId="77777777" w:rsidTr="00EE5347">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0" w:type="auto"/>
            <w:hideMark/>
          </w:tcPr>
          <w:p w14:paraId="2C136821"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Free cash flow (JPY tn)</w:t>
            </w:r>
          </w:p>
        </w:tc>
        <w:tc>
          <w:tcPr>
            <w:tcW w:w="0" w:type="auto"/>
            <w:hideMark/>
          </w:tcPr>
          <w:p w14:paraId="7F8E80DE"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-1.04</w:t>
            </w:r>
          </w:p>
        </w:tc>
        <w:tc>
          <w:tcPr>
            <w:tcW w:w="0" w:type="auto"/>
            <w:hideMark/>
          </w:tcPr>
          <w:p w14:paraId="18F2BE69"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-0.11</w:t>
            </w:r>
          </w:p>
        </w:tc>
        <w:tc>
          <w:tcPr>
            <w:tcW w:w="0" w:type="auto"/>
            <w:hideMark/>
          </w:tcPr>
          <w:p w14:paraId="337F7C11"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-0.75</w:t>
            </w:r>
          </w:p>
        </w:tc>
        <w:tc>
          <w:tcPr>
            <w:tcW w:w="0" w:type="auto"/>
            <w:hideMark/>
          </w:tcPr>
          <w:p w14:paraId="3CC75B50"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-0.84</w:t>
            </w:r>
          </w:p>
        </w:tc>
        <w:tc>
          <w:tcPr>
            <w:tcW w:w="0" w:type="auto"/>
            <w:hideMark/>
          </w:tcPr>
          <w:p w14:paraId="4706DC50"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-1.56</w:t>
            </w:r>
          </w:p>
        </w:tc>
      </w:tr>
    </w:tbl>
    <w:p w14:paraId="191EA83E" w14:textId="77777777" w:rsidR="004F56BC" w:rsidRPr="00A0292D" w:rsidRDefault="00125647" w:rsidP="00566FB5">
      <w:pPr>
        <w:pStyle w:val="Heading2"/>
        <w:rPr>
          <w:rFonts w:asciiTheme="minorBidi" w:hAnsiTheme="minorBidi" w:cstheme="minorBidi"/>
        </w:rPr>
      </w:pPr>
      <w:bookmarkStart w:id="12" w:name="_Toc227788459"/>
      <w:r w:rsidRPr="00A0292D">
        <w:rPr>
          <w:rFonts w:asciiTheme="minorBidi" w:hAnsiTheme="minorBidi" w:cstheme="minorBidi"/>
        </w:rPr>
        <w:t>2.8 Key Trends, Strengths and Weaknesses</w:t>
      </w:r>
      <w:bookmarkEnd w:id="12"/>
    </w:p>
    <w:p w14:paraId="4829173C" w14:textId="77777777" w:rsidR="004F56BC" w:rsidRPr="00A0292D" w:rsidRDefault="00A31045" w:rsidP="00A31045">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financial health check of Toyota depicts a company that has high scale and good profitability, but an increasing pressure in cash flow and funding structure. There was an increase in profitability over the period, liquidity got moderately better, and operating efficiency was good. These findings affirm that Toyota is still operating at an industrial and financial strength (Toyota Motor Corporation, 2025). But the heart of threat is also identified in the same analysis. All the five years had negative free cash flows. Increasing cash was tied up in working capital, and debt was growing. These forces are significant in the context of a global EV market that requires continuous investment in product development, software, battery supply, and platform conversion (International Energy Agency, 2025). Survival is therefore not the primary issue facing Toyota. It is being flexible strategically as well as enhancing cash generation.</w:t>
      </w:r>
    </w:p>
    <w:p w14:paraId="6B6D21ED" w14:textId="77777777" w:rsidR="004F56BC" w:rsidRPr="00A0292D" w:rsidRDefault="00125647" w:rsidP="00566FB5">
      <w:pPr>
        <w:pStyle w:val="Heading1"/>
        <w:rPr>
          <w:rFonts w:asciiTheme="minorBidi" w:hAnsiTheme="minorBidi" w:cstheme="minorBidi"/>
        </w:rPr>
      </w:pPr>
      <w:bookmarkStart w:id="13" w:name="_Toc227788460"/>
      <w:r w:rsidRPr="00A0292D">
        <w:rPr>
          <w:rFonts w:asciiTheme="minorBidi" w:hAnsiTheme="minorBidi" w:cstheme="minorBidi"/>
        </w:rPr>
        <w:t>3. Working Capital Management Analysis</w:t>
      </w:r>
      <w:bookmarkEnd w:id="13"/>
    </w:p>
    <w:p w14:paraId="54BB65BA" w14:textId="77777777" w:rsidR="004F56BC" w:rsidRPr="00A0292D" w:rsidRDefault="00125647" w:rsidP="00566FB5">
      <w:pPr>
        <w:pStyle w:val="Heading2"/>
        <w:rPr>
          <w:rFonts w:asciiTheme="minorBidi" w:hAnsiTheme="minorBidi" w:cstheme="minorBidi"/>
        </w:rPr>
      </w:pPr>
      <w:bookmarkStart w:id="14" w:name="_Toc227788461"/>
      <w:r w:rsidRPr="00A0292D">
        <w:rPr>
          <w:rFonts w:asciiTheme="minorBidi" w:hAnsiTheme="minorBidi" w:cstheme="minorBidi"/>
        </w:rPr>
        <w:t>3.1 Cash Operating Cycle</w:t>
      </w:r>
      <w:bookmarkEnd w:id="14"/>
    </w:p>
    <w:p w14:paraId="343A6850" w14:textId="77777777" w:rsidR="004F56BC" w:rsidRPr="00A0292D" w:rsidRDefault="00183B0B" w:rsidP="00183B0B">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Cash conversion cycle (CCC) is used to calculate the number of days that it takes to pay suppliers and receive payment of cash to suppliers. It is a combination of inventory period and receivables period less payables period (Bhimani et al., 2019). The checked calculations are given in Table 8, each year.</w:t>
      </w:r>
    </w:p>
    <w:p w14:paraId="3FC09370" w14:textId="77777777" w:rsidR="004F56BC" w:rsidRPr="00A0292D" w:rsidRDefault="00125647"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335F39" w:rsidRPr="00A0292D">
        <w:rPr>
          <w:rFonts w:asciiTheme="minorBidi" w:hAnsiTheme="minorBidi" w:cstheme="minorBidi"/>
          <w:b/>
          <w:bCs/>
        </w:rPr>
        <w:t>8</w:t>
      </w:r>
      <w:r w:rsidRPr="00A0292D">
        <w:rPr>
          <w:rFonts w:asciiTheme="minorBidi" w:hAnsiTheme="minorBidi" w:cstheme="minorBidi"/>
          <w:b/>
          <w:bCs/>
        </w:rPr>
        <w:t>: Cash Conversion Cycle Components (Days)</w:t>
      </w:r>
    </w:p>
    <w:tbl>
      <w:tblPr>
        <w:tblW w:w="9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4"/>
        <w:gridCol w:w="1242"/>
        <w:gridCol w:w="1242"/>
        <w:gridCol w:w="1242"/>
        <w:gridCol w:w="1242"/>
        <w:gridCol w:w="1242"/>
      </w:tblGrid>
      <w:tr w:rsidR="004F56BC" w:rsidRPr="00A0292D" w14:paraId="1BE8261F" w14:textId="77777777" w:rsidTr="00335F39">
        <w:trPr>
          <w:trHeight w:val="360"/>
        </w:trPr>
        <w:tc>
          <w:tcPr>
            <w:tcW w:w="360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59E50960"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Metric</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2A591F9"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2021</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4DDDF16"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2022</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EC442D5"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2023</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A44B82D"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2024</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795A652B"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2025</w:t>
            </w:r>
          </w:p>
        </w:tc>
      </w:tr>
      <w:tr w:rsidR="004F56BC" w:rsidRPr="00A0292D" w14:paraId="5D00B57D" w14:textId="77777777" w:rsidTr="00335F39">
        <w:trPr>
          <w:trHeight w:val="360"/>
        </w:trPr>
        <w:tc>
          <w:tcPr>
            <w:tcW w:w="36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40B44B6"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Inventory Period (days)</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F57BE9A"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47.1</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437F488"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54.9</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1ACF667"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50.4</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3757D98"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47.1</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D60288F"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43.7</w:t>
            </w:r>
          </w:p>
        </w:tc>
      </w:tr>
      <w:tr w:rsidR="004F56BC" w:rsidRPr="00A0292D" w14:paraId="0FA276F8" w14:textId="77777777" w:rsidTr="00335F39">
        <w:trPr>
          <w:trHeight w:val="360"/>
        </w:trPr>
        <w:tc>
          <w:tcPr>
            <w:tcW w:w="36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F3F5772"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Receivables Period (days)</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0AA4DA"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131.9</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F63235F"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122.0</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950EE19"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118.7</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0CAEEDA"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121.1</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439FCC3"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116.6</w:t>
            </w:r>
          </w:p>
        </w:tc>
      </w:tr>
      <w:tr w:rsidR="004F56BC" w:rsidRPr="00A0292D" w14:paraId="1FCAE270" w14:textId="77777777" w:rsidTr="00335F39">
        <w:trPr>
          <w:trHeight w:val="360"/>
        </w:trPr>
        <w:tc>
          <w:tcPr>
            <w:tcW w:w="36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6BACF6C"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Payables Period (days)</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7B45F71"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66.1</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DBE3988"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61.6</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5B1FB30"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59.1</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7FE1FAD"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53.6</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B121561"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52.5</w:t>
            </w:r>
          </w:p>
        </w:tc>
      </w:tr>
      <w:tr w:rsidR="004F56BC" w:rsidRPr="00A0292D" w14:paraId="335B6493" w14:textId="77777777" w:rsidTr="00335F39">
        <w:trPr>
          <w:trHeight w:val="767"/>
        </w:trPr>
        <w:tc>
          <w:tcPr>
            <w:tcW w:w="36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55D9F01"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Cash Conversion Cycle (days)</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3A9CBAC"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112.9</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3F744F4"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115.3</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01CF25A"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110.0</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18A1287"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114.5</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8F5A8D8"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107.8</w:t>
            </w:r>
          </w:p>
        </w:tc>
      </w:tr>
      <w:tr w:rsidR="004F56BC" w:rsidRPr="00A0292D" w14:paraId="7167C3AA" w14:textId="77777777" w:rsidTr="00335F39">
        <w:trPr>
          <w:trHeight w:val="744"/>
        </w:trPr>
        <w:tc>
          <w:tcPr>
            <w:tcW w:w="36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42E29C7"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Working Capital Change (JPY tn)</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A0590FC"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(1.26)</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297D749"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(1.18)</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62AC6C9"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(1.42)</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21900DD"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(3.37)</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442CAB7" w14:textId="77777777" w:rsidR="004F56BC" w:rsidRPr="00A0292D" w:rsidRDefault="00125647"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(3.63)</w:t>
            </w:r>
          </w:p>
        </w:tc>
      </w:tr>
    </w:tbl>
    <w:p w14:paraId="34CA5442" w14:textId="77777777" w:rsidR="004F56BC" w:rsidRPr="00A0292D" w:rsidRDefault="00125647" w:rsidP="008F61B8">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from Toyota Motor Corporation Integrated Reports (2021-2025).</w:t>
      </w:r>
    </w:p>
    <w:p w14:paraId="510F396C" w14:textId="77777777" w:rsidR="004F56BC" w:rsidRPr="00A0292D" w:rsidRDefault="00FF0339" w:rsidP="00183B0B">
      <w:pPr>
        <w:spacing w:before="60" w:after="100" w:line="360" w:lineRule="auto"/>
        <w:jc w:val="both"/>
        <w:rPr>
          <w:rFonts w:asciiTheme="minorBidi" w:hAnsiTheme="minorBidi" w:cstheme="minorBidi"/>
          <w:sz w:val="28"/>
          <w:szCs w:val="28"/>
        </w:rPr>
      </w:pPr>
      <w:r w:rsidRPr="00A0292D">
        <w:rPr>
          <w:rFonts w:asciiTheme="minorBidi" w:hAnsiTheme="minorBidi" w:cstheme="minorBidi"/>
          <w:noProof/>
        </w:rPr>
        <w:drawing>
          <wp:inline distT="0" distB="0" distL="0" distR="0" wp14:anchorId="0FF35D9E" wp14:editId="4D4EC681">
            <wp:extent cx="6248400" cy="3165475"/>
            <wp:effectExtent l="0" t="0" r="12700" b="9525"/>
            <wp:docPr id="1655975787" name="Chart 1">
              <a:extLst xmlns:a="http://schemas.openxmlformats.org/drawingml/2006/main">
                <a:ext uri="{FF2B5EF4-FFF2-40B4-BE49-F238E27FC236}">
                  <a16:creationId xmlns:a16="http://schemas.microsoft.com/office/drawing/2014/main" id="{00000000-0008-0000-08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183B0B" w:rsidRPr="00A0292D">
        <w:rPr>
          <w:rFonts w:asciiTheme="minorBidi" w:hAnsiTheme="minorBidi" w:cstheme="minorBidi"/>
          <w:sz w:val="24"/>
          <w:szCs w:val="24"/>
        </w:rPr>
        <w:t>The CCC improved from 112.9 days in 2021 to 107.8 days in 2025. The high receivables period of between 117 to 132 days indicates the consumer and dealer loan portfolios of Toyota Financial Services which are large and slow-turning in nature. The payables period has reduced to 52.5 days in 2025 after being 66.1 days in 2021 indicating that Toyota is paying the suppliers in a shorter period of time. This reduction is unfavourable because it diminishes the advantage of trade credit and speeds up cash outflows (Drury, 2017</w:t>
      </w:r>
      <w:r w:rsidRPr="00A0292D">
        <w:rPr>
          <w:rFonts w:asciiTheme="minorBidi" w:hAnsiTheme="minorBidi" w:cstheme="minorBidi"/>
          <w:sz w:val="24"/>
          <w:szCs w:val="24"/>
        </w:rPr>
        <w:t>).</w:t>
      </w:r>
    </w:p>
    <w:p w14:paraId="501ACF15" w14:textId="77777777" w:rsidR="004F56BC" w:rsidRPr="00A0292D" w:rsidRDefault="00125647" w:rsidP="00566FB5">
      <w:pPr>
        <w:pStyle w:val="Heading2"/>
        <w:rPr>
          <w:rFonts w:asciiTheme="minorBidi" w:hAnsiTheme="minorBidi" w:cstheme="minorBidi"/>
        </w:rPr>
      </w:pPr>
      <w:bookmarkStart w:id="15" w:name="_Toc227788462"/>
      <w:r w:rsidRPr="00A0292D">
        <w:rPr>
          <w:rFonts w:asciiTheme="minorBidi" w:hAnsiTheme="minorBidi" w:cstheme="minorBidi"/>
        </w:rPr>
        <w:t>3.2 Working Capital Trends</w:t>
      </w:r>
      <w:bookmarkEnd w:id="15"/>
    </w:p>
    <w:p w14:paraId="2F873338" w14:textId="77777777" w:rsidR="004F56BC" w:rsidRPr="00A0292D" w:rsidRDefault="00183B0B" w:rsidP="00183B0B">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Working capital changes were negative in all years and were significantly worsened in 2024 and 2025. Receivables rose to JPY 15.35 trillion and inventory rose to JPY 4.60 trillion, as compared to JPY 9.83 trillion and JPY 2.89 trillion respectively. The accounts payable also grew, albeit not to the extent to counter the general increase in operating assets. The importance of this trend is that now working capital growth eats up a significant portion of operating cash of Toyota. This can be endured by a growing manufacturer but when coupled with negative free cash flow and high capital expenditure, it becomes more serious. It is explained in accounting literature that the pressure of liquidity can be initiated in this fashion, with gradual rises in receivables and stock instead of abrupt losses (Winfield, Graham and Miller, 2021).</w:t>
      </w:r>
    </w:p>
    <w:p w14:paraId="70C4B5F8" w14:textId="77777777" w:rsidR="004F56BC" w:rsidRPr="00A0292D" w:rsidRDefault="00125647" w:rsidP="00183B0B">
      <w:pPr>
        <w:pStyle w:val="Heading2"/>
        <w:rPr>
          <w:rFonts w:asciiTheme="minorBidi" w:hAnsiTheme="minorBidi" w:cstheme="minorBidi"/>
        </w:rPr>
      </w:pPr>
      <w:bookmarkStart w:id="16" w:name="_Toc227788463"/>
      <w:r w:rsidRPr="00A0292D">
        <w:rPr>
          <w:rFonts w:asciiTheme="minorBidi" w:hAnsiTheme="minorBidi" w:cstheme="minorBidi"/>
        </w:rPr>
        <w:t>3.3 Liquidity Challenges</w:t>
      </w:r>
      <w:bookmarkEnd w:id="16"/>
    </w:p>
    <w:p w14:paraId="4585E800" w14:textId="77777777" w:rsidR="004F56BC" w:rsidRPr="00A0292D" w:rsidRDefault="00183B0B" w:rsidP="00183B0B">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current ratio has increased, but the current portion of long-term debt was JPY 10.37 trillion in 2025, which puts a great pressure on the annual refinancing. Short-term liabilities owed amounted to JPY 5.46 trillion. The cash reserves of JPY 15.92 trillion cushion this although they also fund financial service obligations. The negative free cash flow implies that Toyota will not be able to finance its working capital growth, but will have to tap into external credit markets on a continuous basis. This poses a weakness in the event of a tightening of credit conditions or downgrading of the credit rating of Toyota (Thomas and Ward, 2019)..</w:t>
      </w:r>
    </w:p>
    <w:p w14:paraId="3D221A0C" w14:textId="77777777" w:rsidR="004F56BC" w:rsidRPr="00A0292D" w:rsidRDefault="00125647" w:rsidP="00566FB5">
      <w:pPr>
        <w:pStyle w:val="Heading2"/>
        <w:rPr>
          <w:rFonts w:asciiTheme="minorBidi" w:hAnsiTheme="minorBidi" w:cstheme="minorBidi"/>
        </w:rPr>
      </w:pPr>
      <w:bookmarkStart w:id="17" w:name="_Toc227788464"/>
      <w:r w:rsidRPr="00A0292D">
        <w:rPr>
          <w:rFonts w:asciiTheme="minorBidi" w:hAnsiTheme="minorBidi" w:cstheme="minorBidi"/>
        </w:rPr>
        <w:t>3.4 Recommendations for Improvement</w:t>
      </w:r>
      <w:bookmarkEnd w:id="17"/>
    </w:p>
    <w:p w14:paraId="604E143A" w14:textId="77777777" w:rsidR="00183B0B" w:rsidRPr="00A0292D" w:rsidRDefault="00183B0B" w:rsidP="00183B0B">
      <w:pPr>
        <w:spacing w:before="80" w:after="80" w:line="360" w:lineRule="auto"/>
        <w:jc w:val="both"/>
        <w:rPr>
          <w:rFonts w:asciiTheme="minorBidi" w:hAnsiTheme="minorBidi" w:cstheme="minorBidi"/>
          <w:sz w:val="24"/>
          <w:szCs w:val="24"/>
        </w:rPr>
      </w:pPr>
      <w:r w:rsidRPr="00A0292D">
        <w:rPr>
          <w:rFonts w:asciiTheme="minorBidi" w:hAnsiTheme="minorBidi" w:cstheme="minorBidi"/>
          <w:sz w:val="24"/>
          <w:szCs w:val="24"/>
        </w:rPr>
        <w:t xml:space="preserve">The COC of Toyota can be materially compressed by three reforms. The former is receivables acceleration. The Toyota Financial Services needs to adopt a dynamic discounting programme on dealer networks, where payment can be made within 60 days, to have settlement incentives between 1.0 to 1.5 percentage points. A similar programme was implemented by Volkswagen Financial Services and resulted in a decrease of 18 days in the receivables cycle in three years (Watson and Head, 2010, p.203). The 20-day (reduction) of the receivables days at 2025 revenue levels would free around JPY 2.63 trillion of working capital, which would directly enhance the free cash flow. </w:t>
      </w:r>
    </w:p>
    <w:p w14:paraId="2E6AD50E" w14:textId="77777777" w:rsidR="00183B0B" w:rsidRPr="00A0292D" w:rsidRDefault="00183B0B" w:rsidP="00183B0B">
      <w:pPr>
        <w:spacing w:before="80" w:after="80" w:line="360" w:lineRule="auto"/>
        <w:jc w:val="both"/>
        <w:rPr>
          <w:rFonts w:asciiTheme="minorBidi" w:hAnsiTheme="minorBidi" w:cstheme="minorBidi"/>
          <w:sz w:val="24"/>
          <w:szCs w:val="24"/>
        </w:rPr>
      </w:pPr>
      <w:r w:rsidRPr="00A0292D">
        <w:rPr>
          <w:rFonts w:asciiTheme="minorBidi" w:hAnsiTheme="minorBidi" w:cstheme="minorBidi"/>
          <w:sz w:val="24"/>
          <w:szCs w:val="24"/>
        </w:rPr>
        <w:t xml:space="preserve">The second is the payables extension with a supplier finance programme. Toyota needs to renegotiate the standard payment conditions of the existing implied 52days to 75 to 90days. To safeguard the relationship with suppliers, especially the small and medium-sized enterprises, Toyota needs to create a supply-chain finance center where suppliers can obtain early payment at a lower rate than their own borrowing rate by a bank based on the Toyota investment-grade credit rating. According to the OECD Guidelines on Multinational Enterprises on Responsible Business Conduct (OECD, 2023), the long-term payment terms must not jeopardize the survival of suppliers, and this structure conditions satisfy this requirement. A 25 days extension of payables would lower the COC by an additional 25 days, and the COC would be below 90 days. </w:t>
      </w:r>
    </w:p>
    <w:p w14:paraId="537C47B6" w14:textId="77777777" w:rsidR="00A31045" w:rsidRPr="00A31045" w:rsidRDefault="00183B0B" w:rsidP="00C51075">
      <w:pPr>
        <w:spacing w:before="80" w:after="80" w:line="360" w:lineRule="auto"/>
        <w:jc w:val="both"/>
        <w:rPr>
          <w:rFonts w:asciiTheme="minorBidi" w:hAnsiTheme="minorBidi" w:cstheme="minorBidi"/>
          <w:sz w:val="24"/>
          <w:szCs w:val="24"/>
        </w:rPr>
      </w:pPr>
      <w:r w:rsidRPr="00A0292D">
        <w:rPr>
          <w:rFonts w:asciiTheme="minorBidi" w:hAnsiTheme="minorBidi" w:cstheme="minorBidi"/>
          <w:sz w:val="24"/>
          <w:szCs w:val="24"/>
        </w:rPr>
        <w:t>The third reform is strategic inventory optimisation. Drury (2017, p.245) identifies strategic buffer stock and operational working inventory of critical components and standard parts respectively. The 2022 semiconductor crisis proved the risk of single-sourced critical inventories. Electronic components should be sourced in dual-source, with a acceptable five-day buffer stock increase</w:t>
      </w:r>
      <w:r w:rsidR="00C51075" w:rsidRPr="00A0292D">
        <w:rPr>
          <w:rFonts w:asciiTheme="minorBidi" w:hAnsiTheme="minorBidi" w:cstheme="minorBidi"/>
          <w:sz w:val="24"/>
          <w:szCs w:val="24"/>
        </w:rPr>
        <w:t xml:space="preserve"> </w:t>
      </w:r>
      <w:r w:rsidR="00C51075" w:rsidRPr="00A0292D">
        <w:rPr>
          <w:rFonts w:asciiTheme="minorBidi" w:hAnsiTheme="minorBidi" w:cstheme="minorBidi"/>
          <w:sz w:val="24"/>
          <w:szCs w:val="24"/>
        </w:rPr>
        <w:t>  (Fridson and Alvarez, 2022)</w:t>
      </w:r>
      <w:r w:rsidRPr="00A0292D">
        <w:rPr>
          <w:rFonts w:asciiTheme="minorBidi" w:hAnsiTheme="minorBidi" w:cstheme="minorBidi"/>
          <w:sz w:val="24"/>
          <w:szCs w:val="24"/>
        </w:rPr>
        <w:t>. In the non critical components, the efficiency is already realized in the JIT discipline that needs to be held as it is currently, and the efficiency gains that are apparent in the 8.36 times inventory turnover of 2025 need to be retained</w:t>
      </w:r>
      <w:r w:rsidR="00A31045" w:rsidRPr="00A31045">
        <w:rPr>
          <w:rFonts w:asciiTheme="minorBidi" w:hAnsiTheme="minorBidi" w:cstheme="minorBidi"/>
          <w:sz w:val="24"/>
          <w:szCs w:val="24"/>
        </w:rPr>
        <w:t>.</w:t>
      </w:r>
    </w:p>
    <w:p w14:paraId="61D7F1D9" w14:textId="77777777" w:rsidR="00A31045" w:rsidRPr="00A0292D" w:rsidRDefault="00A31045" w:rsidP="00183B0B">
      <w:pPr>
        <w:pStyle w:val="Heading2"/>
        <w:rPr>
          <w:rFonts w:asciiTheme="minorBidi" w:hAnsiTheme="minorBidi" w:cstheme="minorBidi"/>
        </w:rPr>
      </w:pPr>
      <w:bookmarkStart w:id="18" w:name="_Toc227788465"/>
      <w:r w:rsidRPr="00A0292D">
        <w:rPr>
          <w:rFonts w:asciiTheme="minorBidi" w:hAnsiTheme="minorBidi" w:cstheme="minorBidi"/>
        </w:rPr>
        <w:t>3.</w:t>
      </w:r>
      <w:r w:rsidR="00183B0B" w:rsidRPr="00A0292D">
        <w:rPr>
          <w:rFonts w:asciiTheme="minorBidi" w:hAnsiTheme="minorBidi" w:cstheme="minorBidi"/>
        </w:rPr>
        <w:t>5</w:t>
      </w:r>
      <w:r w:rsidRPr="00A0292D">
        <w:rPr>
          <w:rFonts w:asciiTheme="minorBidi" w:hAnsiTheme="minorBidi" w:cstheme="minorBidi"/>
        </w:rPr>
        <w:t xml:space="preserve"> Short-Term and Long-Term Financing Options</w:t>
      </w:r>
      <w:bookmarkEnd w:id="18"/>
    </w:p>
    <w:p w14:paraId="3465FEC7" w14:textId="77777777" w:rsidR="00B058DE" w:rsidRPr="00A0292D" w:rsidRDefault="00B058DE" w:rsidP="00C51075">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Short-term funding involves trade credit, overdrafts and short term borrowing. These instruments are flexible and can be applicable to seasonal or temporary liquidity requirements. They also raise refinancing risk, though. Toyota already has high current liabilities and has high short term debt commitments and an increase in reliance on short term funding would put rollover pressure</w:t>
      </w:r>
      <w:r w:rsidR="00C51075" w:rsidRPr="00A0292D">
        <w:rPr>
          <w:rFonts w:asciiTheme="minorBidi" w:hAnsiTheme="minorBidi" w:cstheme="minorBidi"/>
          <w:sz w:val="24"/>
          <w:szCs w:val="24"/>
        </w:rPr>
        <w:t xml:space="preserve"> (Ittelson, 2022)</w:t>
      </w:r>
      <w:r w:rsidRPr="00A0292D">
        <w:rPr>
          <w:rFonts w:asciiTheme="minorBidi" w:hAnsiTheme="minorBidi" w:cstheme="minorBidi"/>
          <w:sz w:val="24"/>
          <w:szCs w:val="24"/>
        </w:rPr>
        <w:t>. The EV transition is more suitable to be funded on a long-term basis. The long-run benefits that are generated by battery plants, software platforms, and factory reconfiguration imply that the investment should be equivalent to the asset life. This matching principle of maturity is supported by the theory of corporate finance since it minimizes the risk of refinancing and insures liquidity during investment cycles (Watson and Head, 2010; Damodaran, 2012). Toyota should then apply short-term facilities to smooth operations primarily whereas long-term debt or internally generated funds should be applied to the structural transition investment</w:t>
      </w:r>
      <w:r w:rsidR="00A31045" w:rsidRPr="00A31045">
        <w:rPr>
          <w:rFonts w:asciiTheme="minorBidi" w:hAnsiTheme="minorBidi" w:cstheme="minorBidi"/>
          <w:sz w:val="24"/>
          <w:szCs w:val="24"/>
        </w:rPr>
        <w:t>.</w:t>
      </w:r>
    </w:p>
    <w:p w14:paraId="47EBF62E" w14:textId="77777777" w:rsidR="00B058DE" w:rsidRPr="00A0292D" w:rsidRDefault="00B058DE" w:rsidP="00B058DE">
      <w:pPr>
        <w:pStyle w:val="Heading1"/>
        <w:rPr>
          <w:rFonts w:asciiTheme="minorBidi" w:hAnsiTheme="minorBidi" w:cstheme="minorBidi"/>
        </w:rPr>
      </w:pPr>
      <w:bookmarkStart w:id="19" w:name="_Toc227788466"/>
      <w:r w:rsidRPr="00A0292D">
        <w:rPr>
          <w:rFonts w:asciiTheme="minorBidi" w:hAnsiTheme="minorBidi" w:cstheme="minorBidi"/>
        </w:rPr>
        <w:t>4. Strategic Financial Restructuring Plan</w:t>
      </w:r>
      <w:bookmarkEnd w:id="19"/>
    </w:p>
    <w:p w14:paraId="42500D0A" w14:textId="77777777" w:rsidR="00B058DE" w:rsidRPr="00A0292D" w:rsidRDefault="00B058DE" w:rsidP="00B058DE">
      <w:pPr>
        <w:pStyle w:val="Heading2"/>
        <w:jc w:val="both"/>
        <w:rPr>
          <w:rFonts w:asciiTheme="minorBidi" w:hAnsiTheme="minorBidi" w:cstheme="minorBidi"/>
        </w:rPr>
      </w:pPr>
      <w:bookmarkStart w:id="20" w:name="_Toc227788467"/>
      <w:r w:rsidRPr="00A0292D">
        <w:rPr>
          <w:rFonts w:asciiTheme="minorBidi" w:hAnsiTheme="minorBidi" w:cstheme="minorBidi"/>
        </w:rPr>
        <w:t>4.1 Restructuring objective</w:t>
      </w:r>
      <w:bookmarkEnd w:id="20"/>
    </w:p>
    <w:p w14:paraId="141119AB"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A viable restructuring strategy of Toyota must not presuppose distress, forced sales of assets or a defensive merger. This is not the case with Toyota. The company will have to shift capital usage of low-yield balances sheets to high-yield transition assets without compromising the quality of credit, global operating capacity and stakeholder confidence</w:t>
      </w:r>
      <w:r w:rsidR="00C51075" w:rsidRPr="00A0292D">
        <w:rPr>
          <w:rFonts w:asciiTheme="minorBidi" w:hAnsiTheme="minorBidi" w:cstheme="minorBidi"/>
          <w:sz w:val="24"/>
          <w:szCs w:val="24"/>
        </w:rPr>
        <w:t xml:space="preserve"> (Harrison et al., 2019)</w:t>
      </w:r>
      <w:r w:rsidRPr="00A0292D">
        <w:rPr>
          <w:rFonts w:asciiTheme="minorBidi" w:hAnsiTheme="minorBidi" w:cstheme="minorBidi"/>
          <w:sz w:val="24"/>
          <w:szCs w:val="24"/>
        </w:rPr>
        <w:t>. According to DePamphilis (2019), restructuring is a strategy of enhancing strategic fit, financial efficiency and shareholder value. That definition applies to Toyota.</w:t>
      </w:r>
    </w:p>
    <w:p w14:paraId="6F127136" w14:textId="77777777" w:rsidR="00B058DE" w:rsidRPr="00A0292D" w:rsidRDefault="00B058DE" w:rsidP="00B058DE">
      <w:pPr>
        <w:pStyle w:val="Heading2"/>
        <w:rPr>
          <w:rFonts w:asciiTheme="minorBidi" w:hAnsiTheme="minorBidi" w:cstheme="minorBidi"/>
        </w:rPr>
      </w:pPr>
      <w:bookmarkStart w:id="21" w:name="_Toc227788468"/>
      <w:r w:rsidRPr="00A0292D">
        <w:rPr>
          <w:rFonts w:asciiTheme="minorBidi" w:hAnsiTheme="minorBidi" w:cstheme="minorBidi"/>
        </w:rPr>
        <w:t>4.2 Recommended restructuring actions</w:t>
      </w:r>
      <w:bookmarkEnd w:id="21"/>
    </w:p>
    <w:p w14:paraId="318E1862"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Selective divestiture and asset recycling is the first recommendation. Toyota must consider non-core shareholdings, mature real estate, low-yield affiliate and non-performing regional assets. It is not a goal to reduce the industrial base without a vision</w:t>
      </w:r>
      <w:r w:rsidR="00C51075" w:rsidRPr="00A0292D">
        <w:rPr>
          <w:rFonts w:asciiTheme="minorBidi" w:hAnsiTheme="minorBidi" w:cstheme="minorBidi"/>
          <w:sz w:val="24"/>
          <w:szCs w:val="24"/>
        </w:rPr>
        <w:t xml:space="preserve"> (Weygandt, Kimmel and Kieso, 2020)</w:t>
      </w:r>
      <w:r w:rsidRPr="00A0292D">
        <w:rPr>
          <w:rFonts w:asciiTheme="minorBidi" w:hAnsiTheme="minorBidi" w:cstheme="minorBidi"/>
          <w:sz w:val="24"/>
          <w:szCs w:val="24"/>
        </w:rPr>
        <w:t>. It is to re-use confined capital into software ability, batteries, energy management and next-generation manufacturing. This step is appealing because of the increasing asset base of Toyota and its continuously negative free cash flow. Recycling of assets would boost the return on the assets, sustain free cash flow and eliminate debt-financed expansion.</w:t>
      </w:r>
    </w:p>
    <w:p w14:paraId="334A3381" w14:textId="77777777" w:rsidR="00B058DE" w:rsidRPr="00A0292D" w:rsidRDefault="00B058DE" w:rsidP="00B058DE">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second suggestion is that partners should lead the investment as opposed to complete balance sheet ownership in all transition areas. The integrated reports by Toyota already emphasize partnership and region-oriented management. The same should apply to battery ecosystems, charging infrastructure, mobility services and chosen software platforms (Toyota Motor Corporation, 2024; Toyota Motor Corporation, 2025). Minority platforms investments and joint ventures can alleviate start-up cash expenditure and execution risk. This is particularly so in regions where the uncertainty about technology is still high.</w:t>
      </w:r>
    </w:p>
    <w:p w14:paraId="40A6B5C7"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third suggestion is moderate equity based capital layer of transition projects with long gestation periods or regulatory reliance</w:t>
      </w:r>
      <w:r w:rsidR="00C51075" w:rsidRPr="00A0292D">
        <w:rPr>
          <w:rFonts w:asciiTheme="minorBidi" w:hAnsiTheme="minorBidi" w:cstheme="minorBidi"/>
          <w:sz w:val="24"/>
          <w:szCs w:val="24"/>
        </w:rPr>
        <w:t xml:space="preserve"> (Bhimani et al., 2019)</w:t>
      </w:r>
      <w:r w:rsidRPr="00A0292D">
        <w:rPr>
          <w:rFonts w:asciiTheme="minorBidi" w:hAnsiTheme="minorBidi" w:cstheme="minorBidi"/>
          <w:sz w:val="24"/>
          <w:szCs w:val="24"/>
        </w:rPr>
        <w:t>. Toyota does not require a huge issue of common equity. It has a good base of retained earnings and unwarranted dilution would kill value. Nonetheless, sustainability-linked instruments or hybrid securities may expand financing resources and maintain the ability to fund.</w:t>
      </w:r>
    </w:p>
    <w:p w14:paraId="56986BEF" w14:textId="77777777" w:rsidR="00B058DE" w:rsidRPr="00A0292D" w:rsidRDefault="00B058DE" w:rsidP="00B058DE">
      <w:pPr>
        <w:pStyle w:val="Heading2"/>
        <w:rPr>
          <w:rFonts w:asciiTheme="minorBidi" w:hAnsiTheme="minorBidi" w:cstheme="minorBidi"/>
        </w:rPr>
      </w:pPr>
      <w:bookmarkStart w:id="22" w:name="_Toc227788469"/>
      <w:r w:rsidRPr="00A0292D">
        <w:rPr>
          <w:rFonts w:asciiTheme="minorBidi" w:hAnsiTheme="minorBidi" w:cstheme="minorBidi"/>
        </w:rPr>
        <w:t>4.3 Impact on shareholder value, debt structure and flexibility</w:t>
      </w:r>
      <w:bookmarkEnd w:id="22"/>
    </w:p>
    <w:p w14:paraId="30718518"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These actions would help in the support of shareholder value in three ways. First, there would be asset recycling and stricter portfolio discipline enhancing the return on capital and free cash flow. Second, the partnership structures would be less susceptible to earnings volatility due to big stand-alone projects</w:t>
      </w:r>
      <w:r w:rsidR="00C51075" w:rsidRPr="00A0292D">
        <w:rPr>
          <w:rFonts w:asciiTheme="minorBidi" w:hAnsiTheme="minorBidi" w:cstheme="minorBidi"/>
          <w:sz w:val="24"/>
          <w:szCs w:val="24"/>
        </w:rPr>
        <w:t xml:space="preserve"> (Fridson and Alvarez, 2022)</w:t>
      </w:r>
      <w:r w:rsidRPr="00A0292D">
        <w:rPr>
          <w:rFonts w:asciiTheme="minorBidi" w:hAnsiTheme="minorBidi" w:cstheme="minorBidi"/>
          <w:sz w:val="24"/>
          <w:szCs w:val="24"/>
        </w:rPr>
        <w:t xml:space="preserve">. Third, maintaining debt capacity would ensure Toyota is resilient amidst a cyclical downturn. The shareholder value is not solely based on the near-term EPS. It relies on the quality and sustainability of future cash flows, which Easton et al. (2018) and Fridson and Alvarez (2022) emphasize. </w:t>
      </w:r>
    </w:p>
    <w:p w14:paraId="0E0BB852"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debt structure should be positively affected. The liabilities of Toyota are huge yet manageable and net debt to equity has already decreased since the equity has been increasing at a higher rate than the net debt. Aggressive deleveraging is thus not necessary with the proposed plan</w:t>
      </w:r>
      <w:r w:rsidR="00C51075" w:rsidRPr="00A0292D">
        <w:rPr>
          <w:rFonts w:asciiTheme="minorBidi" w:hAnsiTheme="minorBidi" w:cstheme="minorBidi"/>
          <w:sz w:val="24"/>
          <w:szCs w:val="24"/>
        </w:rPr>
        <w:t xml:space="preserve"> (Marshall, McManus and Viele, 2023)</w:t>
      </w:r>
      <w:r w:rsidRPr="00A0292D">
        <w:rPr>
          <w:rFonts w:asciiTheme="minorBidi" w:hAnsiTheme="minorBidi" w:cstheme="minorBidi"/>
          <w:sz w:val="24"/>
          <w:szCs w:val="24"/>
        </w:rPr>
        <w:t xml:space="preserve">. Rather, it ought to enhance the financing composition. Project-based and currency-based funding would decrease pressure on a refinance, which is more long-term. There would be an increase in the working capital discipline which reduces dependence on short-term funding. Recycling of assets would contribute to optionality without balance sheet pressure. </w:t>
      </w:r>
    </w:p>
    <w:p w14:paraId="72AAEA04"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There should also be increased flexibility in the operations. Complexity can be minimized by selling off assets that have low returns.. Working capital reforms can release capital to fund the model launches, battery localisation and software deployment without external funding</w:t>
      </w:r>
      <w:r w:rsidR="00C51075" w:rsidRPr="00A0292D">
        <w:rPr>
          <w:rFonts w:asciiTheme="minorBidi" w:hAnsiTheme="minorBidi" w:cstheme="minorBidi"/>
          <w:sz w:val="24"/>
          <w:szCs w:val="24"/>
        </w:rPr>
        <w:t xml:space="preserve"> (Watson and Head, 2010)</w:t>
      </w:r>
      <w:r w:rsidRPr="00A0292D">
        <w:rPr>
          <w:rFonts w:asciiTheme="minorBidi" w:hAnsiTheme="minorBidi" w:cstheme="minorBidi"/>
          <w:sz w:val="24"/>
          <w:szCs w:val="24"/>
        </w:rPr>
        <w:t>. The good production system that Toyota has provides the company with a platform on which many of its competitors do not have. The restructuring must strengthen that advantage, rather than undermine it.</w:t>
      </w:r>
    </w:p>
    <w:p w14:paraId="21E09F8E" w14:textId="77777777" w:rsidR="00B058DE" w:rsidRPr="00A0292D" w:rsidRDefault="00B058DE" w:rsidP="00B058DE">
      <w:pPr>
        <w:pStyle w:val="Heading2"/>
        <w:rPr>
          <w:rFonts w:asciiTheme="minorBidi" w:hAnsiTheme="minorBidi" w:cstheme="minorBidi"/>
        </w:rPr>
      </w:pPr>
      <w:bookmarkStart w:id="23" w:name="_Toc227788470"/>
      <w:r w:rsidRPr="00A0292D">
        <w:rPr>
          <w:rFonts w:asciiTheme="minorBidi" w:hAnsiTheme="minorBidi" w:cstheme="minorBidi"/>
        </w:rPr>
        <w:t>4.4 International risks and ethical considerations</w:t>
      </w:r>
      <w:bookmarkEnd w:id="23"/>
    </w:p>
    <w:p w14:paraId="4155C70E"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restructuring plan should be globally scalable and ethical. The initial global concern is taxation. Legal tax planning can enhance after-tax returns by a global manufacturer but aggressive structures that do not link tax results to economic substance pose governance and reputational risk. The governance reporting of Toyota and the general trend of transparent sustainability and risk disclosure implies that the more appropriate way is the conservative tax governance (Toyota Motor Corporation, 2025; IFRS Foundation, 2023). The second one is currency risk. Toyota receives revenues in various currencies and invests in key regions. They should be funded in part in dollars and euros by a restructuring program to increase long-term assets in North America and Europe to minimize the mismatch</w:t>
      </w:r>
      <w:r w:rsidR="00C51075" w:rsidRPr="00A0292D">
        <w:rPr>
          <w:rFonts w:asciiTheme="minorBidi" w:hAnsiTheme="minorBidi" w:cstheme="minorBidi"/>
          <w:sz w:val="24"/>
          <w:szCs w:val="24"/>
        </w:rPr>
        <w:t xml:space="preserve"> (DePamphilis, 2019)</w:t>
      </w:r>
      <w:r w:rsidRPr="00A0292D">
        <w:rPr>
          <w:rFonts w:asciiTheme="minorBidi" w:hAnsiTheme="minorBidi" w:cstheme="minorBidi"/>
          <w:sz w:val="24"/>
          <w:szCs w:val="24"/>
        </w:rPr>
        <w:t xml:space="preserve">. </w:t>
      </w:r>
    </w:p>
    <w:p w14:paraId="12C22DF8"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third one is inflation and input volatility. The chains of battery supply chains are reliant on the value chains of minerals which are still concentrated. UNCTAD observes that the value chains of electric cars battery trading experiences critical mineral trade that is both concentrated and highly value-added, increasing the vulnerability of manufacturers to strategic risks when they lack an upstream security (United Nations Conference on Trade and Development, 2023). Toyota must then integrate procurement diversification and longer-term offtake agreements and selective upstream partnerships</w:t>
      </w:r>
      <w:r w:rsidR="00C51075" w:rsidRPr="00A0292D">
        <w:rPr>
          <w:rFonts w:asciiTheme="minorBidi" w:hAnsiTheme="minorBidi" w:cstheme="minorBidi"/>
          <w:sz w:val="24"/>
          <w:szCs w:val="24"/>
        </w:rPr>
        <w:t xml:space="preserve"> (Damodaran, 2012)</w:t>
      </w:r>
      <w:r w:rsidRPr="00A0292D">
        <w:rPr>
          <w:rFonts w:asciiTheme="minorBidi" w:hAnsiTheme="minorBidi" w:cstheme="minorBidi"/>
          <w:sz w:val="24"/>
          <w:szCs w:val="24"/>
        </w:rPr>
        <w:t xml:space="preserve">. </w:t>
      </w:r>
    </w:p>
    <w:p w14:paraId="3E6A3A51" w14:textId="77777777" w:rsidR="00B058DE" w:rsidRPr="00A0292D" w:rsidRDefault="00B058DE" w:rsidP="00B058DE">
      <w:pPr>
        <w:pStyle w:val="Heading2"/>
        <w:rPr>
          <w:rFonts w:asciiTheme="minorBidi" w:hAnsiTheme="minorBidi" w:cstheme="minorBidi"/>
        </w:rPr>
      </w:pPr>
      <w:bookmarkStart w:id="24" w:name="_Toc227788471"/>
      <w:r w:rsidRPr="00A0292D">
        <w:rPr>
          <w:rFonts w:asciiTheme="minorBidi" w:hAnsiTheme="minorBidi" w:cstheme="minorBidi"/>
        </w:rPr>
        <w:t>4.5 Competitor lessons</w:t>
      </w:r>
      <w:bookmarkEnd w:id="24"/>
    </w:p>
    <w:p w14:paraId="0C4C0A40" w14:textId="77777777" w:rsidR="00B058DE" w:rsidRPr="00A0292D" w:rsidRDefault="00FF0339" w:rsidP="00FF0339">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restructuring case is reinforced by peer examples. Tesla indicates the danger of highly relying on pure volume expansion at the cost of pricing and mix, when the latter are weak. Its 2025 shipments decreased, and its margins remained significantly lower than previously (Tesla Investor Relations, 2026a; Tesla Investor Relations, 2026b). Volkswagen displays the price of software implementation and restructuring burdened with impairment that compelled operating return on sales to 2.8% in 2025 (Volkswagen Group, 2026). Hyundai demonstrates the importance of striking a balance between electrification and hybrids and premium segments, which enabled it to maintain a 6.2% operating margin despite the impact of tariffs (Hyundai Motor Company, 2026). BYD demonstrates the scale strategic power, localisation and vertical integration, margin and policy risks associated with intense local competition and global barriers to trade (Reuters, 2025; The Wall Street Journal, 2026). Toyota had better avoid a dogmatism to one course of action then</w:t>
      </w:r>
      <w:r w:rsidR="00B058DE" w:rsidRPr="00A0292D">
        <w:rPr>
          <w:rFonts w:asciiTheme="minorBidi" w:hAnsiTheme="minorBidi" w:cstheme="minorBidi"/>
          <w:sz w:val="24"/>
          <w:szCs w:val="24"/>
        </w:rPr>
        <w:t>.</w:t>
      </w:r>
    </w:p>
    <w:p w14:paraId="5C31DE0A" w14:textId="77777777" w:rsidR="00B058DE" w:rsidRPr="00A0292D" w:rsidRDefault="00B058DE" w:rsidP="00FF0339">
      <w:pPr>
        <w:pStyle w:val="Heading2"/>
        <w:rPr>
          <w:rFonts w:asciiTheme="minorBidi" w:hAnsiTheme="minorBidi" w:cstheme="minorBidi"/>
        </w:rPr>
      </w:pPr>
      <w:bookmarkStart w:id="25" w:name="_Toc227788472"/>
      <w:r w:rsidRPr="00A0292D">
        <w:rPr>
          <w:rFonts w:asciiTheme="minorBidi" w:hAnsiTheme="minorBidi" w:cstheme="minorBidi"/>
        </w:rPr>
        <w:t>4.6 Restructuring conclusion</w:t>
      </w:r>
      <w:bookmarkEnd w:id="25"/>
    </w:p>
    <w:p w14:paraId="00200698" w14:textId="77777777" w:rsidR="00B058DE" w:rsidRPr="00A0292D" w:rsidRDefault="00FF0339" w:rsidP="00FF0339">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restructuring plan proposed is economical, since it will be based primarily on the reallocation, partnership and discipline, as opposed to emergency repair of balance sheets. It is implemented on a global scale due to its ability to apply it by region and asset class. It is morally upright since it incorporates supply-chain behavior, disclosure norms and protection of the stakeholders in the funding model. Stated succinctly, Toyota ought to reorganize to be flexible rather than to survive</w:t>
      </w:r>
      <w:r w:rsidR="00B058DE" w:rsidRPr="00A0292D">
        <w:rPr>
          <w:rFonts w:asciiTheme="minorBidi" w:hAnsiTheme="minorBidi" w:cstheme="minorBidi"/>
          <w:sz w:val="24"/>
          <w:szCs w:val="24"/>
        </w:rPr>
        <w:t>.</w:t>
      </w:r>
    </w:p>
    <w:p w14:paraId="67A9AA57" w14:textId="77777777" w:rsidR="004F56BC" w:rsidRPr="00A0292D" w:rsidRDefault="00125647" w:rsidP="00FF0339">
      <w:pPr>
        <w:pStyle w:val="Heading1"/>
        <w:rPr>
          <w:rFonts w:asciiTheme="minorBidi" w:hAnsiTheme="minorBidi" w:cstheme="minorBidi"/>
        </w:rPr>
      </w:pPr>
      <w:bookmarkStart w:id="26" w:name="_Toc227788473"/>
      <w:r w:rsidRPr="00A0292D">
        <w:rPr>
          <w:rFonts w:asciiTheme="minorBidi" w:hAnsiTheme="minorBidi" w:cstheme="minorBidi"/>
        </w:rPr>
        <w:t>5. Investment Appraisal and Capital Budgeting</w:t>
      </w:r>
      <w:bookmarkEnd w:id="26"/>
    </w:p>
    <w:p w14:paraId="72F8C37D" w14:textId="77777777" w:rsidR="004F56BC" w:rsidRPr="00A0292D" w:rsidRDefault="00125647" w:rsidP="00FF0339">
      <w:pPr>
        <w:pStyle w:val="Heading2"/>
        <w:jc w:val="both"/>
        <w:rPr>
          <w:rFonts w:asciiTheme="minorBidi" w:hAnsiTheme="minorBidi" w:cstheme="minorBidi"/>
        </w:rPr>
      </w:pPr>
      <w:bookmarkStart w:id="27" w:name="_Toc227788474"/>
      <w:r w:rsidRPr="00A0292D">
        <w:rPr>
          <w:rFonts w:asciiTheme="minorBidi" w:hAnsiTheme="minorBidi" w:cstheme="minorBidi"/>
        </w:rPr>
        <w:t>5.1 Introduction</w:t>
      </w:r>
      <w:bookmarkEnd w:id="27"/>
    </w:p>
    <w:p w14:paraId="4C70929D"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Capital budgeting is used to decide how organizations will use the limited financial resources across competing investment opportunities (Damodaran, 2012). In the case of Toyota, where the negative free cash flow is present and the capital expenditure per year is more than JPY 5 trillion, strict project appraisal is necessary. Three projects are appraised with five techniques, Payback Period (PBP), Accounting rate of return (ARR), Net present value (NPV), internal rate of return (IRR) and profitability index (PI). Each project will involve an investment of 50 million upfront and cash flows in the next five years. It is discounted at a rate of 10 percent and straight-line depreciation (to zero) over a period of five years.</w:t>
      </w:r>
    </w:p>
    <w:p w14:paraId="15B562C9" w14:textId="77777777" w:rsidR="004F56BC" w:rsidRPr="00A0292D" w:rsidRDefault="00125647" w:rsidP="00FF0339">
      <w:pPr>
        <w:pStyle w:val="Heading2"/>
        <w:rPr>
          <w:rFonts w:asciiTheme="minorBidi" w:hAnsiTheme="minorBidi" w:cstheme="minorBidi"/>
        </w:rPr>
      </w:pPr>
      <w:bookmarkStart w:id="28" w:name="_Toc227788475"/>
      <w:r w:rsidRPr="00A0292D">
        <w:rPr>
          <w:rFonts w:asciiTheme="minorBidi" w:hAnsiTheme="minorBidi" w:cstheme="minorBidi"/>
        </w:rPr>
        <w:t>5.2 Payback Period</w:t>
      </w:r>
      <w:bookmarkEnd w:id="28"/>
    </w:p>
    <w:p w14:paraId="6A9B7303"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payback period is the duration of time that it requires to cover the initial investment in terms of cumulative cash inflows (Atrill and McLaney, 2021). It fails to consider the time value of money and disregards the cash flows after the payback period. The detailed calculations are given in table 4.</w:t>
      </w:r>
    </w:p>
    <w:p w14:paraId="68982A8E" w14:textId="77777777" w:rsidR="004F56BC" w:rsidRPr="00A0292D" w:rsidRDefault="00125647" w:rsidP="00FF0339">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FF0339" w:rsidRPr="00A0292D">
        <w:rPr>
          <w:rFonts w:asciiTheme="minorBidi" w:hAnsiTheme="minorBidi" w:cstheme="minorBidi"/>
          <w:b/>
          <w:bCs/>
        </w:rPr>
        <w:t>9</w:t>
      </w:r>
      <w:r w:rsidRPr="00A0292D">
        <w:rPr>
          <w:rFonts w:asciiTheme="minorBidi" w:hAnsiTheme="minorBidi" w:cstheme="minorBidi"/>
          <w:b/>
          <w:bCs/>
        </w:rPr>
        <w:t>: Payback Period Calculations (£ million)</w:t>
      </w:r>
    </w:p>
    <w:tbl>
      <w:tblPr>
        <w:tblW w:w="9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90"/>
        <w:gridCol w:w="2409"/>
        <w:gridCol w:w="2409"/>
        <w:gridCol w:w="2737"/>
      </w:tblGrid>
      <w:tr w:rsidR="004F56BC" w:rsidRPr="00A0292D" w14:paraId="43301E16" w14:textId="77777777" w:rsidTr="00B058DE">
        <w:trPr>
          <w:trHeight w:val="459"/>
        </w:trPr>
        <w:tc>
          <w:tcPr>
            <w:tcW w:w="219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0A57C14" w14:textId="77777777" w:rsidR="004F56BC" w:rsidRPr="00A0292D" w:rsidRDefault="004F56BC" w:rsidP="00FF0339">
            <w:pPr>
              <w:spacing w:line="360" w:lineRule="auto"/>
              <w:jc w:val="center"/>
              <w:rPr>
                <w:rFonts w:asciiTheme="minorBidi" w:hAnsiTheme="minorBidi" w:cstheme="minorBidi"/>
                <w:sz w:val="28"/>
                <w:szCs w:val="28"/>
              </w:rPr>
            </w:pPr>
          </w:p>
        </w:tc>
        <w:tc>
          <w:tcPr>
            <w:tcW w:w="2409"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5795D3B8"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Project A</w:t>
            </w:r>
          </w:p>
        </w:tc>
        <w:tc>
          <w:tcPr>
            <w:tcW w:w="2409"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9E82C7C"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Project B</w:t>
            </w:r>
          </w:p>
        </w:tc>
        <w:tc>
          <w:tcPr>
            <w:tcW w:w="273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AFF6770"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Project C</w:t>
            </w:r>
          </w:p>
        </w:tc>
      </w:tr>
      <w:tr w:rsidR="004F56BC" w:rsidRPr="00A0292D" w14:paraId="53D4412E" w14:textId="77777777" w:rsidTr="00B058DE">
        <w:trPr>
          <w:trHeight w:val="345"/>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7FF0923"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1 CF (£m)</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0E40B4"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3D5340D"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53A978A"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w:t>
            </w:r>
          </w:p>
        </w:tc>
      </w:tr>
      <w:tr w:rsidR="004F56BC" w:rsidRPr="00A0292D" w14:paraId="63C092B8" w14:textId="77777777" w:rsidTr="00B058DE">
        <w:trPr>
          <w:trHeight w:val="368"/>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0D55675"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2 CF (£m)</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3628AB0"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12</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66F6704"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ACFDF92"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w:t>
            </w:r>
          </w:p>
        </w:tc>
      </w:tr>
      <w:tr w:rsidR="004F56BC" w:rsidRPr="00A0292D" w14:paraId="7A5ADA15" w14:textId="77777777" w:rsidTr="00B058DE">
        <w:trPr>
          <w:trHeight w:val="345"/>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DC97CE6"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3 CF (£m)</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5C97E83"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14</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074446"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7D325B7"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20</w:t>
            </w:r>
          </w:p>
        </w:tc>
      </w:tr>
      <w:tr w:rsidR="004F56BC" w:rsidRPr="00A0292D" w14:paraId="70FA5027" w14:textId="77777777" w:rsidTr="00B058DE">
        <w:trPr>
          <w:trHeight w:val="345"/>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A6D5A88"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4 CF (£m)</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036D379"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25B880B"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7F0BF3"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25</w:t>
            </w:r>
          </w:p>
        </w:tc>
      </w:tr>
      <w:tr w:rsidR="004F56BC" w:rsidRPr="00A0292D" w14:paraId="303B9980" w14:textId="77777777" w:rsidTr="00B058DE">
        <w:trPr>
          <w:trHeight w:val="345"/>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DE1D111"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5 CF (£m)</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B1E5E67"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8</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7187E79"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1B88E65"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w:t>
            </w:r>
          </w:p>
        </w:tc>
      </w:tr>
      <w:tr w:rsidR="004F56BC" w:rsidRPr="00A0292D" w14:paraId="31B4CB36"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97C910C"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1</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AD5797D"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(40)</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AA27B1E"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(39)</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659E50C"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(45)</w:t>
            </w:r>
          </w:p>
        </w:tc>
      </w:tr>
      <w:tr w:rsidR="004F56BC" w:rsidRPr="00A0292D" w14:paraId="15D75316"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FE4A5E3"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2</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1BCFC6A"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(28)</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A2C273A"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(28)</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AE9C92C"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(35)</w:t>
            </w:r>
          </w:p>
        </w:tc>
      </w:tr>
      <w:tr w:rsidR="004F56BC" w:rsidRPr="00A0292D" w14:paraId="42AF0C30"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09B2C04"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3</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BF451B2"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(14)</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6EEF501"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(17)</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839F669"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(15)</w:t>
            </w:r>
          </w:p>
        </w:tc>
      </w:tr>
      <w:tr w:rsidR="004F56BC" w:rsidRPr="00A0292D" w14:paraId="3ED22FF4"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0735272"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4</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32EC46A"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4321104"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(6)</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FC39FB1"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w:t>
            </w:r>
          </w:p>
        </w:tc>
      </w:tr>
      <w:tr w:rsidR="004F56BC" w:rsidRPr="00A0292D" w14:paraId="3A7B9E56"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08677A3"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5</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1A87371"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6619DFB"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9F65730"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15</w:t>
            </w:r>
          </w:p>
        </w:tc>
      </w:tr>
      <w:tr w:rsidR="004F56BC" w:rsidRPr="00A0292D" w14:paraId="60DB54A7" w14:textId="77777777" w:rsidTr="00B058DE">
        <w:trPr>
          <w:trHeight w:val="368"/>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376112D"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Payback Period</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37DAD35"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 + 4/8 = 4.50 yrs</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76ABD7F"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 + 6/11 = 4.55 yrs</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4F4728C" w14:textId="77777777" w:rsidR="004F56BC" w:rsidRPr="00A0292D" w:rsidRDefault="00125647"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 + 15/25 = 3.60 yrs</w:t>
            </w:r>
          </w:p>
        </w:tc>
      </w:tr>
    </w:tbl>
    <w:p w14:paraId="594B64CE" w14:textId="77777777" w:rsidR="004F56BC" w:rsidRPr="00A0292D" w:rsidRDefault="00125647" w:rsidP="00FF0339">
      <w:pPr>
        <w:spacing w:before="50" w:after="130" w:line="360" w:lineRule="auto"/>
        <w:jc w:val="both"/>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based on project data provided in the brief.</w:t>
      </w:r>
    </w:p>
    <w:p w14:paraId="3C672062"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Project C breaks even in a shortest time of 3.60 years compared to the other two projects. Both projects A and B take around 4.50 years. Project C is more favored under the payback criterion alone. The shorter payback period minimizes the exposure to uncertainty and an early cash recovery is also in line with the liquidity requirement of Toyota as it has a negative position on free cash flows (Wild, 2021).</w:t>
      </w:r>
    </w:p>
    <w:p w14:paraId="5B521881" w14:textId="77777777" w:rsidR="004F56BC" w:rsidRPr="00A0292D" w:rsidRDefault="00125647" w:rsidP="00FF0339">
      <w:pPr>
        <w:pStyle w:val="Heading2"/>
        <w:rPr>
          <w:rFonts w:asciiTheme="minorBidi" w:hAnsiTheme="minorBidi" w:cstheme="minorBidi"/>
        </w:rPr>
      </w:pPr>
      <w:bookmarkStart w:id="29" w:name="_Toc227788476"/>
      <w:r w:rsidRPr="00A0292D">
        <w:rPr>
          <w:rFonts w:asciiTheme="minorBidi" w:hAnsiTheme="minorBidi" w:cstheme="minorBidi"/>
        </w:rPr>
        <w:t>5.3 Accounting Rate of Return</w:t>
      </w:r>
      <w:bookmarkEnd w:id="29"/>
    </w:p>
    <w:p w14:paraId="778302F2"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 xml:space="preserve">ARR is given as average accounting profit per year/average investment. Under straight-line depreciation, the initial investment of 50 million would be depreciated over five years, with a total of 50 million depreciated (Drury, 2017). </w:t>
      </w:r>
    </w:p>
    <w:p w14:paraId="7815084E" w14:textId="77777777" w:rsidR="004F56BC" w:rsidRPr="00A0292D" w:rsidRDefault="00125647" w:rsidP="00FF0339">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FF0339" w:rsidRPr="00A0292D">
        <w:rPr>
          <w:rFonts w:asciiTheme="minorBidi" w:hAnsiTheme="minorBidi" w:cstheme="minorBidi"/>
          <w:b/>
          <w:bCs/>
        </w:rPr>
        <w:t>10</w:t>
      </w:r>
      <w:r w:rsidRPr="00A0292D">
        <w:rPr>
          <w:rFonts w:asciiTheme="minorBidi" w:hAnsiTheme="minorBidi" w:cstheme="minorBidi"/>
          <w:b/>
          <w:bCs/>
        </w:rPr>
        <w:t>: ARR Calculations (£ million)</w:t>
      </w:r>
    </w:p>
    <w:tbl>
      <w:tblPr>
        <w:tblW w:w="97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90"/>
        <w:gridCol w:w="2200"/>
        <w:gridCol w:w="2200"/>
        <w:gridCol w:w="2200"/>
      </w:tblGrid>
      <w:tr w:rsidR="004F56BC" w:rsidRPr="00A0292D" w14:paraId="4A0DF1A0" w14:textId="77777777" w:rsidTr="00B058DE">
        <w:trPr>
          <w:trHeight w:val="346"/>
        </w:trPr>
        <w:tc>
          <w:tcPr>
            <w:tcW w:w="319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59EC850E"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Metric</w:t>
            </w:r>
          </w:p>
        </w:tc>
        <w:tc>
          <w:tcPr>
            <w:tcW w:w="220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1B95981"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A</w:t>
            </w:r>
          </w:p>
        </w:tc>
        <w:tc>
          <w:tcPr>
            <w:tcW w:w="220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1EAB8787"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B</w:t>
            </w:r>
          </w:p>
        </w:tc>
        <w:tc>
          <w:tcPr>
            <w:tcW w:w="220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57AFB7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C</w:t>
            </w:r>
          </w:p>
        </w:tc>
      </w:tr>
      <w:tr w:rsidR="004F56BC" w:rsidRPr="00A0292D" w14:paraId="6DC5FA3F" w14:textId="77777777" w:rsidTr="00B058DE">
        <w:trPr>
          <w:trHeight w:val="346"/>
        </w:trPr>
        <w:tc>
          <w:tcPr>
            <w:tcW w:w="3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3FB6876"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Total Cash Inflows (£m)</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EE32879"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54.00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B9466DF"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55.00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73B6CB3"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65.00</w:t>
            </w:r>
          </w:p>
        </w:tc>
      </w:tr>
      <w:tr w:rsidR="004F56BC" w:rsidRPr="00A0292D" w14:paraId="162834E6" w14:textId="77777777" w:rsidTr="00B058DE">
        <w:trPr>
          <w:trHeight w:val="716"/>
        </w:trPr>
        <w:tc>
          <w:tcPr>
            <w:tcW w:w="3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F1E4051"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Less: Total Depreciation (£m)</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6963FD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D1AE6F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1BEB8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r>
      <w:tr w:rsidR="004F56BC" w:rsidRPr="00A0292D" w14:paraId="0399743A" w14:textId="77777777" w:rsidTr="00B058DE">
        <w:trPr>
          <w:trHeight w:val="716"/>
        </w:trPr>
        <w:tc>
          <w:tcPr>
            <w:tcW w:w="3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F8229A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Total Accounting Profit (£m)</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F83E9A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2A81957"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5E0FEB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15.00</w:t>
            </w:r>
          </w:p>
        </w:tc>
      </w:tr>
      <w:tr w:rsidR="004F56BC" w:rsidRPr="00A0292D" w14:paraId="36B0F85B" w14:textId="77777777" w:rsidTr="00B058DE">
        <w:trPr>
          <w:trHeight w:val="716"/>
        </w:trPr>
        <w:tc>
          <w:tcPr>
            <w:tcW w:w="3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10C8733"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Average Annual Profit (£m)</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8AB76D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0.80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4FBACC3"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61FA2AF"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3.00</w:t>
            </w:r>
          </w:p>
        </w:tc>
      </w:tr>
      <w:tr w:rsidR="004F56BC" w:rsidRPr="00A0292D" w14:paraId="068377B9" w14:textId="77777777" w:rsidTr="00B058DE">
        <w:trPr>
          <w:trHeight w:val="346"/>
        </w:trPr>
        <w:tc>
          <w:tcPr>
            <w:tcW w:w="3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E347A6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Average Investment (£m)*</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477B01"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25.00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746D62B"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25.00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392EC64"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25.00</w:t>
            </w:r>
          </w:p>
        </w:tc>
      </w:tr>
      <w:tr w:rsidR="004F56BC" w:rsidRPr="00A0292D" w14:paraId="73BC78B5" w14:textId="77777777" w:rsidTr="00B058DE">
        <w:trPr>
          <w:trHeight w:val="369"/>
        </w:trPr>
        <w:tc>
          <w:tcPr>
            <w:tcW w:w="3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C949AF1"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ARR (%)</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C090C3B"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3.2%</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22716D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0A4F7A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12.0%</w:t>
            </w:r>
          </w:p>
        </w:tc>
      </w:tr>
    </w:tbl>
    <w:p w14:paraId="206FB1D0" w14:textId="77777777" w:rsidR="004F56BC" w:rsidRPr="00A0292D" w:rsidRDefault="00125647" w:rsidP="00FF0339">
      <w:pPr>
        <w:spacing w:before="50" w:after="130" w:line="360" w:lineRule="auto"/>
        <w:jc w:val="both"/>
        <w:rPr>
          <w:rFonts w:asciiTheme="minorBidi" w:hAnsiTheme="minorBidi" w:cstheme="minorBidi"/>
          <w:sz w:val="28"/>
          <w:szCs w:val="28"/>
        </w:rPr>
      </w:pPr>
      <w:r w:rsidRPr="00A0292D">
        <w:rPr>
          <w:rFonts w:asciiTheme="minorBidi" w:hAnsiTheme="minorBidi" w:cstheme="minorBidi"/>
          <w:i/>
          <w:iCs/>
          <w:color w:val="595959"/>
          <w:sz w:val="20"/>
          <w:szCs w:val="20"/>
        </w:rPr>
        <w:t>*Average investment = (Initial investment + Residual value) / 2 = (50 + 0) / 2 = £25m. Source: Author's calculations.</w:t>
      </w:r>
    </w:p>
    <w:p w14:paraId="78054E5A"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Project C generates an ARR of 12.0, which is much higher than Project A of 3.2 and Project B of 4.0. Although ARR does not take into consideration the time value of money and it, when applied alone, is misleading (Bhimani et al., 2019), it proves that Project C has high accounting profitability compared to initial capital invested.</w:t>
      </w:r>
    </w:p>
    <w:p w14:paraId="7E9BD212" w14:textId="77777777" w:rsidR="004F56BC" w:rsidRPr="00A0292D" w:rsidRDefault="00125647" w:rsidP="00FF0339">
      <w:pPr>
        <w:pStyle w:val="Heading2"/>
        <w:rPr>
          <w:rFonts w:asciiTheme="minorBidi" w:hAnsiTheme="minorBidi" w:cstheme="minorBidi"/>
        </w:rPr>
      </w:pPr>
      <w:bookmarkStart w:id="30" w:name="_Toc227788477"/>
      <w:r w:rsidRPr="00A0292D">
        <w:rPr>
          <w:rFonts w:asciiTheme="minorBidi" w:hAnsiTheme="minorBidi" w:cstheme="minorBidi"/>
        </w:rPr>
        <w:t>5.4 Net Present Value</w:t>
      </w:r>
      <w:bookmarkEnd w:id="30"/>
    </w:p>
    <w:p w14:paraId="3AD6F4A6" w14:textId="77777777" w:rsidR="00FF0339" w:rsidRPr="00A0292D" w:rsidRDefault="00FF0339" w:rsidP="00FF0339">
      <w:pPr>
        <w:spacing w:before="60" w:after="40" w:line="360" w:lineRule="auto"/>
        <w:jc w:val="both"/>
        <w:rPr>
          <w:rFonts w:asciiTheme="minorBidi" w:hAnsiTheme="minorBidi" w:cstheme="minorBidi"/>
          <w:sz w:val="24"/>
          <w:szCs w:val="24"/>
        </w:rPr>
      </w:pPr>
      <w:r w:rsidRPr="00A0292D">
        <w:rPr>
          <w:rFonts w:asciiTheme="minorBidi" w:hAnsiTheme="minorBidi" w:cstheme="minorBidi"/>
          <w:sz w:val="24"/>
          <w:szCs w:val="24"/>
        </w:rPr>
        <w:t>NPV discounts all the future cash flows at the cost of capital and deducts the initial investment. A positive NPV represents value creation exceeding the necessary return; a negative NPV represents value destruction (Damodaran, 2012).</w:t>
      </w:r>
    </w:p>
    <w:p w14:paraId="637464BC" w14:textId="77777777" w:rsidR="004F56BC" w:rsidRPr="00A0292D" w:rsidRDefault="00125647" w:rsidP="00FF0339">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Table</w:t>
      </w:r>
      <w:r w:rsidR="00FF0339" w:rsidRPr="00A0292D">
        <w:rPr>
          <w:rFonts w:asciiTheme="minorBidi" w:hAnsiTheme="minorBidi" w:cstheme="minorBidi"/>
          <w:b/>
          <w:bCs/>
        </w:rPr>
        <w:t xml:space="preserve"> 11</w:t>
      </w:r>
      <w:r w:rsidRPr="00A0292D">
        <w:rPr>
          <w:rFonts w:asciiTheme="minorBidi" w:hAnsiTheme="minorBidi" w:cstheme="minorBidi"/>
          <w:b/>
          <w:bCs/>
        </w:rPr>
        <w:t>: NPV Calculations at 10% Discount Rate (£ million)</w:t>
      </w:r>
    </w:p>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97"/>
        <w:gridCol w:w="1204"/>
        <w:gridCol w:w="1269"/>
        <w:gridCol w:w="1271"/>
        <w:gridCol w:w="1271"/>
        <w:gridCol w:w="1271"/>
        <w:gridCol w:w="1271"/>
        <w:gridCol w:w="1271"/>
      </w:tblGrid>
      <w:tr w:rsidR="004F56BC" w:rsidRPr="00A0292D" w14:paraId="605DCADB" w14:textId="77777777" w:rsidTr="00B058DE">
        <w:trPr>
          <w:trHeight w:val="713"/>
        </w:trPr>
        <w:tc>
          <w:tcPr>
            <w:tcW w:w="99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34977B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Year</w:t>
            </w:r>
          </w:p>
        </w:tc>
        <w:tc>
          <w:tcPr>
            <w:tcW w:w="120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4832F4E"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DF</w:t>
            </w:r>
          </w:p>
        </w:tc>
        <w:tc>
          <w:tcPr>
            <w:tcW w:w="1269"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7BA8C2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A CF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AA02D61"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A PV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DF9C153"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B CF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17A53E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B PV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CF0F0E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C CF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257763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C PV (£m)</w:t>
            </w:r>
          </w:p>
        </w:tc>
      </w:tr>
      <w:tr w:rsidR="004F56BC" w:rsidRPr="00A0292D" w14:paraId="70D5D290"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93C0EF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w:t>
            </w:r>
          </w:p>
        </w:tc>
        <w:tc>
          <w:tcPr>
            <w:tcW w:w="12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017310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1.0000</w:t>
            </w:r>
          </w:p>
        </w:tc>
        <w:tc>
          <w:tcPr>
            <w:tcW w:w="126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4C00FA9"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725C2DB"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EB0F3CB"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585A156"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28B645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895406F"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r>
      <w:tr w:rsidR="004F56BC" w:rsidRPr="00A0292D" w14:paraId="7436CBD3"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5FBE243"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w:t>
            </w:r>
          </w:p>
        </w:tc>
        <w:tc>
          <w:tcPr>
            <w:tcW w:w="12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B23F93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0.9091</w:t>
            </w:r>
          </w:p>
        </w:tc>
        <w:tc>
          <w:tcPr>
            <w:tcW w:w="12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E1D44E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3E9C834"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9.09</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AB2753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B46ADD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1881787"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CFB6AA4"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4.55</w:t>
            </w:r>
          </w:p>
        </w:tc>
      </w:tr>
      <w:tr w:rsidR="004F56BC" w:rsidRPr="00A0292D" w14:paraId="7544AB0C" w14:textId="77777777" w:rsidTr="00B058DE">
        <w:trPr>
          <w:trHeight w:val="368"/>
        </w:trPr>
        <w:tc>
          <w:tcPr>
            <w:tcW w:w="9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5364AF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w:t>
            </w:r>
          </w:p>
        </w:tc>
        <w:tc>
          <w:tcPr>
            <w:tcW w:w="12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EE70CE5"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0.8264</w:t>
            </w:r>
          </w:p>
        </w:tc>
        <w:tc>
          <w:tcPr>
            <w:tcW w:w="126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0E6905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12.00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83B7F8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9.92</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D98C499"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8BAF7E5"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9.09</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7C515F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EE93FE3"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8.26</w:t>
            </w:r>
          </w:p>
        </w:tc>
      </w:tr>
      <w:tr w:rsidR="004F56BC" w:rsidRPr="00A0292D" w14:paraId="220152DC"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662E56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w:t>
            </w:r>
          </w:p>
        </w:tc>
        <w:tc>
          <w:tcPr>
            <w:tcW w:w="12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B080FA9"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0.7513</w:t>
            </w:r>
          </w:p>
        </w:tc>
        <w:tc>
          <w:tcPr>
            <w:tcW w:w="12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F4DC5C5"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14.00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5A90EA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10.52</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1A4E34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DB0123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8.26</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6B8297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20.00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21A9CE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15.03</w:t>
            </w:r>
          </w:p>
        </w:tc>
      </w:tr>
      <w:tr w:rsidR="004F56BC" w:rsidRPr="00A0292D" w14:paraId="18EBB563"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7D483B6"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w:t>
            </w:r>
          </w:p>
        </w:tc>
        <w:tc>
          <w:tcPr>
            <w:tcW w:w="12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ECDA307"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0.6830</w:t>
            </w:r>
          </w:p>
        </w:tc>
        <w:tc>
          <w:tcPr>
            <w:tcW w:w="126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1F40913"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A0D0D53"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6.83</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1C4E074"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8E3779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7.51</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96EBCB6"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25.00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84A6404"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17.08</w:t>
            </w:r>
          </w:p>
        </w:tc>
      </w:tr>
      <w:tr w:rsidR="004F56BC" w:rsidRPr="00A0292D" w14:paraId="18D846AD"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59A58D4"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w:t>
            </w:r>
          </w:p>
        </w:tc>
        <w:tc>
          <w:tcPr>
            <w:tcW w:w="12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D4E89E5"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0.6209</w:t>
            </w:r>
          </w:p>
        </w:tc>
        <w:tc>
          <w:tcPr>
            <w:tcW w:w="12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90CD79B"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B81EB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4.97</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E8012C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25E09A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6.83</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A53AF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9D2D8E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3.10</w:t>
            </w:r>
          </w:p>
        </w:tc>
      </w:tr>
      <w:tr w:rsidR="004F56BC" w:rsidRPr="00A0292D" w14:paraId="52B61DE1" w14:textId="77777777" w:rsidTr="00B058DE">
        <w:trPr>
          <w:trHeight w:val="482"/>
        </w:trPr>
        <w:tc>
          <w:tcPr>
            <w:tcW w:w="9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C1C212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NPV</w:t>
            </w:r>
          </w:p>
        </w:tc>
        <w:tc>
          <w:tcPr>
            <w:tcW w:w="12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E2FD75E" w14:textId="77777777" w:rsidR="004F56BC" w:rsidRPr="00A0292D" w:rsidRDefault="004F56BC" w:rsidP="00FF0339">
            <w:pPr>
              <w:spacing w:line="360" w:lineRule="auto"/>
              <w:jc w:val="both"/>
              <w:rPr>
                <w:rFonts w:asciiTheme="minorBidi" w:hAnsiTheme="minorBidi" w:cstheme="minorBidi"/>
                <w:sz w:val="28"/>
                <w:szCs w:val="28"/>
              </w:rPr>
            </w:pPr>
          </w:p>
        </w:tc>
        <w:tc>
          <w:tcPr>
            <w:tcW w:w="126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C65E59A" w14:textId="77777777" w:rsidR="004F56BC" w:rsidRPr="00A0292D" w:rsidRDefault="004F56BC" w:rsidP="00FF0339">
            <w:pPr>
              <w:spacing w:line="360" w:lineRule="auto"/>
              <w:jc w:val="both"/>
              <w:rPr>
                <w:rFonts w:asciiTheme="minorBidi" w:hAnsiTheme="minorBidi" w:cstheme="minorBidi"/>
                <w:sz w:val="28"/>
                <w:szCs w:val="28"/>
              </w:rPr>
            </w:pP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C25FE1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(8.68)</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8928F14" w14:textId="77777777" w:rsidR="004F56BC" w:rsidRPr="00A0292D" w:rsidRDefault="004F56BC" w:rsidP="00FF0339">
            <w:pPr>
              <w:spacing w:line="360" w:lineRule="auto"/>
              <w:jc w:val="both"/>
              <w:rPr>
                <w:rFonts w:asciiTheme="minorBidi" w:hAnsiTheme="minorBidi" w:cstheme="minorBidi"/>
                <w:sz w:val="28"/>
                <w:szCs w:val="28"/>
              </w:rPr>
            </w:pP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987C55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(8.30)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8AB451F" w14:textId="77777777" w:rsidR="004F56BC" w:rsidRPr="00A0292D" w:rsidRDefault="004F56BC" w:rsidP="00FF0339">
            <w:pPr>
              <w:spacing w:line="360" w:lineRule="auto"/>
              <w:jc w:val="both"/>
              <w:rPr>
                <w:rFonts w:asciiTheme="minorBidi" w:hAnsiTheme="minorBidi" w:cstheme="minorBidi"/>
                <w:sz w:val="28"/>
                <w:szCs w:val="28"/>
              </w:rPr>
            </w:pP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D8782E9"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(1.98)</w:t>
            </w:r>
          </w:p>
        </w:tc>
      </w:tr>
    </w:tbl>
    <w:p w14:paraId="2FA51688" w14:textId="77777777" w:rsidR="004F56BC" w:rsidRPr="00A0292D" w:rsidRDefault="00125647" w:rsidP="00FF0339">
      <w:pPr>
        <w:spacing w:before="50" w:after="130" w:line="360" w:lineRule="auto"/>
        <w:jc w:val="both"/>
        <w:rPr>
          <w:rFonts w:asciiTheme="minorBidi" w:hAnsiTheme="minorBidi" w:cstheme="minorBidi"/>
          <w:sz w:val="28"/>
          <w:szCs w:val="28"/>
        </w:rPr>
      </w:pPr>
      <w:r w:rsidRPr="00A0292D">
        <w:rPr>
          <w:rFonts w:asciiTheme="minorBidi" w:hAnsiTheme="minorBidi" w:cstheme="minorBidi"/>
          <w:i/>
          <w:iCs/>
          <w:color w:val="595959"/>
          <w:sz w:val="20"/>
          <w:szCs w:val="20"/>
        </w:rPr>
        <w:t>Discount factors: Year 1 = 1/1.10 = 0.9091; Year 2 = 1/1.10^2 = 0.8264; Year 3 = 0.7513; Year 4 = 0.6830; Year 5 = 0.6209. Source: Author's calculations.</w:t>
      </w:r>
    </w:p>
    <w:p w14:paraId="6B5E386B"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three projects generate negative NPVs at 10% hurdle rate. Project A: -£8.68 million. Project B: -£8.30 million. Project C: -£1.98 million. All the three projects are rejected under the NPV decision rule since none of the projects can produce sufficient cash flows to justify the cost of capital (Watson and Head, 2010). Project C annihilates the least value and is the least undesirable project in case of mandatory investment.</w:t>
      </w:r>
    </w:p>
    <w:p w14:paraId="18A758FC" w14:textId="77777777" w:rsidR="004F56BC" w:rsidRPr="00A0292D" w:rsidRDefault="00125647" w:rsidP="00FF0339">
      <w:pPr>
        <w:pStyle w:val="Heading2"/>
        <w:rPr>
          <w:rFonts w:asciiTheme="minorBidi" w:hAnsiTheme="minorBidi" w:cstheme="minorBidi"/>
        </w:rPr>
      </w:pPr>
      <w:bookmarkStart w:id="31" w:name="_Toc227788478"/>
      <w:r w:rsidRPr="00A0292D">
        <w:rPr>
          <w:rFonts w:asciiTheme="minorBidi" w:hAnsiTheme="minorBidi" w:cstheme="minorBidi"/>
        </w:rPr>
        <w:t>5.5 Internal Rate of Return</w:t>
      </w:r>
      <w:bookmarkEnd w:id="31"/>
    </w:p>
    <w:p w14:paraId="670D759D"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discount rate at which the NPV is zero is referred to as the IRR. The projects are accepted in the case of IRR being greater than the cost of capital (Winfield et al., 2021). The IRR for Project A is 2.72%, for Project B is 3.26%, and for Project C is 8.59%. The three IRRs are all less than the 10% cost of capital, which validates the NPV conclusion. All the projects fall short of the IRR acceptance requirement. The closest project to the 10% level is project C, which supports its comparative advantage over other two alternatives.</w:t>
      </w:r>
    </w:p>
    <w:p w14:paraId="0A65FF79" w14:textId="77777777" w:rsidR="004F56BC" w:rsidRPr="00A0292D" w:rsidRDefault="00125647" w:rsidP="00FF0339">
      <w:pPr>
        <w:pStyle w:val="Heading2"/>
        <w:rPr>
          <w:rFonts w:asciiTheme="minorBidi" w:hAnsiTheme="minorBidi" w:cstheme="minorBidi"/>
        </w:rPr>
      </w:pPr>
      <w:bookmarkStart w:id="32" w:name="_Toc227788479"/>
      <w:r w:rsidRPr="00A0292D">
        <w:rPr>
          <w:rFonts w:asciiTheme="minorBidi" w:hAnsiTheme="minorBidi" w:cstheme="minorBidi"/>
        </w:rPr>
        <w:t>5.6 Profitability Index</w:t>
      </w:r>
      <w:bookmarkEnd w:id="32"/>
    </w:p>
    <w:p w14:paraId="06068CF8"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PI = (NPV/Initial Investment) + Initial Investment. PI of above 1.0 implies value creation (Damodaran, 2012). Project A: PI = (50 - 8.68) / 50 = 0.83. Project B: PI = (50 - 8.30) / 50 = 0.83. Project C: PI = (50 - 1.98) / 50 = 0.96. All PIs are less than 1.0, which is in line with negative NPVs. Project C with a value of 0.96 is nearest to the acceptance threshold of 1.0.</w:t>
      </w:r>
    </w:p>
    <w:p w14:paraId="445AA890" w14:textId="77777777" w:rsidR="004F56BC" w:rsidRPr="00A0292D" w:rsidRDefault="00125647" w:rsidP="00FF0339">
      <w:pPr>
        <w:pStyle w:val="Heading2"/>
        <w:jc w:val="both"/>
        <w:rPr>
          <w:rFonts w:asciiTheme="minorBidi" w:hAnsiTheme="minorBidi" w:cstheme="minorBidi"/>
        </w:rPr>
      </w:pPr>
      <w:bookmarkStart w:id="33" w:name="_Toc227788480"/>
      <w:r w:rsidRPr="00A0292D">
        <w:rPr>
          <w:rFonts w:asciiTheme="minorBidi" w:hAnsiTheme="minorBidi" w:cstheme="minorBidi"/>
        </w:rPr>
        <w:t>5.7 Project Comparison and Recommendation</w:t>
      </w:r>
      <w:bookmarkEnd w:id="33"/>
    </w:p>
    <w:p w14:paraId="65016511" w14:textId="77777777" w:rsidR="004F56BC" w:rsidRPr="00A0292D" w:rsidRDefault="00125647"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 xml:space="preserve">Table </w:t>
      </w:r>
      <w:r w:rsidR="00FF0339" w:rsidRPr="00A0292D">
        <w:rPr>
          <w:rFonts w:asciiTheme="minorBidi" w:hAnsiTheme="minorBidi" w:cstheme="minorBidi"/>
          <w:sz w:val="24"/>
          <w:szCs w:val="24"/>
        </w:rPr>
        <w:t>12</w:t>
      </w:r>
      <w:r w:rsidRPr="00A0292D">
        <w:rPr>
          <w:rFonts w:asciiTheme="minorBidi" w:hAnsiTheme="minorBidi" w:cstheme="minorBidi"/>
          <w:sz w:val="24"/>
          <w:szCs w:val="24"/>
        </w:rPr>
        <w:t xml:space="preserve"> summarises all appraisal results for the three projects.</w:t>
      </w:r>
    </w:p>
    <w:p w14:paraId="018F2555" w14:textId="77777777" w:rsidR="004F56BC" w:rsidRPr="00A0292D" w:rsidRDefault="00125647" w:rsidP="00FF0339">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FF0339" w:rsidRPr="00A0292D">
        <w:rPr>
          <w:rFonts w:asciiTheme="minorBidi" w:hAnsiTheme="minorBidi" w:cstheme="minorBidi"/>
          <w:b/>
          <w:bCs/>
        </w:rPr>
        <w:t>12</w:t>
      </w:r>
      <w:r w:rsidRPr="00A0292D">
        <w:rPr>
          <w:rFonts w:asciiTheme="minorBidi" w:hAnsiTheme="minorBidi" w:cstheme="minorBidi"/>
          <w:b/>
          <w:bCs/>
        </w:rPr>
        <w:t>: Investment Appraisal Summary</w:t>
      </w:r>
    </w:p>
    <w:tbl>
      <w:tblPr>
        <w:tblW w:w="9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80"/>
        <w:gridCol w:w="2326"/>
        <w:gridCol w:w="2326"/>
        <w:gridCol w:w="2326"/>
      </w:tblGrid>
      <w:tr w:rsidR="004F56BC" w:rsidRPr="00A0292D" w14:paraId="671AD1FF" w14:textId="77777777" w:rsidTr="00FF0339">
        <w:trPr>
          <w:trHeight w:val="608"/>
        </w:trPr>
        <w:tc>
          <w:tcPr>
            <w:tcW w:w="288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B97CD6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Metric</w:t>
            </w:r>
          </w:p>
        </w:tc>
        <w:tc>
          <w:tcPr>
            <w:tcW w:w="2326"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9B0942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A</w:t>
            </w:r>
          </w:p>
        </w:tc>
        <w:tc>
          <w:tcPr>
            <w:tcW w:w="2326"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62FB0F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B</w:t>
            </w:r>
          </w:p>
        </w:tc>
        <w:tc>
          <w:tcPr>
            <w:tcW w:w="2326"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EA41087"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C</w:t>
            </w:r>
          </w:p>
        </w:tc>
      </w:tr>
      <w:tr w:rsidR="004F56BC" w:rsidRPr="00A0292D" w14:paraId="4049F5CF"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AF7245E"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Initial Investment (£m)</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63ADFDF"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BAB50E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64C183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w:t>
            </w:r>
          </w:p>
        </w:tc>
      </w:tr>
      <w:tr w:rsidR="004F56BC" w:rsidRPr="00A0292D" w14:paraId="0B9213FD"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067DB64"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Total Cash Inflows (£m)</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B587952"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54</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C33318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55</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2FEFF3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65</w:t>
            </w:r>
          </w:p>
        </w:tc>
      </w:tr>
      <w:tr w:rsidR="004F56BC" w:rsidRPr="00A0292D" w14:paraId="6B4F6099"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158210"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Payback Period</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A2B96A4"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4.50 years</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53EDF4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4.55 years</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8088E7F"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3.60 years</w:t>
            </w:r>
          </w:p>
        </w:tc>
      </w:tr>
      <w:tr w:rsidR="004F56BC" w:rsidRPr="00A0292D" w14:paraId="5B5414A4" w14:textId="77777777" w:rsidTr="00FF0339">
        <w:trPr>
          <w:trHeight w:val="649"/>
        </w:trPr>
        <w:tc>
          <w:tcPr>
            <w:tcW w:w="28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F39ABD7"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ARR (%)</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2824447"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3.2%</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A822439"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4.0%</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DB45CA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12.0%</w:t>
            </w:r>
          </w:p>
        </w:tc>
      </w:tr>
      <w:tr w:rsidR="004F56BC" w:rsidRPr="00A0292D" w14:paraId="7AF95475"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3A8AF7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NPV at 10% (£m)</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9606AE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(8.68)</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2F217BA"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(8.30)</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C85256B"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(1.98)</w:t>
            </w:r>
          </w:p>
        </w:tc>
      </w:tr>
      <w:tr w:rsidR="004F56BC" w:rsidRPr="00A0292D" w14:paraId="3F5AB990"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A29FD7F"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IRR (%)</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7EEC7AE"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2.72%</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E6F302F"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3.26%</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A9849F8"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8.59%</w:t>
            </w:r>
          </w:p>
        </w:tc>
      </w:tr>
      <w:tr w:rsidR="004F56BC" w:rsidRPr="00A0292D" w14:paraId="4D6DDC8C"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68D9691"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Profitability Index</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0D5F691"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0.83</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B60F3D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0.83</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178414D"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0.96</w:t>
            </w:r>
          </w:p>
        </w:tc>
      </w:tr>
      <w:tr w:rsidR="004F56BC" w:rsidRPr="00A0292D" w14:paraId="50D4F6ED"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AB2BBD5"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Decision</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5DC8D1C"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Reject</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91E1D85"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Reject</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35F79EB" w14:textId="77777777" w:rsidR="004F56BC" w:rsidRPr="00A0292D" w:rsidRDefault="00125647"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Least unfavourable</w:t>
            </w:r>
          </w:p>
        </w:tc>
      </w:tr>
    </w:tbl>
    <w:p w14:paraId="1511B1AD" w14:textId="77777777" w:rsidR="004F56BC" w:rsidRPr="00A0292D" w:rsidRDefault="00125647" w:rsidP="00FF0339">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NPV calculated at 10% discount rate. ARR based on average investment of £25 million.</w:t>
      </w:r>
    </w:p>
    <w:p w14:paraId="62D9E993"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theoretically best investment appraisal method is the NPV method due to its ability to consider the time value of money, all cash flows, and directly quantifies the value creation (Damodaran, 2012). All projects should be rejected on NPV grounds. Project C is a conditional project given that the Board needs one of the projects to be undertaken strategically. It has the lowest payback period, greatest ARR, smallest negative NPV and greatest IRR. Its back-loaded cash flow, where the top inflow is £25 million in Year 4 is appropriate to Toyota expected cash flow recovery as the hybrid and BEV volumes increase.</w:t>
      </w:r>
    </w:p>
    <w:p w14:paraId="5CE2A14A"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Project C. also has fewer disadvantages in terms of non-financial risk, as the customer loyalty risk is less with Toyota compared to the newer entrants, which are EVs with shorter histories and unsatisfactory quality. The cash flows of Year 4 could be lower due to political risk, such as the possibility of changes to EV government incentive programmes in major markets. To some extent, this risk is diversified by the global manufacturing foot print of Toyota. The uniform cash flows of Project B provide predictability but provide less total returns and eliminate more value at the 10% hurdle rate (Easton et al., 2018).</w:t>
      </w:r>
    </w:p>
    <w:p w14:paraId="7D527B81" w14:textId="77777777" w:rsidR="004F56BC" w:rsidRPr="00A0292D" w:rsidRDefault="00125647" w:rsidP="00FF0339">
      <w:pPr>
        <w:pStyle w:val="Heading2"/>
        <w:jc w:val="both"/>
        <w:rPr>
          <w:rFonts w:asciiTheme="minorBidi" w:hAnsiTheme="minorBidi" w:cstheme="minorBidi"/>
        </w:rPr>
      </w:pPr>
      <w:bookmarkStart w:id="34" w:name="_Toc227788481"/>
      <w:r w:rsidRPr="00A0292D">
        <w:rPr>
          <w:rFonts w:asciiTheme="minorBidi" w:hAnsiTheme="minorBidi" w:cstheme="minorBidi"/>
        </w:rPr>
        <w:t>5.8 Capital Rationing Decision</w:t>
      </w:r>
      <w:bookmarkEnd w:id="34"/>
    </w:p>
    <w:p w14:paraId="60590C15"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Toyota has a maximum investment budget of 100 million pounds, and projects of 50 million pounds each so the maximum number of projects it can invest in is two. Table 13 appraises every combination.</w:t>
      </w:r>
    </w:p>
    <w:p w14:paraId="53316402" w14:textId="77777777" w:rsidR="004F56BC" w:rsidRPr="00A0292D" w:rsidRDefault="00125647"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A521E7" w:rsidRPr="00A0292D">
        <w:rPr>
          <w:rFonts w:asciiTheme="minorBidi" w:hAnsiTheme="minorBidi" w:cstheme="minorBidi"/>
          <w:b/>
          <w:bCs/>
        </w:rPr>
        <w:t>13</w:t>
      </w:r>
      <w:r w:rsidRPr="00A0292D">
        <w:rPr>
          <w:rFonts w:asciiTheme="minorBidi" w:hAnsiTheme="minorBidi" w:cstheme="minorBidi"/>
          <w:b/>
          <w:bCs/>
        </w:rPr>
        <w:t>: Capital Rationing Analysis (Budget: £100 million)</w:t>
      </w:r>
    </w:p>
    <w:tbl>
      <w:tblPr>
        <w:tblW w:w="96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88"/>
        <w:gridCol w:w="980"/>
        <w:gridCol w:w="2724"/>
        <w:gridCol w:w="3705"/>
      </w:tblGrid>
      <w:tr w:rsidR="004F56BC" w:rsidRPr="00A0292D" w14:paraId="02538E70" w14:textId="77777777" w:rsidTr="00A521E7">
        <w:trPr>
          <w:trHeight w:val="718"/>
        </w:trPr>
        <w:tc>
          <w:tcPr>
            <w:tcW w:w="2288"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8D68D86"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Combination</w:t>
            </w:r>
          </w:p>
        </w:tc>
        <w:tc>
          <w:tcPr>
            <w:tcW w:w="98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A001DA1"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Cost (£m)</w:t>
            </w:r>
          </w:p>
        </w:tc>
        <w:tc>
          <w:tcPr>
            <w:tcW w:w="272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17D7C10"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Combined NPV (£m)</w:t>
            </w:r>
          </w:p>
        </w:tc>
        <w:tc>
          <w:tcPr>
            <w:tcW w:w="3705"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60D2BBB" w14:textId="77777777" w:rsidR="004F56BC" w:rsidRPr="00A0292D" w:rsidRDefault="00125647"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Recommendation</w:t>
            </w:r>
          </w:p>
        </w:tc>
      </w:tr>
      <w:tr w:rsidR="004F56BC" w:rsidRPr="00A0292D" w14:paraId="16640DA6" w14:textId="77777777" w:rsidTr="00A521E7">
        <w:trPr>
          <w:trHeight w:val="347"/>
        </w:trPr>
        <w:tc>
          <w:tcPr>
            <w:tcW w:w="2288"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A8C1409"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A + B</w:t>
            </w:r>
          </w:p>
        </w:tc>
        <w:tc>
          <w:tcPr>
            <w:tcW w:w="9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AE983B3"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100</w:t>
            </w:r>
          </w:p>
        </w:tc>
        <w:tc>
          <w:tcPr>
            <w:tcW w:w="272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B6E401E"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(8.68) + (8.30) = (16.98)</w:t>
            </w:r>
          </w:p>
        </w:tc>
        <w:tc>
          <w:tcPr>
            <w:tcW w:w="370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F9EB3C9"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 worst combination</w:t>
            </w:r>
          </w:p>
        </w:tc>
      </w:tr>
      <w:tr w:rsidR="004F56BC" w:rsidRPr="00A0292D" w14:paraId="54DD7A89" w14:textId="77777777" w:rsidTr="00A521E7">
        <w:trPr>
          <w:trHeight w:val="347"/>
        </w:trPr>
        <w:tc>
          <w:tcPr>
            <w:tcW w:w="228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76C54CD"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A + C</w:t>
            </w:r>
          </w:p>
        </w:tc>
        <w:tc>
          <w:tcPr>
            <w:tcW w:w="9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1FDF87E"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100</w:t>
            </w:r>
          </w:p>
        </w:tc>
        <w:tc>
          <w:tcPr>
            <w:tcW w:w="272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732C034"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(8.68) + (1.98) = (10.66)</w:t>
            </w:r>
          </w:p>
        </w:tc>
        <w:tc>
          <w:tcPr>
            <w:tcW w:w="3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1048133"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 combined negative NPV</w:t>
            </w:r>
          </w:p>
        </w:tc>
      </w:tr>
      <w:tr w:rsidR="004F56BC" w:rsidRPr="00A0292D" w14:paraId="2214237B" w14:textId="77777777" w:rsidTr="00A521E7">
        <w:trPr>
          <w:trHeight w:val="347"/>
        </w:trPr>
        <w:tc>
          <w:tcPr>
            <w:tcW w:w="2288"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FB2C118"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B + C</w:t>
            </w:r>
          </w:p>
        </w:tc>
        <w:tc>
          <w:tcPr>
            <w:tcW w:w="9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7A6A211"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100</w:t>
            </w:r>
          </w:p>
        </w:tc>
        <w:tc>
          <w:tcPr>
            <w:tcW w:w="272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EA432AD"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(8.30) + (1.98) = (10.28)</w:t>
            </w:r>
          </w:p>
        </w:tc>
        <w:tc>
          <w:tcPr>
            <w:tcW w:w="370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C390226"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 combined negative NPV</w:t>
            </w:r>
          </w:p>
        </w:tc>
      </w:tr>
      <w:tr w:rsidR="004F56BC" w:rsidRPr="00A0292D" w14:paraId="008AD751" w14:textId="77777777" w:rsidTr="00A521E7">
        <w:trPr>
          <w:trHeight w:val="718"/>
        </w:trPr>
        <w:tc>
          <w:tcPr>
            <w:tcW w:w="228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9A1D795"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C only</w:t>
            </w:r>
          </w:p>
        </w:tc>
        <w:tc>
          <w:tcPr>
            <w:tcW w:w="9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0D86E48"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50</w:t>
            </w:r>
          </w:p>
        </w:tc>
        <w:tc>
          <w:tcPr>
            <w:tcW w:w="272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A0BA370"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(1.98)</w:t>
            </w:r>
          </w:p>
        </w:tc>
        <w:tc>
          <w:tcPr>
            <w:tcW w:w="3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B89CD03"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Best option: least value destruction</w:t>
            </w:r>
          </w:p>
        </w:tc>
      </w:tr>
      <w:tr w:rsidR="004F56BC" w:rsidRPr="00A0292D" w14:paraId="41B8C5C7" w14:textId="77777777" w:rsidTr="00A521E7">
        <w:trPr>
          <w:trHeight w:val="370"/>
        </w:trPr>
        <w:tc>
          <w:tcPr>
            <w:tcW w:w="2288"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972EF21"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B only</w:t>
            </w:r>
          </w:p>
        </w:tc>
        <w:tc>
          <w:tcPr>
            <w:tcW w:w="9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94CA15F"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50</w:t>
            </w:r>
          </w:p>
        </w:tc>
        <w:tc>
          <w:tcPr>
            <w:tcW w:w="272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BD7C3C2"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(8.30)</w:t>
            </w:r>
          </w:p>
        </w:tc>
        <w:tc>
          <w:tcPr>
            <w:tcW w:w="370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F7DA1E5"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w:t>
            </w:r>
          </w:p>
        </w:tc>
      </w:tr>
      <w:tr w:rsidR="004F56BC" w:rsidRPr="00A0292D" w14:paraId="54BB2644" w14:textId="77777777" w:rsidTr="00A521E7">
        <w:trPr>
          <w:trHeight w:val="347"/>
        </w:trPr>
        <w:tc>
          <w:tcPr>
            <w:tcW w:w="228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888393C"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A only</w:t>
            </w:r>
          </w:p>
        </w:tc>
        <w:tc>
          <w:tcPr>
            <w:tcW w:w="9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D0899BF"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50</w:t>
            </w:r>
          </w:p>
        </w:tc>
        <w:tc>
          <w:tcPr>
            <w:tcW w:w="272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DFF2441"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(8.68)</w:t>
            </w:r>
          </w:p>
        </w:tc>
        <w:tc>
          <w:tcPr>
            <w:tcW w:w="3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01EB2B9"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 most negative NPV</w:t>
            </w:r>
          </w:p>
        </w:tc>
      </w:tr>
      <w:tr w:rsidR="004F56BC" w:rsidRPr="00A0292D" w14:paraId="6040D58E" w14:textId="77777777" w:rsidTr="00A521E7">
        <w:trPr>
          <w:trHeight w:val="718"/>
        </w:trPr>
        <w:tc>
          <w:tcPr>
            <w:tcW w:w="2288"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AB7EE59"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None</w:t>
            </w:r>
          </w:p>
        </w:tc>
        <w:tc>
          <w:tcPr>
            <w:tcW w:w="9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D3F9888"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w:t>
            </w:r>
          </w:p>
        </w:tc>
        <w:tc>
          <w:tcPr>
            <w:tcW w:w="272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BCB8F32" w14:textId="77777777" w:rsidR="004F56BC" w:rsidRPr="00A0292D" w:rsidRDefault="00125647"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0.00</w:t>
            </w:r>
          </w:p>
        </w:tc>
        <w:tc>
          <w:tcPr>
            <w:tcW w:w="370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B413953" w14:textId="77777777" w:rsidR="004F56BC" w:rsidRPr="00A0292D" w:rsidRDefault="00125647"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Optimal if investment is discretionary</w:t>
            </w:r>
          </w:p>
        </w:tc>
      </w:tr>
    </w:tbl>
    <w:p w14:paraId="324D8F77" w14:textId="77777777" w:rsidR="004F56BC" w:rsidRPr="00A0292D" w:rsidRDefault="00125647" w:rsidP="00A521E7">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Individual NPVs: A = -8.68, B = -8.30, C = -1.98.</w:t>
      </w:r>
    </w:p>
    <w:p w14:paraId="64858AC4"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There are no two projects that can give a positive combined NPV. Project C plus any of the three projects A,B,C have significantly negative value addition. The single investment that is the least value-destructive is Project C with a negative NPV of -1.98 million. When capital rationing is applied to a 100 million budget, the best choice is to invest 50 million in Project C and leave the remaining 50 million as the current EV platform capital expenditure programme at Toyota with returns inherent in the overall operating strategy. When investment is actually discretionary, the right thing to do is not to invest in anything and to repay the capital to shareholders (Bhimani et al., 2019).</w:t>
      </w:r>
    </w:p>
    <w:p w14:paraId="7229666E" w14:textId="77777777" w:rsidR="004F56BC" w:rsidRPr="00A0292D" w:rsidRDefault="00125647" w:rsidP="00566FB5">
      <w:pPr>
        <w:pStyle w:val="Heading1"/>
        <w:rPr>
          <w:rFonts w:asciiTheme="minorBidi" w:hAnsiTheme="minorBidi" w:cstheme="minorBidi"/>
        </w:rPr>
      </w:pPr>
      <w:bookmarkStart w:id="35" w:name="_Toc227788482"/>
      <w:r w:rsidRPr="00A0292D">
        <w:rPr>
          <w:rFonts w:asciiTheme="minorBidi" w:hAnsiTheme="minorBidi" w:cstheme="minorBidi"/>
        </w:rPr>
        <w:t>6. Conclusion</w:t>
      </w:r>
      <w:bookmarkEnd w:id="35"/>
    </w:p>
    <w:p w14:paraId="394B7303"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financial performance of Toyota between 2021 and 2025 proves the existence of a company of a great magnitude and rising profitability. Revenue grew by 76.5% to JPY 48.04 trillion. In 2025 net profit was JPY 4.77 trillion. The ROE had increased to 13.3 and liquidity ratios became stronger throughout all five years. They are real accomplishments in a time when the sector is undergoing considerable disruptive change and increasing competitive intensity by BEV-oriented competitors. Persistent negative free cash flow is the most severe structural weakness that stood at -JPY 1.56 trillion in 2025. The capital expenditure is always greater than the operating cash inflows. The restructuring strategy suggests the sale of non-core assets, capital infusion, and extension of debt maturity to mitigate financial risk and enhance capital flexibility. The foreign risks such as JPY volatility and EV mineral inflation need to be managed by the treasury and procurement. At the 10% cost of capital, all the three projects give negative NPV. All three are to be rejected according to the NPV rule. Provided that the Board requires investment due to strategic reasons, conditionally, Project C is suggested as the least value-destructive one. With capital rationing, the allocation to Project C should be made at 50 million pounds alone. The disciplined capital allocation, enhanced free cash flow generation, and faster EV product development in all key markets will make Toyota successful in the EV era.</w:t>
      </w:r>
    </w:p>
    <w:p w14:paraId="1E8806E5" w14:textId="77777777" w:rsidR="00C51075" w:rsidRPr="00A0292D" w:rsidRDefault="00C51075">
      <w:pPr>
        <w:rPr>
          <w:rFonts w:asciiTheme="minorBidi" w:hAnsiTheme="minorBidi" w:cstheme="minorBidi"/>
          <w:b/>
          <w:bCs/>
          <w:color w:val="1F4E79"/>
          <w:sz w:val="32"/>
          <w:szCs w:val="32"/>
        </w:rPr>
      </w:pPr>
      <w:r w:rsidRPr="00A0292D">
        <w:rPr>
          <w:rFonts w:asciiTheme="minorBidi" w:hAnsiTheme="minorBidi" w:cstheme="minorBidi"/>
        </w:rPr>
        <w:br w:type="page"/>
      </w:r>
    </w:p>
    <w:p w14:paraId="637D39A2" w14:textId="77777777" w:rsidR="00BC5815" w:rsidRPr="00A0292D" w:rsidRDefault="00125647" w:rsidP="00BC5815">
      <w:pPr>
        <w:pStyle w:val="Heading1"/>
        <w:rPr>
          <w:rFonts w:asciiTheme="minorBidi" w:hAnsiTheme="minorBidi" w:cstheme="minorBidi"/>
        </w:rPr>
      </w:pPr>
      <w:bookmarkStart w:id="36" w:name="_Toc227788483"/>
      <w:r w:rsidRPr="00A0292D">
        <w:rPr>
          <w:rFonts w:asciiTheme="minorBidi" w:hAnsiTheme="minorBidi" w:cstheme="minorBidi"/>
        </w:rPr>
        <w:t>References</w:t>
      </w:r>
      <w:bookmarkEnd w:id="36"/>
    </w:p>
    <w:p w14:paraId="5618EFC4"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Atrill, P. and McLaney, E. (2021) Management Accounting for Decision Makers. 10th edn. Harlow: Pearson.</w:t>
      </w:r>
    </w:p>
    <w:p w14:paraId="15B30BF8"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Bhimani, A., Horngren, C.T., Datar, S.M. and Rajan, M.V. (2019) Management and Cost Accounting. 8th edn. Harlow: Pearson.</w:t>
      </w:r>
    </w:p>
    <w:p w14:paraId="10DEF3CD"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Damodaran, A. (2012) Investment Valuation: Tools and Techniques for Determining the Value of Any Asset. 3rd edn. Hoboken, NJ: John Wiley and Sons.</w:t>
      </w:r>
    </w:p>
    <w:p w14:paraId="543BB69E"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DePamphilis, D. (2019) Mergers, Acquisitions, and Other Restructuring Activities. 10th edn. Academic Press.</w:t>
      </w:r>
    </w:p>
    <w:p w14:paraId="11D9BF9E"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Drury, C. (2017) Management and Cost Accounting. 10th edn. Cengage Learning EMEA.</w:t>
      </w:r>
    </w:p>
    <w:p w14:paraId="6998B94F"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Easton, P.D., McAnally, M.L., Sommers, G.A. and Xiao-Jun, Z. (2018) Financial Statement Analysis and Valuation. 5th edn. Cambridge Business Publishers.</w:t>
      </w:r>
    </w:p>
    <w:p w14:paraId="2309EC49"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European Automobile Manufacturers' Association (ACEA) (2026) New car registrations: +1.8% in 2025; battery-electric 17.4% market share. Available at: https://www.acea.auto/pc-registrations/new-car-registrations-1-8-in-2025-battery-electric-17-4-market-share/ (Accessed: 20 April 2026).</w:t>
      </w:r>
    </w:p>
    <w:p w14:paraId="4EBA652A"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European Automobile Manufacturers’ Association (2026) New car registrations: +1.8% in 2025; battery-electric 17.4% market share. Available at: https://www.acea.auto/pc-registrations/new-car-registrations-1-8-in-2025-battery-electric-17-4-market-share/ (Accessed: 20 April 2026).</w:t>
      </w:r>
    </w:p>
    <w:p w14:paraId="5FC7E262"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European Environment Agency (2024) Electric vehicles. Available at: https://www.eea.europa.eu/en/topics/in-depth/electric-vehicles (Accessed: 20 April 2026).</w:t>
      </w:r>
    </w:p>
    <w:p w14:paraId="1244B98C"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European Environment Agency (EEA) (2024) Electric vehicles. Available at: https://www.eea.europa.eu/en/topics/in-depth/electric-vehicles (Accessed: 20 April 2026).</w:t>
      </w:r>
    </w:p>
    <w:p w14:paraId="718EF192"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Fridson, M. and Alvarez, F. (2022) Financial Statement Analysis Workbook: A Practitioner's Guide. 5th edn. Hoboken, NJ: Wiley Finance.</w:t>
      </w:r>
    </w:p>
    <w:p w14:paraId="13D65358"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Hargreaves Lansdown (2026) Toyota ADR each representing 2 ord shares: Financial statements and reports. Available at: https://www.hl.co.uk/shares/shares-search-results/t/toyota-adr-each-representing-2-ord-shares/financial-statements-and-reports (Accessed: 21 April 2026).</w:t>
      </w:r>
    </w:p>
    <w:p w14:paraId="204820A0"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Hargreaves Lansdown (2026) Toyota ADR each representing 2 ord shares: Financial statements and reports. Available at: https://www.hl.co.uk/shares/shares-search-results/t/toyota-adr-each-representing-2-ord-shares/financial-statements-and-reports (Accessed: 21 April 2026).</w:t>
      </w:r>
    </w:p>
    <w:p w14:paraId="0A1862CF"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Harrison, W.T., Horngren, C.T., Thomas, C.W. and Tietz, W.M. (2019) Financial Accounting: International Financial Reporting Standards. 12th edn. Harlow: Pearson.</w:t>
      </w:r>
    </w:p>
    <w:p w14:paraId="64935A04"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Hyundai Motor Company (2026) Hyundai Motor Announces 2025 Annual and Q4 Business Results. Available at: https://www.hyundai.com/worldwide/en/newsroom/detail/0000001116 (Accessed: 21 April 2026).</w:t>
      </w:r>
    </w:p>
    <w:p w14:paraId="03F13BD9"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IFRS Foundation (2023) IFRS S1 General Requirements for Disclosure of Sustainability-related Financial Information. Available at: https://www.ifrs.org/issued-standards/ifrs-sustainability-standards-navigator/ifrs-s1-general-requirements/ (Accessed: 20 April 2026).</w:t>
      </w:r>
    </w:p>
    <w:p w14:paraId="5891B8FD"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International Energy Agency (IEA) (2025) Global EV Outlook 2025. Available at: https://www.iea.org/reports/global-ev-outlook-2025 (Accessed: 20 April 2026).</w:t>
      </w:r>
    </w:p>
    <w:p w14:paraId="6972B4D9"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Ittelson, T.R. (2022) Financial Statements: A Step-by-Step Guide to Understanding and Creating Financial Reports. 3rd edn. Newburyport, MA: Career Press.</w:t>
      </w:r>
    </w:p>
    <w:p w14:paraId="7090DB18"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Marshall, D., McManus, W. and Viele, D. (2023) Accounting: What the Numbers Mean. 13th edn. London: McGraw-Hill.</w:t>
      </w:r>
    </w:p>
    <w:p w14:paraId="00322800"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Organisation for Economic Co-operation and Development (2023) OECD Guidelines for Multinational Enterprises on Responsible Business Conduct. Available at: https://www.oecd.org/en/publications/oecd-guidelines-for-multinational-enterprises-on-responsible-business-conduct_81f92357-en.html (Accessed: 20 April 2026).</w:t>
      </w:r>
    </w:p>
    <w:p w14:paraId="1F353A47"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Organisation for Economic Co-operation and Development (2023) OECD Guidelines for Multinational Enterprises on Responsible Business Conduct. Available at: https://www.oecd.org/en/publications/oecd-guidelines-for-multinational-enterprises-on-responsible-business-conduct_81f92357-en.html (Accessed: 20 April 2026).</w:t>
      </w:r>
    </w:p>
    <w:p w14:paraId="58098B10"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Organisation for Economic Co-operation and Development (OECD) (2023) OECD Guidelines for Multinational Enterprises on Responsible Business Conduct. Available at: https://www.oecd.org/en/publications/oecd-guidelines-for-multinational-enterprises-on-responsible-business-conduct_81f92357-en.html (Accessed: 20 April 2026).</w:t>
      </w:r>
    </w:p>
    <w:p w14:paraId="0128C1CD"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Reuters (2025) BYD aims to double overseas sales to 800,000 in 2025, says chairman. Available via Reuters reporting on 26 March 2025.</w:t>
      </w:r>
    </w:p>
    <w:p w14:paraId="139F98E9"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Reuters (2025) BYD aims to double overseas sales to 800,000 in 2025, says chairman. Available via Reuters reporting on 26 March 2025.</w:t>
      </w:r>
    </w:p>
    <w:p w14:paraId="6CB9E867"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Tesla Investor Relations (2026a) Tesla Releases Fourth Quarter and Full Year 2025 Financial Results. Available at: https://ir.tesla.com/press-release/tesla-releases-fourth-quarter-and-full-year-2025-financial-results (Accessed: 21 April 2026).</w:t>
      </w:r>
    </w:p>
    <w:p w14:paraId="3315A0E1"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Tesla Investor Relations (2026a) Tesla Releases Fourth Quarter and Full Year 2025 Financial Results. Available at: https://ir.tesla.com/press-release/tesla-releases-fourth-quarter-and-full-year-2025-financial-results (Accessed: 21 April 2026).</w:t>
      </w:r>
    </w:p>
    <w:p w14:paraId="5FC9B7B8"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Tesla Investor Relations (2026b) Tesla Fourth Quarter 2025 Production, Deliveries &amp; Deployments. Available at: https://ir.tesla.com/press-release/tesla-fourth-quarter-2025-production-deliveries-deployments (Accessed: 21 April 2026).</w:t>
      </w:r>
    </w:p>
    <w:p w14:paraId="589A01D5"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Tesla Investor Relations (2026b) Tesla Fourth Quarter 2025 Production, Deliveries &amp; Deployments. Available at: https://ir.tesla.com/press-release/tesla-fourth-quarter-2025-production-deliveries-deployments (Accessed: 21 April 2026).</w:t>
      </w:r>
    </w:p>
    <w:p w14:paraId="2745291D"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The Wall Street Journal (2026) BYD’s Sales Growth Slowed in 2025, but It Still Tops Tesla. Available at: https://www.wsj.com/business/autos/byds-sales-growth-slowed-in-2025-but-it-still-tops-tesla-d8aabcfb (Accessed: 21 April 2026).</w:t>
      </w:r>
    </w:p>
    <w:p w14:paraId="2347041F"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The Wall Street Journal (2026) BYD’s Sales Growth Slowed in 2025, but It Still Tops Tesla. Available at: https://www.wsj.com/business/autos/byds-sales-growth-slowed-in-2025-but-it-still-tops-tesla-d8aabcfb (Accessed: 21 April 2026).</w:t>
      </w:r>
    </w:p>
    <w:p w14:paraId="7675D0C8"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Thomas, A. and Ward, A.M. (2019) Introduction to Financial Accounting. 9th edn. London: McGraw-Hill Education.</w:t>
      </w:r>
    </w:p>
    <w:p w14:paraId="20D7795A"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(2021) Integrated Report 2021 (Fiscal year ended 31 March 2021). Available at: https://global.toyota/pages/global_toyota/ir/library/annual/2021_001_integrated_en.pdf (Accessed: 20 April 2026).</w:t>
      </w:r>
    </w:p>
    <w:p w14:paraId="05572C5E"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(2022) Integrated Report 2022 (Fiscal year ended 31 March 2022). Available at: https://global.toyota/pages/global_toyota/ir/library/annual/2022_001_integrated_en.pdf (Accessed: 20 April 2026).</w:t>
      </w:r>
    </w:p>
    <w:p w14:paraId="7C4DCE3D"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(2023) Integrated Report 2023. Available at: https://global.toyota/pages/global_toyota/ir/library/annual/2023_001_integrated_en.pdf (Accessed: 20 April 2026).</w:t>
      </w:r>
    </w:p>
    <w:p w14:paraId="4FEDEDEC"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(2024) Integrated Report 2024. Available at: https://global.toyota/pages/global_toyota/ir/library/annual/2024_001_integrated_en.pdf (Accessed: 20 April 2026).</w:t>
      </w:r>
    </w:p>
    <w:p w14:paraId="75CD68FF"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(2025) Integrated Report 2025. Available at: https://global.toyota/pages/global_toyota/ir/library/annual/2025_001_integrated_en.pdf (Accessed: 20 April 2026).</w:t>
      </w:r>
    </w:p>
    <w:p w14:paraId="6441FEE9"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(2025) Sustainability Data Book 2025. Available at: https://global.toyota/pages/global_toyota/sustainability/report/sdb/sdb25_en.pdf (Accessed: 20 April 2026).</w:t>
      </w:r>
    </w:p>
    <w:p w14:paraId="52DD2FA6"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United Nations Conference on Trade and Development (UNCTAD) (2023) Clean energy minerals: Developing countries must add value to capitalise on demand. Available at: https://unctad.org/news/clean-energy-minerals-developing-countries-must-add-value-capitalize-demand (Accessed: 20 April 2026).</w:t>
      </w:r>
    </w:p>
    <w:p w14:paraId="0A79C894"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Watson, D. and Head, A. (2010) Corporate Finance: Principles and Practice. 5th edn. Harlow: Pearson Education.</w:t>
      </w:r>
    </w:p>
    <w:p w14:paraId="7D107E00"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Weygandt, J.J., Kimmel, P.D. and Kieso, D.E. (2020) Financial Accounting. 11th edn. Hoboken, NJ: John Wiley and Sons.</w:t>
      </w:r>
    </w:p>
    <w:p w14:paraId="7CBEB497"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Wild, J. (2021) Financial Accounting: Information for Decisions. 10th edn. New York: McGraw-Hill.</w:t>
      </w:r>
    </w:p>
    <w:p w14:paraId="3B2308F4"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Winfield, J., Graham, M. and Miller, T. (2021) Understanding Financial Accounting: A Guide for Non-specialists. Oxford: Oxford University Press.</w:t>
      </w:r>
    </w:p>
    <w:p w14:paraId="4A1B5B79" w14:textId="77777777" w:rsidR="00BC5815" w:rsidRPr="00A0292D" w:rsidRDefault="00BC5815" w:rsidP="00BC5815">
      <w:pPr>
        <w:ind w:left="360" w:hanging="360"/>
        <w:rPr>
          <w:rFonts w:asciiTheme="minorBidi" w:hAnsiTheme="minorBidi" w:cstheme="minorBidi"/>
        </w:rPr>
      </w:pPr>
    </w:p>
    <w:p w14:paraId="1690FAD7" w14:textId="77777777" w:rsidR="00BC5815" w:rsidRPr="00A0292D" w:rsidRDefault="00BC5815" w:rsidP="00566FB5">
      <w:pPr>
        <w:pStyle w:val="Heading1"/>
        <w:rPr>
          <w:rFonts w:asciiTheme="minorBidi" w:hAnsiTheme="minorBidi" w:cstheme="minorBidi"/>
        </w:rPr>
      </w:pPr>
    </w:p>
    <w:p w14:paraId="52F3C154" w14:textId="77777777" w:rsidR="004F56BC" w:rsidRPr="00A0292D" w:rsidRDefault="00125647" w:rsidP="00A521E7">
      <w:pPr>
        <w:pStyle w:val="Heading1"/>
        <w:rPr>
          <w:rFonts w:asciiTheme="minorBidi" w:hAnsiTheme="minorBidi" w:cstheme="minorBidi"/>
        </w:rPr>
      </w:pPr>
      <w:bookmarkStart w:id="37" w:name="_Toc227788484"/>
      <w:r w:rsidRPr="00A0292D">
        <w:rPr>
          <w:rFonts w:asciiTheme="minorBidi" w:hAnsiTheme="minorBidi" w:cstheme="minorBidi"/>
        </w:rPr>
        <w:t>Appendices</w:t>
      </w:r>
      <w:bookmarkEnd w:id="37"/>
    </w:p>
    <w:p w14:paraId="6C4C8855" w14:textId="77777777" w:rsidR="004F56BC" w:rsidRPr="00A0292D" w:rsidRDefault="00125647" w:rsidP="00A521E7">
      <w:pPr>
        <w:pStyle w:val="Heading2"/>
        <w:rPr>
          <w:rFonts w:asciiTheme="minorBidi" w:hAnsiTheme="minorBidi" w:cstheme="minorBidi"/>
        </w:rPr>
      </w:pPr>
      <w:bookmarkStart w:id="38" w:name="_Toc227788485"/>
      <w:r w:rsidRPr="00A0292D">
        <w:rPr>
          <w:rFonts w:asciiTheme="minorBidi" w:hAnsiTheme="minorBidi" w:cstheme="minorBidi"/>
        </w:rPr>
        <w:t>Appendix A: Full Ratio Calculations with Formulas (2021-2025)</w:t>
      </w:r>
      <w:bookmarkEnd w:id="38"/>
    </w:p>
    <w:p w14:paraId="4F171665" w14:textId="77777777" w:rsidR="004F56BC" w:rsidRPr="00A0292D" w:rsidRDefault="00125647"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Table A1: Complete Ratio Workings</w:t>
      </w:r>
    </w:p>
    <w:tbl>
      <w:tblPr>
        <w:tblW w:w="98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0"/>
        <w:gridCol w:w="971"/>
        <w:gridCol w:w="1521"/>
        <w:gridCol w:w="1594"/>
        <w:gridCol w:w="1594"/>
        <w:gridCol w:w="1594"/>
        <w:gridCol w:w="1594"/>
      </w:tblGrid>
      <w:tr w:rsidR="004F56BC" w:rsidRPr="00A0292D" w14:paraId="461F8B2E" w14:textId="77777777" w:rsidTr="00A521E7">
        <w:tc>
          <w:tcPr>
            <w:tcW w:w="97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43C301B9"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Ratio</w:t>
            </w:r>
          </w:p>
        </w:tc>
        <w:tc>
          <w:tcPr>
            <w:tcW w:w="129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2B25F8A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Formula</w:t>
            </w:r>
          </w:p>
        </w:tc>
        <w:tc>
          <w:tcPr>
            <w:tcW w:w="1195"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6AC15F28"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2021</w:t>
            </w:r>
          </w:p>
        </w:tc>
        <w:tc>
          <w:tcPr>
            <w:tcW w:w="159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176C73B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2022</w:t>
            </w:r>
          </w:p>
        </w:tc>
        <w:tc>
          <w:tcPr>
            <w:tcW w:w="159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36A05327"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2023</w:t>
            </w:r>
          </w:p>
        </w:tc>
        <w:tc>
          <w:tcPr>
            <w:tcW w:w="159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3FA2DBEE"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2024</w:t>
            </w:r>
          </w:p>
        </w:tc>
        <w:tc>
          <w:tcPr>
            <w:tcW w:w="159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65DC0E5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2025</w:t>
            </w:r>
          </w:p>
        </w:tc>
      </w:tr>
      <w:tr w:rsidR="004F56BC" w:rsidRPr="00A0292D" w14:paraId="510E9944"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32B408C"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Gross Profit Margin</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D5816B8"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GP / Revenue x 100</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76C853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4.83/27.21=17.8%</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93F1F8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5.97/31.38=19.0%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5A9D072"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6.31/37.15=17.0%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EAE5AB1"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9.37/45.10=20.8%</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1D9F16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9.58/48.04=19.9%</w:t>
            </w:r>
          </w:p>
        </w:tc>
      </w:tr>
      <w:tr w:rsidR="004F56BC" w:rsidRPr="00A0292D" w14:paraId="42671FCB"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81A9CFF"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Operating Margin</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005AD90"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Op. Profit / Revenue x 100</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4E05FBB"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2.20/27.21=8.1%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EC54A7F"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3.00/31.38=9.6%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1C7C182"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2.73/37.15=7.3%</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75743C2"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5.35/45.10=11.9%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9CF57C7"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4.80/48.04=10.0%</w:t>
            </w:r>
          </w:p>
        </w:tc>
      </w:tr>
      <w:tr w:rsidR="004F56BC" w:rsidRPr="00A0292D" w14:paraId="259856D7"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93B98EC"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Profit Margin</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E6657F8"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Profit / Revenue x 100</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749B4D0"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2.25/27.21=8.3%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1AA62BB"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2.85/31.38=9.1%</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09A919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2.45/37.15=6.6%</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4D0898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4.94/45.10=11.0%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F39C070"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4.77/48.04=9.9%</w:t>
            </w:r>
          </w:p>
        </w:tc>
      </w:tr>
      <w:tr w:rsidR="004F56BC" w:rsidRPr="00A0292D" w14:paraId="67559ADD"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0483AE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ROA</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E080CE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Profit / Total Assets x 100</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5E4C09B"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2.25/62.27=3.6%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3BDD259"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2.85/67.69=4.2%</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43B8A9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2.45/74.30=3.3%</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B403F5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4.94/90.11=5.5%</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ACA8B7B"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4.77/93.60=5.1%</w:t>
            </w:r>
          </w:p>
        </w:tc>
      </w:tr>
      <w:tr w:rsidR="004F56BC" w:rsidRPr="00A0292D" w14:paraId="2DF1A065"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A22FE6E"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ROE</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B879C41"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Profit / Total Equity x 100</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C82185E"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2.25/23.40=9.6%</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5EDB52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2.85/26.25=10.9%</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B4C4FE6"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2.45/28.34=8.6%</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9A1E82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4.94/34.22=14.4%</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353B91F"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4.77/35.92=13.3%</w:t>
            </w:r>
          </w:p>
        </w:tc>
      </w:tr>
      <w:tr w:rsidR="004F56BC" w:rsidRPr="00A0292D" w14:paraId="053DBB52"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9A31D22"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Current Ratio</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1A15E0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Current Assets / Current Liab.</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A1AAC8"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22.78/21.46=1.06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3218BF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23.72/21.84=1.09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902EC8E"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26.46/23.96=1.10</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039C00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34.71/29.18=1.19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289A2F7"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37.08/29.43=1.26</w:t>
            </w:r>
          </w:p>
        </w:tc>
      </w:tr>
      <w:tr w:rsidR="004F56BC" w:rsidRPr="00A0292D" w14:paraId="0038033C"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C47E73F"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Quick Ratio</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D7F270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(CA - Inventory) / Curr. Liab.</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2098B96"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19.89/21.46=0.93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33CFB57"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19.90/21.84=0.91</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5833092"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22.20/23.96=0.93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4EAFD2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30.10/29.18=1.03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5FF5A4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32.48/29.43=1.10</w:t>
            </w:r>
          </w:p>
        </w:tc>
      </w:tr>
      <w:tr w:rsidR="004F56BC" w:rsidRPr="00A0292D" w14:paraId="19F620E1"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FE0BE4E"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Cash Ratio</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BF1A84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Cash / Current Liab.</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0D284B0"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9.32/21.46=0.43</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7393160"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8.62/21.84=0.39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827F6C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9.23/23.96=0.39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03243E0"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14.11/29.18=0.48</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362A239"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15.92/29.43=0.54</w:t>
            </w:r>
          </w:p>
        </w:tc>
      </w:tr>
      <w:tr w:rsidR="004F56BC" w:rsidRPr="00A0292D" w14:paraId="58B4C3F8"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2581422"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Inventory Turnover</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8091F4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COGS / Inventory</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1012F0B"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22.38/2.89=7.74</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576B3C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25.41/3.82=6.65</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5DCB496"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30.84/4.26=7.24</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F08B4A9"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35.73/4.61=7.75</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C078CE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38.46/4.60=8.36</w:t>
            </w:r>
          </w:p>
        </w:tc>
      </w:tr>
      <w:tr w:rsidR="004F56BC" w:rsidRPr="00A0292D" w14:paraId="2438D779"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9CEE354"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Receivables Turnover</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0F3C604"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Revenue / Receivables</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3003948"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27.21/9.83=2.77</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AA250F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31.38/10.49=2.99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00979A6"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37.15/12.08=3.08</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68CA9F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45.10/14.96=3.01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D619909"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48.04/15.35=3.13</w:t>
            </w:r>
          </w:p>
        </w:tc>
      </w:tr>
      <w:tr w:rsidR="004F56BC" w:rsidRPr="00A0292D" w14:paraId="16B84297"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3AEF15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Asset Turnover</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96D2271"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Revenue / Total Assets</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ACF3DB7"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27.21/62.27=0.44</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B7F6834"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31.38/67.69=0.46</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1CD5AC0"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37.15/74.30=0.50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E1F32A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45.10/90.11=0.50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DE6B4EF"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48.04/93.60=0.51</w:t>
            </w:r>
          </w:p>
        </w:tc>
      </w:tr>
      <w:tr w:rsidR="004F56BC" w:rsidRPr="00A0292D" w14:paraId="26BF7F3C"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5DF67CF"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Debt-to-Equity</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9E3894"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Debt / Total Equity</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EED7171"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12.00/23.40=0.51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625B03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13.77/26.25=0.52</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EE57E8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15.56/28.34=0.55</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534C1E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16.96/34.22=0.50</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3FEF310"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17.41/35.92=0.48</w:t>
            </w:r>
          </w:p>
        </w:tc>
      </w:tr>
      <w:tr w:rsidR="004F56BC" w:rsidRPr="00A0292D" w14:paraId="033D7D79"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B80F32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Debt Ratio</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CFC9DD2"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Total Liab. / Total Assets</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23F50C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38.86/62.27=0.62</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20B248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41.44/67.69=0.61</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08461DF"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45.96/74.30=0.62</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1AB8F44"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55.89/90.11=0.62</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DA3E2B8"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57.68/93.60=0.62</w:t>
            </w:r>
          </w:p>
        </w:tc>
      </w:tr>
      <w:tr w:rsidR="004F56BC" w:rsidRPr="00A0292D" w14:paraId="07035306"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9034027"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Inv. Period (days)</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CC11706"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(Inv./COGS) x 365</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9D1F8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2.89/22.38x365=47.1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4CED8B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3.82/25.41x365=54.9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E5D463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4.26/30.84x365=50.4</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B5C76DE"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4.61/35.73x365=47.1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548DAEB"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4.60/38.46x365=43.7</w:t>
            </w:r>
          </w:p>
        </w:tc>
      </w:tr>
      <w:tr w:rsidR="004F56BC" w:rsidRPr="00A0292D" w14:paraId="142500BB"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594C501"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Rec. Period (days)</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756773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(Rec./Rev.) x 365</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B27D671"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9.83/27.21x365=131.9</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25A6AA5"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10.49/31.38x365=122.0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1B9FB41"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12.08/37.15x365=118.7</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6E8D91B"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14.96/45.10x365=121.1</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DDDE19D"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15.35/48.04x365=116.6</w:t>
            </w:r>
          </w:p>
        </w:tc>
      </w:tr>
      <w:tr w:rsidR="004F56BC" w:rsidRPr="00A0292D" w14:paraId="684E5EF1"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A99BE5A"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AP Period (days)</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7287A48"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(AP/COGS) x 365</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E7F219"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4.05/22.38x365=66.1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B3F9009"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4.29/25.41x365=61.6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08572C6"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4.99/30.84x365=59.1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A90F709"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5.25/35.73x365=53.6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661FDB2"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5.53/38.46x365=52.5</w:t>
            </w:r>
          </w:p>
        </w:tc>
      </w:tr>
      <w:tr w:rsidR="004F56BC" w:rsidRPr="00A0292D" w14:paraId="101A5B3C"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19D361E"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CCC (days)</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731EC53"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Inv.+Rec.-AP days</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143F44F"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112.9</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7005177"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115.3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242291C"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110.0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F2FD9B6"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114.5</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9BFD9FC" w14:textId="77777777" w:rsidR="004F56BC" w:rsidRPr="00A0292D" w:rsidRDefault="00125647"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107.8</w:t>
            </w:r>
          </w:p>
        </w:tc>
      </w:tr>
    </w:tbl>
    <w:p w14:paraId="5E2AD999" w14:textId="77777777" w:rsidR="004F56BC" w:rsidRPr="00A0292D" w:rsidRDefault="00125647" w:rsidP="008F61B8">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based on Toyota Motor Corporation Integrated Reports (2021-2025). All monetary values in JPY trillion.</w:t>
      </w:r>
    </w:p>
    <w:bookmarkEnd w:id="1"/>
    <w:p w14:paraId="2CEAA364" w14:textId="77777777" w:rsidR="003B2109" w:rsidRDefault="003B2109">
      <w:pPr>
        <w:rPr>
          <w:b/>
          <w:bCs/>
          <w:color w:val="2E74B5"/>
          <w:sz w:val="28"/>
          <w:szCs w:val="28"/>
        </w:rPr>
      </w:pPr>
      <w:r>
        <w:br w:type="page"/>
      </w:r>
    </w:p>
    <w:p w14:paraId="408B00E1" w14:textId="77777777" w:rsidR="003B2109" w:rsidRDefault="003B2109" w:rsidP="003B2109">
      <w:pPr>
        <w:pStyle w:val="Heading2"/>
      </w:pPr>
    </w:p>
    <w:p w14:paraId="2FAD9181" w14:textId="77777777" w:rsidR="003B2109" w:rsidRDefault="003B2109" w:rsidP="003B2109">
      <w:pPr>
        <w:pStyle w:val="Heading2"/>
      </w:pPr>
      <w:bookmarkStart w:id="39" w:name="_Toc227788486"/>
      <w:r>
        <w:t>Appendix B: Investment descisions workings in Excel</w:t>
      </w:r>
      <w:bookmarkEnd w:id="39"/>
    </w:p>
    <w:p w14:paraId="30B3CC91" w14:textId="77777777" w:rsidR="003B2109" w:rsidRDefault="003B2109" w:rsidP="00195478">
      <w:r w:rsidRPr="003B2109">
        <w:rPr>
          <w:noProof/>
        </w:rPr>
        <w:drawing>
          <wp:inline distT="0" distB="0" distL="0" distR="0" wp14:anchorId="732C357D" wp14:editId="77026D92">
            <wp:extent cx="6248400" cy="4365625"/>
            <wp:effectExtent l="0" t="0" r="0" b="3175"/>
            <wp:docPr id="1316557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557762" name=""/>
                    <pic:cNvPicPr/>
                  </pic:nvPicPr>
                  <pic:blipFill>
                    <a:blip r:embed="rId16"/>
                    <a:stretch>
                      <a:fillRect/>
                    </a:stretch>
                  </pic:blipFill>
                  <pic:spPr>
                    <a:xfrm>
                      <a:off x="0" y="0"/>
                      <a:ext cx="6248400" cy="4365625"/>
                    </a:xfrm>
                    <a:prstGeom prst="rect">
                      <a:avLst/>
                    </a:prstGeom>
                  </pic:spPr>
                </pic:pic>
              </a:graphicData>
            </a:graphic>
          </wp:inline>
        </w:drawing>
      </w:r>
    </w:p>
    <w:p w14:paraId="7CBBB42F" w14:textId="77777777" w:rsidR="003B2109" w:rsidRDefault="003B2109" w:rsidP="003B2109">
      <w:pPr>
        <w:pStyle w:val="Heading2"/>
      </w:pPr>
    </w:p>
    <w:p w14:paraId="47FC634A" w14:textId="77777777" w:rsidR="004F56BC" w:rsidRDefault="003B2109" w:rsidP="008F61B8">
      <w:pPr>
        <w:spacing w:before="60" w:after="100" w:line="360" w:lineRule="auto"/>
        <w:jc w:val="both"/>
        <w:rPr>
          <w:rFonts w:asciiTheme="minorBidi" w:hAnsiTheme="minorBidi" w:cstheme="minorBidi"/>
          <w:sz w:val="28"/>
          <w:szCs w:val="28"/>
        </w:rPr>
      </w:pPr>
      <w:r>
        <w:rPr>
          <w:noProof/>
        </w:rPr>
        <w:drawing>
          <wp:inline distT="0" distB="0" distL="0" distR="0" wp14:anchorId="61FFA2E5" wp14:editId="1766B38B">
            <wp:extent cx="6248400" cy="3758565"/>
            <wp:effectExtent l="0" t="0" r="12700" b="13335"/>
            <wp:docPr id="1599241999" name="Chart 1">
              <a:extLst xmlns:a="http://schemas.openxmlformats.org/drawingml/2006/main">
                <a:ext uri="{FF2B5EF4-FFF2-40B4-BE49-F238E27FC236}">
                  <a16:creationId xmlns:a16="http://schemas.microsoft.com/office/drawing/2014/main" id="{00000000-0008-0000-09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879DD3C" w14:textId="77777777" w:rsidR="003B2109" w:rsidRDefault="003B2109" w:rsidP="008F61B8">
      <w:pPr>
        <w:spacing w:before="60" w:after="100" w:line="360" w:lineRule="auto"/>
        <w:jc w:val="both"/>
        <w:rPr>
          <w:rFonts w:asciiTheme="minorBidi" w:hAnsiTheme="minorBidi" w:cstheme="minorBidi"/>
          <w:sz w:val="28"/>
          <w:szCs w:val="28"/>
        </w:rPr>
      </w:pPr>
      <w:r>
        <w:rPr>
          <w:noProof/>
        </w:rPr>
        <w:drawing>
          <wp:inline distT="0" distB="0" distL="0" distR="0" wp14:anchorId="5C23ED19" wp14:editId="16AD89EE">
            <wp:extent cx="6248400" cy="3770630"/>
            <wp:effectExtent l="0" t="0" r="12700" b="13970"/>
            <wp:docPr id="1074490370" name="Chart 1">
              <a:extLst xmlns:a="http://schemas.openxmlformats.org/drawingml/2006/main">
                <a:ext uri="{FF2B5EF4-FFF2-40B4-BE49-F238E27FC236}">
                  <a16:creationId xmlns:a16="http://schemas.microsoft.com/office/drawing/2014/main" id="{00000000-0008-0000-09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62907FC" w14:textId="77777777" w:rsidR="003B2109" w:rsidRDefault="003B2109" w:rsidP="008F61B8">
      <w:pPr>
        <w:spacing w:before="60" w:after="100" w:line="360" w:lineRule="auto"/>
        <w:jc w:val="both"/>
        <w:rPr>
          <w:rFonts w:asciiTheme="minorBidi" w:hAnsiTheme="minorBidi" w:cstheme="minorBidi"/>
          <w:sz w:val="28"/>
          <w:szCs w:val="28"/>
        </w:rPr>
      </w:pPr>
      <w:r w:rsidRPr="003B2109">
        <w:rPr>
          <w:rFonts w:asciiTheme="minorBidi" w:hAnsiTheme="minorBidi" w:cstheme="minorBidi"/>
          <w:noProof/>
          <w:sz w:val="28"/>
          <w:szCs w:val="28"/>
        </w:rPr>
        <w:drawing>
          <wp:inline distT="0" distB="0" distL="0" distR="0" wp14:anchorId="2A590C7B" wp14:editId="16230B10">
            <wp:extent cx="6248400" cy="2007235"/>
            <wp:effectExtent l="0" t="0" r="0" b="0"/>
            <wp:docPr id="177286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862630" name=""/>
                    <pic:cNvPicPr/>
                  </pic:nvPicPr>
                  <pic:blipFill>
                    <a:blip r:embed="rId19"/>
                    <a:stretch>
                      <a:fillRect/>
                    </a:stretch>
                  </pic:blipFill>
                  <pic:spPr>
                    <a:xfrm>
                      <a:off x="0" y="0"/>
                      <a:ext cx="6248400" cy="2007235"/>
                    </a:xfrm>
                    <a:prstGeom prst="rect">
                      <a:avLst/>
                    </a:prstGeom>
                  </pic:spPr>
                </pic:pic>
              </a:graphicData>
            </a:graphic>
          </wp:inline>
        </w:drawing>
      </w:r>
    </w:p>
    <w:p w14:paraId="5F24296F" w14:textId="77777777" w:rsidR="003B2109" w:rsidRPr="00A0292D" w:rsidRDefault="003B2109" w:rsidP="008F61B8">
      <w:pPr>
        <w:spacing w:before="60" w:after="100" w:line="360" w:lineRule="auto"/>
        <w:jc w:val="both"/>
        <w:rPr>
          <w:rFonts w:asciiTheme="minorBidi" w:hAnsiTheme="minorBidi" w:cstheme="minorBidi"/>
          <w:sz w:val="28"/>
          <w:szCs w:val="28"/>
        </w:rPr>
      </w:pPr>
      <w:r>
        <w:rPr>
          <w:noProof/>
        </w:rPr>
        <w:drawing>
          <wp:inline distT="0" distB="0" distL="0" distR="0" wp14:anchorId="75BAD52B" wp14:editId="4E9567B4">
            <wp:extent cx="6248400" cy="3467735"/>
            <wp:effectExtent l="0" t="0" r="12700" b="12065"/>
            <wp:docPr id="190339593" name="Chart 1">
              <a:extLst xmlns:a="http://schemas.openxmlformats.org/drawingml/2006/main">
                <a:ext uri="{FF2B5EF4-FFF2-40B4-BE49-F238E27FC236}">
                  <a16:creationId xmlns:a16="http://schemas.microsoft.com/office/drawing/2014/main" id="{00000000-0008-0000-0A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sectPr w:rsidR="003B2109" w:rsidRPr="00A0292D">
      <w:footerReference w:type="even" r:id="rId21"/>
      <w:footerReference w:type="default" r:id="rId22"/>
      <w:pgSz w:w="12240" w:h="15840"/>
      <w:pgMar w:top="1440" w:right="1200" w:bottom="1440" w:left="12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B43DC" w14:textId="77777777" w:rsidR="00DA6D0B" w:rsidRDefault="00DA6D0B" w:rsidP="00A521E7">
      <w:r>
        <w:separator/>
      </w:r>
    </w:p>
  </w:endnote>
  <w:endnote w:type="continuationSeparator" w:id="0">
    <w:p w14:paraId="19679267" w14:textId="77777777" w:rsidR="00DA6D0B" w:rsidRDefault="00DA6D0B" w:rsidP="00A521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44743080"/>
      <w:docPartObj>
        <w:docPartGallery w:val="Page Numbers (Bottom of Page)"/>
        <w:docPartUnique/>
      </w:docPartObj>
    </w:sdtPr>
    <w:sdtEndPr>
      <w:rPr>
        <w:rStyle w:val="PageNumber"/>
      </w:rPr>
    </w:sdtEndPr>
    <w:sdtContent>
      <w:p w14:paraId="78DF9B3D" w14:textId="77777777" w:rsidR="00A521E7" w:rsidRDefault="00A521E7" w:rsidP="005B5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53729D" w14:textId="77777777" w:rsidR="00A521E7" w:rsidRDefault="00A521E7" w:rsidP="00A521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789219"/>
      <w:docPartObj>
        <w:docPartGallery w:val="Page Numbers (Bottom of Page)"/>
        <w:docPartUnique/>
      </w:docPartObj>
    </w:sdtPr>
    <w:sdtEndPr>
      <w:rPr>
        <w:rStyle w:val="PageNumber"/>
      </w:rPr>
    </w:sdtEndPr>
    <w:sdtContent>
      <w:p w14:paraId="652B86DB" w14:textId="77777777" w:rsidR="00A521E7" w:rsidRDefault="00A521E7" w:rsidP="005B5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E16C47" w14:textId="77777777" w:rsidR="00A521E7" w:rsidRDefault="00A521E7" w:rsidP="00A521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4E3B0" w14:textId="77777777" w:rsidR="00DA6D0B" w:rsidRDefault="00DA6D0B" w:rsidP="00A521E7">
      <w:r>
        <w:separator/>
      </w:r>
    </w:p>
  </w:footnote>
  <w:footnote w:type="continuationSeparator" w:id="0">
    <w:p w14:paraId="71BCEC13" w14:textId="77777777" w:rsidR="00DA6D0B" w:rsidRDefault="00DA6D0B" w:rsidP="00A521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EA19FD"/>
    <w:multiLevelType w:val="hybridMultilevel"/>
    <w:tmpl w:val="8286F802"/>
    <w:lvl w:ilvl="0" w:tplc="19EE4602">
      <w:start w:val="1"/>
      <w:numFmt w:val="bullet"/>
      <w:lvlText w:val="●"/>
      <w:lvlJc w:val="left"/>
      <w:pPr>
        <w:ind w:left="720" w:hanging="360"/>
      </w:pPr>
    </w:lvl>
    <w:lvl w:ilvl="1" w:tplc="4DBA3122">
      <w:start w:val="1"/>
      <w:numFmt w:val="bullet"/>
      <w:lvlText w:val="○"/>
      <w:lvlJc w:val="left"/>
      <w:pPr>
        <w:ind w:left="1440" w:hanging="360"/>
      </w:pPr>
    </w:lvl>
    <w:lvl w:ilvl="2" w:tplc="73DACF56">
      <w:start w:val="1"/>
      <w:numFmt w:val="bullet"/>
      <w:lvlText w:val="■"/>
      <w:lvlJc w:val="left"/>
      <w:pPr>
        <w:ind w:left="2160" w:hanging="360"/>
      </w:pPr>
    </w:lvl>
    <w:lvl w:ilvl="3" w:tplc="96F49BE0">
      <w:start w:val="1"/>
      <w:numFmt w:val="bullet"/>
      <w:lvlText w:val="●"/>
      <w:lvlJc w:val="left"/>
      <w:pPr>
        <w:ind w:left="2880" w:hanging="360"/>
      </w:pPr>
    </w:lvl>
    <w:lvl w:ilvl="4" w:tplc="64EAC708">
      <w:start w:val="1"/>
      <w:numFmt w:val="bullet"/>
      <w:lvlText w:val="○"/>
      <w:lvlJc w:val="left"/>
      <w:pPr>
        <w:ind w:left="3600" w:hanging="360"/>
      </w:pPr>
    </w:lvl>
    <w:lvl w:ilvl="5" w:tplc="013E1D48">
      <w:start w:val="1"/>
      <w:numFmt w:val="bullet"/>
      <w:lvlText w:val="■"/>
      <w:lvlJc w:val="left"/>
      <w:pPr>
        <w:ind w:left="4320" w:hanging="360"/>
      </w:pPr>
    </w:lvl>
    <w:lvl w:ilvl="6" w:tplc="922AEB72">
      <w:start w:val="1"/>
      <w:numFmt w:val="bullet"/>
      <w:lvlText w:val="●"/>
      <w:lvlJc w:val="left"/>
      <w:pPr>
        <w:ind w:left="5040" w:hanging="360"/>
      </w:pPr>
    </w:lvl>
    <w:lvl w:ilvl="7" w:tplc="2FBCBB60">
      <w:start w:val="1"/>
      <w:numFmt w:val="bullet"/>
      <w:lvlText w:val="●"/>
      <w:lvlJc w:val="left"/>
      <w:pPr>
        <w:ind w:left="5760" w:hanging="360"/>
      </w:pPr>
    </w:lvl>
    <w:lvl w:ilvl="8" w:tplc="FA70345C">
      <w:start w:val="1"/>
      <w:numFmt w:val="bullet"/>
      <w:lvlText w:val="●"/>
      <w:lvlJc w:val="left"/>
      <w:pPr>
        <w:ind w:left="6480" w:hanging="360"/>
      </w:pPr>
    </w:lvl>
  </w:abstractNum>
  <w:num w:numId="1" w16cid:durableId="12951707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6BC"/>
    <w:rsid w:val="00100385"/>
    <w:rsid w:val="00183B0B"/>
    <w:rsid w:val="00194507"/>
    <w:rsid w:val="00195478"/>
    <w:rsid w:val="00335F39"/>
    <w:rsid w:val="003B2109"/>
    <w:rsid w:val="003C6014"/>
    <w:rsid w:val="00420535"/>
    <w:rsid w:val="004F56BC"/>
    <w:rsid w:val="00566FB5"/>
    <w:rsid w:val="005B4557"/>
    <w:rsid w:val="005C5951"/>
    <w:rsid w:val="00732A7A"/>
    <w:rsid w:val="008F61B8"/>
    <w:rsid w:val="00A0292D"/>
    <w:rsid w:val="00A31045"/>
    <w:rsid w:val="00A521E7"/>
    <w:rsid w:val="00B058DE"/>
    <w:rsid w:val="00BB7687"/>
    <w:rsid w:val="00BC5815"/>
    <w:rsid w:val="00C51075"/>
    <w:rsid w:val="00DA6D0B"/>
    <w:rsid w:val="00DB2106"/>
    <w:rsid w:val="00EE5347"/>
    <w:rsid w:val="00F8224E"/>
    <w:rsid w:val="00FF0339"/>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decimalSymbol w:val="."/>
  <w:listSeparator w:val=","/>
  <w14:docId w14:val="3978255D"/>
  <w15:docId w15:val="{FDD8B73F-809D-404C-A3FF-1B2713227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566FB5"/>
    <w:pPr>
      <w:spacing w:before="320" w:after="160" w:line="360" w:lineRule="auto"/>
      <w:outlineLvl w:val="0"/>
    </w:pPr>
    <w:rPr>
      <w:b/>
      <w:bCs/>
      <w:color w:val="1F4E79"/>
      <w:sz w:val="32"/>
      <w:szCs w:val="32"/>
    </w:rPr>
  </w:style>
  <w:style w:type="paragraph" w:styleId="Heading2">
    <w:name w:val="heading 2"/>
    <w:uiPriority w:val="9"/>
    <w:unhideWhenUsed/>
    <w:qFormat/>
    <w:rsid w:val="00566FB5"/>
    <w:pPr>
      <w:spacing w:before="240" w:after="100" w:line="360" w:lineRule="auto"/>
      <w:outlineLvl w:val="1"/>
    </w:pPr>
    <w:rPr>
      <w:b/>
      <w:bCs/>
      <w:color w:val="2E74B5"/>
      <w:sz w:val="28"/>
      <w:szCs w:val="28"/>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A0292D"/>
    <w:pPr>
      <w:tabs>
        <w:tab w:val="right" w:leader="dot" w:pos="9350"/>
      </w:tabs>
      <w:spacing w:before="240" w:after="100" w:line="360" w:lineRule="auto"/>
      <w:jc w:val="both"/>
    </w:pPr>
    <w:rPr>
      <w:rFonts w:asciiTheme="minorBidi" w:eastAsiaTheme="majorEastAsia" w:hAnsiTheme="minorBidi" w:cstheme="minorBidi"/>
      <w:b/>
      <w:bCs/>
      <w:noProof/>
      <w:sz w:val="24"/>
      <w:lang w:val="en-GB" w:eastAsia="en-US"/>
    </w:rPr>
  </w:style>
  <w:style w:type="paragraph" w:styleId="TOC2">
    <w:name w:val="toc 2"/>
    <w:basedOn w:val="Normal"/>
    <w:next w:val="Normal"/>
    <w:autoRedefine/>
    <w:uiPriority w:val="39"/>
    <w:unhideWhenUsed/>
    <w:rsid w:val="008F61B8"/>
    <w:pPr>
      <w:suppressAutoHyphens/>
      <w:autoSpaceDN w:val="0"/>
      <w:spacing w:before="80" w:after="100" w:line="360" w:lineRule="auto"/>
      <w:ind w:left="240"/>
      <w:jc w:val="both"/>
    </w:pPr>
    <w:rPr>
      <w:sz w:val="24"/>
      <w:szCs w:val="24"/>
      <w:lang w:val="en-GB"/>
    </w:rPr>
  </w:style>
  <w:style w:type="table" w:styleId="GridTable4-Accent1">
    <w:name w:val="Grid Table 4 Accent 1"/>
    <w:basedOn w:val="TableNormal"/>
    <w:uiPriority w:val="49"/>
    <w:rsid w:val="00566FB5"/>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Footer">
    <w:name w:val="footer"/>
    <w:basedOn w:val="Normal"/>
    <w:link w:val="FooterChar"/>
    <w:uiPriority w:val="99"/>
    <w:unhideWhenUsed/>
    <w:rsid w:val="00A521E7"/>
    <w:pPr>
      <w:tabs>
        <w:tab w:val="center" w:pos="4513"/>
        <w:tab w:val="right" w:pos="9026"/>
      </w:tabs>
    </w:pPr>
  </w:style>
  <w:style w:type="character" w:customStyle="1" w:styleId="FooterChar">
    <w:name w:val="Footer Char"/>
    <w:basedOn w:val="DefaultParagraphFont"/>
    <w:link w:val="Footer"/>
    <w:uiPriority w:val="99"/>
    <w:rsid w:val="00A521E7"/>
  </w:style>
  <w:style w:type="character" w:styleId="PageNumber">
    <w:name w:val="page number"/>
    <w:basedOn w:val="DefaultParagraphFont"/>
    <w:uiPriority w:val="99"/>
    <w:semiHidden/>
    <w:unhideWhenUsed/>
    <w:rsid w:val="00A521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81570">
      <w:bodyDiv w:val="1"/>
      <w:marLeft w:val="0"/>
      <w:marRight w:val="0"/>
      <w:marTop w:val="0"/>
      <w:marBottom w:val="0"/>
      <w:divBdr>
        <w:top w:val="none" w:sz="0" w:space="0" w:color="auto"/>
        <w:left w:val="none" w:sz="0" w:space="0" w:color="auto"/>
        <w:bottom w:val="none" w:sz="0" w:space="0" w:color="auto"/>
        <w:right w:val="none" w:sz="0" w:space="0" w:color="auto"/>
      </w:divBdr>
      <w:divsChild>
        <w:div w:id="1965884266">
          <w:marLeft w:val="0"/>
          <w:marRight w:val="0"/>
          <w:marTop w:val="0"/>
          <w:marBottom w:val="0"/>
          <w:divBdr>
            <w:top w:val="none" w:sz="0" w:space="0" w:color="auto"/>
            <w:left w:val="none" w:sz="0" w:space="0" w:color="auto"/>
            <w:bottom w:val="none" w:sz="0" w:space="0" w:color="auto"/>
            <w:right w:val="none" w:sz="0" w:space="0" w:color="auto"/>
          </w:divBdr>
          <w:divsChild>
            <w:div w:id="127463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68689">
      <w:bodyDiv w:val="1"/>
      <w:marLeft w:val="0"/>
      <w:marRight w:val="0"/>
      <w:marTop w:val="0"/>
      <w:marBottom w:val="0"/>
      <w:divBdr>
        <w:top w:val="none" w:sz="0" w:space="0" w:color="auto"/>
        <w:left w:val="none" w:sz="0" w:space="0" w:color="auto"/>
        <w:bottom w:val="none" w:sz="0" w:space="0" w:color="auto"/>
        <w:right w:val="none" w:sz="0" w:space="0" w:color="auto"/>
      </w:divBdr>
    </w:div>
    <w:div w:id="368728167">
      <w:bodyDiv w:val="1"/>
      <w:marLeft w:val="0"/>
      <w:marRight w:val="0"/>
      <w:marTop w:val="0"/>
      <w:marBottom w:val="0"/>
      <w:divBdr>
        <w:top w:val="none" w:sz="0" w:space="0" w:color="auto"/>
        <w:left w:val="none" w:sz="0" w:space="0" w:color="auto"/>
        <w:bottom w:val="none" w:sz="0" w:space="0" w:color="auto"/>
        <w:right w:val="none" w:sz="0" w:space="0" w:color="auto"/>
      </w:divBdr>
    </w:div>
    <w:div w:id="413622572">
      <w:bodyDiv w:val="1"/>
      <w:marLeft w:val="0"/>
      <w:marRight w:val="0"/>
      <w:marTop w:val="0"/>
      <w:marBottom w:val="0"/>
      <w:divBdr>
        <w:top w:val="none" w:sz="0" w:space="0" w:color="auto"/>
        <w:left w:val="none" w:sz="0" w:space="0" w:color="auto"/>
        <w:bottom w:val="none" w:sz="0" w:space="0" w:color="auto"/>
        <w:right w:val="none" w:sz="0" w:space="0" w:color="auto"/>
      </w:divBdr>
    </w:div>
    <w:div w:id="439380939">
      <w:bodyDiv w:val="1"/>
      <w:marLeft w:val="0"/>
      <w:marRight w:val="0"/>
      <w:marTop w:val="0"/>
      <w:marBottom w:val="0"/>
      <w:divBdr>
        <w:top w:val="none" w:sz="0" w:space="0" w:color="auto"/>
        <w:left w:val="none" w:sz="0" w:space="0" w:color="auto"/>
        <w:bottom w:val="none" w:sz="0" w:space="0" w:color="auto"/>
        <w:right w:val="none" w:sz="0" w:space="0" w:color="auto"/>
      </w:divBdr>
    </w:div>
    <w:div w:id="490877711">
      <w:bodyDiv w:val="1"/>
      <w:marLeft w:val="0"/>
      <w:marRight w:val="0"/>
      <w:marTop w:val="0"/>
      <w:marBottom w:val="0"/>
      <w:divBdr>
        <w:top w:val="none" w:sz="0" w:space="0" w:color="auto"/>
        <w:left w:val="none" w:sz="0" w:space="0" w:color="auto"/>
        <w:bottom w:val="none" w:sz="0" w:space="0" w:color="auto"/>
        <w:right w:val="none" w:sz="0" w:space="0" w:color="auto"/>
      </w:divBdr>
    </w:div>
    <w:div w:id="582615251">
      <w:bodyDiv w:val="1"/>
      <w:marLeft w:val="0"/>
      <w:marRight w:val="0"/>
      <w:marTop w:val="0"/>
      <w:marBottom w:val="0"/>
      <w:divBdr>
        <w:top w:val="none" w:sz="0" w:space="0" w:color="auto"/>
        <w:left w:val="none" w:sz="0" w:space="0" w:color="auto"/>
        <w:bottom w:val="none" w:sz="0" w:space="0" w:color="auto"/>
        <w:right w:val="none" w:sz="0" w:space="0" w:color="auto"/>
      </w:divBdr>
    </w:div>
    <w:div w:id="583803893">
      <w:bodyDiv w:val="1"/>
      <w:marLeft w:val="0"/>
      <w:marRight w:val="0"/>
      <w:marTop w:val="0"/>
      <w:marBottom w:val="0"/>
      <w:divBdr>
        <w:top w:val="none" w:sz="0" w:space="0" w:color="auto"/>
        <w:left w:val="none" w:sz="0" w:space="0" w:color="auto"/>
        <w:bottom w:val="none" w:sz="0" w:space="0" w:color="auto"/>
        <w:right w:val="none" w:sz="0" w:space="0" w:color="auto"/>
      </w:divBdr>
      <w:divsChild>
        <w:div w:id="1668093304">
          <w:marLeft w:val="0"/>
          <w:marRight w:val="0"/>
          <w:marTop w:val="0"/>
          <w:marBottom w:val="0"/>
          <w:divBdr>
            <w:top w:val="none" w:sz="0" w:space="0" w:color="auto"/>
            <w:left w:val="none" w:sz="0" w:space="0" w:color="auto"/>
            <w:bottom w:val="none" w:sz="0" w:space="0" w:color="auto"/>
            <w:right w:val="none" w:sz="0" w:space="0" w:color="auto"/>
          </w:divBdr>
          <w:divsChild>
            <w:div w:id="120463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869484">
      <w:bodyDiv w:val="1"/>
      <w:marLeft w:val="0"/>
      <w:marRight w:val="0"/>
      <w:marTop w:val="0"/>
      <w:marBottom w:val="0"/>
      <w:divBdr>
        <w:top w:val="none" w:sz="0" w:space="0" w:color="auto"/>
        <w:left w:val="none" w:sz="0" w:space="0" w:color="auto"/>
        <w:bottom w:val="none" w:sz="0" w:space="0" w:color="auto"/>
        <w:right w:val="none" w:sz="0" w:space="0" w:color="auto"/>
      </w:divBdr>
    </w:div>
    <w:div w:id="634797576">
      <w:bodyDiv w:val="1"/>
      <w:marLeft w:val="0"/>
      <w:marRight w:val="0"/>
      <w:marTop w:val="0"/>
      <w:marBottom w:val="0"/>
      <w:divBdr>
        <w:top w:val="none" w:sz="0" w:space="0" w:color="auto"/>
        <w:left w:val="none" w:sz="0" w:space="0" w:color="auto"/>
        <w:bottom w:val="none" w:sz="0" w:space="0" w:color="auto"/>
        <w:right w:val="none" w:sz="0" w:space="0" w:color="auto"/>
      </w:divBdr>
    </w:div>
    <w:div w:id="649094948">
      <w:bodyDiv w:val="1"/>
      <w:marLeft w:val="0"/>
      <w:marRight w:val="0"/>
      <w:marTop w:val="0"/>
      <w:marBottom w:val="0"/>
      <w:divBdr>
        <w:top w:val="none" w:sz="0" w:space="0" w:color="auto"/>
        <w:left w:val="none" w:sz="0" w:space="0" w:color="auto"/>
        <w:bottom w:val="none" w:sz="0" w:space="0" w:color="auto"/>
        <w:right w:val="none" w:sz="0" w:space="0" w:color="auto"/>
      </w:divBdr>
    </w:div>
    <w:div w:id="782113779">
      <w:bodyDiv w:val="1"/>
      <w:marLeft w:val="0"/>
      <w:marRight w:val="0"/>
      <w:marTop w:val="0"/>
      <w:marBottom w:val="0"/>
      <w:divBdr>
        <w:top w:val="none" w:sz="0" w:space="0" w:color="auto"/>
        <w:left w:val="none" w:sz="0" w:space="0" w:color="auto"/>
        <w:bottom w:val="none" w:sz="0" w:space="0" w:color="auto"/>
        <w:right w:val="none" w:sz="0" w:space="0" w:color="auto"/>
      </w:divBdr>
    </w:div>
    <w:div w:id="798687886">
      <w:bodyDiv w:val="1"/>
      <w:marLeft w:val="0"/>
      <w:marRight w:val="0"/>
      <w:marTop w:val="0"/>
      <w:marBottom w:val="0"/>
      <w:divBdr>
        <w:top w:val="none" w:sz="0" w:space="0" w:color="auto"/>
        <w:left w:val="none" w:sz="0" w:space="0" w:color="auto"/>
        <w:bottom w:val="none" w:sz="0" w:space="0" w:color="auto"/>
        <w:right w:val="none" w:sz="0" w:space="0" w:color="auto"/>
      </w:divBdr>
      <w:divsChild>
        <w:div w:id="872771950">
          <w:marLeft w:val="0"/>
          <w:marRight w:val="0"/>
          <w:marTop w:val="0"/>
          <w:marBottom w:val="0"/>
          <w:divBdr>
            <w:top w:val="none" w:sz="0" w:space="0" w:color="auto"/>
            <w:left w:val="none" w:sz="0" w:space="0" w:color="auto"/>
            <w:bottom w:val="none" w:sz="0" w:space="0" w:color="auto"/>
            <w:right w:val="none" w:sz="0" w:space="0" w:color="auto"/>
          </w:divBdr>
          <w:divsChild>
            <w:div w:id="97386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14296">
      <w:bodyDiv w:val="1"/>
      <w:marLeft w:val="0"/>
      <w:marRight w:val="0"/>
      <w:marTop w:val="0"/>
      <w:marBottom w:val="0"/>
      <w:divBdr>
        <w:top w:val="none" w:sz="0" w:space="0" w:color="auto"/>
        <w:left w:val="none" w:sz="0" w:space="0" w:color="auto"/>
        <w:bottom w:val="none" w:sz="0" w:space="0" w:color="auto"/>
        <w:right w:val="none" w:sz="0" w:space="0" w:color="auto"/>
      </w:divBdr>
    </w:div>
    <w:div w:id="955908491">
      <w:bodyDiv w:val="1"/>
      <w:marLeft w:val="0"/>
      <w:marRight w:val="0"/>
      <w:marTop w:val="0"/>
      <w:marBottom w:val="0"/>
      <w:divBdr>
        <w:top w:val="none" w:sz="0" w:space="0" w:color="auto"/>
        <w:left w:val="none" w:sz="0" w:space="0" w:color="auto"/>
        <w:bottom w:val="none" w:sz="0" w:space="0" w:color="auto"/>
        <w:right w:val="none" w:sz="0" w:space="0" w:color="auto"/>
      </w:divBdr>
      <w:divsChild>
        <w:div w:id="2060591508">
          <w:marLeft w:val="0"/>
          <w:marRight w:val="0"/>
          <w:marTop w:val="0"/>
          <w:marBottom w:val="0"/>
          <w:divBdr>
            <w:top w:val="none" w:sz="0" w:space="0" w:color="auto"/>
            <w:left w:val="none" w:sz="0" w:space="0" w:color="auto"/>
            <w:bottom w:val="none" w:sz="0" w:space="0" w:color="auto"/>
            <w:right w:val="none" w:sz="0" w:space="0" w:color="auto"/>
          </w:divBdr>
          <w:divsChild>
            <w:div w:id="59933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812548">
      <w:bodyDiv w:val="1"/>
      <w:marLeft w:val="0"/>
      <w:marRight w:val="0"/>
      <w:marTop w:val="0"/>
      <w:marBottom w:val="0"/>
      <w:divBdr>
        <w:top w:val="none" w:sz="0" w:space="0" w:color="auto"/>
        <w:left w:val="none" w:sz="0" w:space="0" w:color="auto"/>
        <w:bottom w:val="none" w:sz="0" w:space="0" w:color="auto"/>
        <w:right w:val="none" w:sz="0" w:space="0" w:color="auto"/>
      </w:divBdr>
    </w:div>
    <w:div w:id="1070808709">
      <w:bodyDiv w:val="1"/>
      <w:marLeft w:val="0"/>
      <w:marRight w:val="0"/>
      <w:marTop w:val="0"/>
      <w:marBottom w:val="0"/>
      <w:divBdr>
        <w:top w:val="none" w:sz="0" w:space="0" w:color="auto"/>
        <w:left w:val="none" w:sz="0" w:space="0" w:color="auto"/>
        <w:bottom w:val="none" w:sz="0" w:space="0" w:color="auto"/>
        <w:right w:val="none" w:sz="0" w:space="0" w:color="auto"/>
      </w:divBdr>
    </w:div>
    <w:div w:id="1141580643">
      <w:bodyDiv w:val="1"/>
      <w:marLeft w:val="0"/>
      <w:marRight w:val="0"/>
      <w:marTop w:val="0"/>
      <w:marBottom w:val="0"/>
      <w:divBdr>
        <w:top w:val="none" w:sz="0" w:space="0" w:color="auto"/>
        <w:left w:val="none" w:sz="0" w:space="0" w:color="auto"/>
        <w:bottom w:val="none" w:sz="0" w:space="0" w:color="auto"/>
        <w:right w:val="none" w:sz="0" w:space="0" w:color="auto"/>
      </w:divBdr>
    </w:div>
    <w:div w:id="1163200989">
      <w:bodyDiv w:val="1"/>
      <w:marLeft w:val="0"/>
      <w:marRight w:val="0"/>
      <w:marTop w:val="0"/>
      <w:marBottom w:val="0"/>
      <w:divBdr>
        <w:top w:val="none" w:sz="0" w:space="0" w:color="auto"/>
        <w:left w:val="none" w:sz="0" w:space="0" w:color="auto"/>
        <w:bottom w:val="none" w:sz="0" w:space="0" w:color="auto"/>
        <w:right w:val="none" w:sz="0" w:space="0" w:color="auto"/>
      </w:divBdr>
      <w:divsChild>
        <w:div w:id="1251038172">
          <w:marLeft w:val="0"/>
          <w:marRight w:val="0"/>
          <w:marTop w:val="0"/>
          <w:marBottom w:val="0"/>
          <w:divBdr>
            <w:top w:val="none" w:sz="0" w:space="0" w:color="auto"/>
            <w:left w:val="none" w:sz="0" w:space="0" w:color="auto"/>
            <w:bottom w:val="none" w:sz="0" w:space="0" w:color="auto"/>
            <w:right w:val="none" w:sz="0" w:space="0" w:color="auto"/>
          </w:divBdr>
          <w:divsChild>
            <w:div w:id="149594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7446">
      <w:bodyDiv w:val="1"/>
      <w:marLeft w:val="0"/>
      <w:marRight w:val="0"/>
      <w:marTop w:val="0"/>
      <w:marBottom w:val="0"/>
      <w:divBdr>
        <w:top w:val="none" w:sz="0" w:space="0" w:color="auto"/>
        <w:left w:val="none" w:sz="0" w:space="0" w:color="auto"/>
        <w:bottom w:val="none" w:sz="0" w:space="0" w:color="auto"/>
        <w:right w:val="none" w:sz="0" w:space="0" w:color="auto"/>
      </w:divBdr>
    </w:div>
    <w:div w:id="1545825517">
      <w:bodyDiv w:val="1"/>
      <w:marLeft w:val="0"/>
      <w:marRight w:val="0"/>
      <w:marTop w:val="0"/>
      <w:marBottom w:val="0"/>
      <w:divBdr>
        <w:top w:val="none" w:sz="0" w:space="0" w:color="auto"/>
        <w:left w:val="none" w:sz="0" w:space="0" w:color="auto"/>
        <w:bottom w:val="none" w:sz="0" w:space="0" w:color="auto"/>
        <w:right w:val="none" w:sz="0" w:space="0" w:color="auto"/>
      </w:divBdr>
      <w:divsChild>
        <w:div w:id="71782658">
          <w:marLeft w:val="0"/>
          <w:marRight w:val="0"/>
          <w:marTop w:val="0"/>
          <w:marBottom w:val="0"/>
          <w:divBdr>
            <w:top w:val="none" w:sz="0" w:space="0" w:color="auto"/>
            <w:left w:val="none" w:sz="0" w:space="0" w:color="auto"/>
            <w:bottom w:val="none" w:sz="0" w:space="0" w:color="auto"/>
            <w:right w:val="none" w:sz="0" w:space="0" w:color="auto"/>
          </w:divBdr>
          <w:divsChild>
            <w:div w:id="16077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686489">
      <w:bodyDiv w:val="1"/>
      <w:marLeft w:val="0"/>
      <w:marRight w:val="0"/>
      <w:marTop w:val="0"/>
      <w:marBottom w:val="0"/>
      <w:divBdr>
        <w:top w:val="none" w:sz="0" w:space="0" w:color="auto"/>
        <w:left w:val="none" w:sz="0" w:space="0" w:color="auto"/>
        <w:bottom w:val="none" w:sz="0" w:space="0" w:color="auto"/>
        <w:right w:val="none" w:sz="0" w:space="0" w:color="auto"/>
      </w:divBdr>
    </w:div>
    <w:div w:id="1584680118">
      <w:bodyDiv w:val="1"/>
      <w:marLeft w:val="0"/>
      <w:marRight w:val="0"/>
      <w:marTop w:val="0"/>
      <w:marBottom w:val="0"/>
      <w:divBdr>
        <w:top w:val="none" w:sz="0" w:space="0" w:color="auto"/>
        <w:left w:val="none" w:sz="0" w:space="0" w:color="auto"/>
        <w:bottom w:val="none" w:sz="0" w:space="0" w:color="auto"/>
        <w:right w:val="none" w:sz="0" w:space="0" w:color="auto"/>
      </w:divBdr>
    </w:div>
    <w:div w:id="1629509418">
      <w:bodyDiv w:val="1"/>
      <w:marLeft w:val="0"/>
      <w:marRight w:val="0"/>
      <w:marTop w:val="0"/>
      <w:marBottom w:val="0"/>
      <w:divBdr>
        <w:top w:val="none" w:sz="0" w:space="0" w:color="auto"/>
        <w:left w:val="none" w:sz="0" w:space="0" w:color="auto"/>
        <w:bottom w:val="none" w:sz="0" w:space="0" w:color="auto"/>
        <w:right w:val="none" w:sz="0" w:space="0" w:color="auto"/>
      </w:divBdr>
      <w:divsChild>
        <w:div w:id="322900559">
          <w:marLeft w:val="0"/>
          <w:marRight w:val="0"/>
          <w:marTop w:val="0"/>
          <w:marBottom w:val="0"/>
          <w:divBdr>
            <w:top w:val="none" w:sz="0" w:space="0" w:color="auto"/>
            <w:left w:val="none" w:sz="0" w:space="0" w:color="auto"/>
            <w:bottom w:val="none" w:sz="0" w:space="0" w:color="auto"/>
            <w:right w:val="none" w:sz="0" w:space="0" w:color="auto"/>
          </w:divBdr>
          <w:divsChild>
            <w:div w:id="109190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469628">
      <w:bodyDiv w:val="1"/>
      <w:marLeft w:val="0"/>
      <w:marRight w:val="0"/>
      <w:marTop w:val="0"/>
      <w:marBottom w:val="0"/>
      <w:divBdr>
        <w:top w:val="none" w:sz="0" w:space="0" w:color="auto"/>
        <w:left w:val="none" w:sz="0" w:space="0" w:color="auto"/>
        <w:bottom w:val="none" w:sz="0" w:space="0" w:color="auto"/>
        <w:right w:val="none" w:sz="0" w:space="0" w:color="auto"/>
      </w:divBdr>
      <w:divsChild>
        <w:div w:id="1191990791">
          <w:marLeft w:val="0"/>
          <w:marRight w:val="0"/>
          <w:marTop w:val="0"/>
          <w:marBottom w:val="0"/>
          <w:divBdr>
            <w:top w:val="none" w:sz="0" w:space="0" w:color="auto"/>
            <w:left w:val="none" w:sz="0" w:space="0" w:color="auto"/>
            <w:bottom w:val="none" w:sz="0" w:space="0" w:color="auto"/>
            <w:right w:val="none" w:sz="0" w:space="0" w:color="auto"/>
          </w:divBdr>
          <w:divsChild>
            <w:div w:id="57193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902030">
      <w:bodyDiv w:val="1"/>
      <w:marLeft w:val="0"/>
      <w:marRight w:val="0"/>
      <w:marTop w:val="0"/>
      <w:marBottom w:val="0"/>
      <w:divBdr>
        <w:top w:val="none" w:sz="0" w:space="0" w:color="auto"/>
        <w:left w:val="none" w:sz="0" w:space="0" w:color="auto"/>
        <w:bottom w:val="none" w:sz="0" w:space="0" w:color="auto"/>
        <w:right w:val="none" w:sz="0" w:space="0" w:color="auto"/>
      </w:divBdr>
    </w:div>
    <w:div w:id="1670795200">
      <w:bodyDiv w:val="1"/>
      <w:marLeft w:val="0"/>
      <w:marRight w:val="0"/>
      <w:marTop w:val="0"/>
      <w:marBottom w:val="0"/>
      <w:divBdr>
        <w:top w:val="none" w:sz="0" w:space="0" w:color="auto"/>
        <w:left w:val="none" w:sz="0" w:space="0" w:color="auto"/>
        <w:bottom w:val="none" w:sz="0" w:space="0" w:color="auto"/>
        <w:right w:val="none" w:sz="0" w:space="0" w:color="auto"/>
      </w:divBdr>
    </w:div>
    <w:div w:id="1676179322">
      <w:bodyDiv w:val="1"/>
      <w:marLeft w:val="0"/>
      <w:marRight w:val="0"/>
      <w:marTop w:val="0"/>
      <w:marBottom w:val="0"/>
      <w:divBdr>
        <w:top w:val="none" w:sz="0" w:space="0" w:color="auto"/>
        <w:left w:val="none" w:sz="0" w:space="0" w:color="auto"/>
        <w:bottom w:val="none" w:sz="0" w:space="0" w:color="auto"/>
        <w:right w:val="none" w:sz="0" w:space="0" w:color="auto"/>
      </w:divBdr>
      <w:divsChild>
        <w:div w:id="758140479">
          <w:marLeft w:val="0"/>
          <w:marRight w:val="0"/>
          <w:marTop w:val="0"/>
          <w:marBottom w:val="0"/>
          <w:divBdr>
            <w:top w:val="none" w:sz="0" w:space="0" w:color="auto"/>
            <w:left w:val="none" w:sz="0" w:space="0" w:color="auto"/>
            <w:bottom w:val="none" w:sz="0" w:space="0" w:color="auto"/>
            <w:right w:val="none" w:sz="0" w:space="0" w:color="auto"/>
          </w:divBdr>
          <w:divsChild>
            <w:div w:id="140910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671775">
      <w:bodyDiv w:val="1"/>
      <w:marLeft w:val="0"/>
      <w:marRight w:val="0"/>
      <w:marTop w:val="0"/>
      <w:marBottom w:val="0"/>
      <w:divBdr>
        <w:top w:val="none" w:sz="0" w:space="0" w:color="auto"/>
        <w:left w:val="none" w:sz="0" w:space="0" w:color="auto"/>
        <w:bottom w:val="none" w:sz="0" w:space="0" w:color="auto"/>
        <w:right w:val="none" w:sz="0" w:space="0" w:color="auto"/>
      </w:divBdr>
    </w:div>
    <w:div w:id="1713993309">
      <w:bodyDiv w:val="1"/>
      <w:marLeft w:val="0"/>
      <w:marRight w:val="0"/>
      <w:marTop w:val="0"/>
      <w:marBottom w:val="0"/>
      <w:divBdr>
        <w:top w:val="none" w:sz="0" w:space="0" w:color="auto"/>
        <w:left w:val="none" w:sz="0" w:space="0" w:color="auto"/>
        <w:bottom w:val="none" w:sz="0" w:space="0" w:color="auto"/>
        <w:right w:val="none" w:sz="0" w:space="0" w:color="auto"/>
      </w:divBdr>
    </w:div>
    <w:div w:id="1834056737">
      <w:bodyDiv w:val="1"/>
      <w:marLeft w:val="0"/>
      <w:marRight w:val="0"/>
      <w:marTop w:val="0"/>
      <w:marBottom w:val="0"/>
      <w:divBdr>
        <w:top w:val="none" w:sz="0" w:space="0" w:color="auto"/>
        <w:left w:val="none" w:sz="0" w:space="0" w:color="auto"/>
        <w:bottom w:val="none" w:sz="0" w:space="0" w:color="auto"/>
        <w:right w:val="none" w:sz="0" w:space="0" w:color="auto"/>
      </w:divBdr>
    </w:div>
    <w:div w:id="1958027339">
      <w:bodyDiv w:val="1"/>
      <w:marLeft w:val="0"/>
      <w:marRight w:val="0"/>
      <w:marTop w:val="0"/>
      <w:marBottom w:val="0"/>
      <w:divBdr>
        <w:top w:val="none" w:sz="0" w:space="0" w:color="auto"/>
        <w:left w:val="none" w:sz="0" w:space="0" w:color="auto"/>
        <w:bottom w:val="none" w:sz="0" w:space="0" w:color="auto"/>
        <w:right w:val="none" w:sz="0" w:space="0" w:color="auto"/>
      </w:divBdr>
    </w:div>
    <w:div w:id="1985503951">
      <w:bodyDiv w:val="1"/>
      <w:marLeft w:val="0"/>
      <w:marRight w:val="0"/>
      <w:marTop w:val="0"/>
      <w:marBottom w:val="0"/>
      <w:divBdr>
        <w:top w:val="none" w:sz="0" w:space="0" w:color="auto"/>
        <w:left w:val="none" w:sz="0" w:space="0" w:color="auto"/>
        <w:bottom w:val="none" w:sz="0" w:space="0" w:color="auto"/>
        <w:right w:val="none" w:sz="0" w:space="0" w:color="auto"/>
      </w:divBdr>
      <w:divsChild>
        <w:div w:id="1991131447">
          <w:marLeft w:val="0"/>
          <w:marRight w:val="0"/>
          <w:marTop w:val="0"/>
          <w:marBottom w:val="0"/>
          <w:divBdr>
            <w:top w:val="none" w:sz="0" w:space="0" w:color="auto"/>
            <w:left w:val="none" w:sz="0" w:space="0" w:color="auto"/>
            <w:bottom w:val="none" w:sz="0" w:space="0" w:color="auto"/>
            <w:right w:val="none" w:sz="0" w:space="0" w:color="auto"/>
          </w:divBdr>
          <w:divsChild>
            <w:div w:id="26773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5960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chart" Target="charts/chart6.xml" /><Relationship Id="rId18" Type="http://schemas.openxmlformats.org/officeDocument/2006/relationships/chart" Target="charts/chart10.xm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chart" Target="charts/chart5.xml" /><Relationship Id="rId17" Type="http://schemas.openxmlformats.org/officeDocument/2006/relationships/chart" Target="charts/chart9.xml" /><Relationship Id="rId2" Type="http://schemas.openxmlformats.org/officeDocument/2006/relationships/styles" Target="styles.xml" /><Relationship Id="rId16" Type="http://schemas.openxmlformats.org/officeDocument/2006/relationships/image" Target="media/image2.png" /><Relationship Id="rId20" Type="http://schemas.openxmlformats.org/officeDocument/2006/relationships/chart" Target="charts/chart1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hart" Target="charts/chart4.xml"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chart" Target="charts/chart8.xml" /><Relationship Id="rId23" Type="http://schemas.openxmlformats.org/officeDocument/2006/relationships/fontTable" Target="fontTable.xml" /><Relationship Id="rId10" Type="http://schemas.openxmlformats.org/officeDocument/2006/relationships/chart" Target="charts/chart3.xml" /><Relationship Id="rId19" Type="http://schemas.openxmlformats.org/officeDocument/2006/relationships/image" Target="media/image3.png" /><Relationship Id="rId4" Type="http://schemas.openxmlformats.org/officeDocument/2006/relationships/webSettings" Target="webSettings.xml" /><Relationship Id="rId9" Type="http://schemas.openxmlformats.org/officeDocument/2006/relationships/chart" Target="charts/chart2.xml" /><Relationship Id="rId14" Type="http://schemas.openxmlformats.org/officeDocument/2006/relationships/chart" Target="charts/chart7.xml" /><Relationship Id="rId22" Type="http://schemas.openxmlformats.org/officeDocument/2006/relationships/footer" Target="footer2.xml" /></Relationships>
</file>

<file path=word/charts/_rels/chart1.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2.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3.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4.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5.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6.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7.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8.xml.rels><?xml version="1.0" encoding="UTF-8" standalone="yes"?>
<Relationships xmlns="http://schemas.openxmlformats.org/package/2006/relationships"><Relationship Id="rId1" Type="http://schemas.openxmlformats.org/officeDocument/2006/relationships/oleObject" Target="file:///Users/anikdey/Downloads/toyota_financial_analysis%20(1).xlsx" TargetMode="External" /></Relationships>
</file>

<file path=word/charts/_rels/chart9.xml.rels><?xml version="1.0" encoding="UTF-8" standalone="yes"?>
<Relationships xmlns="http://schemas.openxmlformats.org/package/2006/relationships"><Relationship Id="rId1" Type="http://schemas.openxmlformats.org/officeDocument/2006/relationships/oleObject" Target="file:///Users/anikdey/Downloads/toyota_financial_analysis%20(1).xlsx" TargetMode="External" /></Relationships>
</file>

<file path=word/charts/_rels/chart10.xml.rels><?xml version="1.0" encoding="UTF-8" standalone="yes"?>
<Relationships xmlns="http://schemas.openxmlformats.org/package/2006/relationships"><Relationship Id="rId1" Type="http://schemas.openxmlformats.org/officeDocument/2006/relationships/oleObject" Target="file:///Users/anikdey/Downloads/toyota_financial_analysis%20(1).xlsx" TargetMode="External" /></Relationships>
</file>

<file path=word/charts/_rels/chart11.xml.rels><?xml version="1.0" encoding="UTF-8" standalone="yes"?>
<Relationships xmlns="http://schemas.openxmlformats.org/package/2006/relationships"><Relationship Id="rId3" Type="http://schemas.openxmlformats.org/officeDocument/2006/relationships/oleObject" Target="file:///Users/anikdey/Downloads/toyota_financial_analysis%20(1).xlsx"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Toyota Summary Income Trend Trend</a:t>
            </a:r>
          </a:p>
        </c:rich>
      </c:tx>
      <c:overlay val="0"/>
    </c:title>
    <c:autoTitleDeleted val="0"/>
    <c:plotArea>
      <c:layout/>
      <c:lineChart>
        <c:grouping val="standard"/>
        <c:varyColors val="1"/>
        <c:ser>
          <c:idx val="0"/>
          <c:order val="0"/>
          <c:tx>
            <c:v>Revenue (JPY tn)</c:v>
          </c:tx>
          <c:cat>
            <c:numLit>
              <c:formatCode>General</c:formatCode>
              <c:ptCount val="5"/>
              <c:pt idx="0">
                <c:v>2021</c:v>
              </c:pt>
              <c:pt idx="1">
                <c:v>2022</c:v>
              </c:pt>
              <c:pt idx="2">
                <c:v>2023</c:v>
              </c:pt>
              <c:pt idx="3">
                <c:v>2024</c:v>
              </c:pt>
              <c:pt idx="4">
                <c:v>2025</c:v>
              </c:pt>
            </c:numLit>
          </c:cat>
          <c:val>
            <c:numLit>
              <c:formatCode>General</c:formatCode>
              <c:ptCount val="5"/>
              <c:pt idx="0">
                <c:v>27.21</c:v>
              </c:pt>
              <c:pt idx="1">
                <c:v>31.38</c:v>
              </c:pt>
              <c:pt idx="2">
                <c:v>37.15</c:v>
              </c:pt>
              <c:pt idx="3">
                <c:v>45.1</c:v>
              </c:pt>
              <c:pt idx="4">
                <c:v>48.04</c:v>
              </c:pt>
            </c:numLit>
          </c:val>
          <c:smooth val="0"/>
          <c:extLst>
            <c:ext xmlns:c16="http://schemas.microsoft.com/office/drawing/2014/chart" uri="{C3380CC4-5D6E-409C-BE32-E72D297353CC}">
              <c16:uniqueId val="{00000000-27EA-7B4C-9034-E5ED2F7A3078}"/>
            </c:ext>
          </c:extLst>
        </c:ser>
        <c:ser>
          <c:idx val="1"/>
          <c:order val="1"/>
          <c:tx>
            <c:v>Gross profit (JPY tn)</c:v>
          </c:tx>
          <c:cat>
            <c:numLit>
              <c:formatCode>General</c:formatCode>
              <c:ptCount val="5"/>
              <c:pt idx="0">
                <c:v>2021</c:v>
              </c:pt>
              <c:pt idx="1">
                <c:v>2022</c:v>
              </c:pt>
              <c:pt idx="2">
                <c:v>2023</c:v>
              </c:pt>
              <c:pt idx="3">
                <c:v>2024</c:v>
              </c:pt>
              <c:pt idx="4">
                <c:v>2025</c:v>
              </c:pt>
            </c:numLit>
          </c:cat>
          <c:val>
            <c:numLit>
              <c:formatCode>General</c:formatCode>
              <c:ptCount val="5"/>
              <c:pt idx="0">
                <c:v>4.83</c:v>
              </c:pt>
              <c:pt idx="1">
                <c:v>5.97</c:v>
              </c:pt>
              <c:pt idx="2">
                <c:v>6.31</c:v>
              </c:pt>
              <c:pt idx="3">
                <c:v>9.3699999999999992</c:v>
              </c:pt>
              <c:pt idx="4">
                <c:v>9.58</c:v>
              </c:pt>
            </c:numLit>
          </c:val>
          <c:smooth val="0"/>
          <c:extLst>
            <c:ext xmlns:c16="http://schemas.microsoft.com/office/drawing/2014/chart" uri="{C3380CC4-5D6E-409C-BE32-E72D297353CC}">
              <c16:uniqueId val="{00000001-27EA-7B4C-9034-E5ED2F7A3078}"/>
            </c:ext>
          </c:extLst>
        </c:ser>
        <c:ser>
          <c:idx val="2"/>
          <c:order val="2"/>
          <c:tx>
            <c:v>Operating profit (JPY tn)</c:v>
          </c:tx>
          <c:cat>
            <c:numLit>
              <c:formatCode>General</c:formatCode>
              <c:ptCount val="5"/>
              <c:pt idx="0">
                <c:v>2021</c:v>
              </c:pt>
              <c:pt idx="1">
                <c:v>2022</c:v>
              </c:pt>
              <c:pt idx="2">
                <c:v>2023</c:v>
              </c:pt>
              <c:pt idx="3">
                <c:v>2024</c:v>
              </c:pt>
              <c:pt idx="4">
                <c:v>2025</c:v>
              </c:pt>
            </c:numLit>
          </c:cat>
          <c:val>
            <c:numLit>
              <c:formatCode>General</c:formatCode>
              <c:ptCount val="5"/>
              <c:pt idx="0">
                <c:v>2.2000000000000002</c:v>
              </c:pt>
              <c:pt idx="1">
                <c:v>3</c:v>
              </c:pt>
              <c:pt idx="2">
                <c:v>2.73</c:v>
              </c:pt>
              <c:pt idx="3">
                <c:v>5.35</c:v>
              </c:pt>
              <c:pt idx="4">
                <c:v>4.8</c:v>
              </c:pt>
            </c:numLit>
          </c:val>
          <c:smooth val="0"/>
          <c:extLst>
            <c:ext xmlns:c16="http://schemas.microsoft.com/office/drawing/2014/chart" uri="{C3380CC4-5D6E-409C-BE32-E72D297353CC}">
              <c16:uniqueId val="{00000002-27EA-7B4C-9034-E5ED2F7A3078}"/>
            </c:ext>
          </c:extLst>
        </c:ser>
        <c:ser>
          <c:idx val="3"/>
          <c:order val="3"/>
          <c:tx>
            <c:v>Net profit (JPY tn)</c:v>
          </c:tx>
          <c:cat>
            <c:numLit>
              <c:formatCode>General</c:formatCode>
              <c:ptCount val="5"/>
              <c:pt idx="0">
                <c:v>2021</c:v>
              </c:pt>
              <c:pt idx="1">
                <c:v>2022</c:v>
              </c:pt>
              <c:pt idx="2">
                <c:v>2023</c:v>
              </c:pt>
              <c:pt idx="3">
                <c:v>2024</c:v>
              </c:pt>
              <c:pt idx="4">
                <c:v>2025</c:v>
              </c:pt>
            </c:numLit>
          </c:cat>
          <c:val>
            <c:numLit>
              <c:formatCode>General</c:formatCode>
              <c:ptCount val="5"/>
              <c:pt idx="0">
                <c:v>2.25</c:v>
              </c:pt>
              <c:pt idx="1">
                <c:v>2.85</c:v>
              </c:pt>
              <c:pt idx="2">
                <c:v>2.4500000000000002</c:v>
              </c:pt>
              <c:pt idx="3">
                <c:v>4.9400000000000004</c:v>
              </c:pt>
              <c:pt idx="4">
                <c:v>4.7699999999999996</c:v>
              </c:pt>
            </c:numLit>
          </c:val>
          <c:smooth val="0"/>
          <c:extLst>
            <c:ext xmlns:c16="http://schemas.microsoft.com/office/drawing/2014/chart" uri="{C3380CC4-5D6E-409C-BE32-E72D297353CC}">
              <c16:uniqueId val="{00000003-27EA-7B4C-9034-E5ED2F7A3078}"/>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Profitability Ratios Trend</a:t>
            </a:r>
          </a:p>
        </c:rich>
      </c:tx>
      <c:overlay val="0"/>
    </c:title>
    <c:autoTitleDeleted val="0"/>
    <c:plotArea>
      <c:layout/>
      <c:lineChart>
        <c:grouping val="standard"/>
        <c:varyColors val="1"/>
        <c:ser>
          <c:idx val="0"/>
          <c:order val="0"/>
          <c:tx>
            <c:v>Gross margin %</c:v>
          </c:tx>
          <c:cat>
            <c:numLit>
              <c:formatCode>General</c:formatCode>
              <c:ptCount val="5"/>
              <c:pt idx="0">
                <c:v>2021</c:v>
              </c:pt>
              <c:pt idx="1">
                <c:v>2022</c:v>
              </c:pt>
              <c:pt idx="2">
                <c:v>2023</c:v>
              </c:pt>
              <c:pt idx="3">
                <c:v>2024</c:v>
              </c:pt>
              <c:pt idx="4">
                <c:v>2025</c:v>
              </c:pt>
            </c:numLit>
          </c:cat>
          <c:val>
            <c:numLit>
              <c:formatCode>General</c:formatCode>
              <c:ptCount val="5"/>
              <c:pt idx="0">
                <c:v>17.75</c:v>
              </c:pt>
              <c:pt idx="1">
                <c:v>19.02</c:v>
              </c:pt>
              <c:pt idx="2">
                <c:v>16.989999999999998</c:v>
              </c:pt>
              <c:pt idx="3">
                <c:v>20.78</c:v>
              </c:pt>
              <c:pt idx="4">
                <c:v>19.940000000000001</c:v>
              </c:pt>
            </c:numLit>
          </c:val>
          <c:smooth val="0"/>
          <c:extLst>
            <c:ext xmlns:c16="http://schemas.microsoft.com/office/drawing/2014/chart" uri="{C3380CC4-5D6E-409C-BE32-E72D297353CC}">
              <c16:uniqueId val="{00000000-12A0-B347-940C-65F94D2BCE96}"/>
            </c:ext>
          </c:extLst>
        </c:ser>
        <c:ser>
          <c:idx val="1"/>
          <c:order val="1"/>
          <c:tx>
            <c:v>Operating margin %</c:v>
          </c:tx>
          <c:cat>
            <c:numLit>
              <c:formatCode>General</c:formatCode>
              <c:ptCount val="5"/>
              <c:pt idx="0">
                <c:v>2021</c:v>
              </c:pt>
              <c:pt idx="1">
                <c:v>2022</c:v>
              </c:pt>
              <c:pt idx="2">
                <c:v>2023</c:v>
              </c:pt>
              <c:pt idx="3">
                <c:v>2024</c:v>
              </c:pt>
              <c:pt idx="4">
                <c:v>2025</c:v>
              </c:pt>
            </c:numLit>
          </c:cat>
          <c:val>
            <c:numLit>
              <c:formatCode>General</c:formatCode>
              <c:ptCount val="5"/>
              <c:pt idx="0">
                <c:v>8.09</c:v>
              </c:pt>
              <c:pt idx="1">
                <c:v>9.56</c:v>
              </c:pt>
              <c:pt idx="2">
                <c:v>7.35</c:v>
              </c:pt>
              <c:pt idx="3">
                <c:v>11.86</c:v>
              </c:pt>
              <c:pt idx="4">
                <c:v>9.99</c:v>
              </c:pt>
            </c:numLit>
          </c:val>
          <c:smooth val="0"/>
          <c:extLst>
            <c:ext xmlns:c16="http://schemas.microsoft.com/office/drawing/2014/chart" uri="{C3380CC4-5D6E-409C-BE32-E72D297353CC}">
              <c16:uniqueId val="{00000001-12A0-B347-940C-65F94D2BCE96}"/>
            </c:ext>
          </c:extLst>
        </c:ser>
        <c:ser>
          <c:idx val="2"/>
          <c:order val="2"/>
          <c:tx>
            <c:v>Net profit margin %</c:v>
          </c:tx>
          <c:cat>
            <c:numLit>
              <c:formatCode>General</c:formatCode>
              <c:ptCount val="5"/>
              <c:pt idx="0">
                <c:v>2021</c:v>
              </c:pt>
              <c:pt idx="1">
                <c:v>2022</c:v>
              </c:pt>
              <c:pt idx="2">
                <c:v>2023</c:v>
              </c:pt>
              <c:pt idx="3">
                <c:v>2024</c:v>
              </c:pt>
              <c:pt idx="4">
                <c:v>2025</c:v>
              </c:pt>
            </c:numLit>
          </c:cat>
          <c:val>
            <c:numLit>
              <c:formatCode>General</c:formatCode>
              <c:ptCount val="5"/>
              <c:pt idx="0">
                <c:v>8.27</c:v>
              </c:pt>
              <c:pt idx="1">
                <c:v>9.08</c:v>
              </c:pt>
              <c:pt idx="2">
                <c:v>6.59</c:v>
              </c:pt>
              <c:pt idx="3">
                <c:v>10.95</c:v>
              </c:pt>
              <c:pt idx="4">
                <c:v>9.93</c:v>
              </c:pt>
            </c:numLit>
          </c:val>
          <c:smooth val="0"/>
          <c:extLst>
            <c:ext xmlns:c16="http://schemas.microsoft.com/office/drawing/2014/chart" uri="{C3380CC4-5D6E-409C-BE32-E72D297353CC}">
              <c16:uniqueId val="{00000002-12A0-B347-940C-65F94D2BCE96}"/>
            </c:ext>
          </c:extLst>
        </c:ser>
        <c:ser>
          <c:idx val="3"/>
          <c:order val="3"/>
          <c:tx>
            <c:v>Return on assets %</c:v>
          </c:tx>
          <c:cat>
            <c:numLit>
              <c:formatCode>General</c:formatCode>
              <c:ptCount val="5"/>
              <c:pt idx="0">
                <c:v>2021</c:v>
              </c:pt>
              <c:pt idx="1">
                <c:v>2022</c:v>
              </c:pt>
              <c:pt idx="2">
                <c:v>2023</c:v>
              </c:pt>
              <c:pt idx="3">
                <c:v>2024</c:v>
              </c:pt>
              <c:pt idx="4">
                <c:v>2025</c:v>
              </c:pt>
            </c:numLit>
          </c:cat>
          <c:val>
            <c:numLit>
              <c:formatCode>General</c:formatCode>
              <c:ptCount val="5"/>
              <c:pt idx="0">
                <c:v>3.61</c:v>
              </c:pt>
              <c:pt idx="1">
                <c:v>4.21</c:v>
              </c:pt>
              <c:pt idx="2">
                <c:v>3.3</c:v>
              </c:pt>
              <c:pt idx="3">
                <c:v>5.48</c:v>
              </c:pt>
              <c:pt idx="4">
                <c:v>5.0999999999999996</c:v>
              </c:pt>
            </c:numLit>
          </c:val>
          <c:smooth val="0"/>
          <c:extLst>
            <c:ext xmlns:c16="http://schemas.microsoft.com/office/drawing/2014/chart" uri="{C3380CC4-5D6E-409C-BE32-E72D297353CC}">
              <c16:uniqueId val="{00000003-12A0-B347-940C-65F94D2BCE96}"/>
            </c:ext>
          </c:extLst>
        </c:ser>
        <c:ser>
          <c:idx val="4"/>
          <c:order val="4"/>
          <c:tx>
            <c:v>Return on equity %</c:v>
          </c:tx>
          <c:cat>
            <c:numLit>
              <c:formatCode>General</c:formatCode>
              <c:ptCount val="5"/>
              <c:pt idx="0">
                <c:v>2021</c:v>
              </c:pt>
              <c:pt idx="1">
                <c:v>2022</c:v>
              </c:pt>
              <c:pt idx="2">
                <c:v>2023</c:v>
              </c:pt>
              <c:pt idx="3">
                <c:v>2024</c:v>
              </c:pt>
              <c:pt idx="4">
                <c:v>2025</c:v>
              </c:pt>
            </c:numLit>
          </c:cat>
          <c:val>
            <c:numLit>
              <c:formatCode>General</c:formatCode>
              <c:ptCount val="5"/>
              <c:pt idx="0">
                <c:v>9.6199999999999992</c:v>
              </c:pt>
              <c:pt idx="1">
                <c:v>10.86</c:v>
              </c:pt>
              <c:pt idx="2">
                <c:v>8.65</c:v>
              </c:pt>
              <c:pt idx="3">
                <c:v>14.44</c:v>
              </c:pt>
              <c:pt idx="4">
                <c:v>13.28</c:v>
              </c:pt>
            </c:numLit>
          </c:val>
          <c:smooth val="0"/>
          <c:extLst>
            <c:ext xmlns:c16="http://schemas.microsoft.com/office/drawing/2014/chart" uri="{C3380CC4-5D6E-409C-BE32-E72D297353CC}">
              <c16:uniqueId val="{00000004-12A0-B347-940C-65F94D2BCE96}"/>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Liquidity Ratios Trend</a:t>
            </a:r>
          </a:p>
        </c:rich>
      </c:tx>
      <c:overlay val="0"/>
    </c:title>
    <c:autoTitleDeleted val="0"/>
    <c:plotArea>
      <c:layout/>
      <c:lineChart>
        <c:grouping val="standard"/>
        <c:varyColors val="1"/>
        <c:ser>
          <c:idx val="0"/>
          <c:order val="0"/>
          <c:tx>
            <c:v>Current ratio</c:v>
          </c:tx>
          <c:cat>
            <c:numLit>
              <c:formatCode>General</c:formatCode>
              <c:ptCount val="5"/>
              <c:pt idx="0">
                <c:v>2021</c:v>
              </c:pt>
              <c:pt idx="1">
                <c:v>2022</c:v>
              </c:pt>
              <c:pt idx="2">
                <c:v>2023</c:v>
              </c:pt>
              <c:pt idx="3">
                <c:v>2024</c:v>
              </c:pt>
              <c:pt idx="4">
                <c:v>2025</c:v>
              </c:pt>
            </c:numLit>
          </c:cat>
          <c:val>
            <c:numLit>
              <c:formatCode>General</c:formatCode>
              <c:ptCount val="5"/>
              <c:pt idx="0">
                <c:v>1.06</c:v>
              </c:pt>
              <c:pt idx="1">
                <c:v>1.0900000000000001</c:v>
              </c:pt>
              <c:pt idx="2">
                <c:v>1.1000000000000001</c:v>
              </c:pt>
              <c:pt idx="3">
                <c:v>1.19</c:v>
              </c:pt>
              <c:pt idx="4">
                <c:v>1.26</c:v>
              </c:pt>
            </c:numLit>
          </c:val>
          <c:smooth val="0"/>
          <c:extLst>
            <c:ext xmlns:c16="http://schemas.microsoft.com/office/drawing/2014/chart" uri="{C3380CC4-5D6E-409C-BE32-E72D297353CC}">
              <c16:uniqueId val="{00000000-3E01-4D48-B775-656A9E19C305}"/>
            </c:ext>
          </c:extLst>
        </c:ser>
        <c:ser>
          <c:idx val="1"/>
          <c:order val="1"/>
          <c:tx>
            <c:v>Quick ratio</c:v>
          </c:tx>
          <c:cat>
            <c:numLit>
              <c:formatCode>General</c:formatCode>
              <c:ptCount val="5"/>
              <c:pt idx="0">
                <c:v>2021</c:v>
              </c:pt>
              <c:pt idx="1">
                <c:v>2022</c:v>
              </c:pt>
              <c:pt idx="2">
                <c:v>2023</c:v>
              </c:pt>
              <c:pt idx="3">
                <c:v>2024</c:v>
              </c:pt>
              <c:pt idx="4">
                <c:v>2025</c:v>
              </c:pt>
            </c:numLit>
          </c:cat>
          <c:val>
            <c:numLit>
              <c:formatCode>General</c:formatCode>
              <c:ptCount val="5"/>
              <c:pt idx="0">
                <c:v>0.93</c:v>
              </c:pt>
              <c:pt idx="1">
                <c:v>0.91</c:v>
              </c:pt>
              <c:pt idx="2">
                <c:v>0.93</c:v>
              </c:pt>
              <c:pt idx="3">
                <c:v>1.03</c:v>
              </c:pt>
              <c:pt idx="4">
                <c:v>1.1000000000000001</c:v>
              </c:pt>
            </c:numLit>
          </c:val>
          <c:smooth val="0"/>
          <c:extLst>
            <c:ext xmlns:c16="http://schemas.microsoft.com/office/drawing/2014/chart" uri="{C3380CC4-5D6E-409C-BE32-E72D297353CC}">
              <c16:uniqueId val="{00000001-3E01-4D48-B775-656A9E19C305}"/>
            </c:ext>
          </c:extLst>
        </c:ser>
        <c:ser>
          <c:idx val="2"/>
          <c:order val="2"/>
          <c:tx>
            <c:v>Cash ratio</c:v>
          </c:tx>
          <c:cat>
            <c:numLit>
              <c:formatCode>General</c:formatCode>
              <c:ptCount val="5"/>
              <c:pt idx="0">
                <c:v>2021</c:v>
              </c:pt>
              <c:pt idx="1">
                <c:v>2022</c:v>
              </c:pt>
              <c:pt idx="2">
                <c:v>2023</c:v>
              </c:pt>
              <c:pt idx="3">
                <c:v>2024</c:v>
              </c:pt>
              <c:pt idx="4">
                <c:v>2025</c:v>
              </c:pt>
            </c:numLit>
          </c:cat>
          <c:val>
            <c:numLit>
              <c:formatCode>General</c:formatCode>
              <c:ptCount val="5"/>
              <c:pt idx="0">
                <c:v>0.43</c:v>
              </c:pt>
              <c:pt idx="1">
                <c:v>0.39</c:v>
              </c:pt>
              <c:pt idx="2">
                <c:v>0.39</c:v>
              </c:pt>
              <c:pt idx="3">
                <c:v>0.48</c:v>
              </c:pt>
              <c:pt idx="4">
                <c:v>0.54</c:v>
              </c:pt>
            </c:numLit>
          </c:val>
          <c:smooth val="0"/>
          <c:extLst>
            <c:ext xmlns:c16="http://schemas.microsoft.com/office/drawing/2014/chart" uri="{C3380CC4-5D6E-409C-BE32-E72D297353CC}">
              <c16:uniqueId val="{00000002-3E01-4D48-B775-656A9E19C305}"/>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Efficiency Ratios Trend</a:t>
            </a:r>
          </a:p>
        </c:rich>
      </c:tx>
      <c:overlay val="0"/>
    </c:title>
    <c:autoTitleDeleted val="0"/>
    <c:plotArea>
      <c:layout/>
      <c:lineChart>
        <c:grouping val="standard"/>
        <c:varyColors val="1"/>
        <c:ser>
          <c:idx val="0"/>
          <c:order val="0"/>
          <c:tx>
            <c:v>Inventory turnover</c:v>
          </c:tx>
          <c:cat>
            <c:numLit>
              <c:formatCode>General</c:formatCode>
              <c:ptCount val="5"/>
              <c:pt idx="0">
                <c:v>2021</c:v>
              </c:pt>
              <c:pt idx="1">
                <c:v>2022</c:v>
              </c:pt>
              <c:pt idx="2">
                <c:v>2023</c:v>
              </c:pt>
              <c:pt idx="3">
                <c:v>2024</c:v>
              </c:pt>
              <c:pt idx="4">
                <c:v>2025</c:v>
              </c:pt>
            </c:numLit>
          </c:cat>
          <c:val>
            <c:numLit>
              <c:formatCode>General</c:formatCode>
              <c:ptCount val="5"/>
              <c:pt idx="0">
                <c:v>7.74</c:v>
              </c:pt>
              <c:pt idx="1">
                <c:v>6.65</c:v>
              </c:pt>
              <c:pt idx="2">
                <c:v>7.24</c:v>
              </c:pt>
              <c:pt idx="3">
                <c:v>7.75</c:v>
              </c:pt>
              <c:pt idx="4">
                <c:v>8.36</c:v>
              </c:pt>
            </c:numLit>
          </c:val>
          <c:smooth val="0"/>
          <c:extLst>
            <c:ext xmlns:c16="http://schemas.microsoft.com/office/drawing/2014/chart" uri="{C3380CC4-5D6E-409C-BE32-E72D297353CC}">
              <c16:uniqueId val="{00000000-D984-374E-8FB4-CC7903A4E2FF}"/>
            </c:ext>
          </c:extLst>
        </c:ser>
        <c:ser>
          <c:idx val="1"/>
          <c:order val="1"/>
          <c:tx>
            <c:v>Receivables turnover</c:v>
          </c:tx>
          <c:cat>
            <c:numLit>
              <c:formatCode>General</c:formatCode>
              <c:ptCount val="5"/>
              <c:pt idx="0">
                <c:v>2021</c:v>
              </c:pt>
              <c:pt idx="1">
                <c:v>2022</c:v>
              </c:pt>
              <c:pt idx="2">
                <c:v>2023</c:v>
              </c:pt>
              <c:pt idx="3">
                <c:v>2024</c:v>
              </c:pt>
              <c:pt idx="4">
                <c:v>2025</c:v>
              </c:pt>
            </c:numLit>
          </c:cat>
          <c:val>
            <c:numLit>
              <c:formatCode>General</c:formatCode>
              <c:ptCount val="5"/>
              <c:pt idx="0">
                <c:v>2.77</c:v>
              </c:pt>
              <c:pt idx="1">
                <c:v>2.99</c:v>
              </c:pt>
              <c:pt idx="2">
                <c:v>3.08</c:v>
              </c:pt>
              <c:pt idx="3">
                <c:v>3.01</c:v>
              </c:pt>
              <c:pt idx="4">
                <c:v>3.13</c:v>
              </c:pt>
            </c:numLit>
          </c:val>
          <c:smooth val="0"/>
          <c:extLst>
            <c:ext xmlns:c16="http://schemas.microsoft.com/office/drawing/2014/chart" uri="{C3380CC4-5D6E-409C-BE32-E72D297353CC}">
              <c16:uniqueId val="{00000001-D984-374E-8FB4-CC7903A4E2FF}"/>
            </c:ext>
          </c:extLst>
        </c:ser>
        <c:ser>
          <c:idx val="2"/>
          <c:order val="2"/>
          <c:tx>
            <c:v>Total asset turnover</c:v>
          </c:tx>
          <c:cat>
            <c:numLit>
              <c:formatCode>General</c:formatCode>
              <c:ptCount val="5"/>
              <c:pt idx="0">
                <c:v>2021</c:v>
              </c:pt>
              <c:pt idx="1">
                <c:v>2022</c:v>
              </c:pt>
              <c:pt idx="2">
                <c:v>2023</c:v>
              </c:pt>
              <c:pt idx="3">
                <c:v>2024</c:v>
              </c:pt>
              <c:pt idx="4">
                <c:v>2025</c:v>
              </c:pt>
            </c:numLit>
          </c:cat>
          <c:val>
            <c:numLit>
              <c:formatCode>General</c:formatCode>
              <c:ptCount val="5"/>
              <c:pt idx="0">
                <c:v>0.44</c:v>
              </c:pt>
              <c:pt idx="1">
                <c:v>0.46</c:v>
              </c:pt>
              <c:pt idx="2">
                <c:v>0.5</c:v>
              </c:pt>
              <c:pt idx="3">
                <c:v>0.5</c:v>
              </c:pt>
              <c:pt idx="4">
                <c:v>0.51</c:v>
              </c:pt>
            </c:numLit>
          </c:val>
          <c:smooth val="0"/>
          <c:extLst>
            <c:ext xmlns:c16="http://schemas.microsoft.com/office/drawing/2014/chart" uri="{C3380CC4-5D6E-409C-BE32-E72D297353CC}">
              <c16:uniqueId val="{00000002-D984-374E-8FB4-CC7903A4E2FF}"/>
            </c:ext>
          </c:extLst>
        </c:ser>
        <c:ser>
          <c:idx val="3"/>
          <c:order val="3"/>
          <c:tx>
            <c:v>Inventory days</c:v>
          </c:tx>
          <c:cat>
            <c:numLit>
              <c:formatCode>General</c:formatCode>
              <c:ptCount val="5"/>
              <c:pt idx="0">
                <c:v>2021</c:v>
              </c:pt>
              <c:pt idx="1">
                <c:v>2022</c:v>
              </c:pt>
              <c:pt idx="2">
                <c:v>2023</c:v>
              </c:pt>
              <c:pt idx="3">
                <c:v>2024</c:v>
              </c:pt>
              <c:pt idx="4">
                <c:v>2025</c:v>
              </c:pt>
            </c:numLit>
          </c:cat>
          <c:val>
            <c:numLit>
              <c:formatCode>General</c:formatCode>
              <c:ptCount val="5"/>
              <c:pt idx="0">
                <c:v>47.1</c:v>
              </c:pt>
              <c:pt idx="1">
                <c:v>54.9</c:v>
              </c:pt>
              <c:pt idx="2">
                <c:v>50.4</c:v>
              </c:pt>
              <c:pt idx="3">
                <c:v>47.1</c:v>
              </c:pt>
              <c:pt idx="4">
                <c:v>43.7</c:v>
              </c:pt>
            </c:numLit>
          </c:val>
          <c:smooth val="0"/>
          <c:extLst>
            <c:ext xmlns:c16="http://schemas.microsoft.com/office/drawing/2014/chart" uri="{C3380CC4-5D6E-409C-BE32-E72D297353CC}">
              <c16:uniqueId val="{00000003-D984-374E-8FB4-CC7903A4E2FF}"/>
            </c:ext>
          </c:extLst>
        </c:ser>
        <c:ser>
          <c:idx val="4"/>
          <c:order val="4"/>
          <c:tx>
            <c:v>Receivables days</c:v>
          </c:tx>
          <c:cat>
            <c:numLit>
              <c:formatCode>General</c:formatCode>
              <c:ptCount val="5"/>
              <c:pt idx="0">
                <c:v>2021</c:v>
              </c:pt>
              <c:pt idx="1">
                <c:v>2022</c:v>
              </c:pt>
              <c:pt idx="2">
                <c:v>2023</c:v>
              </c:pt>
              <c:pt idx="3">
                <c:v>2024</c:v>
              </c:pt>
              <c:pt idx="4">
                <c:v>2025</c:v>
              </c:pt>
            </c:numLit>
          </c:cat>
          <c:val>
            <c:numLit>
              <c:formatCode>General</c:formatCode>
              <c:ptCount val="5"/>
              <c:pt idx="0">
                <c:v>131.9</c:v>
              </c:pt>
              <c:pt idx="1">
                <c:v>122</c:v>
              </c:pt>
              <c:pt idx="2">
                <c:v>118.7</c:v>
              </c:pt>
              <c:pt idx="3">
                <c:v>121.1</c:v>
              </c:pt>
              <c:pt idx="4">
                <c:v>116.6</c:v>
              </c:pt>
            </c:numLit>
          </c:val>
          <c:smooth val="0"/>
          <c:extLst>
            <c:ext xmlns:c16="http://schemas.microsoft.com/office/drawing/2014/chart" uri="{C3380CC4-5D6E-409C-BE32-E72D297353CC}">
              <c16:uniqueId val="{00000004-D984-374E-8FB4-CC7903A4E2FF}"/>
            </c:ext>
          </c:extLst>
        </c:ser>
        <c:ser>
          <c:idx val="5"/>
          <c:order val="5"/>
          <c:tx>
            <c:v>Payables days</c:v>
          </c:tx>
          <c:cat>
            <c:numLit>
              <c:formatCode>General</c:formatCode>
              <c:ptCount val="5"/>
              <c:pt idx="0">
                <c:v>2021</c:v>
              </c:pt>
              <c:pt idx="1">
                <c:v>2022</c:v>
              </c:pt>
              <c:pt idx="2">
                <c:v>2023</c:v>
              </c:pt>
              <c:pt idx="3">
                <c:v>2024</c:v>
              </c:pt>
              <c:pt idx="4">
                <c:v>2025</c:v>
              </c:pt>
            </c:numLit>
          </c:cat>
          <c:val>
            <c:numLit>
              <c:formatCode>General</c:formatCode>
              <c:ptCount val="5"/>
              <c:pt idx="0">
                <c:v>66.099999999999994</c:v>
              </c:pt>
              <c:pt idx="1">
                <c:v>61.6</c:v>
              </c:pt>
              <c:pt idx="2">
                <c:v>59.1</c:v>
              </c:pt>
              <c:pt idx="3">
                <c:v>53.6</c:v>
              </c:pt>
              <c:pt idx="4">
                <c:v>52.5</c:v>
              </c:pt>
            </c:numLit>
          </c:val>
          <c:smooth val="0"/>
          <c:extLst>
            <c:ext xmlns:c16="http://schemas.microsoft.com/office/drawing/2014/chart" uri="{C3380CC4-5D6E-409C-BE32-E72D297353CC}">
              <c16:uniqueId val="{00000005-D984-374E-8FB4-CC7903A4E2FF}"/>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Gearing Ratios Trend</a:t>
            </a:r>
          </a:p>
        </c:rich>
      </c:tx>
      <c:overlay val="0"/>
    </c:title>
    <c:autoTitleDeleted val="0"/>
    <c:plotArea>
      <c:layout/>
      <c:lineChart>
        <c:grouping val="standard"/>
        <c:varyColors val="1"/>
        <c:ser>
          <c:idx val="0"/>
          <c:order val="0"/>
          <c:tx>
            <c:v>Debt to equity</c:v>
          </c:tx>
          <c:cat>
            <c:numLit>
              <c:formatCode>General</c:formatCode>
              <c:ptCount val="5"/>
              <c:pt idx="0">
                <c:v>2021</c:v>
              </c:pt>
              <c:pt idx="1">
                <c:v>2022</c:v>
              </c:pt>
              <c:pt idx="2">
                <c:v>2023</c:v>
              </c:pt>
              <c:pt idx="3">
                <c:v>2024</c:v>
              </c:pt>
              <c:pt idx="4">
                <c:v>2025</c:v>
              </c:pt>
            </c:numLit>
          </c:cat>
          <c:val>
            <c:numLit>
              <c:formatCode>General</c:formatCode>
              <c:ptCount val="5"/>
              <c:pt idx="0">
                <c:v>1.66</c:v>
              </c:pt>
              <c:pt idx="1">
                <c:v>1.58</c:v>
              </c:pt>
              <c:pt idx="2">
                <c:v>1.62</c:v>
              </c:pt>
              <c:pt idx="3">
                <c:v>1.63</c:v>
              </c:pt>
              <c:pt idx="4">
                <c:v>1.61</c:v>
              </c:pt>
            </c:numLit>
          </c:val>
          <c:smooth val="0"/>
          <c:extLst>
            <c:ext xmlns:c16="http://schemas.microsoft.com/office/drawing/2014/chart" uri="{C3380CC4-5D6E-409C-BE32-E72D297353CC}">
              <c16:uniqueId val="{00000000-095E-1049-8A02-11FE7515ADBF}"/>
            </c:ext>
          </c:extLst>
        </c:ser>
        <c:ser>
          <c:idx val="1"/>
          <c:order val="1"/>
          <c:tx>
            <c:v>Debt ratio %</c:v>
          </c:tx>
          <c:cat>
            <c:numLit>
              <c:formatCode>General</c:formatCode>
              <c:ptCount val="5"/>
              <c:pt idx="0">
                <c:v>2021</c:v>
              </c:pt>
              <c:pt idx="1">
                <c:v>2022</c:v>
              </c:pt>
              <c:pt idx="2">
                <c:v>2023</c:v>
              </c:pt>
              <c:pt idx="3">
                <c:v>2024</c:v>
              </c:pt>
              <c:pt idx="4">
                <c:v>2025</c:v>
              </c:pt>
            </c:numLit>
          </c:cat>
          <c:val>
            <c:numLit>
              <c:formatCode>General</c:formatCode>
              <c:ptCount val="5"/>
              <c:pt idx="0">
                <c:v>62.4</c:v>
              </c:pt>
              <c:pt idx="1">
                <c:v>61.22</c:v>
              </c:pt>
              <c:pt idx="2">
                <c:v>61.86</c:v>
              </c:pt>
              <c:pt idx="3">
                <c:v>62.02</c:v>
              </c:pt>
              <c:pt idx="4">
                <c:v>61.62</c:v>
              </c:pt>
            </c:numLit>
          </c:val>
          <c:smooth val="0"/>
          <c:extLst>
            <c:ext xmlns:c16="http://schemas.microsoft.com/office/drawing/2014/chart" uri="{C3380CC4-5D6E-409C-BE32-E72D297353CC}">
              <c16:uniqueId val="{00000001-095E-1049-8A02-11FE7515ADBF}"/>
            </c:ext>
          </c:extLst>
        </c:ser>
        <c:ser>
          <c:idx val="2"/>
          <c:order val="2"/>
          <c:tx>
            <c:v>Net debt to equity</c:v>
          </c:tx>
          <c:cat>
            <c:numLit>
              <c:formatCode>General</c:formatCode>
              <c:ptCount val="5"/>
              <c:pt idx="0">
                <c:v>2021</c:v>
              </c:pt>
              <c:pt idx="1">
                <c:v>2022</c:v>
              </c:pt>
              <c:pt idx="2">
                <c:v>2023</c:v>
              </c:pt>
              <c:pt idx="3">
                <c:v>2024</c:v>
              </c:pt>
              <c:pt idx="4">
                <c:v>2025</c:v>
              </c:pt>
            </c:numLit>
          </c:cat>
          <c:val>
            <c:numLit>
              <c:formatCode>General</c:formatCode>
              <c:ptCount val="5"/>
              <c:pt idx="0">
                <c:v>0.51</c:v>
              </c:pt>
              <c:pt idx="1">
                <c:v>0.52</c:v>
              </c:pt>
              <c:pt idx="2">
                <c:v>0.55000000000000004</c:v>
              </c:pt>
              <c:pt idx="3">
                <c:v>0.5</c:v>
              </c:pt>
              <c:pt idx="4">
                <c:v>0.48</c:v>
              </c:pt>
            </c:numLit>
          </c:val>
          <c:smooth val="0"/>
          <c:extLst>
            <c:ext xmlns:c16="http://schemas.microsoft.com/office/drawing/2014/chart" uri="{C3380CC4-5D6E-409C-BE32-E72D297353CC}">
              <c16:uniqueId val="{00000002-095E-1049-8A02-11FE7515ADBF}"/>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Investment Ratios and Indicators Trend</a:t>
            </a:r>
          </a:p>
        </c:rich>
      </c:tx>
      <c:overlay val="0"/>
    </c:title>
    <c:autoTitleDeleted val="0"/>
    <c:plotArea>
      <c:layout/>
      <c:lineChart>
        <c:grouping val="standard"/>
        <c:varyColors val="1"/>
        <c:ser>
          <c:idx val="0"/>
          <c:order val="0"/>
          <c:tx>
            <c:v>Diluted EPS (JPY)</c:v>
          </c:tx>
          <c:cat>
            <c:numLit>
              <c:formatCode>General</c:formatCode>
              <c:ptCount val="5"/>
              <c:pt idx="0">
                <c:v>2021</c:v>
              </c:pt>
              <c:pt idx="1">
                <c:v>2022</c:v>
              </c:pt>
              <c:pt idx="2">
                <c:v>2023</c:v>
              </c:pt>
              <c:pt idx="3">
                <c:v>2024</c:v>
              </c:pt>
              <c:pt idx="4">
                <c:v>2025</c:v>
              </c:pt>
            </c:numLit>
          </c:cat>
          <c:val>
            <c:numLit>
              <c:formatCode>General</c:formatCode>
              <c:ptCount val="5"/>
              <c:pt idx="0">
                <c:v>158.93</c:v>
              </c:pt>
              <c:pt idx="1">
                <c:v>205.23</c:v>
              </c:pt>
              <c:pt idx="2">
                <c:v>179.47</c:v>
              </c:pt>
              <c:pt idx="3">
                <c:v>365.94</c:v>
              </c:pt>
              <c:pt idx="4">
                <c:v>359.56</c:v>
              </c:pt>
            </c:numLit>
          </c:val>
          <c:smooth val="0"/>
          <c:extLst>
            <c:ext xmlns:c16="http://schemas.microsoft.com/office/drawing/2014/chart" uri="{C3380CC4-5D6E-409C-BE32-E72D297353CC}">
              <c16:uniqueId val="{00000000-7DD7-4E42-8CC9-F3376D51D160}"/>
            </c:ext>
          </c:extLst>
        </c:ser>
        <c:ser>
          <c:idx val="1"/>
          <c:order val="1"/>
          <c:tx>
            <c:v>Dividend per share (JPY)</c:v>
          </c:tx>
          <c:cat>
            <c:numLit>
              <c:formatCode>General</c:formatCode>
              <c:ptCount val="5"/>
              <c:pt idx="0">
                <c:v>2021</c:v>
              </c:pt>
              <c:pt idx="1">
                <c:v>2022</c:v>
              </c:pt>
              <c:pt idx="2">
                <c:v>2023</c:v>
              </c:pt>
              <c:pt idx="3">
                <c:v>2024</c:v>
              </c:pt>
              <c:pt idx="4">
                <c:v>2025</c:v>
              </c:pt>
            </c:numLit>
          </c:cat>
          <c:val>
            <c:numLit>
              <c:formatCode>General</c:formatCode>
              <c:ptCount val="5"/>
              <c:pt idx="0">
                <c:v>47</c:v>
              </c:pt>
              <c:pt idx="1">
                <c:v>0</c:v>
              </c:pt>
              <c:pt idx="2">
                <c:v>0</c:v>
              </c:pt>
              <c:pt idx="3">
                <c:v>0</c:v>
              </c:pt>
              <c:pt idx="4">
                <c:v>0</c:v>
              </c:pt>
            </c:numLit>
          </c:val>
          <c:smooth val="0"/>
          <c:extLst>
            <c:ext xmlns:c16="http://schemas.microsoft.com/office/drawing/2014/chart" uri="{C3380CC4-5D6E-409C-BE32-E72D297353CC}">
              <c16:uniqueId val="{00000001-7DD7-4E42-8CC9-F3376D51D160}"/>
            </c:ext>
          </c:extLst>
        </c:ser>
        <c:ser>
          <c:idx val="2"/>
          <c:order val="2"/>
          <c:tx>
            <c:v>Retained earnings (JPY tn)</c:v>
          </c:tx>
          <c:cat>
            <c:numLit>
              <c:formatCode>General</c:formatCode>
              <c:ptCount val="5"/>
              <c:pt idx="0">
                <c:v>2021</c:v>
              </c:pt>
              <c:pt idx="1">
                <c:v>2022</c:v>
              </c:pt>
              <c:pt idx="2">
                <c:v>2023</c:v>
              </c:pt>
              <c:pt idx="3">
                <c:v>2024</c:v>
              </c:pt>
              <c:pt idx="4">
                <c:v>2025</c:v>
              </c:pt>
            </c:numLit>
          </c:cat>
          <c:val>
            <c:numLit>
              <c:formatCode>General</c:formatCode>
              <c:ptCount val="5"/>
              <c:pt idx="0">
                <c:v>24.1</c:v>
              </c:pt>
              <c:pt idx="1">
                <c:v>26.45</c:v>
              </c:pt>
              <c:pt idx="2">
                <c:v>28.34</c:v>
              </c:pt>
              <c:pt idx="3">
                <c:v>32.799999999999997</c:v>
              </c:pt>
              <c:pt idx="4">
                <c:v>35.840000000000003</c:v>
              </c:pt>
            </c:numLit>
          </c:val>
          <c:smooth val="0"/>
          <c:extLst>
            <c:ext xmlns:c16="http://schemas.microsoft.com/office/drawing/2014/chart" uri="{C3380CC4-5D6E-409C-BE32-E72D297353CC}">
              <c16:uniqueId val="{00000002-7DD7-4E42-8CC9-F3376D51D160}"/>
            </c:ext>
          </c:extLst>
        </c:ser>
        <c:ser>
          <c:idx val="3"/>
          <c:order val="3"/>
          <c:tx>
            <c:v>Dividends paid (JPY tn)</c:v>
          </c:tx>
          <c:cat>
            <c:numLit>
              <c:formatCode>General</c:formatCode>
              <c:ptCount val="5"/>
              <c:pt idx="0">
                <c:v>2021</c:v>
              </c:pt>
              <c:pt idx="1">
                <c:v>2022</c:v>
              </c:pt>
              <c:pt idx="2">
                <c:v>2023</c:v>
              </c:pt>
              <c:pt idx="3">
                <c:v>2024</c:v>
              </c:pt>
              <c:pt idx="4">
                <c:v>2025</c:v>
              </c:pt>
            </c:numLit>
          </c:cat>
          <c:val>
            <c:numLit>
              <c:formatCode>General</c:formatCode>
              <c:ptCount val="5"/>
              <c:pt idx="0">
                <c:v>0.63</c:v>
              </c:pt>
              <c:pt idx="1">
                <c:v>0.71</c:v>
              </c:pt>
              <c:pt idx="2">
                <c:v>0.73</c:v>
              </c:pt>
              <c:pt idx="3">
                <c:v>0.88</c:v>
              </c:pt>
              <c:pt idx="4">
                <c:v>1.1299999999999999</c:v>
              </c:pt>
            </c:numLit>
          </c:val>
          <c:smooth val="0"/>
          <c:extLst>
            <c:ext xmlns:c16="http://schemas.microsoft.com/office/drawing/2014/chart" uri="{C3380CC4-5D6E-409C-BE32-E72D297353CC}">
              <c16:uniqueId val="{00000003-7DD7-4E42-8CC9-F3376D51D160}"/>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Cash Flow Ratios Trend</a:t>
            </a:r>
          </a:p>
        </c:rich>
      </c:tx>
      <c:overlay val="0"/>
    </c:title>
    <c:autoTitleDeleted val="0"/>
    <c:plotArea>
      <c:layout/>
      <c:lineChart>
        <c:grouping val="standard"/>
        <c:varyColors val="1"/>
        <c:ser>
          <c:idx val="0"/>
          <c:order val="0"/>
          <c:tx>
            <c:v>CFO to current liabilities</c:v>
          </c:tx>
          <c:cat>
            <c:numLit>
              <c:formatCode>General</c:formatCode>
              <c:ptCount val="5"/>
              <c:pt idx="0">
                <c:v>2021</c:v>
              </c:pt>
              <c:pt idx="1">
                <c:v>2022</c:v>
              </c:pt>
              <c:pt idx="2">
                <c:v>2023</c:v>
              </c:pt>
              <c:pt idx="3">
                <c:v>2024</c:v>
              </c:pt>
              <c:pt idx="4">
                <c:v>2025</c:v>
              </c:pt>
            </c:numLit>
          </c:cat>
          <c:val>
            <c:numLit>
              <c:formatCode>General</c:formatCode>
              <c:ptCount val="5"/>
              <c:pt idx="0">
                <c:v>0.13</c:v>
              </c:pt>
              <c:pt idx="1">
                <c:v>0.17</c:v>
              </c:pt>
              <c:pt idx="2">
                <c:v>0.12</c:v>
              </c:pt>
              <c:pt idx="3">
                <c:v>0.14000000000000001</c:v>
              </c:pt>
              <c:pt idx="4">
                <c:v>0.13</c:v>
              </c:pt>
            </c:numLit>
          </c:val>
          <c:smooth val="0"/>
          <c:extLst>
            <c:ext xmlns:c16="http://schemas.microsoft.com/office/drawing/2014/chart" uri="{C3380CC4-5D6E-409C-BE32-E72D297353CC}">
              <c16:uniqueId val="{00000000-5D0D-664E-82D2-635D2B7EAED7}"/>
            </c:ext>
          </c:extLst>
        </c:ser>
        <c:ser>
          <c:idx val="1"/>
          <c:order val="1"/>
          <c:tx>
            <c:v>CFO to debt</c:v>
          </c:tx>
          <c:cat>
            <c:numLit>
              <c:formatCode>General</c:formatCode>
              <c:ptCount val="5"/>
              <c:pt idx="0">
                <c:v>2021</c:v>
              </c:pt>
              <c:pt idx="1">
                <c:v>2022</c:v>
              </c:pt>
              <c:pt idx="2">
                <c:v>2023</c:v>
              </c:pt>
              <c:pt idx="3">
                <c:v>2024</c:v>
              </c:pt>
              <c:pt idx="4">
                <c:v>2025</c:v>
              </c:pt>
            </c:numLit>
          </c:cat>
          <c:val>
            <c:numLit>
              <c:formatCode>General</c:formatCode>
              <c:ptCount val="5"/>
              <c:pt idx="0">
                <c:v>0.11</c:v>
              </c:pt>
              <c:pt idx="1">
                <c:v>0.14000000000000001</c:v>
              </c:pt>
              <c:pt idx="2">
                <c:v>0.1</c:v>
              </c:pt>
              <c:pt idx="3">
                <c:v>0.12</c:v>
              </c:pt>
              <c:pt idx="4">
                <c:v>0.1</c:v>
              </c:pt>
            </c:numLit>
          </c:val>
          <c:smooth val="0"/>
          <c:extLst>
            <c:ext xmlns:c16="http://schemas.microsoft.com/office/drawing/2014/chart" uri="{C3380CC4-5D6E-409C-BE32-E72D297353CC}">
              <c16:uniqueId val="{00000001-5D0D-664E-82D2-635D2B7EAED7}"/>
            </c:ext>
          </c:extLst>
        </c:ser>
        <c:ser>
          <c:idx val="2"/>
          <c:order val="2"/>
          <c:tx>
            <c:v>Free cash flow (JPY tn)</c:v>
          </c:tx>
          <c:cat>
            <c:numLit>
              <c:formatCode>General</c:formatCode>
              <c:ptCount val="5"/>
              <c:pt idx="0">
                <c:v>2021</c:v>
              </c:pt>
              <c:pt idx="1">
                <c:v>2022</c:v>
              </c:pt>
              <c:pt idx="2">
                <c:v>2023</c:v>
              </c:pt>
              <c:pt idx="3">
                <c:v>2024</c:v>
              </c:pt>
              <c:pt idx="4">
                <c:v>2025</c:v>
              </c:pt>
            </c:numLit>
          </c:cat>
          <c:val>
            <c:numLit>
              <c:formatCode>General</c:formatCode>
              <c:ptCount val="5"/>
              <c:pt idx="0">
                <c:v>-1.04</c:v>
              </c:pt>
              <c:pt idx="1">
                <c:v>-0.11</c:v>
              </c:pt>
              <c:pt idx="2">
                <c:v>-0.75</c:v>
              </c:pt>
              <c:pt idx="3">
                <c:v>-0.84</c:v>
              </c:pt>
              <c:pt idx="4">
                <c:v>-1.56</c:v>
              </c:pt>
            </c:numLit>
          </c:val>
          <c:smooth val="0"/>
          <c:extLst>
            <c:ext xmlns:c16="http://schemas.microsoft.com/office/drawing/2014/chart" uri="{C3380CC4-5D6E-409C-BE32-E72D297353CC}">
              <c16:uniqueId val="{00000002-5D0D-664E-82D2-635D2B7EAED7}"/>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Cash Operating Cycle 2021–2025 (Days)</a:t>
            </a:r>
          </a:p>
        </c:rich>
      </c:tx>
      <c:overlay val="0"/>
      <c:spPr>
        <a:noFill/>
        <a:ln w="0">
          <a:noFill/>
        </a:ln>
      </c:spPr>
    </c:title>
    <c:autoTitleDeleted val="0"/>
    <c:plotArea>
      <c:layout/>
      <c:lineChart>
        <c:grouping val="standard"/>
        <c:varyColors val="0"/>
        <c:ser>
          <c:idx val="0"/>
          <c:order val="0"/>
          <c:tx>
            <c:v>Cash Operating Cycle</c:v>
          </c:tx>
          <c:spPr>
            <a:ln w="28080">
              <a:solidFill>
                <a:srgbClr val="1F4E79"/>
              </a:solidFill>
              <a:round/>
            </a:ln>
          </c:spPr>
          <c:marker>
            <c:symbol val="circle"/>
            <c:size val="7"/>
            <c:spPr>
              <a:solidFill>
                <a:srgbClr val="1F4E79"/>
              </a:solidFill>
            </c:spPr>
          </c:marker>
          <c:dLbls>
            <c:spPr>
              <a:noFill/>
              <a:ln>
                <a:noFill/>
              </a:ln>
              <a:effectLst/>
            </c:spPr>
            <c:txPr>
              <a:bodyPr wrap="square"/>
              <a:lstStyle/>
              <a:p>
                <a:pPr>
                  <a:defRPr sz="1000" b="0" strike="noStrike" spc="-1">
                    <a:solidFill>
                      <a:srgbClr val="000000"/>
                    </a:solidFill>
                    <a:latin typeface="Arial"/>
                  </a:defRPr>
                </a:pPr>
                <a:endParaRPr lang="en-BD"/>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'Working Capital'!$B$4:$F$4</c:f>
              <c:strCache>
                <c:ptCount val="5"/>
                <c:pt idx="0">
                  <c:v>2021</c:v>
                </c:pt>
                <c:pt idx="1">
                  <c:v>2022</c:v>
                </c:pt>
                <c:pt idx="2">
                  <c:v>2023</c:v>
                </c:pt>
                <c:pt idx="3">
                  <c:v>2024</c:v>
                </c:pt>
                <c:pt idx="4">
                  <c:v>2025</c:v>
                </c:pt>
              </c:strCache>
            </c:strRef>
          </c:cat>
          <c:val>
            <c:numRef>
              <c:f>'Working Capital'!$B$14:$F$14</c:f>
              <c:numCache>
                <c:formatCode>#,##0.00</c:formatCode>
                <c:ptCount val="5"/>
                <c:pt idx="0">
                  <c:v>1.32</c:v>
                </c:pt>
                <c:pt idx="1">
                  <c:v>1.88</c:v>
                </c:pt>
                <c:pt idx="2">
                  <c:v>2.5</c:v>
                </c:pt>
                <c:pt idx="3">
                  <c:v>5.53</c:v>
                </c:pt>
                <c:pt idx="4">
                  <c:v>7.65</c:v>
                </c:pt>
              </c:numCache>
            </c:numRef>
          </c:val>
          <c:smooth val="1"/>
          <c:extLst>
            <c:ext xmlns:c16="http://schemas.microsoft.com/office/drawing/2014/chart" uri="{C3380CC4-5D6E-409C-BE32-E72D297353CC}">
              <c16:uniqueId val="{00000000-4237-D44F-83D6-78DC6A590627}"/>
            </c:ext>
          </c:extLst>
        </c:ser>
        <c:dLbls>
          <c:showLegendKey val="0"/>
          <c:showVal val="0"/>
          <c:showCatName val="0"/>
          <c:showSerName val="0"/>
          <c:showPercent val="0"/>
          <c:showBubbleSize val="0"/>
        </c:dLbls>
        <c:hiLowLines>
          <c:spPr>
            <a:ln w="0">
              <a:noFill/>
            </a:ln>
          </c:spPr>
        </c:hiLowLines>
        <c:marker val="1"/>
        <c:smooth val="0"/>
        <c:axId val="75632891"/>
        <c:axId val="26110723"/>
      </c:lineChart>
      <c:catAx>
        <c:axId val="75632891"/>
        <c:scaling>
          <c:orientation val="minMax"/>
        </c:scaling>
        <c:delete val="0"/>
        <c:axPos val="b"/>
        <c:title>
          <c:tx>
            <c:rich>
              <a:bodyPr rot="0"/>
              <a:lstStyle/>
              <a:p>
                <a:pPr>
                  <a:defRPr sz="1000" b="1" strike="noStrike" spc="-1">
                    <a:solidFill>
                      <a:srgbClr val="000000"/>
                    </a:solidFill>
                    <a:latin typeface="Calibri"/>
                  </a:defRPr>
                </a:pPr>
                <a:r>
                  <a:rPr lang="en-GB"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26110723"/>
        <c:crosses val="autoZero"/>
        <c:auto val="1"/>
        <c:lblAlgn val="ctr"/>
        <c:lblOffset val="100"/>
        <c:noMultiLvlLbl val="0"/>
      </c:catAx>
      <c:valAx>
        <c:axId val="26110723"/>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Days</a:t>
                </a:r>
              </a:p>
            </c:rich>
          </c:tx>
          <c:overlay val="0"/>
          <c:spPr>
            <a:noFill/>
            <a:ln w="0">
              <a:noFill/>
            </a:ln>
          </c:spPr>
        </c:title>
        <c:numFmt formatCode="#,##0.0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75632891"/>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BD"/>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NPV Comparison – Projects A, B, C (£m)</a:t>
            </a:r>
          </a:p>
        </c:rich>
      </c:tx>
      <c:overlay val="0"/>
      <c:spPr>
        <a:noFill/>
        <a:ln w="0">
          <a:noFill/>
        </a:ln>
      </c:spPr>
    </c:title>
    <c:autoTitleDeleted val="0"/>
    <c:plotArea>
      <c:layout/>
      <c:barChart>
        <c:barDir val="col"/>
        <c:grouping val="clustered"/>
        <c:varyColors val="0"/>
        <c:ser>
          <c:idx val="0"/>
          <c:order val="0"/>
          <c:tx>
            <c:strRef>
              <c:f>'Investment Appraisal'!$N$4</c:f>
              <c:strCache>
                <c:ptCount val="1"/>
                <c:pt idx="0">
                  <c:v>NPV (£m)</c:v>
                </c:pt>
              </c:strCache>
            </c:strRef>
          </c:tx>
          <c:spPr>
            <a:solidFill>
              <a:srgbClr val="1F4E79"/>
            </a:solidFill>
            <a:ln w="9360">
              <a:solidFill>
                <a:srgbClr val="F9F9F9"/>
              </a:solidFill>
              <a:round/>
            </a:ln>
          </c:spPr>
          <c:invertIfNegative val="0"/>
          <c:dLbls>
            <c:spPr>
              <a:noFill/>
              <a:ln>
                <a:noFill/>
              </a:ln>
              <a:effectLst/>
            </c:spPr>
            <c:txPr>
              <a:bodyPr wrap="square"/>
              <a:lstStyle/>
              <a:p>
                <a:pPr>
                  <a:defRPr sz="1000" b="0" strike="noStrike" spc="-1">
                    <a:solidFill>
                      <a:srgbClr val="000000"/>
                    </a:solidFill>
                    <a:latin typeface="Arial"/>
                  </a:defRPr>
                </a:pPr>
                <a:endParaRPr lang="en-BD"/>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'Investment Appraisal'!$M$5:$M$7</c:f>
              <c:strCache>
                <c:ptCount val="3"/>
                <c:pt idx="0">
                  <c:v>Project A</c:v>
                </c:pt>
                <c:pt idx="1">
                  <c:v>Project B</c:v>
                </c:pt>
                <c:pt idx="2">
                  <c:v>Project C</c:v>
                </c:pt>
              </c:strCache>
            </c:strRef>
          </c:cat>
          <c:val>
            <c:numRef>
              <c:f>'Investment Appraisal'!$N$5:$N$7</c:f>
              <c:numCache>
                <c:formatCode>General</c:formatCode>
                <c:ptCount val="3"/>
                <c:pt idx="0">
                  <c:v>-9.68</c:v>
                </c:pt>
                <c:pt idx="1">
                  <c:v>-8.31</c:v>
                </c:pt>
                <c:pt idx="2">
                  <c:v>-2</c:v>
                </c:pt>
              </c:numCache>
            </c:numRef>
          </c:val>
          <c:extLst>
            <c:ext xmlns:c16="http://schemas.microsoft.com/office/drawing/2014/chart" uri="{C3380CC4-5D6E-409C-BE32-E72D297353CC}">
              <c16:uniqueId val="{00000000-785D-ED4B-B7A0-083F969D1C03}"/>
            </c:ext>
          </c:extLst>
        </c:ser>
        <c:dLbls>
          <c:showLegendKey val="0"/>
          <c:showVal val="0"/>
          <c:showCatName val="0"/>
          <c:showSerName val="0"/>
          <c:showPercent val="0"/>
          <c:showBubbleSize val="0"/>
        </c:dLbls>
        <c:gapWidth val="150"/>
        <c:axId val="65480854"/>
        <c:axId val="48100643"/>
      </c:barChart>
      <c:catAx>
        <c:axId val="65480854"/>
        <c:scaling>
          <c:orientation val="minMax"/>
        </c:scaling>
        <c:delete val="0"/>
        <c:axPos val="b"/>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48100643"/>
        <c:crosses val="autoZero"/>
        <c:auto val="1"/>
        <c:lblAlgn val="ctr"/>
        <c:lblOffset val="100"/>
        <c:noMultiLvlLbl val="0"/>
      </c:catAx>
      <c:valAx>
        <c:axId val="48100643"/>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 million</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65480854"/>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BD"/>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Cumulative Cash Flows – Payback Visualisation (£m)</a:t>
            </a:r>
          </a:p>
        </c:rich>
      </c:tx>
      <c:overlay val="0"/>
      <c:spPr>
        <a:noFill/>
        <a:ln w="0">
          <a:noFill/>
        </a:ln>
      </c:spPr>
    </c:title>
    <c:autoTitleDeleted val="0"/>
    <c:plotArea>
      <c:layout/>
      <c:lineChart>
        <c:grouping val="standard"/>
        <c:varyColors val="0"/>
        <c:ser>
          <c:idx val="0"/>
          <c:order val="0"/>
          <c:tx>
            <c:v>Project A</c:v>
          </c:tx>
          <c:spPr>
            <a:ln w="21960">
              <a:solidFill>
                <a:srgbClr val="1F4E79"/>
              </a:solidFill>
              <a:round/>
            </a:ln>
          </c:spPr>
          <c:marker>
            <c:symbol val="circle"/>
            <c:size val="5"/>
            <c:spPr>
              <a:solidFill>
                <a:srgbClr val="1F4E79"/>
              </a:solidFill>
            </c:spPr>
          </c:marker>
          <c:dLbls>
            <c:spPr>
              <a:noFill/>
              <a:ln>
                <a:noFill/>
              </a:ln>
              <a:effectLst/>
            </c:spPr>
            <c:txPr>
              <a:bodyPr wrap="square"/>
              <a:lstStyle/>
              <a:p>
                <a:pPr>
                  <a:defRPr sz="1000" b="0" strike="noStrike" spc="-1">
                    <a:solidFill>
                      <a:srgbClr val="000000"/>
                    </a:solidFill>
                    <a:latin typeface="Arial"/>
                  </a:defRPr>
                </a:pPr>
                <a:endParaRPr lang="en-BD"/>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numRef>
              <c:f>'Investment Appraisal'!$N$22:$S$22</c:f>
              <c:numCache>
                <c:formatCode>General</c:formatCode>
                <c:ptCount val="6"/>
                <c:pt idx="0">
                  <c:v>0</c:v>
                </c:pt>
                <c:pt idx="1">
                  <c:v>1</c:v>
                </c:pt>
                <c:pt idx="2">
                  <c:v>2</c:v>
                </c:pt>
                <c:pt idx="3">
                  <c:v>3</c:v>
                </c:pt>
                <c:pt idx="4">
                  <c:v>4</c:v>
                </c:pt>
                <c:pt idx="5">
                  <c:v>5</c:v>
                </c:pt>
              </c:numCache>
            </c:numRef>
          </c:cat>
          <c:val>
            <c:numRef>
              <c:f>'Investment Appraisal'!$N$23:$S$23</c:f>
              <c:numCache>
                <c:formatCode>General</c:formatCode>
                <c:ptCount val="6"/>
                <c:pt idx="0">
                  <c:v>-50</c:v>
                </c:pt>
                <c:pt idx="1">
                  <c:v>-40</c:v>
                </c:pt>
                <c:pt idx="2">
                  <c:v>-28</c:v>
                </c:pt>
                <c:pt idx="3">
                  <c:v>-14</c:v>
                </c:pt>
                <c:pt idx="4">
                  <c:v>-4</c:v>
                </c:pt>
                <c:pt idx="5">
                  <c:v>4</c:v>
                </c:pt>
              </c:numCache>
            </c:numRef>
          </c:val>
          <c:smooth val="1"/>
          <c:extLst>
            <c:ext xmlns:c16="http://schemas.microsoft.com/office/drawing/2014/chart" uri="{C3380CC4-5D6E-409C-BE32-E72D297353CC}">
              <c16:uniqueId val="{00000000-D4C4-8748-AD87-ED1F81D7E700}"/>
            </c:ext>
          </c:extLst>
        </c:ser>
        <c:ser>
          <c:idx val="1"/>
          <c:order val="1"/>
          <c:tx>
            <c:v>Project B</c:v>
          </c:tx>
          <c:spPr>
            <a:ln w="21960">
              <a:solidFill>
                <a:srgbClr val="ED7D31"/>
              </a:solidFill>
              <a:round/>
            </a:ln>
          </c:spPr>
          <c:marker>
            <c:symbol val="circle"/>
            <c:size val="5"/>
            <c:spPr>
              <a:solidFill>
                <a:srgbClr val="ED7D31"/>
              </a:solidFill>
            </c:spPr>
          </c:marker>
          <c:dLbls>
            <c:spPr>
              <a:noFill/>
              <a:ln>
                <a:noFill/>
              </a:ln>
              <a:effectLst/>
            </c:spPr>
            <c:txPr>
              <a:bodyPr wrap="square"/>
              <a:lstStyle/>
              <a:p>
                <a:pPr>
                  <a:defRPr sz="1000" b="0" strike="noStrike" spc="-1">
                    <a:solidFill>
                      <a:srgbClr val="000000"/>
                    </a:solidFill>
                    <a:latin typeface="Arial"/>
                  </a:defRPr>
                </a:pPr>
                <a:endParaRPr lang="en-BD"/>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numRef>
              <c:f>'Investment Appraisal'!$N$22:$S$22</c:f>
              <c:numCache>
                <c:formatCode>General</c:formatCode>
                <c:ptCount val="6"/>
                <c:pt idx="0">
                  <c:v>0</c:v>
                </c:pt>
                <c:pt idx="1">
                  <c:v>1</c:v>
                </c:pt>
                <c:pt idx="2">
                  <c:v>2</c:v>
                </c:pt>
                <c:pt idx="3">
                  <c:v>3</c:v>
                </c:pt>
                <c:pt idx="4">
                  <c:v>4</c:v>
                </c:pt>
                <c:pt idx="5">
                  <c:v>5</c:v>
                </c:pt>
              </c:numCache>
            </c:numRef>
          </c:cat>
          <c:val>
            <c:numRef>
              <c:f>'Investment Appraisal'!$N$24:$S$24</c:f>
              <c:numCache>
                <c:formatCode>General</c:formatCode>
                <c:ptCount val="6"/>
                <c:pt idx="0">
                  <c:v>-50</c:v>
                </c:pt>
                <c:pt idx="1">
                  <c:v>-39</c:v>
                </c:pt>
                <c:pt idx="2">
                  <c:v>-28</c:v>
                </c:pt>
                <c:pt idx="3">
                  <c:v>-17</c:v>
                </c:pt>
                <c:pt idx="4">
                  <c:v>-6</c:v>
                </c:pt>
                <c:pt idx="5">
                  <c:v>5</c:v>
                </c:pt>
              </c:numCache>
            </c:numRef>
          </c:val>
          <c:smooth val="1"/>
          <c:extLst>
            <c:ext xmlns:c16="http://schemas.microsoft.com/office/drawing/2014/chart" uri="{C3380CC4-5D6E-409C-BE32-E72D297353CC}">
              <c16:uniqueId val="{00000001-D4C4-8748-AD87-ED1F81D7E700}"/>
            </c:ext>
          </c:extLst>
        </c:ser>
        <c:ser>
          <c:idx val="2"/>
          <c:order val="2"/>
          <c:tx>
            <c:v>Project C</c:v>
          </c:tx>
          <c:spPr>
            <a:ln w="21960">
              <a:solidFill>
                <a:srgbClr val="70AD47"/>
              </a:solidFill>
              <a:round/>
            </a:ln>
          </c:spPr>
          <c:marker>
            <c:symbol val="circle"/>
            <c:size val="5"/>
            <c:spPr>
              <a:solidFill>
                <a:srgbClr val="70AD47"/>
              </a:solidFill>
            </c:spPr>
          </c:marker>
          <c:dLbls>
            <c:spPr>
              <a:noFill/>
              <a:ln>
                <a:noFill/>
              </a:ln>
              <a:effectLst/>
            </c:spPr>
            <c:txPr>
              <a:bodyPr wrap="square"/>
              <a:lstStyle/>
              <a:p>
                <a:pPr>
                  <a:defRPr sz="1000" b="0" strike="noStrike" spc="-1">
                    <a:solidFill>
                      <a:srgbClr val="000000"/>
                    </a:solidFill>
                    <a:latin typeface="Arial"/>
                  </a:defRPr>
                </a:pPr>
                <a:endParaRPr lang="en-BD"/>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numRef>
              <c:f>'Investment Appraisal'!$N$22:$S$22</c:f>
              <c:numCache>
                <c:formatCode>General</c:formatCode>
                <c:ptCount val="6"/>
                <c:pt idx="0">
                  <c:v>0</c:v>
                </c:pt>
                <c:pt idx="1">
                  <c:v>1</c:v>
                </c:pt>
                <c:pt idx="2">
                  <c:v>2</c:v>
                </c:pt>
                <c:pt idx="3">
                  <c:v>3</c:v>
                </c:pt>
                <c:pt idx="4">
                  <c:v>4</c:v>
                </c:pt>
                <c:pt idx="5">
                  <c:v>5</c:v>
                </c:pt>
              </c:numCache>
            </c:numRef>
          </c:cat>
          <c:val>
            <c:numRef>
              <c:f>'Investment Appraisal'!$N$25:$S$25</c:f>
              <c:numCache>
                <c:formatCode>General</c:formatCode>
                <c:ptCount val="6"/>
                <c:pt idx="0">
                  <c:v>-50</c:v>
                </c:pt>
                <c:pt idx="1">
                  <c:v>-45</c:v>
                </c:pt>
                <c:pt idx="2">
                  <c:v>-35</c:v>
                </c:pt>
                <c:pt idx="3">
                  <c:v>-15</c:v>
                </c:pt>
                <c:pt idx="4">
                  <c:v>10</c:v>
                </c:pt>
                <c:pt idx="5">
                  <c:v>15</c:v>
                </c:pt>
              </c:numCache>
            </c:numRef>
          </c:val>
          <c:smooth val="1"/>
          <c:extLst>
            <c:ext xmlns:c16="http://schemas.microsoft.com/office/drawing/2014/chart" uri="{C3380CC4-5D6E-409C-BE32-E72D297353CC}">
              <c16:uniqueId val="{00000002-D4C4-8748-AD87-ED1F81D7E700}"/>
            </c:ext>
          </c:extLst>
        </c:ser>
        <c:dLbls>
          <c:showLegendKey val="0"/>
          <c:showVal val="0"/>
          <c:showCatName val="0"/>
          <c:showSerName val="0"/>
          <c:showPercent val="0"/>
          <c:showBubbleSize val="0"/>
        </c:dLbls>
        <c:hiLowLines>
          <c:spPr>
            <a:ln w="0">
              <a:noFill/>
            </a:ln>
          </c:spPr>
        </c:hiLowLines>
        <c:marker val="1"/>
        <c:smooth val="0"/>
        <c:axId val="47760434"/>
        <c:axId val="23046116"/>
      </c:lineChart>
      <c:catAx>
        <c:axId val="47760434"/>
        <c:scaling>
          <c:orientation val="minMax"/>
        </c:scaling>
        <c:delete val="0"/>
        <c:axPos val="b"/>
        <c:title>
          <c:tx>
            <c:rich>
              <a:bodyPr rot="0"/>
              <a:lstStyle/>
              <a:p>
                <a:pPr>
                  <a:defRPr sz="1000" b="1" strike="noStrike" spc="-1">
                    <a:solidFill>
                      <a:srgbClr val="000000"/>
                    </a:solidFill>
                    <a:latin typeface="Calibri"/>
                  </a:defRPr>
                </a:pPr>
                <a:r>
                  <a:rPr lang="en-GB"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23046116"/>
        <c:crosses val="autoZero"/>
        <c:auto val="1"/>
        <c:lblAlgn val="ctr"/>
        <c:lblOffset val="100"/>
        <c:noMultiLvlLbl val="0"/>
      </c:catAx>
      <c:valAx>
        <c:axId val="23046116"/>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Cumulative CF (£m)</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47760434"/>
        <c:crosses val="autoZero"/>
        <c:crossBetween val="between"/>
      </c:valAx>
      <c:spPr>
        <a:noFill/>
        <a:ln w="0">
          <a:noFill/>
        </a:ln>
      </c:spPr>
    </c:plotArea>
    <c:legend>
      <c:legendPos val="b"/>
      <c:overlay val="0"/>
      <c:spPr>
        <a:noFill/>
        <a:ln w="0">
          <a:noFill/>
        </a:ln>
      </c:spPr>
      <c:txPr>
        <a:bodyPr/>
        <a:lstStyle/>
        <a:p>
          <a:pPr>
            <a:defRPr sz="1000" b="0" strike="noStrike" spc="-1">
              <a:solidFill>
                <a:srgbClr val="000000"/>
              </a:solidFill>
              <a:latin typeface="Calibri"/>
            </a:defRPr>
          </a:pPr>
          <a:endParaRPr lang="en-BD"/>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Profitability Index by Combination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BD"/>
        </a:p>
      </c:txPr>
    </c:title>
    <c:autoTitleDeleted val="0"/>
    <c:plotArea>
      <c:layout/>
      <c:barChart>
        <c:barDir val="bar"/>
        <c:grouping val="clustered"/>
        <c:varyColors val="0"/>
        <c:ser>
          <c:idx val="0"/>
          <c:order val="0"/>
          <c:tx>
            <c:strRef>
              <c:f>'Capital Rationing'!$I$3</c:f>
              <c:strCache>
                <c:ptCount val="1"/>
                <c:pt idx="0">
                  <c:v>PI</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BD"/>
              </a:p>
            </c:txPr>
            <c:dLblPos val="inEnd"/>
            <c:showLegendKey val="0"/>
            <c:showVal val="1"/>
            <c:showCatName val="0"/>
            <c:showSerName val="0"/>
            <c:showPercent val="0"/>
            <c:showBubbleSize val="1"/>
            <c:separator>; </c:separator>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'Capital Rationing'!$H$4:$H$10</c:f>
              <c:strCache>
                <c:ptCount val="7"/>
                <c:pt idx="0">
                  <c:v>Project C only</c:v>
                </c:pt>
                <c:pt idx="1">
                  <c:v>Project B only</c:v>
                </c:pt>
                <c:pt idx="2">
                  <c:v>Project A only</c:v>
                </c:pt>
                <c:pt idx="3">
                  <c:v>Projects B + C</c:v>
                </c:pt>
                <c:pt idx="4">
                  <c:v>Projects A + C</c:v>
                </c:pt>
                <c:pt idx="5">
                  <c:v>Projects A + B</c:v>
                </c:pt>
                <c:pt idx="6">
                  <c:v>All Three A+B+C</c:v>
                </c:pt>
              </c:strCache>
            </c:strRef>
          </c:cat>
          <c:val>
            <c:numRef>
              <c:f>'Capital Rationing'!$I$4:$I$10</c:f>
              <c:numCache>
                <c:formatCode>General</c:formatCode>
                <c:ptCount val="7"/>
                <c:pt idx="0">
                  <c:v>-0.04</c:v>
                </c:pt>
                <c:pt idx="1">
                  <c:v>-0.16600000000000001</c:v>
                </c:pt>
                <c:pt idx="2">
                  <c:v>-0.19400000000000001</c:v>
                </c:pt>
                <c:pt idx="3">
                  <c:v>-0.10299999999999999</c:v>
                </c:pt>
                <c:pt idx="4">
                  <c:v>-0.11700000000000001</c:v>
                </c:pt>
                <c:pt idx="5">
                  <c:v>-0.18</c:v>
                </c:pt>
                <c:pt idx="6">
                  <c:v>-0.13300000000000001</c:v>
                </c:pt>
              </c:numCache>
            </c:numRef>
          </c:val>
          <c:extLst>
            <c:ext xmlns:c16="http://schemas.microsoft.com/office/drawing/2014/chart" uri="{C3380CC4-5D6E-409C-BE32-E72D297353CC}">
              <c16:uniqueId val="{00000000-5EA7-D844-9162-B23B6C6BCCF4}"/>
            </c:ext>
          </c:extLst>
        </c:ser>
        <c:dLbls>
          <c:dLblPos val="inEnd"/>
          <c:showLegendKey val="0"/>
          <c:showVal val="1"/>
          <c:showCatName val="0"/>
          <c:showSerName val="0"/>
          <c:showPercent val="0"/>
          <c:showBubbleSize val="0"/>
        </c:dLbls>
        <c:gapWidth val="65"/>
        <c:axId val="19504994"/>
        <c:axId val="10410397"/>
      </c:barChart>
      <c:catAx>
        <c:axId val="19504994"/>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PI</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BD"/>
            </a:p>
          </c:txPr>
        </c:title>
        <c:numFmt formatCode="General" sourceLinked="0"/>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BD"/>
          </a:p>
        </c:txPr>
        <c:crossAx val="10410397"/>
        <c:crosses val="autoZero"/>
        <c:auto val="1"/>
        <c:lblAlgn val="ctr"/>
        <c:lblOffset val="100"/>
        <c:noMultiLvlLbl val="0"/>
      </c:catAx>
      <c:valAx>
        <c:axId val="10410397"/>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BD"/>
          </a:p>
        </c:txPr>
        <c:crossAx val="1950499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BD"/>
        </a:p>
      </c:txPr>
    </c:legend>
    <c:plotVisOnly val="1"/>
    <c:dispBlanksAs val="gap"/>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BD"/>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7630</Words>
  <Characters>43493</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51021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HAKIM</cp:lastModifiedBy>
  <cp:revision>2</cp:revision>
  <dcterms:created xsi:type="dcterms:W3CDTF">2026-04-23T14:57:00Z</dcterms:created>
  <dcterms:modified xsi:type="dcterms:W3CDTF">2026-04-23T14:57:00Z</dcterms:modified>
  <cp:category/>
</cp:coreProperties>
</file>