
<file path=[Content_Types].xml><?xml version="1.0" encoding="utf-8"?>
<Types xmlns="http://schemas.openxmlformats.org/package/2006/content-types">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c="http://schemas.openxmlformats.org/drawingml/2006/chart" mc:Ignorable="w14 w15 w16se w16cid w16 w16cex w16sdtdh wp14">
  <w:body>
    <w:p w:rsidR="00740A8C" w:rsidP="00740A8C" w:rsidRDefault="00740A8C" w14:paraId="1F22DE16" w14:textId="77777777">
      <w:pPr>
        <w:spacing w:before="440" w:after="600"/>
        <w:rPr>
          <w:rFonts w:eastAsia="Arial"/>
          <w:color w:val="2F7F7A"/>
          <w:sz w:val="20"/>
        </w:rPr>
      </w:pPr>
      <w:r>
        <w:rPr>
          <w:rFonts w:eastAsia="Arial"/>
          <w:noProof/>
          <w:color w:val="2F7F7A"/>
          <w:sz w:val="20"/>
        </w:rPr>
        <w:drawing>
          <wp:inline distT="0" distB="0" distL="0" distR="0" wp14:anchorId="771E83ED" wp14:editId="68B82530">
            <wp:extent cx="1543265" cy="6477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1543265" cy="647790"/>
                    </a:xfrm>
                    <a:prstGeom prst="rect">
                      <a:avLst/>
                    </a:prstGeom>
                  </pic:spPr>
                </pic:pic>
              </a:graphicData>
            </a:graphic>
          </wp:inline>
        </w:drawing>
      </w:r>
    </w:p>
    <w:p w:rsidRPr="00FC3395" w:rsidR="00740A8C" w:rsidP="00740A8C" w:rsidRDefault="00740A8C" w14:paraId="17AEBEDF" w14:textId="77777777">
      <w:pPr>
        <w:spacing w:before="440" w:after="600"/>
        <w:jc w:val="center"/>
        <w:rPr>
          <w:color w:val="auto"/>
        </w:rPr>
      </w:pPr>
      <w:r w:rsidRPr="00FC3395">
        <w:rPr>
          <w:rFonts w:eastAsia="Arial"/>
          <w:color w:val="auto"/>
          <w:sz w:val="20"/>
        </w:rPr>
        <w:t>DESIGN THINKING AND INNOVATION THROUGH DIGITAL TRANSFORMATION</w:t>
      </w:r>
    </w:p>
    <w:p w:rsidRPr="00FC3395" w:rsidR="00740A8C" w:rsidP="00740A8C" w:rsidRDefault="00740A8C" w14:paraId="25DD326D" w14:textId="77777777">
      <w:pPr>
        <w:spacing w:before="900" w:after="200"/>
        <w:jc w:val="center"/>
        <w:rPr>
          <w:color w:val="auto"/>
        </w:rPr>
      </w:pPr>
      <w:r w:rsidRPr="00FC3395">
        <w:rPr>
          <w:rFonts w:eastAsia="Arial"/>
          <w:b/>
          <w:color w:val="auto"/>
          <w:sz w:val="60"/>
        </w:rPr>
        <w:t>RuralLoop</w:t>
      </w:r>
    </w:p>
    <w:p w:rsidRPr="00FC3395" w:rsidR="00740A8C" w:rsidP="00740A8C" w:rsidRDefault="00740A8C" w14:paraId="31E44907" w14:textId="77777777">
      <w:pPr>
        <w:spacing w:after="440"/>
        <w:jc w:val="center"/>
        <w:rPr>
          <w:color w:val="auto"/>
        </w:rPr>
      </w:pPr>
      <w:r w:rsidRPr="00FC3395">
        <w:rPr>
          <w:rFonts w:eastAsia="Arial"/>
          <w:color w:val="auto"/>
          <w:sz w:val="30"/>
        </w:rPr>
        <w:t>A design-thinking venture for inclusive rural e-commerce</w:t>
      </w:r>
      <w:r w:rsidRPr="00FC3395">
        <w:rPr>
          <w:rFonts w:eastAsia="Arial"/>
          <w:color w:val="auto"/>
          <w:sz w:val="30"/>
        </w:rPr>
        <w:br/>
      </w:r>
      <w:r w:rsidRPr="00FC3395">
        <w:rPr>
          <w:rFonts w:eastAsia="Arial"/>
          <w:color w:val="auto"/>
          <w:sz w:val="30"/>
        </w:rPr>
        <w:t>and consolidated last-mile delivery in the United Kingdom</w:t>
      </w:r>
    </w:p>
    <w:tbl>
      <w:tblPr>
        <w:tblW w:w="7500" w:type="dxa"/>
        <w:jc w:val="center"/>
        <w:tblLayout w:type="fixed"/>
        <w:tblLook w:val="04A0" w:firstRow="1" w:lastRow="0" w:firstColumn="1" w:lastColumn="0" w:noHBand="0" w:noVBand="1"/>
      </w:tblPr>
      <w:tblGrid>
        <w:gridCol w:w="2500"/>
        <w:gridCol w:w="5000"/>
      </w:tblGrid>
      <w:tr w:rsidRPr="00FC3395" w:rsidR="00740A8C" w:rsidTr="28023B4D" w14:paraId="5A89DE61" w14:textId="77777777">
        <w:trPr>
          <w:jc w:val="center"/>
        </w:trPr>
        <w:tc>
          <w:tcPr>
            <w:tcW w:w="2500" w:type="dxa"/>
            <w:shd w:val="clear" w:color="auto" w:fill="F2F4F7"/>
            <w:tcMar>
              <w:top w:w="90" w:type="dxa"/>
              <w:left w:w="120" w:type="dxa"/>
              <w:bottom w:w="90" w:type="dxa"/>
              <w:right w:w="120" w:type="dxa"/>
            </w:tcMar>
            <w:vAlign w:val="center"/>
          </w:tcPr>
          <w:p w:rsidRPr="00FC3395" w:rsidR="00740A8C" w:rsidP="00705765" w:rsidRDefault="00740A8C" w14:paraId="1DD26BAF" w14:textId="77777777">
            <w:pPr>
              <w:spacing w:after="0" w:line="240" w:lineRule="auto"/>
              <w:rPr>
                <w:color w:val="auto"/>
              </w:rPr>
            </w:pPr>
            <w:r w:rsidRPr="00FC3395">
              <w:rPr>
                <w:rFonts w:eastAsia="Arial"/>
                <w:b/>
                <w:color w:val="auto"/>
                <w:sz w:val="20"/>
              </w:rPr>
              <w:t>Student name</w:t>
            </w:r>
          </w:p>
        </w:tc>
        <w:tc>
          <w:tcPr>
            <w:tcW w:w="5000" w:type="dxa"/>
            <w:tcMar>
              <w:top w:w="90" w:type="dxa"/>
              <w:left w:w="120" w:type="dxa"/>
              <w:bottom w:w="90" w:type="dxa"/>
              <w:right w:w="120" w:type="dxa"/>
            </w:tcMar>
            <w:vAlign w:val="center"/>
          </w:tcPr>
          <w:p w:rsidRPr="00FC3395" w:rsidR="00740A8C" w:rsidP="00705765" w:rsidRDefault="00740A8C" w14:paraId="2C79DFC2" w14:textId="77777777">
            <w:pPr>
              <w:spacing w:after="0" w:line="240" w:lineRule="auto"/>
              <w:rPr>
                <w:color w:val="auto"/>
              </w:rPr>
            </w:pPr>
            <w:r w:rsidRPr="00FC3395">
              <w:rPr>
                <w:color w:val="auto"/>
              </w:rPr>
              <w:t>Mihaela Mihai</w:t>
            </w:r>
          </w:p>
        </w:tc>
      </w:tr>
      <w:tr w:rsidRPr="00FC3395" w:rsidR="00740A8C" w:rsidTr="28023B4D" w14:paraId="003A6270" w14:textId="77777777">
        <w:trPr>
          <w:jc w:val="center"/>
        </w:trPr>
        <w:tc>
          <w:tcPr>
            <w:tcW w:w="2500" w:type="dxa"/>
            <w:shd w:val="clear" w:color="auto" w:fill="F2F4F7"/>
            <w:tcMar>
              <w:top w:w="90" w:type="dxa"/>
              <w:left w:w="120" w:type="dxa"/>
              <w:bottom w:w="90" w:type="dxa"/>
              <w:right w:w="120" w:type="dxa"/>
            </w:tcMar>
            <w:vAlign w:val="center"/>
          </w:tcPr>
          <w:p w:rsidRPr="00FC3395" w:rsidR="00740A8C" w:rsidP="00705765" w:rsidRDefault="00740A8C" w14:paraId="76252553" w14:textId="77777777">
            <w:pPr>
              <w:spacing w:after="0" w:line="240" w:lineRule="auto"/>
              <w:rPr>
                <w:color w:val="auto"/>
              </w:rPr>
            </w:pPr>
            <w:r w:rsidRPr="00FC3395">
              <w:rPr>
                <w:rFonts w:eastAsia="Arial"/>
                <w:b/>
                <w:color w:val="auto"/>
                <w:sz w:val="20"/>
              </w:rPr>
              <w:t>Student ID</w:t>
            </w:r>
          </w:p>
        </w:tc>
        <w:tc>
          <w:tcPr>
            <w:tcW w:w="5000" w:type="dxa"/>
            <w:tcMar>
              <w:top w:w="90" w:type="dxa"/>
              <w:left w:w="120" w:type="dxa"/>
              <w:bottom w:w="90" w:type="dxa"/>
              <w:right w:w="120" w:type="dxa"/>
            </w:tcMar>
            <w:vAlign w:val="center"/>
          </w:tcPr>
          <w:p w:rsidRPr="00FC3395" w:rsidR="00740A8C" w:rsidP="00705765" w:rsidRDefault="00740A8C" w14:paraId="0A15C52F" w14:textId="1FEE3323">
            <w:pPr>
              <w:spacing w:after="0" w:line="240" w:lineRule="auto"/>
            </w:pPr>
            <w:r w:rsidRPr="28023B4D" w:rsidR="7152EF58">
              <w:rPr>
                <w:color w:val="auto"/>
              </w:rPr>
              <w:t>2334118</w:t>
            </w:r>
          </w:p>
        </w:tc>
      </w:tr>
      <w:tr w:rsidRPr="00FC3395" w:rsidR="00740A8C" w:rsidTr="28023B4D" w14:paraId="51CCF2D6" w14:textId="77777777">
        <w:trPr>
          <w:jc w:val="center"/>
        </w:trPr>
        <w:tc>
          <w:tcPr>
            <w:tcW w:w="2500" w:type="dxa"/>
            <w:shd w:val="clear" w:color="auto" w:fill="F2F4F7"/>
            <w:tcMar>
              <w:top w:w="90" w:type="dxa"/>
              <w:left w:w="120" w:type="dxa"/>
              <w:bottom w:w="90" w:type="dxa"/>
              <w:right w:w="120" w:type="dxa"/>
            </w:tcMar>
            <w:vAlign w:val="center"/>
          </w:tcPr>
          <w:p w:rsidRPr="00FC3395" w:rsidR="00740A8C" w:rsidP="00705765" w:rsidRDefault="00740A8C" w14:paraId="5ADF054E" w14:textId="77777777">
            <w:pPr>
              <w:spacing w:after="0" w:line="240" w:lineRule="auto"/>
              <w:rPr>
                <w:color w:val="auto"/>
              </w:rPr>
            </w:pPr>
            <w:r w:rsidRPr="00FC3395">
              <w:rPr>
                <w:rFonts w:eastAsia="Arial"/>
                <w:b/>
                <w:color w:val="auto"/>
                <w:sz w:val="20"/>
              </w:rPr>
              <w:t>Programme</w:t>
            </w:r>
          </w:p>
        </w:tc>
        <w:tc>
          <w:tcPr>
            <w:tcW w:w="5000" w:type="dxa"/>
            <w:tcMar>
              <w:top w:w="90" w:type="dxa"/>
              <w:left w:w="120" w:type="dxa"/>
              <w:bottom w:w="90" w:type="dxa"/>
              <w:right w:w="120" w:type="dxa"/>
            </w:tcMar>
            <w:vAlign w:val="center"/>
          </w:tcPr>
          <w:p w:rsidRPr="00FC3395" w:rsidR="00740A8C" w:rsidP="00705765" w:rsidRDefault="00740A8C" w14:paraId="38DB5808" w14:textId="77777777">
            <w:pPr>
              <w:spacing w:after="0" w:line="240" w:lineRule="auto"/>
              <w:rPr>
                <w:color w:val="auto"/>
              </w:rPr>
            </w:pPr>
            <w:r w:rsidRPr="00FC3395">
              <w:rPr>
                <w:rFonts w:eastAsia="Arial"/>
                <w:color w:val="auto"/>
                <w:sz w:val="20"/>
              </w:rPr>
              <w:t>BA Leadership and Management Skills in the Workplace</w:t>
            </w:r>
          </w:p>
        </w:tc>
      </w:tr>
      <w:tr w:rsidRPr="00FC3395" w:rsidR="00740A8C" w:rsidTr="28023B4D" w14:paraId="6411AADE" w14:textId="77777777">
        <w:trPr>
          <w:jc w:val="center"/>
        </w:trPr>
        <w:tc>
          <w:tcPr>
            <w:tcW w:w="2500" w:type="dxa"/>
            <w:shd w:val="clear" w:color="auto" w:fill="F2F4F7"/>
            <w:tcMar>
              <w:top w:w="90" w:type="dxa"/>
              <w:left w:w="120" w:type="dxa"/>
              <w:bottom w:w="90" w:type="dxa"/>
              <w:right w:w="120" w:type="dxa"/>
            </w:tcMar>
            <w:vAlign w:val="center"/>
          </w:tcPr>
          <w:p w:rsidRPr="00FC3395" w:rsidR="00740A8C" w:rsidP="00705765" w:rsidRDefault="00740A8C" w14:paraId="3E8CE3F8" w14:textId="77777777">
            <w:pPr>
              <w:spacing w:after="0" w:line="240" w:lineRule="auto"/>
              <w:rPr>
                <w:color w:val="auto"/>
              </w:rPr>
            </w:pPr>
            <w:r w:rsidRPr="00FC3395">
              <w:rPr>
                <w:rFonts w:eastAsia="Arial"/>
                <w:b/>
                <w:color w:val="auto"/>
                <w:sz w:val="20"/>
              </w:rPr>
              <w:t>Module</w:t>
            </w:r>
          </w:p>
        </w:tc>
        <w:tc>
          <w:tcPr>
            <w:tcW w:w="5000" w:type="dxa"/>
            <w:tcMar>
              <w:top w:w="90" w:type="dxa"/>
              <w:left w:w="120" w:type="dxa"/>
              <w:bottom w:w="90" w:type="dxa"/>
              <w:right w:w="120" w:type="dxa"/>
            </w:tcMar>
            <w:vAlign w:val="center"/>
          </w:tcPr>
          <w:p w:rsidRPr="00FC3395" w:rsidR="00740A8C" w:rsidP="00705765" w:rsidRDefault="00740A8C" w14:paraId="3E126DF8" w14:textId="77777777">
            <w:pPr>
              <w:spacing w:after="0" w:line="240" w:lineRule="auto"/>
              <w:rPr>
                <w:color w:val="auto"/>
              </w:rPr>
            </w:pPr>
            <w:r w:rsidRPr="00FC3395">
              <w:rPr>
                <w:rFonts w:eastAsia="Arial"/>
                <w:color w:val="auto"/>
                <w:sz w:val="20"/>
              </w:rPr>
              <w:t>LCLM 6002 – Design Thinking and Innovation</w:t>
            </w:r>
          </w:p>
        </w:tc>
      </w:tr>
      <w:tr w:rsidRPr="00FC3395" w:rsidR="00740A8C" w:rsidTr="28023B4D" w14:paraId="7F8F49FB" w14:textId="77777777">
        <w:trPr>
          <w:jc w:val="center"/>
        </w:trPr>
        <w:tc>
          <w:tcPr>
            <w:tcW w:w="2500" w:type="dxa"/>
            <w:shd w:val="clear" w:color="auto" w:fill="F2F4F7"/>
            <w:tcMar>
              <w:top w:w="90" w:type="dxa"/>
              <w:left w:w="120" w:type="dxa"/>
              <w:bottom w:w="90" w:type="dxa"/>
              <w:right w:w="120" w:type="dxa"/>
            </w:tcMar>
            <w:vAlign w:val="center"/>
          </w:tcPr>
          <w:p w:rsidRPr="00FC3395" w:rsidR="00740A8C" w:rsidP="00705765" w:rsidRDefault="00740A8C" w14:paraId="14D4F672" w14:textId="77777777">
            <w:pPr>
              <w:spacing w:after="0" w:line="240" w:lineRule="auto"/>
              <w:rPr>
                <w:color w:val="auto"/>
              </w:rPr>
            </w:pPr>
            <w:r w:rsidRPr="00FC3395">
              <w:rPr>
                <w:rFonts w:eastAsia="Arial"/>
                <w:b/>
                <w:color w:val="auto"/>
                <w:sz w:val="20"/>
              </w:rPr>
              <w:t>Assessment</w:t>
            </w:r>
          </w:p>
        </w:tc>
        <w:tc>
          <w:tcPr>
            <w:tcW w:w="5000" w:type="dxa"/>
            <w:tcMar>
              <w:top w:w="90" w:type="dxa"/>
              <w:left w:w="120" w:type="dxa"/>
              <w:bottom w:w="90" w:type="dxa"/>
              <w:right w:w="120" w:type="dxa"/>
            </w:tcMar>
            <w:vAlign w:val="center"/>
          </w:tcPr>
          <w:p w:rsidRPr="00FC3395" w:rsidR="00740A8C" w:rsidP="00705765" w:rsidRDefault="00740A8C" w14:paraId="48FF2730" w14:textId="77777777">
            <w:pPr>
              <w:spacing w:after="0" w:line="240" w:lineRule="auto"/>
              <w:rPr>
                <w:color w:val="auto"/>
              </w:rPr>
            </w:pPr>
            <w:r w:rsidRPr="00FC3395">
              <w:rPr>
                <w:rFonts w:eastAsia="Arial"/>
                <w:color w:val="auto"/>
                <w:sz w:val="20"/>
              </w:rPr>
              <w:t>Individual written portfolio</w:t>
            </w:r>
          </w:p>
        </w:tc>
      </w:tr>
      <w:tr w:rsidRPr="00FC3395" w:rsidR="00740A8C" w:rsidTr="28023B4D" w14:paraId="2A4F0830" w14:textId="77777777">
        <w:trPr>
          <w:jc w:val="center"/>
        </w:trPr>
        <w:tc>
          <w:tcPr>
            <w:tcW w:w="2500" w:type="dxa"/>
            <w:shd w:val="clear" w:color="auto" w:fill="F2F4F7"/>
            <w:tcMar>
              <w:top w:w="90" w:type="dxa"/>
              <w:left w:w="120" w:type="dxa"/>
              <w:bottom w:w="90" w:type="dxa"/>
              <w:right w:w="120" w:type="dxa"/>
            </w:tcMar>
            <w:vAlign w:val="center"/>
          </w:tcPr>
          <w:p w:rsidRPr="00FC3395" w:rsidR="00740A8C" w:rsidP="00705765" w:rsidRDefault="00740A8C" w14:paraId="37161174" w14:textId="77777777">
            <w:pPr>
              <w:spacing w:after="0" w:line="240" w:lineRule="auto"/>
              <w:rPr>
                <w:color w:val="auto"/>
              </w:rPr>
            </w:pPr>
            <w:r w:rsidRPr="00FC3395">
              <w:rPr>
                <w:rFonts w:eastAsia="Arial"/>
                <w:b/>
                <w:color w:val="auto"/>
                <w:sz w:val="20"/>
              </w:rPr>
              <w:t>Submission date</w:t>
            </w:r>
          </w:p>
        </w:tc>
        <w:tc>
          <w:tcPr>
            <w:tcW w:w="5000" w:type="dxa"/>
            <w:tcMar>
              <w:top w:w="90" w:type="dxa"/>
              <w:left w:w="120" w:type="dxa"/>
              <w:bottom w:w="90" w:type="dxa"/>
              <w:right w:w="120" w:type="dxa"/>
            </w:tcMar>
            <w:vAlign w:val="center"/>
          </w:tcPr>
          <w:p w:rsidRPr="00FC3395" w:rsidR="00740A8C" w:rsidP="00705765" w:rsidRDefault="00740A8C" w14:paraId="64A85EF0" w14:textId="77777777">
            <w:pPr>
              <w:spacing w:after="0" w:line="240" w:lineRule="auto"/>
              <w:rPr>
                <w:color w:val="auto"/>
              </w:rPr>
            </w:pPr>
            <w:r w:rsidRPr="00FC3395">
              <w:rPr>
                <w:rFonts w:eastAsia="Arial"/>
                <w:color w:val="auto"/>
                <w:sz w:val="20"/>
              </w:rPr>
              <w:t>21 August 2026</w:t>
            </w:r>
          </w:p>
        </w:tc>
      </w:tr>
      <w:tr w:rsidRPr="00FC3395" w:rsidR="00740A8C" w:rsidTr="28023B4D" w14:paraId="3CBE452C" w14:textId="77777777">
        <w:trPr>
          <w:jc w:val="center"/>
        </w:trPr>
        <w:tc>
          <w:tcPr>
            <w:tcW w:w="2500" w:type="dxa"/>
            <w:shd w:val="clear" w:color="auto" w:fill="F2F4F7"/>
            <w:tcMar>
              <w:top w:w="90" w:type="dxa"/>
              <w:left w:w="120" w:type="dxa"/>
              <w:bottom w:w="90" w:type="dxa"/>
              <w:right w:w="120" w:type="dxa"/>
            </w:tcMar>
            <w:vAlign w:val="center"/>
          </w:tcPr>
          <w:p w:rsidRPr="00FC3395" w:rsidR="00740A8C" w:rsidP="28023B4D" w:rsidRDefault="00740A8C" w14:paraId="34F9DB9A" w14:textId="4C3A2978">
            <w:pPr>
              <w:spacing w:after="0" w:line="240" w:lineRule="auto"/>
              <w:rPr>
                <w:rFonts w:eastAsia="Arial"/>
                <w:b w:val="1"/>
                <w:bCs w:val="1"/>
                <w:color w:val="auto"/>
                <w:sz w:val="20"/>
                <w:szCs w:val="20"/>
              </w:rPr>
            </w:pPr>
          </w:p>
        </w:tc>
        <w:tc>
          <w:tcPr>
            <w:tcW w:w="5000" w:type="dxa"/>
            <w:tcMar>
              <w:top w:w="90" w:type="dxa"/>
              <w:left w:w="120" w:type="dxa"/>
              <w:bottom w:w="90" w:type="dxa"/>
              <w:right w:w="120" w:type="dxa"/>
            </w:tcMar>
            <w:vAlign w:val="center"/>
          </w:tcPr>
          <w:p w:rsidRPr="00FC3395" w:rsidR="00740A8C" w:rsidP="28023B4D" w:rsidRDefault="00740A8C" w14:paraId="706A6554" w14:textId="7748D938">
            <w:pPr>
              <w:spacing w:after="0" w:line="240" w:lineRule="auto"/>
              <w:rPr>
                <w:rFonts w:eastAsia="Arial"/>
                <w:color w:val="auto"/>
                <w:sz w:val="20"/>
                <w:szCs w:val="20"/>
              </w:rPr>
            </w:pPr>
          </w:p>
        </w:tc>
      </w:tr>
    </w:tbl>
    <w:p w:rsidR="00740A8C" w:rsidP="00740A8C" w:rsidRDefault="00740A8C" w14:paraId="6A7073FC" w14:textId="77777777">
      <w:pPr>
        <w:rPr>
          <w:color w:val="auto"/>
        </w:rPr>
      </w:pPr>
      <w:r w:rsidRPr="00FC3395">
        <w:rPr>
          <w:color w:val="auto"/>
        </w:rPr>
        <w:br w:type="page"/>
      </w:r>
    </w:p>
    <w:p w:rsidR="004536A0" w:rsidP="004536A0" w:rsidRDefault="004536A0" w14:paraId="0DAC372A" w14:textId="77777777">
      <w:pPr>
        <w:pStyle w:val="Heading1"/>
      </w:pPr>
      <w:bookmarkStart w:name="_Toc237560664" w:id="0"/>
      <w:r>
        <w:t>Executive summary</w:t>
      </w:r>
      <w:bookmarkEnd w:id="0"/>
    </w:p>
    <w:p w:rsidRPr="00D77FFD" w:rsidR="004536A0" w:rsidP="004536A0" w:rsidRDefault="004536A0" w14:paraId="22CCF551" w14:textId="77777777">
      <w:pPr>
        <w:jc w:val="both"/>
        <w:rPr>
          <w:rFonts w:eastAsia="Arial"/>
          <w:color w:val="auto"/>
        </w:rPr>
      </w:pPr>
      <w:r w:rsidRPr="00D77FFD">
        <w:rPr>
          <w:rFonts w:eastAsia="Arial"/>
          <w:color w:val="auto"/>
        </w:rPr>
        <w:t>This report recognises a market opportunity in the UK where e-commerce and consolidated last-mile delivery converge. Online retail grew from 19.2% to 27.4% of sales in 2025, and England has 526,200 registered rural businesses, which represent a significant but diverse share of the total. The challenge is not just to digitalise shops – it's to lower the coordination costs that hinder dependable fulfilment for dispersed micro-firms.</w:t>
      </w:r>
    </w:p>
    <w:p w:rsidRPr="00D77FFD" w:rsidR="004536A0" w:rsidP="004536A0" w:rsidRDefault="004536A0" w14:paraId="2BEBDA9A" w14:textId="77777777">
      <w:pPr>
        <w:jc w:val="both"/>
        <w:rPr>
          <w:rFonts w:eastAsia="Arial"/>
          <w:color w:val="auto"/>
        </w:rPr>
      </w:pPr>
      <w:r w:rsidRPr="00D77FFD">
        <w:rPr>
          <w:rFonts w:eastAsia="Arial"/>
          <w:color w:val="auto"/>
        </w:rPr>
        <w:t>A low-bandwidth, multi-merchant ordering and fulfilment service: a shared catalogue, pooled local orders, community pick-up or partner fulfilment and one manifest – these are all being proposed for RuralLoop. It is not a feature competition with commerce giants, per se, but a model of locality-level demand aggregation and simplicity of workflow. This asset-light boundary helps demonstrate feasibility but remains dependent on merchants, consumers and carriers to all participate in the arrangement.</w:t>
      </w:r>
    </w:p>
    <w:p w:rsidR="004536A0" w:rsidP="004536A0" w:rsidRDefault="004536A0" w14:paraId="122E05F0" w14:textId="77777777">
      <w:pPr>
        <w:jc w:val="both"/>
        <w:rPr>
          <w:rFonts w:eastAsia="Arial"/>
          <w:color w:val="auto"/>
        </w:rPr>
      </w:pPr>
      <w:r w:rsidRPr="00D77FFD">
        <w:rPr>
          <w:rFonts w:eastAsia="Arial"/>
          <w:color w:val="auto"/>
        </w:rPr>
        <w:t>Design thinking is not an end-to-end process; it is iterative learning. Secondary evidence confirms only provisional needs – future interviews, observation and usability testing. Recommendation: a concierge MVP in one rural cluster with stop, pivot and scale gates for adoption, accessibility, fulfilment, unit economics, privacy and vehicle-kilometres per order. This keeps the human-centred experimentation while addressing infrastructure and business model limitations.</w:t>
      </w:r>
    </w:p>
    <w:p w:rsidR="004536A0" w:rsidP="00740A8C" w:rsidRDefault="004536A0" w14:paraId="2BD0A66B" w14:textId="420329AE">
      <w:pPr>
        <w:rPr>
          <w:color w:val="auto"/>
        </w:rPr>
      </w:pPr>
    </w:p>
    <w:p w:rsidR="004536A0" w:rsidP="00740A8C" w:rsidRDefault="004536A0" w14:paraId="7F40D87A" w14:textId="77777777">
      <w:pPr>
        <w:rPr>
          <w:color w:val="auto"/>
        </w:rPr>
      </w:pPr>
    </w:p>
    <w:p w:rsidR="004536A0" w:rsidP="00740A8C" w:rsidRDefault="004536A0" w14:paraId="0DAC0E1E" w14:textId="77777777">
      <w:pPr>
        <w:rPr>
          <w:color w:val="auto"/>
        </w:rPr>
      </w:pPr>
    </w:p>
    <w:p w:rsidR="004536A0" w:rsidP="00740A8C" w:rsidRDefault="004536A0" w14:paraId="3210DE1A" w14:textId="77777777">
      <w:pPr>
        <w:rPr>
          <w:color w:val="auto"/>
        </w:rPr>
      </w:pPr>
    </w:p>
    <w:p w:rsidR="004536A0" w:rsidP="00740A8C" w:rsidRDefault="004536A0" w14:paraId="4D83E30B" w14:textId="77777777">
      <w:pPr>
        <w:rPr>
          <w:color w:val="auto"/>
        </w:rPr>
      </w:pPr>
    </w:p>
    <w:p w:rsidR="004536A0" w:rsidP="00740A8C" w:rsidRDefault="004536A0" w14:paraId="2CE85301" w14:textId="77777777">
      <w:pPr>
        <w:rPr>
          <w:color w:val="auto"/>
        </w:rPr>
      </w:pPr>
    </w:p>
    <w:p w:rsidR="004536A0" w:rsidP="00740A8C" w:rsidRDefault="004536A0" w14:paraId="0F2DA235" w14:textId="77777777">
      <w:pPr>
        <w:rPr>
          <w:color w:val="auto"/>
        </w:rPr>
      </w:pPr>
    </w:p>
    <w:p w:rsidR="004536A0" w:rsidP="00740A8C" w:rsidRDefault="004536A0" w14:paraId="7C1B15D8" w14:textId="77777777">
      <w:pPr>
        <w:rPr>
          <w:color w:val="auto"/>
        </w:rPr>
      </w:pPr>
    </w:p>
    <w:p w:rsidR="004536A0" w:rsidP="00740A8C" w:rsidRDefault="004536A0" w14:paraId="4EB9997E" w14:textId="77777777">
      <w:pPr>
        <w:rPr>
          <w:color w:val="auto"/>
        </w:rPr>
      </w:pPr>
    </w:p>
    <w:p w:rsidRPr="00FC3395" w:rsidR="004536A0" w:rsidP="00740A8C" w:rsidRDefault="004536A0" w14:paraId="50EC209E" w14:textId="77777777">
      <w:pPr>
        <w:rPr>
          <w:color w:val="auto"/>
        </w:rPr>
      </w:pPr>
    </w:p>
    <w:sdt>
      <w:sdtPr>
        <w:id w:val="-1497102946"/>
        <w:docPartObj>
          <w:docPartGallery w:val="Table of Contents"/>
          <w:docPartUnique/>
        </w:docPartObj>
        <w:rPr>
          <w:rFonts w:ascii="Arial" w:hAnsi="Arial" w:eastAsia="ＭＳ 明朝" w:cs="" w:eastAsiaTheme="minorEastAsia" w:cstheme="minorBidi"/>
          <w:b w:val="0"/>
          <w:bCs w:val="0"/>
          <w:color w:val="1F1F1F"/>
          <w:sz w:val="22"/>
          <w:szCs w:val="22"/>
        </w:rPr>
      </w:sdtPr>
      <w:sdtEndPr>
        <w:rPr>
          <w:rFonts w:ascii="Arial" w:hAnsi="Arial" w:eastAsia="ＭＳ 明朝" w:cs="" w:eastAsiaTheme="minorEastAsia" w:cstheme="minorBidi"/>
          <w:b w:val="0"/>
          <w:bCs w:val="0"/>
          <w:noProof/>
          <w:color w:val="1F1F1F"/>
          <w:sz w:val="22"/>
          <w:szCs w:val="22"/>
        </w:rPr>
      </w:sdtEndPr>
      <w:sdtContent>
        <w:p w:rsidR="00AA4C87" w:rsidRDefault="00AA4C87" w14:paraId="2847FE2C" w14:textId="77777777">
          <w:pPr>
            <w:pStyle w:val="TOCHeading"/>
          </w:pPr>
          <w:r>
            <w:t>Table of Contents</w:t>
          </w:r>
        </w:p>
        <w:p w:rsidR="00790589" w:rsidRDefault="00AA4C87" w14:paraId="5B0E82CB" w14:textId="71C0AB73">
          <w:pPr>
            <w:pStyle w:val="TOC1"/>
            <w:tabs>
              <w:tab w:val="right" w:leader="dot" w:pos="9350"/>
            </w:tabs>
            <w:rPr>
              <w:rFonts w:asciiTheme="minorHAnsi" w:hAnsiTheme="minorHAnsi"/>
              <w:noProof/>
              <w:color w:val="auto"/>
              <w:kern w:val="2"/>
              <w:sz w:val="24"/>
              <w:szCs w:val="24"/>
              <w14:ligatures w14:val="standardContextual"/>
            </w:rPr>
          </w:pPr>
          <w:r>
            <w:fldChar w:fldCharType="begin"/>
          </w:r>
          <w:r>
            <w:instrText xml:space="preserve"> TOC \o "1-3" \h \z \u </w:instrText>
          </w:r>
          <w:r>
            <w:fldChar w:fldCharType="separate"/>
          </w:r>
          <w:hyperlink w:history="1" w:anchor="_Toc237560664">
            <w:r w:rsidRPr="007B1767" w:rsidR="00790589">
              <w:rPr>
                <w:rStyle w:val="Hyperlink"/>
                <w:noProof/>
              </w:rPr>
              <w:t>Executive summary</w:t>
            </w:r>
            <w:r w:rsidR="00790589">
              <w:rPr>
                <w:noProof/>
                <w:webHidden/>
              </w:rPr>
              <w:tab/>
            </w:r>
            <w:r w:rsidR="00790589">
              <w:rPr>
                <w:noProof/>
                <w:webHidden/>
              </w:rPr>
              <w:fldChar w:fldCharType="begin"/>
            </w:r>
            <w:r w:rsidR="00790589">
              <w:rPr>
                <w:noProof/>
                <w:webHidden/>
              </w:rPr>
              <w:instrText xml:space="preserve"> PAGEREF _Toc237560664 \h </w:instrText>
            </w:r>
            <w:r w:rsidR="00790589">
              <w:rPr>
                <w:noProof/>
                <w:webHidden/>
              </w:rPr>
            </w:r>
            <w:r w:rsidR="00790589">
              <w:rPr>
                <w:noProof/>
                <w:webHidden/>
              </w:rPr>
              <w:fldChar w:fldCharType="separate"/>
            </w:r>
            <w:r w:rsidR="00790589">
              <w:rPr>
                <w:noProof/>
                <w:webHidden/>
              </w:rPr>
              <w:t>3</w:t>
            </w:r>
            <w:r w:rsidR="00790589">
              <w:rPr>
                <w:noProof/>
                <w:webHidden/>
              </w:rPr>
              <w:fldChar w:fldCharType="end"/>
            </w:r>
          </w:hyperlink>
        </w:p>
        <w:p w:rsidR="00790589" w:rsidRDefault="00000000" w14:paraId="56BC867A" w14:textId="5562F7A1">
          <w:pPr>
            <w:pStyle w:val="TOC1"/>
            <w:tabs>
              <w:tab w:val="right" w:leader="dot" w:pos="9350"/>
            </w:tabs>
            <w:rPr>
              <w:rFonts w:asciiTheme="minorHAnsi" w:hAnsiTheme="minorHAnsi"/>
              <w:noProof/>
              <w:color w:val="auto"/>
              <w:kern w:val="2"/>
              <w:sz w:val="24"/>
              <w:szCs w:val="24"/>
              <w14:ligatures w14:val="standardContextual"/>
            </w:rPr>
          </w:pPr>
          <w:hyperlink w:history="1" w:anchor="_Toc237560665">
            <w:r w:rsidRPr="007B1767" w:rsidR="00790589">
              <w:rPr>
                <w:rStyle w:val="Hyperlink"/>
                <w:noProof/>
              </w:rPr>
              <w:t>1. Introduction</w:t>
            </w:r>
            <w:r w:rsidR="00790589">
              <w:rPr>
                <w:noProof/>
                <w:webHidden/>
              </w:rPr>
              <w:tab/>
            </w:r>
            <w:r w:rsidR="00790589">
              <w:rPr>
                <w:noProof/>
                <w:webHidden/>
              </w:rPr>
              <w:fldChar w:fldCharType="begin"/>
            </w:r>
            <w:r w:rsidR="00790589">
              <w:rPr>
                <w:noProof/>
                <w:webHidden/>
              </w:rPr>
              <w:instrText xml:space="preserve"> PAGEREF _Toc237560665 \h </w:instrText>
            </w:r>
            <w:r w:rsidR="00790589">
              <w:rPr>
                <w:noProof/>
                <w:webHidden/>
              </w:rPr>
            </w:r>
            <w:r w:rsidR="00790589">
              <w:rPr>
                <w:noProof/>
                <w:webHidden/>
              </w:rPr>
              <w:fldChar w:fldCharType="separate"/>
            </w:r>
            <w:r w:rsidR="00790589">
              <w:rPr>
                <w:noProof/>
                <w:webHidden/>
              </w:rPr>
              <w:t>4</w:t>
            </w:r>
            <w:r w:rsidR="00790589">
              <w:rPr>
                <w:noProof/>
                <w:webHidden/>
              </w:rPr>
              <w:fldChar w:fldCharType="end"/>
            </w:r>
          </w:hyperlink>
        </w:p>
        <w:p w:rsidR="00790589" w:rsidRDefault="00000000" w14:paraId="197FE345" w14:textId="3ECDDADD">
          <w:pPr>
            <w:pStyle w:val="TOC1"/>
            <w:tabs>
              <w:tab w:val="right" w:leader="dot" w:pos="9350"/>
            </w:tabs>
            <w:rPr>
              <w:rFonts w:asciiTheme="minorHAnsi" w:hAnsiTheme="minorHAnsi"/>
              <w:noProof/>
              <w:color w:val="auto"/>
              <w:kern w:val="2"/>
              <w:sz w:val="24"/>
              <w:szCs w:val="24"/>
              <w14:ligatures w14:val="standardContextual"/>
            </w:rPr>
          </w:pPr>
          <w:hyperlink w:history="1" w:anchor="_Toc237560666">
            <w:r w:rsidRPr="007B1767" w:rsidR="00790589">
              <w:rPr>
                <w:rStyle w:val="Hyperlink"/>
                <w:noProof/>
              </w:rPr>
              <w:t>2. Task 1: UK opportunity areas through a design-thinking lens</w:t>
            </w:r>
            <w:r w:rsidR="00790589">
              <w:rPr>
                <w:noProof/>
                <w:webHidden/>
              </w:rPr>
              <w:tab/>
            </w:r>
            <w:r w:rsidR="00790589">
              <w:rPr>
                <w:noProof/>
                <w:webHidden/>
              </w:rPr>
              <w:fldChar w:fldCharType="begin"/>
            </w:r>
            <w:r w:rsidR="00790589">
              <w:rPr>
                <w:noProof/>
                <w:webHidden/>
              </w:rPr>
              <w:instrText xml:space="preserve"> PAGEREF _Toc237560666 \h </w:instrText>
            </w:r>
            <w:r w:rsidR="00790589">
              <w:rPr>
                <w:noProof/>
                <w:webHidden/>
              </w:rPr>
            </w:r>
            <w:r w:rsidR="00790589">
              <w:rPr>
                <w:noProof/>
                <w:webHidden/>
              </w:rPr>
              <w:fldChar w:fldCharType="separate"/>
            </w:r>
            <w:r w:rsidR="00790589">
              <w:rPr>
                <w:noProof/>
                <w:webHidden/>
              </w:rPr>
              <w:t>5</w:t>
            </w:r>
            <w:r w:rsidR="00790589">
              <w:rPr>
                <w:noProof/>
                <w:webHidden/>
              </w:rPr>
              <w:fldChar w:fldCharType="end"/>
            </w:r>
          </w:hyperlink>
        </w:p>
        <w:p w:rsidR="00790589" w:rsidRDefault="00000000" w14:paraId="5A3E8596" w14:textId="62A0F22C">
          <w:pPr>
            <w:pStyle w:val="TOC2"/>
            <w:tabs>
              <w:tab w:val="right" w:leader="dot" w:pos="9350"/>
            </w:tabs>
            <w:rPr>
              <w:rFonts w:asciiTheme="minorHAnsi" w:hAnsiTheme="minorHAnsi"/>
              <w:noProof/>
              <w:color w:val="auto"/>
              <w:kern w:val="2"/>
              <w:sz w:val="24"/>
              <w:szCs w:val="24"/>
              <w14:ligatures w14:val="standardContextual"/>
            </w:rPr>
          </w:pPr>
          <w:hyperlink w:history="1" w:anchor="_Toc237560667">
            <w:r w:rsidRPr="007B1767" w:rsidR="00790589">
              <w:rPr>
                <w:rStyle w:val="Hyperlink"/>
                <w:noProof/>
              </w:rPr>
              <w:t>2.1 Structural demand, pain points and technological enablers</w:t>
            </w:r>
            <w:r w:rsidR="00790589">
              <w:rPr>
                <w:noProof/>
                <w:webHidden/>
              </w:rPr>
              <w:tab/>
            </w:r>
            <w:r w:rsidR="00790589">
              <w:rPr>
                <w:noProof/>
                <w:webHidden/>
              </w:rPr>
              <w:fldChar w:fldCharType="begin"/>
            </w:r>
            <w:r w:rsidR="00790589">
              <w:rPr>
                <w:noProof/>
                <w:webHidden/>
              </w:rPr>
              <w:instrText xml:space="preserve"> PAGEREF _Toc237560667 \h </w:instrText>
            </w:r>
            <w:r w:rsidR="00790589">
              <w:rPr>
                <w:noProof/>
                <w:webHidden/>
              </w:rPr>
            </w:r>
            <w:r w:rsidR="00790589">
              <w:rPr>
                <w:noProof/>
                <w:webHidden/>
              </w:rPr>
              <w:fldChar w:fldCharType="separate"/>
            </w:r>
            <w:r w:rsidR="00790589">
              <w:rPr>
                <w:noProof/>
                <w:webHidden/>
              </w:rPr>
              <w:t>5</w:t>
            </w:r>
            <w:r w:rsidR="00790589">
              <w:rPr>
                <w:noProof/>
                <w:webHidden/>
              </w:rPr>
              <w:fldChar w:fldCharType="end"/>
            </w:r>
          </w:hyperlink>
        </w:p>
        <w:p w:rsidR="00790589" w:rsidRDefault="00000000" w14:paraId="2B97BC30" w14:textId="08BF99E1">
          <w:pPr>
            <w:pStyle w:val="TOC2"/>
            <w:tabs>
              <w:tab w:val="right" w:leader="dot" w:pos="9350"/>
            </w:tabs>
            <w:rPr>
              <w:rFonts w:asciiTheme="minorHAnsi" w:hAnsiTheme="minorHAnsi"/>
              <w:noProof/>
              <w:color w:val="auto"/>
              <w:kern w:val="2"/>
              <w:sz w:val="24"/>
              <w:szCs w:val="24"/>
              <w14:ligatures w14:val="standardContextual"/>
            </w:rPr>
          </w:pPr>
          <w:hyperlink w:history="1" w:anchor="_Toc237560668">
            <w:r w:rsidRPr="007B1767" w:rsidR="00790589">
              <w:rPr>
                <w:rStyle w:val="Hyperlink"/>
                <w:noProof/>
              </w:rPr>
              <w:t>2.2 Opportunity portfolio and market-gap evaluation</w:t>
            </w:r>
            <w:r w:rsidR="00790589">
              <w:rPr>
                <w:noProof/>
                <w:webHidden/>
              </w:rPr>
              <w:tab/>
            </w:r>
            <w:r w:rsidR="00790589">
              <w:rPr>
                <w:noProof/>
                <w:webHidden/>
              </w:rPr>
              <w:fldChar w:fldCharType="begin"/>
            </w:r>
            <w:r w:rsidR="00790589">
              <w:rPr>
                <w:noProof/>
                <w:webHidden/>
              </w:rPr>
              <w:instrText xml:space="preserve"> PAGEREF _Toc237560668 \h </w:instrText>
            </w:r>
            <w:r w:rsidR="00790589">
              <w:rPr>
                <w:noProof/>
                <w:webHidden/>
              </w:rPr>
            </w:r>
            <w:r w:rsidR="00790589">
              <w:rPr>
                <w:noProof/>
                <w:webHidden/>
              </w:rPr>
              <w:fldChar w:fldCharType="separate"/>
            </w:r>
            <w:r w:rsidR="00790589">
              <w:rPr>
                <w:noProof/>
                <w:webHidden/>
              </w:rPr>
              <w:t>6</w:t>
            </w:r>
            <w:r w:rsidR="00790589">
              <w:rPr>
                <w:noProof/>
                <w:webHidden/>
              </w:rPr>
              <w:fldChar w:fldCharType="end"/>
            </w:r>
          </w:hyperlink>
        </w:p>
        <w:p w:rsidR="00790589" w:rsidRDefault="00000000" w14:paraId="771B381A" w14:textId="3A3450AA">
          <w:pPr>
            <w:pStyle w:val="TOC2"/>
            <w:tabs>
              <w:tab w:val="right" w:leader="dot" w:pos="9350"/>
            </w:tabs>
            <w:rPr>
              <w:rFonts w:asciiTheme="minorHAnsi" w:hAnsiTheme="minorHAnsi"/>
              <w:noProof/>
              <w:color w:val="auto"/>
              <w:kern w:val="2"/>
              <w:sz w:val="24"/>
              <w:szCs w:val="24"/>
              <w14:ligatures w14:val="standardContextual"/>
            </w:rPr>
          </w:pPr>
          <w:hyperlink w:history="1" w:anchor="_Toc237560669">
            <w:r w:rsidRPr="007B1767" w:rsidR="00790589">
              <w:rPr>
                <w:rStyle w:val="Hyperlink"/>
                <w:noProof/>
              </w:rPr>
              <w:t>2.3 Prioritised opportunity</w:t>
            </w:r>
            <w:r w:rsidR="00790589">
              <w:rPr>
                <w:noProof/>
                <w:webHidden/>
              </w:rPr>
              <w:tab/>
            </w:r>
            <w:r w:rsidR="00790589">
              <w:rPr>
                <w:noProof/>
                <w:webHidden/>
              </w:rPr>
              <w:fldChar w:fldCharType="begin"/>
            </w:r>
            <w:r w:rsidR="00790589">
              <w:rPr>
                <w:noProof/>
                <w:webHidden/>
              </w:rPr>
              <w:instrText xml:space="preserve"> PAGEREF _Toc237560669 \h </w:instrText>
            </w:r>
            <w:r w:rsidR="00790589">
              <w:rPr>
                <w:noProof/>
                <w:webHidden/>
              </w:rPr>
            </w:r>
            <w:r w:rsidR="00790589">
              <w:rPr>
                <w:noProof/>
                <w:webHidden/>
              </w:rPr>
              <w:fldChar w:fldCharType="separate"/>
            </w:r>
            <w:r w:rsidR="00790589">
              <w:rPr>
                <w:noProof/>
                <w:webHidden/>
              </w:rPr>
              <w:t>8</w:t>
            </w:r>
            <w:r w:rsidR="00790589">
              <w:rPr>
                <w:noProof/>
                <w:webHidden/>
              </w:rPr>
              <w:fldChar w:fldCharType="end"/>
            </w:r>
          </w:hyperlink>
        </w:p>
        <w:p w:rsidR="00790589" w:rsidRDefault="00000000" w14:paraId="6A444643" w14:textId="178633EA">
          <w:pPr>
            <w:pStyle w:val="TOC1"/>
            <w:tabs>
              <w:tab w:val="right" w:leader="dot" w:pos="9350"/>
            </w:tabs>
            <w:rPr>
              <w:rFonts w:asciiTheme="minorHAnsi" w:hAnsiTheme="minorHAnsi"/>
              <w:noProof/>
              <w:color w:val="auto"/>
              <w:kern w:val="2"/>
              <w:sz w:val="24"/>
              <w:szCs w:val="24"/>
              <w14:ligatures w14:val="standardContextual"/>
            </w:rPr>
          </w:pPr>
          <w:hyperlink w:history="1" w:anchor="_Toc237560670">
            <w:r w:rsidRPr="007B1767" w:rsidR="00790589">
              <w:rPr>
                <w:rStyle w:val="Hyperlink"/>
                <w:noProof/>
              </w:rPr>
              <w:t>3. Task 2: Applying the five stages to RuralLoop</w:t>
            </w:r>
            <w:r w:rsidR="00790589">
              <w:rPr>
                <w:noProof/>
                <w:webHidden/>
              </w:rPr>
              <w:tab/>
            </w:r>
            <w:r w:rsidR="00790589">
              <w:rPr>
                <w:noProof/>
                <w:webHidden/>
              </w:rPr>
              <w:fldChar w:fldCharType="begin"/>
            </w:r>
            <w:r w:rsidR="00790589">
              <w:rPr>
                <w:noProof/>
                <w:webHidden/>
              </w:rPr>
              <w:instrText xml:space="preserve"> PAGEREF _Toc237560670 \h </w:instrText>
            </w:r>
            <w:r w:rsidR="00790589">
              <w:rPr>
                <w:noProof/>
                <w:webHidden/>
              </w:rPr>
            </w:r>
            <w:r w:rsidR="00790589">
              <w:rPr>
                <w:noProof/>
                <w:webHidden/>
              </w:rPr>
              <w:fldChar w:fldCharType="separate"/>
            </w:r>
            <w:r w:rsidR="00790589">
              <w:rPr>
                <w:noProof/>
                <w:webHidden/>
              </w:rPr>
              <w:t>8</w:t>
            </w:r>
            <w:r w:rsidR="00790589">
              <w:rPr>
                <w:noProof/>
                <w:webHidden/>
              </w:rPr>
              <w:fldChar w:fldCharType="end"/>
            </w:r>
          </w:hyperlink>
        </w:p>
        <w:p w:rsidR="00790589" w:rsidRDefault="00000000" w14:paraId="58486C41" w14:textId="7018DACF">
          <w:pPr>
            <w:pStyle w:val="TOC2"/>
            <w:tabs>
              <w:tab w:val="right" w:leader="dot" w:pos="9350"/>
            </w:tabs>
            <w:rPr>
              <w:rFonts w:asciiTheme="minorHAnsi" w:hAnsiTheme="minorHAnsi"/>
              <w:noProof/>
              <w:color w:val="auto"/>
              <w:kern w:val="2"/>
              <w:sz w:val="24"/>
              <w:szCs w:val="24"/>
              <w14:ligatures w14:val="standardContextual"/>
            </w:rPr>
          </w:pPr>
          <w:hyperlink w:history="1" w:anchor="_Toc237560671">
            <w:r w:rsidRPr="007B1767" w:rsidR="00790589">
              <w:rPr>
                <w:rStyle w:val="Hyperlink"/>
                <w:noProof/>
              </w:rPr>
              <w:t>3.1 Empathise: evidence before invented personas</w:t>
            </w:r>
            <w:r w:rsidR="00790589">
              <w:rPr>
                <w:noProof/>
                <w:webHidden/>
              </w:rPr>
              <w:tab/>
            </w:r>
            <w:r w:rsidR="00790589">
              <w:rPr>
                <w:noProof/>
                <w:webHidden/>
              </w:rPr>
              <w:fldChar w:fldCharType="begin"/>
            </w:r>
            <w:r w:rsidR="00790589">
              <w:rPr>
                <w:noProof/>
                <w:webHidden/>
              </w:rPr>
              <w:instrText xml:space="preserve"> PAGEREF _Toc237560671 \h </w:instrText>
            </w:r>
            <w:r w:rsidR="00790589">
              <w:rPr>
                <w:noProof/>
                <w:webHidden/>
              </w:rPr>
            </w:r>
            <w:r w:rsidR="00790589">
              <w:rPr>
                <w:noProof/>
                <w:webHidden/>
              </w:rPr>
              <w:fldChar w:fldCharType="separate"/>
            </w:r>
            <w:r w:rsidR="00790589">
              <w:rPr>
                <w:noProof/>
                <w:webHidden/>
              </w:rPr>
              <w:t>8</w:t>
            </w:r>
            <w:r w:rsidR="00790589">
              <w:rPr>
                <w:noProof/>
                <w:webHidden/>
              </w:rPr>
              <w:fldChar w:fldCharType="end"/>
            </w:r>
          </w:hyperlink>
        </w:p>
        <w:p w:rsidR="00790589" w:rsidRDefault="00000000" w14:paraId="6D6DD360" w14:textId="34B04E80">
          <w:pPr>
            <w:pStyle w:val="TOC2"/>
            <w:tabs>
              <w:tab w:val="right" w:leader="dot" w:pos="9350"/>
            </w:tabs>
            <w:rPr>
              <w:rFonts w:asciiTheme="minorHAnsi" w:hAnsiTheme="minorHAnsi"/>
              <w:noProof/>
              <w:color w:val="auto"/>
              <w:kern w:val="2"/>
              <w:sz w:val="24"/>
              <w:szCs w:val="24"/>
              <w14:ligatures w14:val="standardContextual"/>
            </w:rPr>
          </w:pPr>
          <w:hyperlink w:history="1" w:anchor="_Toc237560672">
            <w:r w:rsidRPr="007B1767" w:rsidR="00790589">
              <w:rPr>
                <w:rStyle w:val="Hyperlink"/>
                <w:noProof/>
              </w:rPr>
              <w:t>3.2 Define: problem framing and causal mapping</w:t>
            </w:r>
            <w:r w:rsidR="00790589">
              <w:rPr>
                <w:noProof/>
                <w:webHidden/>
              </w:rPr>
              <w:tab/>
            </w:r>
            <w:r w:rsidR="00790589">
              <w:rPr>
                <w:noProof/>
                <w:webHidden/>
              </w:rPr>
              <w:fldChar w:fldCharType="begin"/>
            </w:r>
            <w:r w:rsidR="00790589">
              <w:rPr>
                <w:noProof/>
                <w:webHidden/>
              </w:rPr>
              <w:instrText xml:space="preserve"> PAGEREF _Toc237560672 \h </w:instrText>
            </w:r>
            <w:r w:rsidR="00790589">
              <w:rPr>
                <w:noProof/>
                <w:webHidden/>
              </w:rPr>
            </w:r>
            <w:r w:rsidR="00790589">
              <w:rPr>
                <w:noProof/>
                <w:webHidden/>
              </w:rPr>
              <w:fldChar w:fldCharType="separate"/>
            </w:r>
            <w:r w:rsidR="00790589">
              <w:rPr>
                <w:noProof/>
                <w:webHidden/>
              </w:rPr>
              <w:t>9</w:t>
            </w:r>
            <w:r w:rsidR="00790589">
              <w:rPr>
                <w:noProof/>
                <w:webHidden/>
              </w:rPr>
              <w:fldChar w:fldCharType="end"/>
            </w:r>
          </w:hyperlink>
        </w:p>
        <w:p w:rsidR="00790589" w:rsidRDefault="00000000" w14:paraId="2952FAF2" w14:textId="34079F44">
          <w:pPr>
            <w:pStyle w:val="TOC2"/>
            <w:tabs>
              <w:tab w:val="right" w:leader="dot" w:pos="9350"/>
            </w:tabs>
            <w:rPr>
              <w:rFonts w:asciiTheme="minorHAnsi" w:hAnsiTheme="minorHAnsi"/>
              <w:noProof/>
              <w:color w:val="auto"/>
              <w:kern w:val="2"/>
              <w:sz w:val="24"/>
              <w:szCs w:val="24"/>
              <w14:ligatures w14:val="standardContextual"/>
            </w:rPr>
          </w:pPr>
          <w:hyperlink w:history="1" w:anchor="_Toc237560673">
            <w:r w:rsidRPr="007B1767" w:rsidR="00790589">
              <w:rPr>
                <w:rStyle w:val="Hyperlink"/>
                <w:noProof/>
              </w:rPr>
              <w:t>3.3 Ideate: divergent options and disciplined convergence</w:t>
            </w:r>
            <w:r w:rsidR="00790589">
              <w:rPr>
                <w:noProof/>
                <w:webHidden/>
              </w:rPr>
              <w:tab/>
            </w:r>
            <w:r w:rsidR="00790589">
              <w:rPr>
                <w:noProof/>
                <w:webHidden/>
              </w:rPr>
              <w:fldChar w:fldCharType="begin"/>
            </w:r>
            <w:r w:rsidR="00790589">
              <w:rPr>
                <w:noProof/>
                <w:webHidden/>
              </w:rPr>
              <w:instrText xml:space="preserve"> PAGEREF _Toc237560673 \h </w:instrText>
            </w:r>
            <w:r w:rsidR="00790589">
              <w:rPr>
                <w:noProof/>
                <w:webHidden/>
              </w:rPr>
            </w:r>
            <w:r w:rsidR="00790589">
              <w:rPr>
                <w:noProof/>
                <w:webHidden/>
              </w:rPr>
              <w:fldChar w:fldCharType="separate"/>
            </w:r>
            <w:r w:rsidR="00790589">
              <w:rPr>
                <w:noProof/>
                <w:webHidden/>
              </w:rPr>
              <w:t>10</w:t>
            </w:r>
            <w:r w:rsidR="00790589">
              <w:rPr>
                <w:noProof/>
                <w:webHidden/>
              </w:rPr>
              <w:fldChar w:fldCharType="end"/>
            </w:r>
          </w:hyperlink>
        </w:p>
        <w:p w:rsidR="00790589" w:rsidRDefault="00000000" w14:paraId="6F71CD22" w14:textId="26A98970">
          <w:pPr>
            <w:pStyle w:val="TOC2"/>
            <w:tabs>
              <w:tab w:val="right" w:leader="dot" w:pos="9350"/>
            </w:tabs>
            <w:rPr>
              <w:rFonts w:asciiTheme="minorHAnsi" w:hAnsiTheme="minorHAnsi"/>
              <w:noProof/>
              <w:color w:val="auto"/>
              <w:kern w:val="2"/>
              <w:sz w:val="24"/>
              <w:szCs w:val="24"/>
              <w14:ligatures w14:val="standardContextual"/>
            </w:rPr>
          </w:pPr>
          <w:hyperlink w:history="1" w:anchor="_Toc237560674">
            <w:r w:rsidRPr="007B1767" w:rsidR="00790589">
              <w:rPr>
                <w:rStyle w:val="Hyperlink"/>
                <w:noProof/>
              </w:rPr>
              <w:t>3.4 Prototype: a concierge MVP and service blueprint</w:t>
            </w:r>
            <w:r w:rsidR="00790589">
              <w:rPr>
                <w:noProof/>
                <w:webHidden/>
              </w:rPr>
              <w:tab/>
            </w:r>
            <w:r w:rsidR="00790589">
              <w:rPr>
                <w:noProof/>
                <w:webHidden/>
              </w:rPr>
              <w:fldChar w:fldCharType="begin"/>
            </w:r>
            <w:r w:rsidR="00790589">
              <w:rPr>
                <w:noProof/>
                <w:webHidden/>
              </w:rPr>
              <w:instrText xml:space="preserve"> PAGEREF _Toc237560674 \h </w:instrText>
            </w:r>
            <w:r w:rsidR="00790589">
              <w:rPr>
                <w:noProof/>
                <w:webHidden/>
              </w:rPr>
            </w:r>
            <w:r w:rsidR="00790589">
              <w:rPr>
                <w:noProof/>
                <w:webHidden/>
              </w:rPr>
              <w:fldChar w:fldCharType="separate"/>
            </w:r>
            <w:r w:rsidR="00790589">
              <w:rPr>
                <w:noProof/>
                <w:webHidden/>
              </w:rPr>
              <w:t>11</w:t>
            </w:r>
            <w:r w:rsidR="00790589">
              <w:rPr>
                <w:noProof/>
                <w:webHidden/>
              </w:rPr>
              <w:fldChar w:fldCharType="end"/>
            </w:r>
          </w:hyperlink>
        </w:p>
        <w:p w:rsidR="00790589" w:rsidRDefault="00000000" w14:paraId="7BD78C88" w14:textId="00B10EE5">
          <w:pPr>
            <w:pStyle w:val="TOC2"/>
            <w:tabs>
              <w:tab w:val="right" w:leader="dot" w:pos="9350"/>
            </w:tabs>
            <w:rPr>
              <w:rFonts w:asciiTheme="minorHAnsi" w:hAnsiTheme="minorHAnsi"/>
              <w:noProof/>
              <w:color w:val="auto"/>
              <w:kern w:val="2"/>
              <w:sz w:val="24"/>
              <w:szCs w:val="24"/>
              <w14:ligatures w14:val="standardContextual"/>
            </w:rPr>
          </w:pPr>
          <w:hyperlink w:history="1" w:anchor="_Toc237560675">
            <w:r w:rsidRPr="007B1767" w:rsidR="00790589">
              <w:rPr>
                <w:rStyle w:val="Hyperlink"/>
                <w:noProof/>
              </w:rPr>
              <w:t>3.5 Test and refine: pre-registered learning gates</w:t>
            </w:r>
            <w:r w:rsidR="00790589">
              <w:rPr>
                <w:noProof/>
                <w:webHidden/>
              </w:rPr>
              <w:tab/>
            </w:r>
            <w:r w:rsidR="00790589">
              <w:rPr>
                <w:noProof/>
                <w:webHidden/>
              </w:rPr>
              <w:fldChar w:fldCharType="begin"/>
            </w:r>
            <w:r w:rsidR="00790589">
              <w:rPr>
                <w:noProof/>
                <w:webHidden/>
              </w:rPr>
              <w:instrText xml:space="preserve"> PAGEREF _Toc237560675 \h </w:instrText>
            </w:r>
            <w:r w:rsidR="00790589">
              <w:rPr>
                <w:noProof/>
                <w:webHidden/>
              </w:rPr>
            </w:r>
            <w:r w:rsidR="00790589">
              <w:rPr>
                <w:noProof/>
                <w:webHidden/>
              </w:rPr>
              <w:fldChar w:fldCharType="separate"/>
            </w:r>
            <w:r w:rsidR="00790589">
              <w:rPr>
                <w:noProof/>
                <w:webHidden/>
              </w:rPr>
              <w:t>12</w:t>
            </w:r>
            <w:r w:rsidR="00790589">
              <w:rPr>
                <w:noProof/>
                <w:webHidden/>
              </w:rPr>
              <w:fldChar w:fldCharType="end"/>
            </w:r>
          </w:hyperlink>
        </w:p>
        <w:p w:rsidR="00790589" w:rsidRDefault="00000000" w14:paraId="17372EED" w14:textId="5DB4C8C1">
          <w:pPr>
            <w:pStyle w:val="TOC1"/>
            <w:tabs>
              <w:tab w:val="right" w:leader="dot" w:pos="9350"/>
            </w:tabs>
            <w:rPr>
              <w:rFonts w:asciiTheme="minorHAnsi" w:hAnsiTheme="minorHAnsi"/>
              <w:noProof/>
              <w:color w:val="auto"/>
              <w:kern w:val="2"/>
              <w:sz w:val="24"/>
              <w:szCs w:val="24"/>
              <w14:ligatures w14:val="standardContextual"/>
            </w:rPr>
          </w:pPr>
          <w:hyperlink w:history="1" w:anchor="_Toc237560676">
            <w:r w:rsidRPr="007B1767" w:rsidR="00790589">
              <w:rPr>
                <w:rStyle w:val="Hyperlink"/>
                <w:noProof/>
              </w:rPr>
              <w:t>4. Critical assessment of the venture</w:t>
            </w:r>
            <w:r w:rsidR="00790589">
              <w:rPr>
                <w:noProof/>
                <w:webHidden/>
              </w:rPr>
              <w:tab/>
            </w:r>
            <w:r w:rsidR="00790589">
              <w:rPr>
                <w:noProof/>
                <w:webHidden/>
              </w:rPr>
              <w:fldChar w:fldCharType="begin"/>
            </w:r>
            <w:r w:rsidR="00790589">
              <w:rPr>
                <w:noProof/>
                <w:webHidden/>
              </w:rPr>
              <w:instrText xml:space="preserve"> PAGEREF _Toc237560676 \h </w:instrText>
            </w:r>
            <w:r w:rsidR="00790589">
              <w:rPr>
                <w:noProof/>
                <w:webHidden/>
              </w:rPr>
            </w:r>
            <w:r w:rsidR="00790589">
              <w:rPr>
                <w:noProof/>
                <w:webHidden/>
              </w:rPr>
              <w:fldChar w:fldCharType="separate"/>
            </w:r>
            <w:r w:rsidR="00790589">
              <w:rPr>
                <w:noProof/>
                <w:webHidden/>
              </w:rPr>
              <w:t>13</w:t>
            </w:r>
            <w:r w:rsidR="00790589">
              <w:rPr>
                <w:noProof/>
                <w:webHidden/>
              </w:rPr>
              <w:fldChar w:fldCharType="end"/>
            </w:r>
          </w:hyperlink>
        </w:p>
        <w:p w:rsidR="00790589" w:rsidRDefault="00000000" w14:paraId="3B0FF4C4" w14:textId="17C4AB82">
          <w:pPr>
            <w:pStyle w:val="TOC2"/>
            <w:tabs>
              <w:tab w:val="right" w:leader="dot" w:pos="9350"/>
            </w:tabs>
            <w:rPr>
              <w:rFonts w:asciiTheme="minorHAnsi" w:hAnsiTheme="minorHAnsi"/>
              <w:noProof/>
              <w:color w:val="auto"/>
              <w:kern w:val="2"/>
              <w:sz w:val="24"/>
              <w:szCs w:val="24"/>
              <w14:ligatures w14:val="standardContextual"/>
            </w:rPr>
          </w:pPr>
          <w:hyperlink w:history="1" w:anchor="_Toc237560677">
            <w:r w:rsidRPr="007B1767" w:rsidR="00790589">
              <w:rPr>
                <w:rStyle w:val="Hyperlink"/>
                <w:noProof/>
              </w:rPr>
              <w:t>4.1 Desirability and inclusion</w:t>
            </w:r>
            <w:r w:rsidR="00790589">
              <w:rPr>
                <w:noProof/>
                <w:webHidden/>
              </w:rPr>
              <w:tab/>
            </w:r>
            <w:r w:rsidR="00790589">
              <w:rPr>
                <w:noProof/>
                <w:webHidden/>
              </w:rPr>
              <w:fldChar w:fldCharType="begin"/>
            </w:r>
            <w:r w:rsidR="00790589">
              <w:rPr>
                <w:noProof/>
                <w:webHidden/>
              </w:rPr>
              <w:instrText xml:space="preserve"> PAGEREF _Toc237560677 \h </w:instrText>
            </w:r>
            <w:r w:rsidR="00790589">
              <w:rPr>
                <w:noProof/>
                <w:webHidden/>
              </w:rPr>
            </w:r>
            <w:r w:rsidR="00790589">
              <w:rPr>
                <w:noProof/>
                <w:webHidden/>
              </w:rPr>
              <w:fldChar w:fldCharType="separate"/>
            </w:r>
            <w:r w:rsidR="00790589">
              <w:rPr>
                <w:noProof/>
                <w:webHidden/>
              </w:rPr>
              <w:t>13</w:t>
            </w:r>
            <w:r w:rsidR="00790589">
              <w:rPr>
                <w:noProof/>
                <w:webHidden/>
              </w:rPr>
              <w:fldChar w:fldCharType="end"/>
            </w:r>
          </w:hyperlink>
        </w:p>
        <w:p w:rsidR="00790589" w:rsidRDefault="00000000" w14:paraId="6E2DE5A8" w14:textId="039B52CA">
          <w:pPr>
            <w:pStyle w:val="TOC2"/>
            <w:tabs>
              <w:tab w:val="right" w:leader="dot" w:pos="9350"/>
            </w:tabs>
            <w:rPr>
              <w:rFonts w:asciiTheme="minorHAnsi" w:hAnsiTheme="minorHAnsi"/>
              <w:noProof/>
              <w:color w:val="auto"/>
              <w:kern w:val="2"/>
              <w:sz w:val="24"/>
              <w:szCs w:val="24"/>
              <w14:ligatures w14:val="standardContextual"/>
            </w:rPr>
          </w:pPr>
          <w:hyperlink w:history="1" w:anchor="_Toc237560678">
            <w:r w:rsidRPr="007B1767" w:rsidR="00790589">
              <w:rPr>
                <w:rStyle w:val="Hyperlink"/>
                <w:noProof/>
              </w:rPr>
              <w:t>4.2 Feasibility and operational risk</w:t>
            </w:r>
            <w:r w:rsidR="00790589">
              <w:rPr>
                <w:noProof/>
                <w:webHidden/>
              </w:rPr>
              <w:tab/>
            </w:r>
            <w:r w:rsidR="00790589">
              <w:rPr>
                <w:noProof/>
                <w:webHidden/>
              </w:rPr>
              <w:fldChar w:fldCharType="begin"/>
            </w:r>
            <w:r w:rsidR="00790589">
              <w:rPr>
                <w:noProof/>
                <w:webHidden/>
              </w:rPr>
              <w:instrText xml:space="preserve"> PAGEREF _Toc237560678 \h </w:instrText>
            </w:r>
            <w:r w:rsidR="00790589">
              <w:rPr>
                <w:noProof/>
                <w:webHidden/>
              </w:rPr>
            </w:r>
            <w:r w:rsidR="00790589">
              <w:rPr>
                <w:noProof/>
                <w:webHidden/>
              </w:rPr>
              <w:fldChar w:fldCharType="separate"/>
            </w:r>
            <w:r w:rsidR="00790589">
              <w:rPr>
                <w:noProof/>
                <w:webHidden/>
              </w:rPr>
              <w:t>13</w:t>
            </w:r>
            <w:r w:rsidR="00790589">
              <w:rPr>
                <w:noProof/>
                <w:webHidden/>
              </w:rPr>
              <w:fldChar w:fldCharType="end"/>
            </w:r>
          </w:hyperlink>
        </w:p>
        <w:p w:rsidR="00790589" w:rsidRDefault="00000000" w14:paraId="71D051CB" w14:textId="4E5EEF7D">
          <w:pPr>
            <w:pStyle w:val="TOC2"/>
            <w:tabs>
              <w:tab w:val="right" w:leader="dot" w:pos="9350"/>
            </w:tabs>
            <w:rPr>
              <w:rFonts w:asciiTheme="minorHAnsi" w:hAnsiTheme="minorHAnsi"/>
              <w:noProof/>
              <w:color w:val="auto"/>
              <w:kern w:val="2"/>
              <w:sz w:val="24"/>
              <w:szCs w:val="24"/>
              <w14:ligatures w14:val="standardContextual"/>
            </w:rPr>
          </w:pPr>
          <w:hyperlink w:history="1" w:anchor="_Toc237560679">
            <w:r w:rsidRPr="007B1767" w:rsidR="00790589">
              <w:rPr>
                <w:rStyle w:val="Hyperlink"/>
                <w:noProof/>
              </w:rPr>
              <w:t>4.3 Viability and scalability</w:t>
            </w:r>
            <w:r w:rsidR="00790589">
              <w:rPr>
                <w:noProof/>
                <w:webHidden/>
              </w:rPr>
              <w:tab/>
            </w:r>
            <w:r w:rsidR="00790589">
              <w:rPr>
                <w:noProof/>
                <w:webHidden/>
              </w:rPr>
              <w:fldChar w:fldCharType="begin"/>
            </w:r>
            <w:r w:rsidR="00790589">
              <w:rPr>
                <w:noProof/>
                <w:webHidden/>
              </w:rPr>
              <w:instrText xml:space="preserve"> PAGEREF _Toc237560679 \h </w:instrText>
            </w:r>
            <w:r w:rsidR="00790589">
              <w:rPr>
                <w:noProof/>
                <w:webHidden/>
              </w:rPr>
            </w:r>
            <w:r w:rsidR="00790589">
              <w:rPr>
                <w:noProof/>
                <w:webHidden/>
              </w:rPr>
              <w:fldChar w:fldCharType="separate"/>
            </w:r>
            <w:r w:rsidR="00790589">
              <w:rPr>
                <w:noProof/>
                <w:webHidden/>
              </w:rPr>
              <w:t>14</w:t>
            </w:r>
            <w:r w:rsidR="00790589">
              <w:rPr>
                <w:noProof/>
                <w:webHidden/>
              </w:rPr>
              <w:fldChar w:fldCharType="end"/>
            </w:r>
          </w:hyperlink>
        </w:p>
        <w:p w:rsidR="00790589" w:rsidRDefault="00000000" w14:paraId="5FDECB03" w14:textId="279C48E3">
          <w:pPr>
            <w:pStyle w:val="TOC2"/>
            <w:tabs>
              <w:tab w:val="right" w:leader="dot" w:pos="9350"/>
            </w:tabs>
            <w:rPr>
              <w:rFonts w:asciiTheme="minorHAnsi" w:hAnsiTheme="minorHAnsi"/>
              <w:noProof/>
              <w:color w:val="auto"/>
              <w:kern w:val="2"/>
              <w:sz w:val="24"/>
              <w:szCs w:val="24"/>
              <w14:ligatures w14:val="standardContextual"/>
            </w:rPr>
          </w:pPr>
          <w:hyperlink w:history="1" w:anchor="_Toc237560680">
            <w:r w:rsidRPr="007B1767" w:rsidR="00790589">
              <w:rPr>
                <w:rStyle w:val="Hyperlink"/>
                <w:noProof/>
              </w:rPr>
              <w:t>4.4 Sustainability and ethical limits</w:t>
            </w:r>
            <w:r w:rsidR="00790589">
              <w:rPr>
                <w:noProof/>
                <w:webHidden/>
              </w:rPr>
              <w:tab/>
            </w:r>
            <w:r w:rsidR="00790589">
              <w:rPr>
                <w:noProof/>
                <w:webHidden/>
              </w:rPr>
              <w:fldChar w:fldCharType="begin"/>
            </w:r>
            <w:r w:rsidR="00790589">
              <w:rPr>
                <w:noProof/>
                <w:webHidden/>
              </w:rPr>
              <w:instrText xml:space="preserve"> PAGEREF _Toc237560680 \h </w:instrText>
            </w:r>
            <w:r w:rsidR="00790589">
              <w:rPr>
                <w:noProof/>
                <w:webHidden/>
              </w:rPr>
            </w:r>
            <w:r w:rsidR="00790589">
              <w:rPr>
                <w:noProof/>
                <w:webHidden/>
              </w:rPr>
              <w:fldChar w:fldCharType="separate"/>
            </w:r>
            <w:r w:rsidR="00790589">
              <w:rPr>
                <w:noProof/>
                <w:webHidden/>
              </w:rPr>
              <w:t>14</w:t>
            </w:r>
            <w:r w:rsidR="00790589">
              <w:rPr>
                <w:noProof/>
                <w:webHidden/>
              </w:rPr>
              <w:fldChar w:fldCharType="end"/>
            </w:r>
          </w:hyperlink>
        </w:p>
        <w:p w:rsidR="00790589" w:rsidRDefault="00000000" w14:paraId="011F0C15" w14:textId="3CCCE9E6">
          <w:pPr>
            <w:pStyle w:val="TOC1"/>
            <w:tabs>
              <w:tab w:val="right" w:leader="dot" w:pos="9350"/>
            </w:tabs>
            <w:rPr>
              <w:rFonts w:asciiTheme="minorHAnsi" w:hAnsiTheme="minorHAnsi"/>
              <w:noProof/>
              <w:color w:val="auto"/>
              <w:kern w:val="2"/>
              <w:sz w:val="24"/>
              <w:szCs w:val="24"/>
              <w14:ligatures w14:val="standardContextual"/>
            </w:rPr>
          </w:pPr>
          <w:hyperlink w:history="1" w:anchor="_Toc237560681">
            <w:r w:rsidRPr="007B1767" w:rsidR="00790589">
              <w:rPr>
                <w:rStyle w:val="Hyperlink"/>
                <w:noProof/>
              </w:rPr>
              <w:t>5. Recommendations and conclusion</w:t>
            </w:r>
            <w:r w:rsidR="00790589">
              <w:rPr>
                <w:noProof/>
                <w:webHidden/>
              </w:rPr>
              <w:tab/>
            </w:r>
            <w:r w:rsidR="00790589">
              <w:rPr>
                <w:noProof/>
                <w:webHidden/>
              </w:rPr>
              <w:fldChar w:fldCharType="begin"/>
            </w:r>
            <w:r w:rsidR="00790589">
              <w:rPr>
                <w:noProof/>
                <w:webHidden/>
              </w:rPr>
              <w:instrText xml:space="preserve"> PAGEREF _Toc237560681 \h </w:instrText>
            </w:r>
            <w:r w:rsidR="00790589">
              <w:rPr>
                <w:noProof/>
                <w:webHidden/>
              </w:rPr>
            </w:r>
            <w:r w:rsidR="00790589">
              <w:rPr>
                <w:noProof/>
                <w:webHidden/>
              </w:rPr>
              <w:fldChar w:fldCharType="separate"/>
            </w:r>
            <w:r w:rsidR="00790589">
              <w:rPr>
                <w:noProof/>
                <w:webHidden/>
              </w:rPr>
              <w:t>14</w:t>
            </w:r>
            <w:r w:rsidR="00790589">
              <w:rPr>
                <w:noProof/>
                <w:webHidden/>
              </w:rPr>
              <w:fldChar w:fldCharType="end"/>
            </w:r>
          </w:hyperlink>
        </w:p>
        <w:p w:rsidR="00790589" w:rsidRDefault="00000000" w14:paraId="1F1F3AE0" w14:textId="2B949908">
          <w:pPr>
            <w:pStyle w:val="TOC1"/>
            <w:tabs>
              <w:tab w:val="right" w:leader="dot" w:pos="9350"/>
            </w:tabs>
            <w:rPr>
              <w:rFonts w:asciiTheme="minorHAnsi" w:hAnsiTheme="minorHAnsi"/>
              <w:noProof/>
              <w:color w:val="auto"/>
              <w:kern w:val="2"/>
              <w:sz w:val="24"/>
              <w:szCs w:val="24"/>
              <w14:ligatures w14:val="standardContextual"/>
            </w:rPr>
          </w:pPr>
          <w:hyperlink w:history="1" w:anchor="_Toc237560682">
            <w:r w:rsidRPr="007B1767" w:rsidR="00790589">
              <w:rPr>
                <w:rStyle w:val="Hyperlink"/>
                <w:noProof/>
              </w:rPr>
              <w:t>References</w:t>
            </w:r>
            <w:r w:rsidR="00790589">
              <w:rPr>
                <w:noProof/>
                <w:webHidden/>
              </w:rPr>
              <w:tab/>
            </w:r>
            <w:r w:rsidR="00790589">
              <w:rPr>
                <w:noProof/>
                <w:webHidden/>
              </w:rPr>
              <w:fldChar w:fldCharType="begin"/>
            </w:r>
            <w:r w:rsidR="00790589">
              <w:rPr>
                <w:noProof/>
                <w:webHidden/>
              </w:rPr>
              <w:instrText xml:space="preserve"> PAGEREF _Toc237560682 \h </w:instrText>
            </w:r>
            <w:r w:rsidR="00790589">
              <w:rPr>
                <w:noProof/>
                <w:webHidden/>
              </w:rPr>
            </w:r>
            <w:r w:rsidR="00790589">
              <w:rPr>
                <w:noProof/>
                <w:webHidden/>
              </w:rPr>
              <w:fldChar w:fldCharType="separate"/>
            </w:r>
            <w:r w:rsidR="00790589">
              <w:rPr>
                <w:noProof/>
                <w:webHidden/>
              </w:rPr>
              <w:t>16</w:t>
            </w:r>
            <w:r w:rsidR="00790589">
              <w:rPr>
                <w:noProof/>
                <w:webHidden/>
              </w:rPr>
              <w:fldChar w:fldCharType="end"/>
            </w:r>
          </w:hyperlink>
        </w:p>
        <w:p w:rsidR="00790589" w:rsidRDefault="00000000" w14:paraId="0C227487" w14:textId="37FD573A">
          <w:pPr>
            <w:pStyle w:val="TOC1"/>
            <w:tabs>
              <w:tab w:val="right" w:leader="dot" w:pos="9350"/>
            </w:tabs>
            <w:rPr>
              <w:rFonts w:asciiTheme="minorHAnsi" w:hAnsiTheme="minorHAnsi"/>
              <w:noProof/>
              <w:color w:val="auto"/>
              <w:kern w:val="2"/>
              <w:sz w:val="24"/>
              <w:szCs w:val="24"/>
              <w14:ligatures w14:val="standardContextual"/>
            </w:rPr>
          </w:pPr>
          <w:hyperlink w:history="1" w:anchor="_Toc237560683">
            <w:r w:rsidRPr="007B1767" w:rsidR="00790589">
              <w:rPr>
                <w:rStyle w:val="Hyperlink"/>
                <w:noProof/>
              </w:rPr>
              <w:t>AI use declaration</w:t>
            </w:r>
            <w:r w:rsidR="00790589">
              <w:rPr>
                <w:noProof/>
                <w:webHidden/>
              </w:rPr>
              <w:tab/>
            </w:r>
            <w:r w:rsidR="00790589">
              <w:rPr>
                <w:noProof/>
                <w:webHidden/>
              </w:rPr>
              <w:fldChar w:fldCharType="begin"/>
            </w:r>
            <w:r w:rsidR="00790589">
              <w:rPr>
                <w:noProof/>
                <w:webHidden/>
              </w:rPr>
              <w:instrText xml:space="preserve"> PAGEREF _Toc237560683 \h </w:instrText>
            </w:r>
            <w:r w:rsidR="00790589">
              <w:rPr>
                <w:noProof/>
                <w:webHidden/>
              </w:rPr>
            </w:r>
            <w:r w:rsidR="00790589">
              <w:rPr>
                <w:noProof/>
                <w:webHidden/>
              </w:rPr>
              <w:fldChar w:fldCharType="separate"/>
            </w:r>
            <w:r w:rsidR="00790589">
              <w:rPr>
                <w:noProof/>
                <w:webHidden/>
              </w:rPr>
              <w:t>19</w:t>
            </w:r>
            <w:r w:rsidR="00790589">
              <w:rPr>
                <w:noProof/>
                <w:webHidden/>
              </w:rPr>
              <w:fldChar w:fldCharType="end"/>
            </w:r>
          </w:hyperlink>
        </w:p>
        <w:p w:rsidR="00AA4C87" w:rsidRDefault="00AA4C87" w14:paraId="3726C80A" w14:textId="20DD1328">
          <w:r>
            <w:rPr>
              <w:b/>
              <w:bCs/>
              <w:noProof/>
            </w:rPr>
            <w:fldChar w:fldCharType="end"/>
          </w:r>
        </w:p>
      </w:sdtContent>
    </w:sdt>
    <w:p w:rsidR="002E6790" w:rsidRDefault="002E6790" w14:paraId="65D4FE53" w14:textId="77777777">
      <w:pPr>
        <w:jc w:val="both"/>
      </w:pPr>
    </w:p>
    <w:p w:rsidR="002E6790" w:rsidRDefault="00000000" w14:paraId="372D9610" w14:textId="77777777">
      <w:r>
        <w:br w:type="page"/>
      </w:r>
    </w:p>
    <w:p w:rsidR="002E6790" w:rsidRDefault="00000000" w14:paraId="09D4CA5C" w14:textId="6BEC2F7A">
      <w:pPr>
        <w:pStyle w:val="Heading1"/>
      </w:pPr>
      <w:bookmarkStart w:name="_Toc237560665" w:id="1"/>
      <w:r>
        <w:t>1. Introduction</w:t>
      </w:r>
      <w:bookmarkEnd w:id="1"/>
      <w:r>
        <w:t xml:space="preserve"> </w:t>
      </w:r>
    </w:p>
    <w:p w:rsidRPr="00260F05" w:rsidR="00267A5A" w:rsidP="00267A5A" w:rsidRDefault="00267A5A" w14:paraId="4363E4F8" w14:textId="77777777">
      <w:pPr>
        <w:jc w:val="both"/>
        <w:rPr>
          <w:rFonts w:eastAsia="Arial"/>
          <w:color w:val="auto"/>
        </w:rPr>
      </w:pPr>
      <w:r w:rsidRPr="00260F05">
        <w:rPr>
          <w:rFonts w:eastAsia="Arial"/>
          <w:color w:val="auto"/>
        </w:rPr>
        <w:t>COVID-19 has accelerated an existing transition rather than creating a temporary online economy. The percentage of Great Britain's internet sales reached its peak in 2021 at 30.7% but has since been normalised around 27% (higher than 2019). At the same time, the vast majority of businesses in Britain's private economy were small (99.18%), and 75% of all businesses had no employees other than the owner. The opportunities of digitalisation are, however, accompanied by significant constraints on managerial time and specialist skills and on investment capability, particularly for micro-firms (Office for National Statistics, 2026; Department for Business and Trade, 2025; Zahoor et al., 2023).</w:t>
      </w:r>
    </w:p>
    <w:p w:rsidRPr="00260F05" w:rsidR="00267A5A" w:rsidP="00267A5A" w:rsidRDefault="00267A5A" w14:paraId="6A53C4C0" w14:textId="77777777">
      <w:pPr>
        <w:jc w:val="both"/>
        <w:rPr>
          <w:rFonts w:eastAsia="Arial"/>
          <w:color w:val="auto"/>
        </w:rPr>
      </w:pPr>
      <w:r w:rsidRPr="00260F05">
        <w:rPr>
          <w:rFonts w:eastAsia="Arial"/>
          <w:color w:val="auto"/>
        </w:rPr>
        <w:t>The analysis will follow the 5 phases of the design process (empathise, define, ideate, prototype and test), adding market screening, causal mapping, business-model reasoning and sustainability gates. This is important because design thinking tells us how to learn about a desirable solution, however, creating a venture demands proof of technical plausibility and repeatable value capture. Furthermore, the stages are communicated in a linear fashion but are actually implemented recursively: if the tests fail, reopen the problem definition instead of just tweaking the interface (Brown, 2008; Dell'Era et al., 2020; Rösch, Tiberius and Kraus, 2023; Teece, 2010).</w:t>
      </w:r>
    </w:p>
    <w:p w:rsidR="00267A5A" w:rsidP="00267A5A" w:rsidRDefault="00267A5A" w14:paraId="2AAFDE9B" w14:textId="77777777">
      <w:pPr>
        <w:jc w:val="both"/>
        <w:rPr>
          <w:rFonts w:eastAsia="Arial"/>
          <w:color w:val="auto"/>
        </w:rPr>
      </w:pPr>
      <w:r w:rsidRPr="00260F05">
        <w:rPr>
          <w:rFonts w:eastAsia="Arial"/>
          <w:color w:val="auto"/>
        </w:rPr>
        <w:t>Peer-reviewed research and the latest data from UK public/regulatory sources are used as a basis for triangulation. There were no interviews, surveys or sales results provided, so the report avoids using invented evidence, "as-is" statements or projecting sales as observations. Thresholds are not observed results but are pre-registered decision rules. Ratings are a reasoned judgement. This boundary helps to build credibility by making uncertainty explicit and orienting the future empirical study (Verganti, Dell’Era and Swan, 2021; Micheli et al., 2019).</w:t>
      </w:r>
    </w:p>
    <w:p w:rsidR="00260F05" w:rsidP="00267A5A" w:rsidRDefault="00260F05" w14:paraId="355E90F0" w14:textId="77777777">
      <w:pPr>
        <w:jc w:val="both"/>
        <w:rPr>
          <w:rFonts w:eastAsia="Arial"/>
          <w:color w:val="auto"/>
        </w:rPr>
      </w:pPr>
    </w:p>
    <w:p w:rsidR="00260F05" w:rsidP="00267A5A" w:rsidRDefault="00260F05" w14:paraId="2CA6D061" w14:textId="77777777">
      <w:pPr>
        <w:jc w:val="both"/>
        <w:rPr>
          <w:rFonts w:eastAsia="Arial"/>
          <w:color w:val="auto"/>
        </w:rPr>
      </w:pPr>
    </w:p>
    <w:p w:rsidRPr="00260F05" w:rsidR="00260F05" w:rsidP="00267A5A" w:rsidRDefault="00260F05" w14:paraId="3997B918" w14:textId="77777777">
      <w:pPr>
        <w:jc w:val="both"/>
        <w:rPr>
          <w:rFonts w:eastAsia="Arial"/>
          <w:color w:val="auto"/>
        </w:rPr>
      </w:pPr>
    </w:p>
    <w:p w:rsidR="002E6790" w:rsidRDefault="00000000" w14:paraId="37FBA684" w14:textId="77777777">
      <w:pPr>
        <w:pStyle w:val="Heading1"/>
      </w:pPr>
      <w:bookmarkStart w:name="_Toc237560666" w:id="2"/>
      <w:r>
        <w:t>2. Task 1: UK opportunity areas through a design-thinking lens</w:t>
      </w:r>
      <w:bookmarkEnd w:id="2"/>
    </w:p>
    <w:p w:rsidR="002E6790" w:rsidRDefault="00000000" w14:paraId="4C2FF75C" w14:textId="77777777">
      <w:pPr>
        <w:pStyle w:val="Heading2"/>
      </w:pPr>
      <w:bookmarkStart w:name="_Toc237560667" w:id="3"/>
      <w:r>
        <w:t>2.1 Structural demand, pain points and technological enablers</w:t>
      </w:r>
      <w:bookmarkEnd w:id="3"/>
    </w:p>
    <w:p w:rsidRPr="00260F05" w:rsidR="00267A5A" w:rsidP="00267A5A" w:rsidRDefault="00267A5A" w14:paraId="6731635B" w14:textId="77777777">
      <w:pPr>
        <w:jc w:val="both"/>
        <w:rPr>
          <w:rFonts w:eastAsia="Arial"/>
          <w:color w:val="auto"/>
        </w:rPr>
      </w:pPr>
      <w:r w:rsidRPr="00260F05">
        <w:rPr>
          <w:rFonts w:eastAsia="Arial"/>
          <w:color w:val="auto"/>
        </w:rPr>
        <w:t>The best indicator of a market is persistence, not continuous growth. There was a pandemic discontinuity followed by a plateau (Figure 1), as online retail has not regained its 2021 peak, but neither has it returned to its 2019 base. A business with an expectation of always growing during pandemic times is over-optimistic; one with an expectation of reversion to physical stores is over-optimistic. The pertinent need is therefore reliable hybrid commerce (discovery and ordering online, but collection and delivery local) and not complete conversion of offline activity to online (Office for National Statistics, 2026; Verhoef et al., 2021).</w:t>
      </w:r>
    </w:p>
    <w:p w:rsidR="002E6790" w:rsidRDefault="00000000" w14:paraId="3BE0270C" w14:textId="77777777">
      <w:pPr>
        <w:jc w:val="center"/>
      </w:pPr>
      <w:r>
        <w:rPr>
          <w:noProof/>
        </w:rPr>
        <w:drawing>
          <wp:inline distT="0" distB="0" distL="0" distR="0" wp14:anchorId="662088EB" wp14:editId="09319C81">
            <wp:extent cx="5715000" cy="3200400"/>
            <wp:effectExtent l="0" t="0" r="0" b="0"/>
            <wp:docPr id="101" name="Editable native chart 101" descr="Line chart showing Great Britain internet retail sales share from 2019 to 202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Pr="00260F05" w:rsidR="002E6790" w:rsidP="00260F05" w:rsidRDefault="00000000" w14:paraId="2146B8C6" w14:textId="4BCB95BE">
      <w:pPr>
        <w:pStyle w:val="Caption"/>
        <w:keepNext/>
        <w:spacing w:before="60" w:after="60"/>
        <w:jc w:val="center"/>
        <w:rPr>
          <w:color w:val="auto"/>
        </w:rPr>
      </w:pPr>
      <w:r w:rsidRPr="00260F05">
        <w:rPr>
          <w:rFonts w:eastAsia="Arial"/>
          <w:color w:val="auto"/>
        </w:rPr>
        <w:t xml:space="preserve">Figure </w:t>
      </w:r>
      <w:r w:rsidRPr="00260F05">
        <w:rPr>
          <w:rFonts w:eastAsia="Arial"/>
          <w:noProof/>
          <w:color w:val="auto"/>
        </w:rPr>
        <w:t>1</w:t>
      </w:r>
      <w:r w:rsidRPr="00260F05">
        <w:rPr>
          <w:rFonts w:eastAsia="Arial"/>
          <w:color w:val="auto"/>
        </w:rPr>
        <w:t>. internet sales as a percentage of total retail sales, Great Britain, 2019–2025</w:t>
      </w:r>
    </w:p>
    <w:p w:rsidRPr="00260F05" w:rsidR="002E6790" w:rsidP="00260F05" w:rsidRDefault="00000000" w14:paraId="312B4D5C" w14:textId="5C3C7ECD">
      <w:pPr>
        <w:spacing w:before="40" w:after="140" w:line="240" w:lineRule="auto"/>
        <w:jc w:val="center"/>
        <w:rPr>
          <w:color w:val="auto"/>
        </w:rPr>
      </w:pPr>
      <w:r w:rsidRPr="00260F05">
        <w:rPr>
          <w:rFonts w:eastAsia="Arial"/>
          <w:i/>
          <w:color w:val="auto"/>
          <w:sz w:val="17"/>
        </w:rPr>
        <w:t xml:space="preserve">Source: Office for National Statistics Retail Sales Index time series J4MC (Office for National Statistics, 2026). </w:t>
      </w:r>
    </w:p>
    <w:p w:rsidRPr="00260F05" w:rsidR="00267A5A" w:rsidP="00267A5A" w:rsidRDefault="00267A5A" w14:paraId="65439C8F" w14:textId="77777777">
      <w:pPr>
        <w:jc w:val="both"/>
        <w:rPr>
          <w:rFonts w:eastAsia="Arial"/>
          <w:color w:val="auto"/>
        </w:rPr>
      </w:pPr>
      <w:r w:rsidRPr="00260F05">
        <w:rPr>
          <w:rFonts w:eastAsia="Arial"/>
          <w:color w:val="auto"/>
        </w:rPr>
        <w:t>Despite improving connectivity, the situation is patchy for rural users. Ofcom also noted that take-up of full-fibre had jumped from 28% to 35% of the homes that had access to it, and availability had risen from 57% to 69% of the UK's homes in 2024. Just 16% of rural mobile sites have 5G deployment, and Defra says the most rural sites are still behind with superfast and gigabit-capable access. Connectivity therefore is an enabler, not permission to design a permanently connected, data-heavy service; graceful failure, cached catalogues and SMS fallbacks are competitive requirements (Ofcom, 2024; Department for Environment, Food &amp; Rural Affairs, 2026).</w:t>
      </w:r>
    </w:p>
    <w:p w:rsidR="00267A5A" w:rsidRDefault="00267A5A" w14:paraId="6DDA077E" w14:textId="77777777">
      <w:pPr>
        <w:jc w:val="both"/>
      </w:pPr>
    </w:p>
    <w:p w:rsidR="002E6790" w:rsidRDefault="00000000" w14:paraId="605E5C0A" w14:textId="77777777">
      <w:pPr>
        <w:jc w:val="center"/>
      </w:pPr>
      <w:r>
        <w:rPr>
          <w:noProof/>
        </w:rPr>
        <w:drawing>
          <wp:inline distT="0" distB="0" distL="0" distR="0" wp14:anchorId="4F4DC160" wp14:editId="750068C6">
            <wp:extent cx="5715000" cy="3200400"/>
            <wp:effectExtent l="0" t="0" r="0" b="0"/>
            <wp:docPr id="102" name="Editable native chart 102" descr="Column chart comparing UK full-fibre availability and take-up in 2023 and 20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Pr="00260F05" w:rsidR="002E6790" w:rsidP="00260F05" w:rsidRDefault="00000000" w14:paraId="1EFDE1CC" w14:textId="77777777">
      <w:pPr>
        <w:pStyle w:val="Caption"/>
        <w:keepNext/>
        <w:spacing w:before="60" w:after="60"/>
        <w:jc w:val="center"/>
        <w:rPr>
          <w:color w:val="auto"/>
        </w:rPr>
      </w:pPr>
      <w:r w:rsidRPr="00260F05">
        <w:rPr>
          <w:rFonts w:eastAsia="Arial"/>
          <w:color w:val="auto"/>
        </w:rPr>
        <w:t xml:space="preserve">Figure </w:t>
      </w:r>
      <w:r w:rsidRPr="00260F05">
        <w:rPr>
          <w:rFonts w:eastAsia="Arial"/>
          <w:color w:val="auto"/>
        </w:rPr>
        <w:fldChar w:fldCharType="begin"/>
      </w:r>
      <w:r w:rsidRPr="00260F05">
        <w:rPr>
          <w:rFonts w:eastAsia="Arial"/>
          <w:color w:val="auto"/>
        </w:rPr>
        <w:instrText xml:space="preserve"> SEQ Figure \* ARABIC </w:instrText>
      </w:r>
      <w:r w:rsidRPr="00260F05">
        <w:rPr>
          <w:rFonts w:eastAsia="Arial"/>
          <w:color w:val="auto"/>
        </w:rPr>
        <w:fldChar w:fldCharType="separate"/>
      </w:r>
      <w:r w:rsidRPr="00260F05" w:rsidR="00E845B8">
        <w:rPr>
          <w:rFonts w:eastAsia="Arial"/>
          <w:noProof/>
          <w:color w:val="auto"/>
        </w:rPr>
        <w:t>2</w:t>
      </w:r>
      <w:r w:rsidRPr="00260F05">
        <w:rPr>
          <w:rFonts w:eastAsia="Arial"/>
          <w:color w:val="auto"/>
        </w:rPr>
        <w:fldChar w:fldCharType="end"/>
      </w:r>
      <w:r w:rsidRPr="00260F05">
        <w:rPr>
          <w:rFonts w:eastAsia="Arial"/>
          <w:color w:val="auto"/>
        </w:rPr>
        <w:t>. Change in UK full-fibre availability and take-up where available, 2023–2024</w:t>
      </w:r>
    </w:p>
    <w:p w:rsidRPr="00260F05" w:rsidR="002E6790" w:rsidP="00260F05" w:rsidRDefault="00000000" w14:paraId="0CCC13BF" w14:textId="77777777">
      <w:pPr>
        <w:spacing w:before="40" w:after="140" w:line="240" w:lineRule="auto"/>
        <w:jc w:val="center"/>
        <w:rPr>
          <w:color w:val="auto"/>
        </w:rPr>
      </w:pPr>
      <w:r w:rsidRPr="00260F05">
        <w:rPr>
          <w:rFonts w:eastAsia="Arial"/>
          <w:i/>
          <w:color w:val="auto"/>
          <w:sz w:val="17"/>
        </w:rPr>
        <w:t>Source: Ofcom Connected Nations 2024. “2023” availability is September 2023 and take-up is May 2023; “2024” availability is 2024 and take-up is July 2024 (Ofcom, 2024).</w:t>
      </w:r>
    </w:p>
    <w:p w:rsidRPr="00260F05" w:rsidR="00B65495" w:rsidP="00B65495" w:rsidRDefault="00B65495" w14:paraId="0C1E488D" w14:textId="77777777">
      <w:pPr>
        <w:jc w:val="both"/>
        <w:rPr>
          <w:rFonts w:eastAsia="Arial"/>
          <w:color w:val="auto"/>
        </w:rPr>
      </w:pPr>
      <w:r w:rsidRPr="00260F05">
        <w:rPr>
          <w:rFonts w:eastAsia="Arial"/>
          <w:color w:val="auto"/>
        </w:rPr>
        <w:t>There is also a user-level problem. In 2022/23, UK parcel volumes were 3.6 billion parcels, significantly higher than 2.8 billion in 2019/20, and 36% of online shoppers said they had a delivery problem in the previous month in the Citizens Advice research in 2024. The national figures do not isolate rural outcomes and therefore cannot prove a rural service gap, but they do show that scale alone has not prevented late, insecure or failed deliveries. The sparse routes also create a plausible density problem, which can only be measured locally, not assumed (Ofcom, 2023; Citizens Advice, 2024; Boysen, Fedtke and Schwerdfeger, 2021).</w:t>
      </w:r>
    </w:p>
    <w:p w:rsidR="002E6790" w:rsidRDefault="00000000" w14:paraId="00D20B9D" w14:textId="77777777">
      <w:pPr>
        <w:pStyle w:val="Heading2"/>
      </w:pPr>
      <w:bookmarkStart w:name="_Toc237560668" w:id="4"/>
      <w:r>
        <w:t>2.2 Opportunity portfolio and market-gap evaluation</w:t>
      </w:r>
      <w:bookmarkEnd w:id="4"/>
    </w:p>
    <w:p w:rsidRPr="00260F05" w:rsidR="00B65495" w:rsidP="00B65495" w:rsidRDefault="00B65495" w14:paraId="151436F7" w14:textId="77777777">
      <w:pPr>
        <w:jc w:val="both"/>
        <w:rPr>
          <w:rFonts w:eastAsia="Arial"/>
          <w:color w:val="auto"/>
        </w:rPr>
      </w:pPr>
      <w:r w:rsidRPr="00260F05">
        <w:rPr>
          <w:rFonts w:eastAsia="Arial"/>
          <w:color w:val="auto"/>
        </w:rPr>
        <w:t>Table 1 evaluates five opportunity spaces based on the indicators of desirability, feasibility, viability, scalability and sustainability. These judgements are comparative rather than size forecasts of the market. Basic e-commerce is easy to supply but offers limited differentiation; integrated payments are appealing but face complex regulation and incumbent market power, creating fixed-cost exposure before density is established; owned delivery assets offer control but face substantial entry barriers. The most feasible opening is a coordination layer that shares fulfilment and assisted commerce and uses carrier capacity without owning it (Eller et al., 2020; Teece, 2010; Boysen, Fedtke and Schwerdfeger, 2021).</w:t>
      </w:r>
    </w:p>
    <w:p w:rsidRPr="00260F05" w:rsidR="002E6790" w:rsidRDefault="00000000" w14:paraId="438D6CA9" w14:textId="77777777">
      <w:pPr>
        <w:pStyle w:val="Caption"/>
        <w:keepNext/>
        <w:spacing w:before="60" w:after="60"/>
        <w:jc w:val="center"/>
        <w:rPr>
          <w:color w:val="auto"/>
        </w:rPr>
      </w:pPr>
      <w:r w:rsidRPr="00260F05">
        <w:rPr>
          <w:rFonts w:eastAsia="Arial"/>
          <w:color w:val="auto"/>
        </w:rPr>
        <w:t xml:space="preserve">Table </w:t>
      </w:r>
      <w:r w:rsidRPr="00260F05">
        <w:rPr>
          <w:rFonts w:eastAsia="Arial"/>
          <w:color w:val="auto"/>
        </w:rPr>
        <w:fldChar w:fldCharType="begin"/>
      </w:r>
      <w:r w:rsidRPr="00260F05">
        <w:rPr>
          <w:rFonts w:eastAsia="Arial"/>
          <w:color w:val="auto"/>
        </w:rPr>
        <w:instrText xml:space="preserve"> SEQ Table \* ARABIC </w:instrText>
      </w:r>
      <w:r w:rsidRPr="00260F05">
        <w:rPr>
          <w:rFonts w:eastAsia="Arial"/>
          <w:color w:val="auto"/>
        </w:rPr>
        <w:fldChar w:fldCharType="separate"/>
      </w:r>
      <w:r w:rsidRPr="00260F05" w:rsidR="00E845B8">
        <w:rPr>
          <w:rFonts w:eastAsia="Arial"/>
          <w:noProof/>
          <w:color w:val="auto"/>
        </w:rPr>
        <w:t>1</w:t>
      </w:r>
      <w:r w:rsidRPr="00260F05">
        <w:rPr>
          <w:rFonts w:eastAsia="Arial"/>
          <w:color w:val="auto"/>
        </w:rPr>
        <w:fldChar w:fldCharType="end"/>
      </w:r>
      <w:r w:rsidRPr="00260F05">
        <w:rPr>
          <w:rFonts w:eastAsia="Arial"/>
          <w:color w:val="auto"/>
        </w:rPr>
        <w:t>. Comparative screening of UK digital-commerce opportunity areas.</w:t>
      </w:r>
    </w:p>
    <w:tbl>
      <w:tblPr>
        <w:tblStyle w:val="TableGrid"/>
        <w:tblW w:w="9360" w:type="dxa"/>
        <w:tblInd w:w="120" w:type="dxa"/>
        <w:tblLayout w:type="fixed"/>
        <w:tblLook w:val="04A0" w:firstRow="1" w:lastRow="0" w:firstColumn="1" w:lastColumn="0" w:noHBand="0" w:noVBand="1"/>
      </w:tblPr>
      <w:tblGrid>
        <w:gridCol w:w="1750"/>
        <w:gridCol w:w="1500"/>
        <w:gridCol w:w="1800"/>
        <w:gridCol w:w="1500"/>
        <w:gridCol w:w="1200"/>
        <w:gridCol w:w="1610"/>
      </w:tblGrid>
      <w:tr w:rsidR="002E6790" w14:paraId="50A24BD9" w14:textId="77777777">
        <w:trPr>
          <w:tblHeader/>
        </w:trPr>
        <w:tc>
          <w:tcPr>
            <w:tcW w:w="1750" w:type="dxa"/>
            <w:shd w:val="clear" w:color="auto" w:fill="17365D"/>
            <w:tcMar>
              <w:top w:w="90" w:type="dxa"/>
              <w:left w:w="120" w:type="dxa"/>
              <w:bottom w:w="90" w:type="dxa"/>
              <w:right w:w="120" w:type="dxa"/>
            </w:tcMar>
            <w:vAlign w:val="center"/>
          </w:tcPr>
          <w:p w:rsidR="002E6790" w:rsidP="00260F05" w:rsidRDefault="00000000" w14:paraId="238E66F3" w14:textId="77777777">
            <w:pPr>
              <w:spacing w:after="0"/>
              <w:jc w:val="center"/>
            </w:pPr>
            <w:r>
              <w:rPr>
                <w:rFonts w:eastAsia="Arial"/>
                <w:b/>
                <w:color w:val="FFFFFF"/>
                <w:sz w:val="16"/>
              </w:rPr>
              <w:t>Opportunity</w:t>
            </w:r>
          </w:p>
        </w:tc>
        <w:tc>
          <w:tcPr>
            <w:tcW w:w="1500" w:type="dxa"/>
            <w:shd w:val="clear" w:color="auto" w:fill="17365D"/>
            <w:tcMar>
              <w:top w:w="90" w:type="dxa"/>
              <w:left w:w="120" w:type="dxa"/>
              <w:bottom w:w="90" w:type="dxa"/>
              <w:right w:w="120" w:type="dxa"/>
            </w:tcMar>
            <w:vAlign w:val="center"/>
          </w:tcPr>
          <w:p w:rsidR="002E6790" w:rsidP="00260F05" w:rsidRDefault="00000000" w14:paraId="29104874" w14:textId="77777777">
            <w:pPr>
              <w:spacing w:after="0"/>
              <w:jc w:val="center"/>
            </w:pPr>
            <w:r>
              <w:rPr>
                <w:rFonts w:eastAsia="Arial"/>
                <w:b/>
                <w:color w:val="FFFFFF"/>
                <w:sz w:val="16"/>
              </w:rPr>
              <w:t>Desirability</w:t>
            </w:r>
          </w:p>
        </w:tc>
        <w:tc>
          <w:tcPr>
            <w:tcW w:w="1800" w:type="dxa"/>
            <w:shd w:val="clear" w:color="auto" w:fill="17365D"/>
            <w:tcMar>
              <w:top w:w="90" w:type="dxa"/>
              <w:left w:w="120" w:type="dxa"/>
              <w:bottom w:w="90" w:type="dxa"/>
              <w:right w:w="120" w:type="dxa"/>
            </w:tcMar>
            <w:vAlign w:val="center"/>
          </w:tcPr>
          <w:p w:rsidR="002E6790" w:rsidP="00260F05" w:rsidRDefault="00000000" w14:paraId="70B84B40" w14:textId="77777777">
            <w:pPr>
              <w:spacing w:after="0"/>
              <w:jc w:val="center"/>
            </w:pPr>
            <w:r>
              <w:rPr>
                <w:rFonts w:eastAsia="Arial"/>
                <w:b/>
                <w:color w:val="FFFFFF"/>
                <w:sz w:val="16"/>
              </w:rPr>
              <w:t>Feasibility</w:t>
            </w:r>
          </w:p>
        </w:tc>
        <w:tc>
          <w:tcPr>
            <w:tcW w:w="1500" w:type="dxa"/>
            <w:shd w:val="clear" w:color="auto" w:fill="17365D"/>
            <w:tcMar>
              <w:top w:w="90" w:type="dxa"/>
              <w:left w:w="120" w:type="dxa"/>
              <w:bottom w:w="90" w:type="dxa"/>
              <w:right w:w="120" w:type="dxa"/>
            </w:tcMar>
            <w:vAlign w:val="center"/>
          </w:tcPr>
          <w:p w:rsidR="002E6790" w:rsidP="00260F05" w:rsidRDefault="00000000" w14:paraId="692BD088" w14:textId="77777777">
            <w:pPr>
              <w:spacing w:after="0"/>
              <w:jc w:val="center"/>
            </w:pPr>
            <w:r>
              <w:rPr>
                <w:rFonts w:eastAsia="Arial"/>
                <w:b/>
                <w:color w:val="FFFFFF"/>
                <w:sz w:val="16"/>
              </w:rPr>
              <w:t>Viability</w:t>
            </w:r>
          </w:p>
        </w:tc>
        <w:tc>
          <w:tcPr>
            <w:tcW w:w="1200" w:type="dxa"/>
            <w:shd w:val="clear" w:color="auto" w:fill="17365D"/>
            <w:tcMar>
              <w:top w:w="90" w:type="dxa"/>
              <w:left w:w="120" w:type="dxa"/>
              <w:bottom w:w="90" w:type="dxa"/>
              <w:right w:w="120" w:type="dxa"/>
            </w:tcMar>
            <w:vAlign w:val="center"/>
          </w:tcPr>
          <w:p w:rsidR="002E6790" w:rsidP="00260F05" w:rsidRDefault="00000000" w14:paraId="50EBDC07" w14:textId="77777777">
            <w:pPr>
              <w:spacing w:after="0"/>
              <w:jc w:val="center"/>
            </w:pPr>
            <w:r>
              <w:rPr>
                <w:rFonts w:eastAsia="Arial"/>
                <w:b/>
                <w:color w:val="FFFFFF"/>
                <w:sz w:val="16"/>
              </w:rPr>
              <w:t>Scalability</w:t>
            </w:r>
          </w:p>
        </w:tc>
        <w:tc>
          <w:tcPr>
            <w:tcW w:w="1610" w:type="dxa"/>
            <w:shd w:val="clear" w:color="auto" w:fill="17365D"/>
            <w:tcMar>
              <w:top w:w="90" w:type="dxa"/>
              <w:left w:w="120" w:type="dxa"/>
              <w:bottom w:w="90" w:type="dxa"/>
              <w:right w:w="120" w:type="dxa"/>
            </w:tcMar>
            <w:vAlign w:val="center"/>
          </w:tcPr>
          <w:p w:rsidR="002E6790" w:rsidP="00260F05" w:rsidRDefault="00000000" w14:paraId="0364E498" w14:textId="77777777">
            <w:pPr>
              <w:spacing w:after="0"/>
              <w:jc w:val="center"/>
            </w:pPr>
            <w:r>
              <w:rPr>
                <w:rFonts w:eastAsia="Arial"/>
                <w:b/>
                <w:color w:val="FFFFFF"/>
                <w:sz w:val="16"/>
              </w:rPr>
              <w:t>Sustainability</w:t>
            </w:r>
          </w:p>
        </w:tc>
      </w:tr>
      <w:tr w:rsidR="002E6790" w14:paraId="27639015" w14:textId="77777777">
        <w:trPr>
          <w:cantSplit/>
        </w:trPr>
        <w:tc>
          <w:tcPr>
            <w:tcW w:w="1750" w:type="dxa"/>
            <w:vAlign w:val="center"/>
          </w:tcPr>
          <w:p w:rsidR="002E6790" w:rsidP="00260F05" w:rsidRDefault="00000000" w14:paraId="7D44993F" w14:textId="77777777">
            <w:pPr>
              <w:spacing w:after="0"/>
              <w:jc w:val="center"/>
            </w:pPr>
            <w:r>
              <w:rPr>
                <w:rFonts w:eastAsia="Arial"/>
                <w:sz w:val="16"/>
              </w:rPr>
              <w:t>Basic e-commerce enablement</w:t>
            </w:r>
          </w:p>
        </w:tc>
        <w:tc>
          <w:tcPr>
            <w:tcW w:w="1500" w:type="dxa"/>
            <w:vAlign w:val="center"/>
          </w:tcPr>
          <w:p w:rsidR="002E6790" w:rsidP="00260F05" w:rsidRDefault="00000000" w14:paraId="4BB808C9" w14:textId="77777777">
            <w:pPr>
              <w:spacing w:after="0"/>
            </w:pPr>
            <w:r>
              <w:rPr>
                <w:rFonts w:eastAsia="Arial"/>
                <w:sz w:val="16"/>
              </w:rPr>
              <w:t>High need; crowded offer</w:t>
            </w:r>
          </w:p>
        </w:tc>
        <w:tc>
          <w:tcPr>
            <w:tcW w:w="1800" w:type="dxa"/>
            <w:vAlign w:val="center"/>
          </w:tcPr>
          <w:p w:rsidR="002E6790" w:rsidP="00260F05" w:rsidRDefault="00000000" w14:paraId="6E35ED72" w14:textId="77777777">
            <w:pPr>
              <w:spacing w:after="0"/>
            </w:pPr>
            <w:r>
              <w:rPr>
                <w:rFonts w:eastAsia="Arial"/>
                <w:sz w:val="16"/>
              </w:rPr>
              <w:t>High</w:t>
            </w:r>
          </w:p>
        </w:tc>
        <w:tc>
          <w:tcPr>
            <w:tcW w:w="1500" w:type="dxa"/>
            <w:vAlign w:val="center"/>
          </w:tcPr>
          <w:p w:rsidR="002E6790" w:rsidP="00260F05" w:rsidRDefault="00000000" w14:paraId="25E313DE" w14:textId="77777777">
            <w:pPr>
              <w:spacing w:after="0"/>
            </w:pPr>
            <w:r>
              <w:rPr>
                <w:rFonts w:eastAsia="Arial"/>
                <w:sz w:val="16"/>
              </w:rPr>
              <w:t>Medium: low differentiation</w:t>
            </w:r>
          </w:p>
        </w:tc>
        <w:tc>
          <w:tcPr>
            <w:tcW w:w="1200" w:type="dxa"/>
            <w:vAlign w:val="center"/>
          </w:tcPr>
          <w:p w:rsidR="002E6790" w:rsidP="00260F05" w:rsidRDefault="00000000" w14:paraId="137E0364" w14:textId="77777777">
            <w:pPr>
              <w:spacing w:after="0"/>
            </w:pPr>
            <w:r>
              <w:rPr>
                <w:rFonts w:eastAsia="Arial"/>
                <w:sz w:val="16"/>
              </w:rPr>
              <w:t>High</w:t>
            </w:r>
          </w:p>
        </w:tc>
        <w:tc>
          <w:tcPr>
            <w:tcW w:w="1610" w:type="dxa"/>
            <w:vAlign w:val="center"/>
          </w:tcPr>
          <w:p w:rsidR="002E6790" w:rsidP="00260F05" w:rsidRDefault="00000000" w14:paraId="6454E1B4" w14:textId="77777777">
            <w:pPr>
              <w:spacing w:after="0"/>
            </w:pPr>
            <w:r>
              <w:rPr>
                <w:rFonts w:eastAsia="Arial"/>
                <w:sz w:val="16"/>
              </w:rPr>
              <w:t>Indirect</w:t>
            </w:r>
          </w:p>
        </w:tc>
      </w:tr>
      <w:tr w:rsidR="002E6790" w14:paraId="4C733591" w14:textId="77777777">
        <w:trPr>
          <w:cantSplit/>
        </w:trPr>
        <w:tc>
          <w:tcPr>
            <w:tcW w:w="1750" w:type="dxa"/>
            <w:shd w:val="clear" w:color="auto" w:fill="F2F4F7"/>
            <w:vAlign w:val="center"/>
          </w:tcPr>
          <w:p w:rsidR="002E6790" w:rsidP="00260F05" w:rsidRDefault="00000000" w14:paraId="319B395E" w14:textId="77777777">
            <w:pPr>
              <w:spacing w:after="0"/>
              <w:jc w:val="center"/>
            </w:pPr>
            <w:r>
              <w:rPr>
                <w:rFonts w:eastAsia="Arial"/>
                <w:sz w:val="16"/>
              </w:rPr>
              <w:t>Integrated payments and micro-finance</w:t>
            </w:r>
          </w:p>
        </w:tc>
        <w:tc>
          <w:tcPr>
            <w:tcW w:w="1500" w:type="dxa"/>
            <w:shd w:val="clear" w:color="auto" w:fill="F2F4F7"/>
            <w:vAlign w:val="center"/>
          </w:tcPr>
          <w:p w:rsidR="002E6790" w:rsidP="00260F05" w:rsidRDefault="00000000" w14:paraId="2AF4866B" w14:textId="77777777">
            <w:pPr>
              <w:spacing w:after="0"/>
            </w:pPr>
            <w:r>
              <w:rPr>
                <w:rFonts w:eastAsia="Arial"/>
                <w:sz w:val="16"/>
              </w:rPr>
              <w:t>High</w:t>
            </w:r>
          </w:p>
        </w:tc>
        <w:tc>
          <w:tcPr>
            <w:tcW w:w="1800" w:type="dxa"/>
            <w:shd w:val="clear" w:color="auto" w:fill="F2F4F7"/>
            <w:vAlign w:val="center"/>
          </w:tcPr>
          <w:p w:rsidR="002E6790" w:rsidP="00260F05" w:rsidRDefault="00000000" w14:paraId="01D5845A" w14:textId="77777777">
            <w:pPr>
              <w:spacing w:after="0"/>
            </w:pPr>
            <w:r>
              <w:rPr>
                <w:rFonts w:eastAsia="Arial"/>
                <w:sz w:val="16"/>
              </w:rPr>
              <w:t>Medium: regulated dependencies</w:t>
            </w:r>
          </w:p>
        </w:tc>
        <w:tc>
          <w:tcPr>
            <w:tcW w:w="1500" w:type="dxa"/>
            <w:shd w:val="clear" w:color="auto" w:fill="F2F4F7"/>
            <w:vAlign w:val="center"/>
          </w:tcPr>
          <w:p w:rsidR="002E6790" w:rsidP="00260F05" w:rsidRDefault="00000000" w14:paraId="77431D20" w14:textId="77777777">
            <w:pPr>
              <w:spacing w:after="0"/>
            </w:pPr>
            <w:r>
              <w:rPr>
                <w:rFonts w:eastAsia="Arial"/>
                <w:sz w:val="16"/>
              </w:rPr>
              <w:t>Medium–high</w:t>
            </w:r>
          </w:p>
        </w:tc>
        <w:tc>
          <w:tcPr>
            <w:tcW w:w="1200" w:type="dxa"/>
            <w:shd w:val="clear" w:color="auto" w:fill="F2F4F7"/>
            <w:vAlign w:val="center"/>
          </w:tcPr>
          <w:p w:rsidR="002E6790" w:rsidP="00260F05" w:rsidRDefault="00000000" w14:paraId="64C149D0" w14:textId="77777777">
            <w:pPr>
              <w:spacing w:after="0"/>
            </w:pPr>
            <w:r>
              <w:rPr>
                <w:rFonts w:eastAsia="Arial"/>
                <w:sz w:val="16"/>
              </w:rPr>
              <w:t>High</w:t>
            </w:r>
          </w:p>
        </w:tc>
        <w:tc>
          <w:tcPr>
            <w:tcW w:w="1610" w:type="dxa"/>
            <w:shd w:val="clear" w:color="auto" w:fill="F2F4F7"/>
            <w:vAlign w:val="center"/>
          </w:tcPr>
          <w:p w:rsidR="002E6790" w:rsidP="00260F05" w:rsidRDefault="00000000" w14:paraId="6639A4C6" w14:textId="77777777">
            <w:pPr>
              <w:spacing w:after="0"/>
            </w:pPr>
            <w:r>
              <w:rPr>
                <w:rFonts w:eastAsia="Arial"/>
                <w:sz w:val="16"/>
              </w:rPr>
              <w:t>Neutral unless inclusive</w:t>
            </w:r>
          </w:p>
        </w:tc>
      </w:tr>
      <w:tr w:rsidR="002E6790" w14:paraId="5D45EC2F" w14:textId="77777777">
        <w:trPr>
          <w:cantSplit/>
        </w:trPr>
        <w:tc>
          <w:tcPr>
            <w:tcW w:w="1750" w:type="dxa"/>
            <w:vAlign w:val="center"/>
          </w:tcPr>
          <w:p w:rsidR="002E6790" w:rsidP="00260F05" w:rsidRDefault="00000000" w14:paraId="7ADADC41" w14:textId="77777777">
            <w:pPr>
              <w:spacing w:after="0"/>
              <w:jc w:val="center"/>
            </w:pPr>
            <w:r>
              <w:rPr>
                <w:rFonts w:eastAsia="Arial"/>
                <w:sz w:val="16"/>
              </w:rPr>
              <w:t>Retail operations and stock tools</w:t>
            </w:r>
          </w:p>
        </w:tc>
        <w:tc>
          <w:tcPr>
            <w:tcW w:w="1500" w:type="dxa"/>
            <w:vAlign w:val="center"/>
          </w:tcPr>
          <w:p w:rsidR="002E6790" w:rsidP="00260F05" w:rsidRDefault="00000000" w14:paraId="3940AEFD" w14:textId="77777777">
            <w:pPr>
              <w:spacing w:after="0"/>
            </w:pPr>
            <w:r>
              <w:rPr>
                <w:rFonts w:eastAsia="Arial"/>
                <w:sz w:val="16"/>
              </w:rPr>
              <w:t>High for growing firms</w:t>
            </w:r>
          </w:p>
        </w:tc>
        <w:tc>
          <w:tcPr>
            <w:tcW w:w="1800" w:type="dxa"/>
            <w:vAlign w:val="center"/>
          </w:tcPr>
          <w:p w:rsidR="002E6790" w:rsidP="00260F05" w:rsidRDefault="00000000" w14:paraId="0185DFAE" w14:textId="77777777">
            <w:pPr>
              <w:spacing w:after="0"/>
            </w:pPr>
            <w:r>
              <w:rPr>
                <w:rFonts w:eastAsia="Arial"/>
                <w:sz w:val="16"/>
              </w:rPr>
              <w:t>High</w:t>
            </w:r>
          </w:p>
        </w:tc>
        <w:tc>
          <w:tcPr>
            <w:tcW w:w="1500" w:type="dxa"/>
            <w:vAlign w:val="center"/>
          </w:tcPr>
          <w:p w:rsidR="002E6790" w:rsidP="00260F05" w:rsidRDefault="00000000" w14:paraId="07E2B96E" w14:textId="77777777">
            <w:pPr>
              <w:spacing w:after="0"/>
            </w:pPr>
            <w:r>
              <w:rPr>
                <w:rFonts w:eastAsia="Arial"/>
                <w:sz w:val="16"/>
              </w:rPr>
              <w:t>Medium–high</w:t>
            </w:r>
          </w:p>
        </w:tc>
        <w:tc>
          <w:tcPr>
            <w:tcW w:w="1200" w:type="dxa"/>
            <w:vAlign w:val="center"/>
          </w:tcPr>
          <w:p w:rsidR="002E6790" w:rsidP="00260F05" w:rsidRDefault="00000000" w14:paraId="1FF072AD" w14:textId="77777777">
            <w:pPr>
              <w:spacing w:after="0"/>
            </w:pPr>
            <w:r>
              <w:rPr>
                <w:rFonts w:eastAsia="Arial"/>
                <w:sz w:val="16"/>
              </w:rPr>
              <w:t>High</w:t>
            </w:r>
          </w:p>
        </w:tc>
        <w:tc>
          <w:tcPr>
            <w:tcW w:w="1610" w:type="dxa"/>
            <w:vAlign w:val="center"/>
          </w:tcPr>
          <w:p w:rsidR="002E6790" w:rsidP="00260F05" w:rsidRDefault="00000000" w14:paraId="666C2149" w14:textId="77777777">
            <w:pPr>
              <w:spacing w:after="0"/>
            </w:pPr>
            <w:r>
              <w:rPr>
                <w:rFonts w:eastAsia="Arial"/>
                <w:sz w:val="16"/>
              </w:rPr>
              <w:t>Reduces waste if data quality holds</w:t>
            </w:r>
          </w:p>
        </w:tc>
      </w:tr>
      <w:tr w:rsidR="002E6790" w14:paraId="0D51CBBD" w14:textId="77777777">
        <w:trPr>
          <w:cantSplit/>
        </w:trPr>
        <w:tc>
          <w:tcPr>
            <w:tcW w:w="1750" w:type="dxa"/>
            <w:shd w:val="clear" w:color="auto" w:fill="F2F4F7"/>
            <w:vAlign w:val="center"/>
          </w:tcPr>
          <w:p w:rsidR="002E6790" w:rsidP="00260F05" w:rsidRDefault="00000000" w14:paraId="5E82B691" w14:textId="77777777">
            <w:pPr>
              <w:spacing w:after="0"/>
              <w:jc w:val="center"/>
            </w:pPr>
            <w:r>
              <w:rPr>
                <w:rFonts w:eastAsia="Arial"/>
                <w:sz w:val="16"/>
              </w:rPr>
              <w:t>Owned rural delivery network</w:t>
            </w:r>
          </w:p>
        </w:tc>
        <w:tc>
          <w:tcPr>
            <w:tcW w:w="1500" w:type="dxa"/>
            <w:shd w:val="clear" w:color="auto" w:fill="F2F4F7"/>
            <w:vAlign w:val="center"/>
          </w:tcPr>
          <w:p w:rsidR="002E6790" w:rsidP="00260F05" w:rsidRDefault="00000000" w14:paraId="57A2BD4E" w14:textId="77777777">
            <w:pPr>
              <w:spacing w:after="0"/>
            </w:pPr>
            <w:r>
              <w:rPr>
                <w:rFonts w:eastAsia="Arial"/>
                <w:sz w:val="16"/>
              </w:rPr>
              <w:t>High but locality-specific</w:t>
            </w:r>
          </w:p>
        </w:tc>
        <w:tc>
          <w:tcPr>
            <w:tcW w:w="1800" w:type="dxa"/>
            <w:shd w:val="clear" w:color="auto" w:fill="F2F4F7"/>
            <w:vAlign w:val="center"/>
          </w:tcPr>
          <w:p w:rsidR="002E6790" w:rsidP="00260F05" w:rsidRDefault="00000000" w14:paraId="19453101" w14:textId="77777777">
            <w:pPr>
              <w:spacing w:after="0"/>
            </w:pPr>
            <w:r>
              <w:rPr>
                <w:rFonts w:eastAsia="Arial"/>
                <w:sz w:val="16"/>
              </w:rPr>
              <w:t>Low–medium: capital intensive</w:t>
            </w:r>
          </w:p>
        </w:tc>
        <w:tc>
          <w:tcPr>
            <w:tcW w:w="1500" w:type="dxa"/>
            <w:shd w:val="clear" w:color="auto" w:fill="F2F4F7"/>
            <w:vAlign w:val="center"/>
          </w:tcPr>
          <w:p w:rsidR="002E6790" w:rsidP="00260F05" w:rsidRDefault="00000000" w14:paraId="0E75BAC6" w14:textId="77777777">
            <w:pPr>
              <w:spacing w:after="0"/>
            </w:pPr>
            <w:r>
              <w:rPr>
                <w:rFonts w:eastAsia="Arial"/>
                <w:sz w:val="16"/>
              </w:rPr>
              <w:t>Unproven before route density</w:t>
            </w:r>
          </w:p>
        </w:tc>
        <w:tc>
          <w:tcPr>
            <w:tcW w:w="1200" w:type="dxa"/>
            <w:shd w:val="clear" w:color="auto" w:fill="F2F4F7"/>
            <w:vAlign w:val="center"/>
          </w:tcPr>
          <w:p w:rsidR="002E6790" w:rsidP="00260F05" w:rsidRDefault="00000000" w14:paraId="558AF560" w14:textId="77777777">
            <w:pPr>
              <w:spacing w:after="0"/>
            </w:pPr>
            <w:r>
              <w:rPr>
                <w:rFonts w:eastAsia="Arial"/>
                <w:sz w:val="16"/>
              </w:rPr>
              <w:t>Medium</w:t>
            </w:r>
          </w:p>
        </w:tc>
        <w:tc>
          <w:tcPr>
            <w:tcW w:w="1610" w:type="dxa"/>
            <w:shd w:val="clear" w:color="auto" w:fill="F2F4F7"/>
            <w:vAlign w:val="center"/>
          </w:tcPr>
          <w:p w:rsidR="002E6790" w:rsidP="00260F05" w:rsidRDefault="00000000" w14:paraId="4EF44D99" w14:textId="77777777">
            <w:pPr>
              <w:spacing w:after="0"/>
            </w:pPr>
            <w:r>
              <w:rPr>
                <w:rFonts w:eastAsia="Arial"/>
                <w:sz w:val="16"/>
              </w:rPr>
              <w:t>Conditional on load factor</w:t>
            </w:r>
          </w:p>
        </w:tc>
      </w:tr>
      <w:tr w:rsidR="002E6790" w14:paraId="744549A7" w14:textId="77777777">
        <w:trPr>
          <w:cantSplit/>
        </w:trPr>
        <w:tc>
          <w:tcPr>
            <w:tcW w:w="1750" w:type="dxa"/>
            <w:vAlign w:val="center"/>
          </w:tcPr>
          <w:p w:rsidR="002E6790" w:rsidP="00260F05" w:rsidRDefault="00000000" w14:paraId="1601CD62" w14:textId="77777777">
            <w:pPr>
              <w:spacing w:after="0"/>
              <w:jc w:val="center"/>
            </w:pPr>
            <w:r>
              <w:rPr>
                <w:rFonts w:eastAsia="Arial"/>
                <w:sz w:val="16"/>
              </w:rPr>
              <w:t>Shared local commerce and fulfilment</w:t>
            </w:r>
          </w:p>
        </w:tc>
        <w:tc>
          <w:tcPr>
            <w:tcW w:w="1500" w:type="dxa"/>
            <w:vAlign w:val="center"/>
          </w:tcPr>
          <w:p w:rsidR="002E6790" w:rsidP="00260F05" w:rsidRDefault="00000000" w14:paraId="5E30D329" w14:textId="77777777">
            <w:pPr>
              <w:spacing w:after="0"/>
            </w:pPr>
            <w:r>
              <w:rPr>
                <w:rFonts w:eastAsia="Arial"/>
                <w:sz w:val="16"/>
              </w:rPr>
              <w:t>High across merchants and consumers</w:t>
            </w:r>
          </w:p>
        </w:tc>
        <w:tc>
          <w:tcPr>
            <w:tcW w:w="1800" w:type="dxa"/>
            <w:vAlign w:val="center"/>
          </w:tcPr>
          <w:p w:rsidR="002E6790" w:rsidP="00260F05" w:rsidRDefault="00000000" w14:paraId="1221AC55" w14:textId="77777777">
            <w:pPr>
              <w:spacing w:after="0"/>
            </w:pPr>
            <w:r>
              <w:rPr>
                <w:rFonts w:eastAsia="Arial"/>
                <w:sz w:val="16"/>
              </w:rPr>
              <w:t>Medium–high using partners</w:t>
            </w:r>
          </w:p>
        </w:tc>
        <w:tc>
          <w:tcPr>
            <w:tcW w:w="1500" w:type="dxa"/>
            <w:vAlign w:val="center"/>
          </w:tcPr>
          <w:p w:rsidR="002E6790" w:rsidP="00260F05" w:rsidRDefault="00000000" w14:paraId="30DCE397" w14:textId="77777777">
            <w:pPr>
              <w:spacing w:after="0"/>
            </w:pPr>
            <w:r>
              <w:rPr>
                <w:rFonts w:eastAsia="Arial"/>
                <w:sz w:val="16"/>
              </w:rPr>
              <w:t>Medium–high after density proof</w:t>
            </w:r>
          </w:p>
        </w:tc>
        <w:tc>
          <w:tcPr>
            <w:tcW w:w="1200" w:type="dxa"/>
            <w:vAlign w:val="center"/>
          </w:tcPr>
          <w:p w:rsidR="002E6790" w:rsidP="00260F05" w:rsidRDefault="00000000" w14:paraId="2513DFDD" w14:textId="77777777">
            <w:pPr>
              <w:spacing w:after="0"/>
            </w:pPr>
            <w:r>
              <w:rPr>
                <w:rFonts w:eastAsia="Arial"/>
                <w:sz w:val="16"/>
              </w:rPr>
              <w:t>Cluster-by-cluster</w:t>
            </w:r>
          </w:p>
        </w:tc>
        <w:tc>
          <w:tcPr>
            <w:tcW w:w="1610" w:type="dxa"/>
            <w:vAlign w:val="center"/>
          </w:tcPr>
          <w:p w:rsidR="002E6790" w:rsidP="00260F05" w:rsidRDefault="00000000" w14:paraId="067FEA1F" w14:textId="77777777">
            <w:pPr>
              <w:spacing w:after="0"/>
            </w:pPr>
            <w:r>
              <w:rPr>
                <w:rFonts w:eastAsia="Arial"/>
                <w:sz w:val="16"/>
              </w:rPr>
              <w:t>Potentially positive; must measure</w:t>
            </w:r>
          </w:p>
        </w:tc>
      </w:tr>
    </w:tbl>
    <w:p w:rsidRPr="00260F05" w:rsidR="002E6790" w:rsidP="00260F05" w:rsidRDefault="00000000" w14:paraId="212773D2" w14:textId="17D96414">
      <w:pPr>
        <w:spacing w:before="40" w:after="140" w:line="240" w:lineRule="auto"/>
        <w:jc w:val="center"/>
        <w:rPr>
          <w:color w:val="auto"/>
        </w:rPr>
      </w:pPr>
      <w:r w:rsidRPr="00260F05">
        <w:rPr>
          <w:rFonts w:eastAsia="Arial"/>
          <w:i/>
          <w:color w:val="auto"/>
          <w:sz w:val="17"/>
        </w:rPr>
        <w:t>Source: Author’s comparative synthesis of Office for National Statistics (2026), Department for Business and Trade (2025), Department for Environment, Food &amp; Rural Affairs (2026), Ofcom (2024), Eller et al. (2020) and Boysen, Fedtke and Schwerdfeger (2021).</w:t>
      </w:r>
    </w:p>
    <w:p w:rsidRPr="00260F05" w:rsidR="00B65495" w:rsidP="00B65495" w:rsidRDefault="00B65495" w14:paraId="0193055A" w14:textId="77777777">
      <w:pPr>
        <w:jc w:val="both"/>
        <w:rPr>
          <w:rFonts w:eastAsia="Arial"/>
          <w:color w:val="auto"/>
        </w:rPr>
      </w:pPr>
      <w:r w:rsidRPr="00260F05">
        <w:rPr>
          <w:rFonts w:eastAsia="Arial"/>
          <w:color w:val="auto"/>
        </w:rPr>
        <w:t>The first gap is not about the software but about the connection between software and owner workload. Alongside financial resources, the skills of the employees and the orientation of the owner-manager, digitalisation has the potential to enhance the performance of SMEs, but research also reveals that the effect of digitalisation is not independent of managerial characteristics. Onboarding, stock maintenance and exception handling can be more burdensome to the merchant than beneficial to the platform, therefore making low-price delivery unviable (Eller et al., 2020; Zahoor et al., 2023).</w:t>
      </w:r>
    </w:p>
    <w:p w:rsidRPr="00260F05" w:rsidR="00B65495" w:rsidP="00B65495" w:rsidRDefault="00B65495" w14:paraId="0040FACE" w14:textId="77777777">
      <w:pPr>
        <w:jc w:val="both"/>
        <w:rPr>
          <w:rFonts w:eastAsia="Arial"/>
          <w:color w:val="auto"/>
        </w:rPr>
      </w:pPr>
      <w:r w:rsidRPr="00260F05">
        <w:rPr>
          <w:rFonts w:eastAsia="Arial"/>
          <w:color w:val="auto"/>
        </w:rPr>
        <w:t>The second gap is cross-merchant aggregation. Individual rural shops can start individual catalogues, but each one will have to build up its own clientele, reconcile sales, and arrange deliveries individually. There are fewer high-growth businesses in rural England, despite a higher proportion of registered businesses (22%) than in urban England. RuralLoop's opportunity is to combine variety and fulfilment, and its risk is governance, with shared visibility and fees disproportionately benefiting stronger merchants if not co-designed (Department for Environment, Food &amp; Rural Affairs, 2026; Parker, Van Alstyne and Choudary, 2016).</w:t>
      </w:r>
    </w:p>
    <w:p w:rsidRPr="00260F05" w:rsidR="00B65495" w:rsidRDefault="00B65495" w14:paraId="57E271A6" w14:textId="77777777">
      <w:pPr>
        <w:jc w:val="both"/>
        <w:rPr>
          <w:rFonts w:eastAsia="Arial"/>
          <w:color w:val="auto"/>
        </w:rPr>
      </w:pPr>
      <w:r w:rsidRPr="00260F05">
        <w:rPr>
          <w:rFonts w:eastAsia="Arial"/>
          <w:color w:val="auto"/>
        </w:rPr>
        <w:t>The third gap is not a green label, but rather a coordinated approach that can be sustained. Consolidation centres, shared micro-depots and collaborative transport are identified as promising practices; however, the benefits rely on the location, consumer travel, failed-delivery rates and load factors. RuralLoop should thus prioritise measurement before claiming reductions – a vehicle-kilometre baseline and a CO2e footprint must be compared to a credible baseline. A rebound effect, which user-centred ideation may lack, has the potential to offset carrier efficiencies through additional demand or private-car trips to the collection leg (Bonilla et al., 2024; Zhang and Demir, 2025).</w:t>
      </w:r>
    </w:p>
    <w:p w:rsidR="002E6790" w:rsidRDefault="00000000" w14:paraId="252ED737" w14:textId="77777777">
      <w:pPr>
        <w:pStyle w:val="Heading2"/>
      </w:pPr>
      <w:bookmarkStart w:name="_Toc237560669" w:id="5"/>
      <w:r>
        <w:t>2.3 Prioritised opportunity</w:t>
      </w:r>
      <w:bookmarkEnd w:id="5"/>
    </w:p>
    <w:p w:rsidRPr="00260F05" w:rsidR="00751DB0" w:rsidRDefault="00231B27" w14:paraId="11032842" w14:textId="77777777">
      <w:pPr>
        <w:jc w:val="both"/>
        <w:rPr>
          <w:rFonts w:eastAsia="Arial"/>
          <w:color w:val="auto"/>
        </w:rPr>
      </w:pPr>
      <w:r w:rsidRPr="00260F05">
        <w:rPr>
          <w:rFonts w:eastAsia="Arial"/>
          <w:color w:val="auto"/>
        </w:rPr>
        <w:t xml:space="preserve">Opportunity statement: </w:t>
      </w:r>
      <w:r w:rsidRPr="00260F05" w:rsidR="00751DB0">
        <w:rPr>
          <w:rFonts w:eastAsia="Arial"/>
          <w:color w:val="auto"/>
        </w:rPr>
        <w:t>Give rural micro-retailers and local producers access to digital demand, and help them coordinate low-friction fulfilment via a low-bandwidth and shared service with existing carriers and trusted community pick-up points, rather than investing in owned logistics.</w:t>
      </w:r>
    </w:p>
    <w:p w:rsidRPr="00260F05" w:rsidR="00751DB0" w:rsidP="00751DB0" w:rsidRDefault="00751DB0" w14:paraId="412C2632" w14:textId="77777777">
      <w:pPr>
        <w:jc w:val="both"/>
        <w:rPr>
          <w:rFonts w:eastAsia="Arial"/>
          <w:color w:val="auto"/>
        </w:rPr>
      </w:pPr>
      <w:r w:rsidRPr="00260F05">
        <w:rPr>
          <w:rFonts w:eastAsia="Arial"/>
          <w:color w:val="auto"/>
        </w:rPr>
        <w:t>This opportunity ranks highest due to the persistent channel shift, coordination failure, and a clear pathway to evidence. It is more defensible than a generic shopfront, as the unit of value is the locality, one basket, shared collection windows and pooled manifests across merchants. It is more achievable than a new carrier, since the MVP uses existing capacity. However, platform effects may cause a significant cold start problem, and local density may not be replicable at the national level; scalability requires not only that it be economically feasible to launch clusters of the same type again but also that the model be economically feasible across locations (Parker, Van Alstyne and Choudary, 2016; Teece, 2010).</w:t>
      </w:r>
    </w:p>
    <w:p w:rsidR="002E6790" w:rsidRDefault="00000000" w14:paraId="55C22B2C" w14:textId="77777777">
      <w:pPr>
        <w:pStyle w:val="Heading1"/>
      </w:pPr>
      <w:bookmarkStart w:name="_Toc237560670" w:id="6"/>
      <w:r>
        <w:t>3. Task 2: Applying the five stages to RuralLoop</w:t>
      </w:r>
      <w:bookmarkEnd w:id="6"/>
    </w:p>
    <w:p w:rsidRPr="00260F05" w:rsidR="002E6790" w:rsidRDefault="00000000" w14:paraId="14FF1D1D" w14:textId="77777777">
      <w:pPr>
        <w:pStyle w:val="Caption"/>
        <w:keepNext/>
        <w:spacing w:before="60" w:after="60"/>
        <w:jc w:val="center"/>
        <w:rPr>
          <w:color w:val="auto"/>
        </w:rPr>
      </w:pPr>
      <w:r w:rsidRPr="00260F05">
        <w:rPr>
          <w:rFonts w:eastAsia="Arial"/>
          <w:color w:val="auto"/>
        </w:rPr>
        <w:t xml:space="preserve">Figure </w:t>
      </w:r>
      <w:r w:rsidRPr="00260F05">
        <w:rPr>
          <w:rFonts w:eastAsia="Arial"/>
          <w:color w:val="auto"/>
        </w:rPr>
        <w:fldChar w:fldCharType="begin"/>
      </w:r>
      <w:r w:rsidRPr="00260F05">
        <w:rPr>
          <w:rFonts w:eastAsia="Arial"/>
          <w:color w:val="auto"/>
        </w:rPr>
        <w:instrText xml:space="preserve"> SEQ Figure \* ARABIC </w:instrText>
      </w:r>
      <w:r w:rsidRPr="00260F05">
        <w:rPr>
          <w:rFonts w:eastAsia="Arial"/>
          <w:color w:val="auto"/>
        </w:rPr>
        <w:fldChar w:fldCharType="separate"/>
      </w:r>
      <w:r w:rsidRPr="00260F05" w:rsidR="00E845B8">
        <w:rPr>
          <w:rFonts w:eastAsia="Arial"/>
          <w:noProof/>
          <w:color w:val="auto"/>
        </w:rPr>
        <w:t>3</w:t>
      </w:r>
      <w:r w:rsidRPr="00260F05">
        <w:rPr>
          <w:rFonts w:eastAsia="Arial"/>
          <w:color w:val="auto"/>
        </w:rPr>
        <w:fldChar w:fldCharType="end"/>
      </w:r>
      <w:r w:rsidRPr="00260F05">
        <w:rPr>
          <w:rFonts w:eastAsia="Arial"/>
          <w:color w:val="auto"/>
        </w:rPr>
        <w:t xml:space="preserve">. Iterative design-thinking pathway used for the RuralLoop venture </w:t>
      </w:r>
    </w:p>
    <w:tbl>
      <w:tblPr>
        <w:tblW w:w="9360" w:type="dxa"/>
        <w:tblInd w:w="120" w:type="dxa"/>
        <w:tblLayout w:type="fixed"/>
        <w:tblLook w:val="04A0" w:firstRow="1" w:lastRow="0" w:firstColumn="1" w:lastColumn="0" w:noHBand="0" w:noVBand="1"/>
      </w:tblPr>
      <w:tblGrid>
        <w:gridCol w:w="1613"/>
        <w:gridCol w:w="322"/>
        <w:gridCol w:w="1613"/>
        <w:gridCol w:w="322"/>
        <w:gridCol w:w="1613"/>
        <w:gridCol w:w="322"/>
        <w:gridCol w:w="1613"/>
        <w:gridCol w:w="322"/>
        <w:gridCol w:w="1620"/>
      </w:tblGrid>
      <w:tr w:rsidR="002E6790" w14:paraId="51192A8F" w14:textId="77777777">
        <w:trPr>
          <w:cantSplit/>
        </w:trPr>
        <w:tc>
          <w:tcPr>
            <w:tcW w:w="1613" w:type="dxa"/>
            <w:shd w:val="clear" w:color="auto" w:fill="DDEBF7"/>
            <w:tcMar>
              <w:top w:w="90" w:type="dxa"/>
              <w:left w:w="120" w:type="dxa"/>
              <w:bottom w:w="90" w:type="dxa"/>
              <w:right w:w="120" w:type="dxa"/>
            </w:tcMar>
            <w:vAlign w:val="center"/>
          </w:tcPr>
          <w:p w:rsidR="002E6790" w:rsidP="00260F05" w:rsidRDefault="00000000" w14:paraId="1A0CAB1E" w14:textId="77777777">
            <w:pPr>
              <w:spacing w:after="0"/>
              <w:jc w:val="center"/>
            </w:pPr>
            <w:r>
              <w:rPr>
                <w:rFonts w:eastAsia="Arial"/>
                <w:b/>
                <w:color w:val="17365D"/>
                <w:sz w:val="18"/>
              </w:rPr>
              <w:t>Empathise</w:t>
            </w:r>
          </w:p>
        </w:tc>
        <w:tc>
          <w:tcPr>
            <w:tcW w:w="322" w:type="dxa"/>
            <w:tcMar>
              <w:top w:w="90" w:type="dxa"/>
              <w:left w:w="120" w:type="dxa"/>
              <w:bottom w:w="90" w:type="dxa"/>
              <w:right w:w="120" w:type="dxa"/>
            </w:tcMar>
            <w:vAlign w:val="center"/>
          </w:tcPr>
          <w:p w:rsidR="002E6790" w:rsidP="00260F05" w:rsidRDefault="00000000" w14:paraId="730D5F9C" w14:textId="77777777">
            <w:pPr>
              <w:spacing w:after="0"/>
              <w:jc w:val="center"/>
            </w:pPr>
            <w:r>
              <w:rPr>
                <w:rFonts w:eastAsia="Arial"/>
                <w:b/>
                <w:color w:val="2F7F7A"/>
                <w:sz w:val="28"/>
              </w:rPr>
              <w:t>→</w:t>
            </w:r>
          </w:p>
        </w:tc>
        <w:tc>
          <w:tcPr>
            <w:tcW w:w="1613" w:type="dxa"/>
            <w:shd w:val="clear" w:color="auto" w:fill="DDEBF7"/>
            <w:tcMar>
              <w:top w:w="90" w:type="dxa"/>
              <w:left w:w="120" w:type="dxa"/>
              <w:bottom w:w="90" w:type="dxa"/>
              <w:right w:w="120" w:type="dxa"/>
            </w:tcMar>
            <w:vAlign w:val="center"/>
          </w:tcPr>
          <w:p w:rsidR="002E6790" w:rsidP="00260F05" w:rsidRDefault="00000000" w14:paraId="6319C8F9" w14:textId="77777777">
            <w:pPr>
              <w:spacing w:after="0"/>
              <w:jc w:val="center"/>
            </w:pPr>
            <w:r>
              <w:rPr>
                <w:rFonts w:eastAsia="Arial"/>
                <w:b/>
                <w:color w:val="17365D"/>
                <w:sz w:val="18"/>
              </w:rPr>
              <w:t>Define</w:t>
            </w:r>
          </w:p>
        </w:tc>
        <w:tc>
          <w:tcPr>
            <w:tcW w:w="322" w:type="dxa"/>
            <w:tcMar>
              <w:top w:w="90" w:type="dxa"/>
              <w:left w:w="120" w:type="dxa"/>
              <w:bottom w:w="90" w:type="dxa"/>
              <w:right w:w="120" w:type="dxa"/>
            </w:tcMar>
            <w:vAlign w:val="center"/>
          </w:tcPr>
          <w:p w:rsidR="002E6790" w:rsidP="00260F05" w:rsidRDefault="00000000" w14:paraId="6F3FE879" w14:textId="77777777">
            <w:pPr>
              <w:spacing w:after="0"/>
              <w:jc w:val="center"/>
            </w:pPr>
            <w:r>
              <w:rPr>
                <w:rFonts w:eastAsia="Arial"/>
                <w:b/>
                <w:color w:val="2F7F7A"/>
                <w:sz w:val="28"/>
              </w:rPr>
              <w:t>→</w:t>
            </w:r>
          </w:p>
        </w:tc>
        <w:tc>
          <w:tcPr>
            <w:tcW w:w="1613" w:type="dxa"/>
            <w:shd w:val="clear" w:color="auto" w:fill="DDEBF7"/>
            <w:tcMar>
              <w:top w:w="90" w:type="dxa"/>
              <w:left w:w="120" w:type="dxa"/>
              <w:bottom w:w="90" w:type="dxa"/>
              <w:right w:w="120" w:type="dxa"/>
            </w:tcMar>
            <w:vAlign w:val="center"/>
          </w:tcPr>
          <w:p w:rsidR="002E6790" w:rsidP="00260F05" w:rsidRDefault="00000000" w14:paraId="01C65901" w14:textId="77777777">
            <w:pPr>
              <w:spacing w:after="0"/>
              <w:jc w:val="center"/>
            </w:pPr>
            <w:r>
              <w:rPr>
                <w:rFonts w:eastAsia="Arial"/>
                <w:b/>
                <w:color w:val="17365D"/>
                <w:sz w:val="18"/>
              </w:rPr>
              <w:t>Ideate</w:t>
            </w:r>
          </w:p>
        </w:tc>
        <w:tc>
          <w:tcPr>
            <w:tcW w:w="322" w:type="dxa"/>
            <w:tcMar>
              <w:top w:w="90" w:type="dxa"/>
              <w:left w:w="120" w:type="dxa"/>
              <w:bottom w:w="90" w:type="dxa"/>
              <w:right w:w="120" w:type="dxa"/>
            </w:tcMar>
            <w:vAlign w:val="center"/>
          </w:tcPr>
          <w:p w:rsidR="002E6790" w:rsidP="00260F05" w:rsidRDefault="00000000" w14:paraId="31513655" w14:textId="77777777">
            <w:pPr>
              <w:spacing w:after="0"/>
              <w:jc w:val="center"/>
            </w:pPr>
            <w:r>
              <w:rPr>
                <w:rFonts w:eastAsia="Arial"/>
                <w:b/>
                <w:color w:val="2F7F7A"/>
                <w:sz w:val="28"/>
              </w:rPr>
              <w:t>→</w:t>
            </w:r>
          </w:p>
        </w:tc>
        <w:tc>
          <w:tcPr>
            <w:tcW w:w="1613" w:type="dxa"/>
            <w:shd w:val="clear" w:color="auto" w:fill="DDEBF7"/>
            <w:tcMar>
              <w:top w:w="90" w:type="dxa"/>
              <w:left w:w="120" w:type="dxa"/>
              <w:bottom w:w="90" w:type="dxa"/>
              <w:right w:w="120" w:type="dxa"/>
            </w:tcMar>
            <w:vAlign w:val="center"/>
          </w:tcPr>
          <w:p w:rsidR="002E6790" w:rsidP="00260F05" w:rsidRDefault="00000000" w14:paraId="139E32DA" w14:textId="77777777">
            <w:pPr>
              <w:spacing w:after="0"/>
              <w:jc w:val="center"/>
            </w:pPr>
            <w:r>
              <w:rPr>
                <w:rFonts w:eastAsia="Arial"/>
                <w:b/>
                <w:color w:val="17365D"/>
                <w:sz w:val="18"/>
              </w:rPr>
              <w:t>Prototype</w:t>
            </w:r>
          </w:p>
        </w:tc>
        <w:tc>
          <w:tcPr>
            <w:tcW w:w="322" w:type="dxa"/>
            <w:tcMar>
              <w:top w:w="90" w:type="dxa"/>
              <w:left w:w="120" w:type="dxa"/>
              <w:bottom w:w="90" w:type="dxa"/>
              <w:right w:w="120" w:type="dxa"/>
            </w:tcMar>
            <w:vAlign w:val="center"/>
          </w:tcPr>
          <w:p w:rsidR="002E6790" w:rsidP="00260F05" w:rsidRDefault="00000000" w14:paraId="371182C1" w14:textId="77777777">
            <w:pPr>
              <w:spacing w:after="0"/>
              <w:jc w:val="center"/>
            </w:pPr>
            <w:r>
              <w:rPr>
                <w:rFonts w:eastAsia="Arial"/>
                <w:b/>
                <w:color w:val="2F7F7A"/>
                <w:sz w:val="28"/>
              </w:rPr>
              <w:t>→</w:t>
            </w:r>
          </w:p>
        </w:tc>
        <w:tc>
          <w:tcPr>
            <w:tcW w:w="1620" w:type="dxa"/>
            <w:shd w:val="clear" w:color="auto" w:fill="DDEBF7"/>
            <w:tcMar>
              <w:top w:w="90" w:type="dxa"/>
              <w:left w:w="120" w:type="dxa"/>
              <w:bottom w:w="90" w:type="dxa"/>
              <w:right w:w="120" w:type="dxa"/>
            </w:tcMar>
            <w:vAlign w:val="center"/>
          </w:tcPr>
          <w:p w:rsidR="002E6790" w:rsidP="00260F05" w:rsidRDefault="00000000" w14:paraId="35D1EA60" w14:textId="77777777">
            <w:pPr>
              <w:spacing w:after="0"/>
              <w:jc w:val="center"/>
            </w:pPr>
            <w:r>
              <w:rPr>
                <w:rFonts w:eastAsia="Arial"/>
                <w:b/>
                <w:color w:val="17365D"/>
                <w:sz w:val="18"/>
              </w:rPr>
              <w:t>Test</w:t>
            </w:r>
          </w:p>
        </w:tc>
      </w:tr>
    </w:tbl>
    <w:p w:rsidRPr="00260F05" w:rsidR="002E6790" w:rsidP="00AC3649" w:rsidRDefault="00000000" w14:paraId="4D8286F1" w14:textId="77777777">
      <w:pPr>
        <w:spacing w:before="40" w:after="140" w:line="240" w:lineRule="auto"/>
        <w:jc w:val="center"/>
        <w:rPr>
          <w:color w:val="auto"/>
        </w:rPr>
      </w:pPr>
      <w:r w:rsidRPr="00260F05">
        <w:rPr>
          <w:rFonts w:eastAsia="Arial"/>
          <w:i/>
          <w:color w:val="auto"/>
          <w:sz w:val="17"/>
        </w:rPr>
        <w:t>Source: Adapted from Brown (2008), IDEO.org (2015) and Micheli et al. (2019).</w:t>
      </w:r>
    </w:p>
    <w:p w:rsidR="002E6790" w:rsidRDefault="00000000" w14:paraId="237FA0F9" w14:textId="77777777">
      <w:pPr>
        <w:pStyle w:val="Heading2"/>
      </w:pPr>
      <w:bookmarkStart w:name="_Toc237560671" w:id="7"/>
      <w:r>
        <w:t>3.1 Empathise: evidence before invented personas</w:t>
      </w:r>
      <w:bookmarkEnd w:id="7"/>
    </w:p>
    <w:p w:rsidR="00B11C42" w:rsidRDefault="00B11C42" w14:paraId="724F26A1" w14:textId="77777777">
      <w:pPr>
        <w:jc w:val="both"/>
        <w:rPr>
          <w:rFonts w:eastAsia="Arial"/>
          <w:color w:val="auto"/>
        </w:rPr>
      </w:pPr>
      <w:r w:rsidRPr="00260F05">
        <w:rPr>
          <w:rFonts w:eastAsia="Arial"/>
          <w:color w:val="auto"/>
        </w:rPr>
        <w:t>Empathy should reveal practices, constraints and trade-offs, rather than just produce sympathetic profiles. The micro-retailer managing stock has little room for error; the community hub host needs clear liability, predictable volumes and predictable handovers; the carrier needs predictable volumes and accurate handovers; and the rural consumer needs access to local variety despite transport, connectivity or accessibility constraints, with predictable fulfilment and simple collection. These are deductions based on evidence, rather than interview findings (Micheli et al., 2019; Department for Business and Trade, 2025; Department for Environment, Food &amp; Rural Affairs, 2026).</w:t>
      </w:r>
    </w:p>
    <w:p w:rsidR="00260F05" w:rsidRDefault="00260F05" w14:paraId="35A5A176" w14:textId="77777777">
      <w:pPr>
        <w:jc w:val="both"/>
        <w:rPr>
          <w:rFonts w:eastAsia="Arial"/>
          <w:color w:val="auto"/>
        </w:rPr>
      </w:pPr>
    </w:p>
    <w:p w:rsidR="00260F05" w:rsidRDefault="00260F05" w14:paraId="02C52907" w14:textId="77777777">
      <w:pPr>
        <w:jc w:val="both"/>
        <w:rPr>
          <w:rFonts w:eastAsia="Arial"/>
          <w:color w:val="auto"/>
        </w:rPr>
      </w:pPr>
    </w:p>
    <w:p w:rsidRPr="00260F05" w:rsidR="00260F05" w:rsidRDefault="00260F05" w14:paraId="498DC5CC" w14:textId="77777777">
      <w:pPr>
        <w:jc w:val="both"/>
        <w:rPr>
          <w:color w:val="auto"/>
        </w:rPr>
      </w:pPr>
    </w:p>
    <w:p w:rsidR="002E6790" w:rsidRDefault="00000000" w14:paraId="6189D4D7" w14:textId="77777777">
      <w:pPr>
        <w:pStyle w:val="Caption"/>
        <w:keepNext/>
        <w:spacing w:before="60" w:after="60"/>
        <w:jc w:val="center"/>
      </w:pPr>
      <w:r>
        <w:rPr>
          <w:rFonts w:eastAsia="Arial"/>
          <w:color w:val="17365D"/>
        </w:rPr>
        <w:t xml:space="preserve">Table </w:t>
      </w:r>
      <w:r>
        <w:rPr>
          <w:rFonts w:eastAsia="Arial"/>
          <w:color w:val="17365D"/>
        </w:rPr>
        <w:fldChar w:fldCharType="begin"/>
      </w:r>
      <w:r>
        <w:rPr>
          <w:rFonts w:eastAsia="Arial"/>
          <w:color w:val="17365D"/>
        </w:rPr>
        <w:instrText xml:space="preserve"> SEQ Table \* ARABIC </w:instrText>
      </w:r>
      <w:r>
        <w:rPr>
          <w:rFonts w:eastAsia="Arial"/>
          <w:color w:val="17365D"/>
        </w:rPr>
        <w:fldChar w:fldCharType="separate"/>
      </w:r>
      <w:r w:rsidR="00E845B8">
        <w:rPr>
          <w:rFonts w:eastAsia="Arial"/>
          <w:noProof/>
          <w:color w:val="17365D"/>
        </w:rPr>
        <w:t>2</w:t>
      </w:r>
      <w:r>
        <w:rPr>
          <w:rFonts w:eastAsia="Arial"/>
          <w:color w:val="17365D"/>
        </w:rPr>
        <w:fldChar w:fldCharType="end"/>
      </w:r>
      <w:r>
        <w:rPr>
          <w:rFonts w:eastAsia="Arial"/>
        </w:rPr>
        <w:t>. Provisional stakeholder hypotheses and research priorities.</w:t>
      </w:r>
    </w:p>
    <w:tbl>
      <w:tblPr>
        <w:tblStyle w:val="TableGrid"/>
        <w:tblW w:w="9360" w:type="dxa"/>
        <w:tblInd w:w="120" w:type="dxa"/>
        <w:tblLayout w:type="fixed"/>
        <w:tblLook w:val="04A0" w:firstRow="1" w:lastRow="0" w:firstColumn="1" w:lastColumn="0" w:noHBand="0" w:noVBand="1"/>
      </w:tblPr>
      <w:tblGrid>
        <w:gridCol w:w="1750"/>
        <w:gridCol w:w="2550"/>
        <w:gridCol w:w="2250"/>
        <w:gridCol w:w="2810"/>
      </w:tblGrid>
      <w:tr w:rsidR="002E6790" w14:paraId="7AA442D0" w14:textId="77777777">
        <w:trPr>
          <w:tblHeader/>
        </w:trPr>
        <w:tc>
          <w:tcPr>
            <w:tcW w:w="1750" w:type="dxa"/>
            <w:shd w:val="clear" w:color="auto" w:fill="17365D"/>
            <w:tcMar>
              <w:top w:w="90" w:type="dxa"/>
              <w:left w:w="120" w:type="dxa"/>
              <w:bottom w:w="90" w:type="dxa"/>
              <w:right w:w="120" w:type="dxa"/>
            </w:tcMar>
            <w:vAlign w:val="center"/>
          </w:tcPr>
          <w:p w:rsidR="002E6790" w:rsidP="00260F05" w:rsidRDefault="00000000" w14:paraId="7FB71ABD" w14:textId="77777777">
            <w:pPr>
              <w:spacing w:after="0"/>
              <w:jc w:val="center"/>
            </w:pPr>
            <w:r>
              <w:rPr>
                <w:rFonts w:eastAsia="Arial"/>
                <w:b/>
                <w:color w:val="FFFFFF"/>
                <w:sz w:val="17"/>
              </w:rPr>
              <w:t>Stakeholder</w:t>
            </w:r>
          </w:p>
        </w:tc>
        <w:tc>
          <w:tcPr>
            <w:tcW w:w="2550" w:type="dxa"/>
            <w:shd w:val="clear" w:color="auto" w:fill="17365D"/>
            <w:tcMar>
              <w:top w:w="90" w:type="dxa"/>
              <w:left w:w="120" w:type="dxa"/>
              <w:bottom w:w="90" w:type="dxa"/>
              <w:right w:w="120" w:type="dxa"/>
            </w:tcMar>
            <w:vAlign w:val="center"/>
          </w:tcPr>
          <w:p w:rsidR="002E6790" w:rsidP="00260F05" w:rsidRDefault="00000000" w14:paraId="2E89AE4F" w14:textId="77777777">
            <w:pPr>
              <w:spacing w:after="0"/>
              <w:jc w:val="center"/>
            </w:pPr>
            <w:r>
              <w:rPr>
                <w:rFonts w:eastAsia="Arial"/>
                <w:b/>
                <w:color w:val="FFFFFF"/>
                <w:sz w:val="17"/>
              </w:rPr>
              <w:t>Provisional pain</w:t>
            </w:r>
          </w:p>
        </w:tc>
        <w:tc>
          <w:tcPr>
            <w:tcW w:w="2250" w:type="dxa"/>
            <w:shd w:val="clear" w:color="auto" w:fill="17365D"/>
            <w:tcMar>
              <w:top w:w="90" w:type="dxa"/>
              <w:left w:w="120" w:type="dxa"/>
              <w:bottom w:w="90" w:type="dxa"/>
              <w:right w:w="120" w:type="dxa"/>
            </w:tcMar>
            <w:vAlign w:val="center"/>
          </w:tcPr>
          <w:p w:rsidR="002E6790" w:rsidP="00260F05" w:rsidRDefault="00000000" w14:paraId="72F0EB08" w14:textId="77777777">
            <w:pPr>
              <w:spacing w:after="0"/>
              <w:jc w:val="center"/>
            </w:pPr>
            <w:r>
              <w:rPr>
                <w:rFonts w:eastAsia="Arial"/>
                <w:b/>
                <w:color w:val="FFFFFF"/>
                <w:sz w:val="17"/>
              </w:rPr>
              <w:t>Desired outcome</w:t>
            </w:r>
          </w:p>
        </w:tc>
        <w:tc>
          <w:tcPr>
            <w:tcW w:w="2810" w:type="dxa"/>
            <w:shd w:val="clear" w:color="auto" w:fill="17365D"/>
            <w:tcMar>
              <w:top w:w="90" w:type="dxa"/>
              <w:left w:w="120" w:type="dxa"/>
              <w:bottom w:w="90" w:type="dxa"/>
              <w:right w:w="120" w:type="dxa"/>
            </w:tcMar>
            <w:vAlign w:val="center"/>
          </w:tcPr>
          <w:p w:rsidR="002E6790" w:rsidP="00260F05" w:rsidRDefault="00000000" w14:paraId="1F75860C" w14:textId="77777777">
            <w:pPr>
              <w:spacing w:after="0"/>
              <w:jc w:val="center"/>
            </w:pPr>
            <w:r>
              <w:rPr>
                <w:rFonts w:eastAsia="Arial"/>
                <w:b/>
                <w:color w:val="FFFFFF"/>
                <w:sz w:val="17"/>
              </w:rPr>
              <w:t>Next evidence</w:t>
            </w:r>
          </w:p>
        </w:tc>
      </w:tr>
      <w:tr w:rsidR="002E6790" w14:paraId="2CE95A55" w14:textId="77777777">
        <w:trPr>
          <w:cantSplit/>
        </w:trPr>
        <w:tc>
          <w:tcPr>
            <w:tcW w:w="1750" w:type="dxa"/>
            <w:vAlign w:val="center"/>
          </w:tcPr>
          <w:p w:rsidR="002E6790" w:rsidP="00260F05" w:rsidRDefault="00000000" w14:paraId="0AA41835" w14:textId="77777777">
            <w:pPr>
              <w:spacing w:after="0"/>
              <w:jc w:val="center"/>
            </w:pPr>
            <w:r>
              <w:rPr>
                <w:rFonts w:eastAsia="Arial"/>
                <w:sz w:val="17"/>
              </w:rPr>
              <w:t>Micro-retailer / producer</w:t>
            </w:r>
          </w:p>
        </w:tc>
        <w:tc>
          <w:tcPr>
            <w:tcW w:w="2550" w:type="dxa"/>
            <w:vAlign w:val="center"/>
          </w:tcPr>
          <w:p w:rsidR="002E6790" w:rsidP="00260F05" w:rsidRDefault="00000000" w14:paraId="5441596F" w14:textId="77777777">
            <w:pPr>
              <w:spacing w:after="0"/>
            </w:pPr>
            <w:r>
              <w:rPr>
                <w:rFonts w:eastAsia="Arial"/>
                <w:sz w:val="17"/>
              </w:rPr>
              <w:t>Manual orders, stock mismatch, small volumes</w:t>
            </w:r>
          </w:p>
        </w:tc>
        <w:tc>
          <w:tcPr>
            <w:tcW w:w="2250" w:type="dxa"/>
            <w:vAlign w:val="center"/>
          </w:tcPr>
          <w:p w:rsidR="002E6790" w:rsidP="00260F05" w:rsidRDefault="00000000" w14:paraId="6A10C94B" w14:textId="77777777">
            <w:pPr>
              <w:spacing w:after="0"/>
            </w:pPr>
            <w:r>
              <w:rPr>
                <w:rFonts w:eastAsia="Arial"/>
                <w:sz w:val="17"/>
              </w:rPr>
              <w:t>Time saved, low learning burden</w:t>
            </w:r>
          </w:p>
        </w:tc>
        <w:tc>
          <w:tcPr>
            <w:tcW w:w="2810" w:type="dxa"/>
            <w:vAlign w:val="center"/>
          </w:tcPr>
          <w:p w:rsidR="002E6790" w:rsidP="00260F05" w:rsidRDefault="00000000" w14:paraId="21073783" w14:textId="77777777">
            <w:pPr>
              <w:spacing w:after="0"/>
            </w:pPr>
            <w:r>
              <w:rPr>
                <w:rFonts w:eastAsia="Arial"/>
                <w:sz w:val="17"/>
              </w:rPr>
              <w:t>Shadow order handling; interview four varied firms</w:t>
            </w:r>
          </w:p>
        </w:tc>
      </w:tr>
      <w:tr w:rsidR="002E6790" w14:paraId="43723ECC" w14:textId="77777777">
        <w:trPr>
          <w:cantSplit/>
        </w:trPr>
        <w:tc>
          <w:tcPr>
            <w:tcW w:w="1750" w:type="dxa"/>
            <w:shd w:val="clear" w:color="auto" w:fill="F2F4F7"/>
            <w:vAlign w:val="center"/>
          </w:tcPr>
          <w:p w:rsidR="002E6790" w:rsidP="00260F05" w:rsidRDefault="00000000" w14:paraId="0F3B3C22" w14:textId="77777777">
            <w:pPr>
              <w:spacing w:after="0"/>
              <w:jc w:val="center"/>
            </w:pPr>
            <w:r>
              <w:rPr>
                <w:rFonts w:eastAsia="Arial"/>
                <w:sz w:val="17"/>
              </w:rPr>
              <w:t>Rural consumer</w:t>
            </w:r>
          </w:p>
        </w:tc>
        <w:tc>
          <w:tcPr>
            <w:tcW w:w="2550" w:type="dxa"/>
            <w:shd w:val="clear" w:color="auto" w:fill="F2F4F7"/>
            <w:vAlign w:val="center"/>
          </w:tcPr>
          <w:p w:rsidR="002E6790" w:rsidP="00260F05" w:rsidRDefault="00000000" w14:paraId="6E7EA23D" w14:textId="77777777">
            <w:pPr>
              <w:spacing w:after="0"/>
            </w:pPr>
            <w:r>
              <w:rPr>
                <w:rFonts w:eastAsia="Arial"/>
                <w:sz w:val="17"/>
              </w:rPr>
              <w:t>Limited choice, delivery uncertainty, connectivity</w:t>
            </w:r>
          </w:p>
        </w:tc>
        <w:tc>
          <w:tcPr>
            <w:tcW w:w="2250" w:type="dxa"/>
            <w:shd w:val="clear" w:color="auto" w:fill="F2F4F7"/>
            <w:vAlign w:val="center"/>
          </w:tcPr>
          <w:p w:rsidR="002E6790" w:rsidP="00260F05" w:rsidRDefault="00000000" w14:paraId="0B22FFB7" w14:textId="77777777">
            <w:pPr>
              <w:spacing w:after="0"/>
            </w:pPr>
            <w:r>
              <w:rPr>
                <w:rFonts w:eastAsia="Arial"/>
                <w:sz w:val="17"/>
              </w:rPr>
              <w:t>Trust, accessible checkout, collection choice</w:t>
            </w:r>
          </w:p>
        </w:tc>
        <w:tc>
          <w:tcPr>
            <w:tcW w:w="2810" w:type="dxa"/>
            <w:shd w:val="clear" w:color="auto" w:fill="F2F4F7"/>
            <w:vAlign w:val="center"/>
          </w:tcPr>
          <w:p w:rsidR="002E6790" w:rsidP="00260F05" w:rsidRDefault="00000000" w14:paraId="58B8C534" w14:textId="77777777">
            <w:pPr>
              <w:spacing w:after="0"/>
            </w:pPr>
            <w:r>
              <w:rPr>
                <w:rFonts w:eastAsia="Arial"/>
                <w:sz w:val="17"/>
              </w:rPr>
              <w:t>Journey interview and low-bandwidth task test</w:t>
            </w:r>
          </w:p>
        </w:tc>
      </w:tr>
      <w:tr w:rsidR="002E6790" w14:paraId="65FF86C0" w14:textId="77777777">
        <w:trPr>
          <w:cantSplit/>
        </w:trPr>
        <w:tc>
          <w:tcPr>
            <w:tcW w:w="1750" w:type="dxa"/>
            <w:vAlign w:val="center"/>
          </w:tcPr>
          <w:p w:rsidR="002E6790" w:rsidP="00260F05" w:rsidRDefault="00000000" w14:paraId="10DFE8F6" w14:textId="77777777">
            <w:pPr>
              <w:spacing w:after="0"/>
              <w:jc w:val="center"/>
            </w:pPr>
            <w:r>
              <w:rPr>
                <w:rFonts w:eastAsia="Arial"/>
                <w:sz w:val="17"/>
              </w:rPr>
              <w:t>Carrier / courier</w:t>
            </w:r>
          </w:p>
        </w:tc>
        <w:tc>
          <w:tcPr>
            <w:tcW w:w="2550" w:type="dxa"/>
            <w:vAlign w:val="center"/>
          </w:tcPr>
          <w:p w:rsidR="002E6790" w:rsidP="00260F05" w:rsidRDefault="00000000" w14:paraId="78F8D877" w14:textId="77777777">
            <w:pPr>
              <w:spacing w:after="0"/>
            </w:pPr>
            <w:r>
              <w:rPr>
                <w:rFonts w:eastAsia="Arial"/>
                <w:sz w:val="17"/>
              </w:rPr>
              <w:t>Sparse stops, exceptions, weak handover data</w:t>
            </w:r>
          </w:p>
        </w:tc>
        <w:tc>
          <w:tcPr>
            <w:tcW w:w="2250" w:type="dxa"/>
            <w:vAlign w:val="center"/>
          </w:tcPr>
          <w:p w:rsidR="002E6790" w:rsidP="00260F05" w:rsidRDefault="00000000" w14:paraId="7D9548C9" w14:textId="77777777">
            <w:pPr>
              <w:spacing w:after="0"/>
            </w:pPr>
            <w:r>
              <w:rPr>
                <w:rFonts w:eastAsia="Arial"/>
                <w:sz w:val="17"/>
              </w:rPr>
              <w:t>Consolidated manifests and fewer failures</w:t>
            </w:r>
          </w:p>
        </w:tc>
        <w:tc>
          <w:tcPr>
            <w:tcW w:w="2810" w:type="dxa"/>
            <w:vAlign w:val="center"/>
          </w:tcPr>
          <w:p w:rsidR="002E6790" w:rsidP="00260F05" w:rsidRDefault="00000000" w14:paraId="63163516" w14:textId="77777777">
            <w:pPr>
              <w:spacing w:after="0"/>
            </w:pPr>
            <w:r>
              <w:rPr>
                <w:rFonts w:eastAsia="Arial"/>
                <w:sz w:val="17"/>
              </w:rPr>
              <w:t>Route-data workshop; interview two operators</w:t>
            </w:r>
          </w:p>
        </w:tc>
      </w:tr>
      <w:tr w:rsidR="002E6790" w14:paraId="4E43EA57" w14:textId="77777777">
        <w:trPr>
          <w:cantSplit/>
        </w:trPr>
        <w:tc>
          <w:tcPr>
            <w:tcW w:w="1750" w:type="dxa"/>
            <w:shd w:val="clear" w:color="auto" w:fill="F2F4F7"/>
            <w:vAlign w:val="center"/>
          </w:tcPr>
          <w:p w:rsidR="002E6790" w:rsidP="00260F05" w:rsidRDefault="00000000" w14:paraId="16E153F6" w14:textId="77777777">
            <w:pPr>
              <w:spacing w:after="0"/>
              <w:jc w:val="center"/>
            </w:pPr>
            <w:r>
              <w:rPr>
                <w:rFonts w:eastAsia="Arial"/>
                <w:sz w:val="17"/>
              </w:rPr>
              <w:t>Community hub host</w:t>
            </w:r>
          </w:p>
        </w:tc>
        <w:tc>
          <w:tcPr>
            <w:tcW w:w="2550" w:type="dxa"/>
            <w:shd w:val="clear" w:color="auto" w:fill="F2F4F7"/>
            <w:vAlign w:val="center"/>
          </w:tcPr>
          <w:p w:rsidR="002E6790" w:rsidP="00260F05" w:rsidRDefault="00000000" w14:paraId="5D5EC088" w14:textId="77777777">
            <w:pPr>
              <w:spacing w:after="0"/>
            </w:pPr>
            <w:r>
              <w:rPr>
                <w:rFonts w:eastAsia="Arial"/>
                <w:sz w:val="17"/>
              </w:rPr>
              <w:t>Storage, safeguarding, peaks and liability</w:t>
            </w:r>
          </w:p>
        </w:tc>
        <w:tc>
          <w:tcPr>
            <w:tcW w:w="2250" w:type="dxa"/>
            <w:shd w:val="clear" w:color="auto" w:fill="F2F4F7"/>
            <w:vAlign w:val="center"/>
          </w:tcPr>
          <w:p w:rsidR="002E6790" w:rsidP="00260F05" w:rsidRDefault="00000000" w14:paraId="170D1C24" w14:textId="77777777">
            <w:pPr>
              <w:spacing w:after="0"/>
            </w:pPr>
            <w:r>
              <w:rPr>
                <w:rFonts w:eastAsia="Arial"/>
                <w:sz w:val="17"/>
              </w:rPr>
              <w:t>Footfall and simple operating routine</w:t>
            </w:r>
          </w:p>
        </w:tc>
        <w:tc>
          <w:tcPr>
            <w:tcW w:w="2810" w:type="dxa"/>
            <w:shd w:val="clear" w:color="auto" w:fill="F2F4F7"/>
            <w:vAlign w:val="center"/>
          </w:tcPr>
          <w:p w:rsidR="002E6790" w:rsidP="00260F05" w:rsidRDefault="00000000" w14:paraId="6CFD58C8" w14:textId="77777777">
            <w:pPr>
              <w:spacing w:after="0"/>
            </w:pPr>
            <w:r>
              <w:rPr>
                <w:rFonts w:eastAsia="Arial"/>
                <w:sz w:val="17"/>
              </w:rPr>
              <w:t>Site walk-through and service blueprint</w:t>
            </w:r>
          </w:p>
        </w:tc>
      </w:tr>
    </w:tbl>
    <w:p w:rsidRPr="00260F05" w:rsidR="002E6790" w:rsidP="00260F05" w:rsidRDefault="00000000" w14:paraId="1E81E4D9" w14:textId="4882323D">
      <w:pPr>
        <w:spacing w:before="40" w:after="140" w:line="240" w:lineRule="auto"/>
        <w:jc w:val="center"/>
        <w:rPr>
          <w:color w:val="auto"/>
        </w:rPr>
      </w:pPr>
      <w:r w:rsidRPr="00260F05">
        <w:rPr>
          <w:rFonts w:eastAsia="Arial"/>
          <w:i/>
          <w:color w:val="auto"/>
          <w:sz w:val="17"/>
        </w:rPr>
        <w:t>Source: Provisional synthesis from Department for Environment, Food &amp; Rural Affairs (2026), Ofcom (2024), Citizens Advice (2024), Eller et al. (2020) and Boysen, Fedtke and Schwerdfeger (2021).</w:t>
      </w:r>
    </w:p>
    <w:p w:rsidRPr="00260F05" w:rsidR="00F0513F" w:rsidP="00F0513F" w:rsidRDefault="00F0513F" w14:paraId="7835191E" w14:textId="77777777">
      <w:pPr>
        <w:jc w:val="both"/>
        <w:rPr>
          <w:rFonts w:eastAsia="Arial"/>
          <w:color w:val="auto"/>
        </w:rPr>
      </w:pPr>
      <w:r w:rsidRPr="00260F05">
        <w:rPr>
          <w:rFonts w:eastAsia="Arial"/>
          <w:color w:val="auto"/>
        </w:rPr>
        <w:t>Discovery should involve four different types of merchants (in terms of digital maturity), four consumers (including older, disabled and low connectivity users), two delivery partners and two potential hub hosts. Contextual interviews should be conducted in a recent real journey from discovery through fulfilment while recording observations, workarounds and failure points. Twelve participants cannot estimate prevalence but can illuminate mechanisms and even conflicting needs; later, public data and behavioural tests need to be used to prevent anecdotes from dominating prioritisation (IDEO.org, 2015; Verganti, Dell'Era and Swan, 2021).</w:t>
      </w:r>
    </w:p>
    <w:p w:rsidRPr="00260F05" w:rsidR="00F0513F" w:rsidP="00F0513F" w:rsidRDefault="00F0513F" w14:paraId="28118E42" w14:textId="77777777">
      <w:pPr>
        <w:jc w:val="both"/>
        <w:rPr>
          <w:rFonts w:eastAsia="Arial"/>
          <w:color w:val="auto"/>
        </w:rPr>
      </w:pPr>
      <w:r w:rsidRPr="00260F05">
        <w:rPr>
          <w:rFonts w:eastAsia="Arial"/>
          <w:color w:val="auto"/>
        </w:rPr>
        <w:t>Empathy needs to extend to power relationships. Consumers might want low fees and fast home delivery, while merchants might want rapid order processing, couriers might resist waiting without payment, and hubs might resist storage risk. If one segment were the 'user', these transfers would be hidden. Accessible alternatives and adherence to research consent and data minimisation should be outlined prior to recruitment, consistent with UK GDPR obligations to ensure that protection is built into design through the life of the research (Information Commissioner’s Office, 2026; Baldassarre et al., 2024).</w:t>
      </w:r>
    </w:p>
    <w:p w:rsidR="002E6790" w:rsidRDefault="00000000" w14:paraId="448B4548" w14:textId="77777777">
      <w:pPr>
        <w:pStyle w:val="Heading2"/>
      </w:pPr>
      <w:bookmarkStart w:name="_Toc237560672" w:id="8"/>
      <w:r>
        <w:t>3.2 Define: problem framing and causal mapping</w:t>
      </w:r>
      <w:bookmarkEnd w:id="8"/>
    </w:p>
    <w:p w:rsidRPr="00B55F0C" w:rsidR="00F0513F" w:rsidRDefault="00F0513F" w14:paraId="2DEDA3B0" w14:textId="77777777">
      <w:pPr>
        <w:jc w:val="both"/>
        <w:rPr>
          <w:color w:val="auto"/>
        </w:rPr>
      </w:pPr>
      <w:r w:rsidRPr="00B55F0C">
        <w:rPr>
          <w:rFonts w:eastAsia="Arial"/>
          <w:color w:val="auto"/>
        </w:rPr>
        <w:t>The evidence does not show that an app is missing but rather that there is a system issue. Weak connectivity can cause loss of live inventory, limited owner capacity to manage fragmented tools, fragmented tools to lead to errors, errors to increase support needs, high costs to reduce demand, and low demand to keep costs high and, therefore, reduce uptake. The feedback connection creates a reinforcing loop that a technically well-designed platform might not be able to sever. In causal mapping, the cold start and workload transfer are made explicit, thus avoiding the team's focus on 'rural firms need an e-commerce website' (Meadows, 2008; Parker, Van Alstyne and Choudary, 2016).</w:t>
      </w:r>
    </w:p>
    <w:p w:rsidRPr="00B55F0C" w:rsidR="002E6790" w:rsidRDefault="00000000" w14:paraId="10AD6A30" w14:textId="118B0700">
      <w:pPr>
        <w:pStyle w:val="Caption"/>
        <w:keepNext/>
        <w:spacing w:before="60" w:after="60"/>
        <w:jc w:val="center"/>
        <w:rPr>
          <w:color w:val="auto"/>
        </w:rPr>
      </w:pPr>
      <w:r w:rsidRPr="00B55F0C">
        <w:rPr>
          <w:rFonts w:eastAsia="Arial"/>
          <w:color w:val="auto"/>
        </w:rPr>
        <w:t xml:space="preserve">Figure </w:t>
      </w:r>
      <w:r w:rsidRPr="00B55F0C">
        <w:rPr>
          <w:rFonts w:eastAsia="Arial"/>
          <w:color w:val="auto"/>
        </w:rPr>
        <w:fldChar w:fldCharType="begin"/>
      </w:r>
      <w:r w:rsidRPr="00B55F0C">
        <w:rPr>
          <w:rFonts w:eastAsia="Arial"/>
          <w:color w:val="auto"/>
        </w:rPr>
        <w:instrText xml:space="preserve"> SEQ Figure \* ARABIC </w:instrText>
      </w:r>
      <w:r w:rsidRPr="00B55F0C">
        <w:rPr>
          <w:rFonts w:eastAsia="Arial"/>
          <w:color w:val="auto"/>
        </w:rPr>
        <w:fldChar w:fldCharType="separate"/>
      </w:r>
      <w:r w:rsidRPr="00B55F0C" w:rsidR="00E845B8">
        <w:rPr>
          <w:rFonts w:eastAsia="Arial"/>
          <w:noProof/>
          <w:color w:val="auto"/>
        </w:rPr>
        <w:t>4</w:t>
      </w:r>
      <w:r w:rsidRPr="00B55F0C">
        <w:rPr>
          <w:rFonts w:eastAsia="Arial"/>
          <w:color w:val="auto"/>
        </w:rPr>
        <w:fldChar w:fldCharType="end"/>
      </w:r>
      <w:r w:rsidRPr="00B55F0C">
        <w:rPr>
          <w:rFonts w:eastAsia="Arial"/>
          <w:color w:val="auto"/>
        </w:rPr>
        <w:t xml:space="preserve">. Causal map of the rural commerce coordination problem </w:t>
      </w:r>
    </w:p>
    <w:tbl>
      <w:tblPr>
        <w:tblStyle w:val="TableGrid"/>
        <w:tblW w:w="9360" w:type="dxa"/>
        <w:tblInd w:w="120" w:type="dxa"/>
        <w:tblLayout w:type="fixed"/>
        <w:tblLook w:val="04A0" w:firstRow="1" w:lastRow="0" w:firstColumn="1" w:lastColumn="0" w:noHBand="0" w:noVBand="1"/>
      </w:tblPr>
      <w:tblGrid>
        <w:gridCol w:w="2450"/>
        <w:gridCol w:w="3500"/>
        <w:gridCol w:w="3410"/>
      </w:tblGrid>
      <w:tr w:rsidR="002E6790" w14:paraId="636369B0" w14:textId="77777777">
        <w:trPr>
          <w:tblHeader/>
        </w:trPr>
        <w:tc>
          <w:tcPr>
            <w:tcW w:w="2450" w:type="dxa"/>
            <w:shd w:val="clear" w:color="auto" w:fill="17365D"/>
            <w:tcMar>
              <w:top w:w="90" w:type="dxa"/>
              <w:left w:w="120" w:type="dxa"/>
              <w:bottom w:w="90" w:type="dxa"/>
              <w:right w:w="120" w:type="dxa"/>
            </w:tcMar>
            <w:vAlign w:val="center"/>
          </w:tcPr>
          <w:p w:rsidR="002E6790" w:rsidP="00B55F0C" w:rsidRDefault="00000000" w14:paraId="67CF5F58" w14:textId="77777777">
            <w:pPr>
              <w:spacing w:after="0"/>
              <w:jc w:val="center"/>
            </w:pPr>
            <w:r>
              <w:rPr>
                <w:rFonts w:eastAsia="Arial"/>
                <w:b/>
                <w:color w:val="FFFFFF"/>
                <w:sz w:val="18"/>
              </w:rPr>
              <w:t>Root condition</w:t>
            </w:r>
          </w:p>
        </w:tc>
        <w:tc>
          <w:tcPr>
            <w:tcW w:w="3500" w:type="dxa"/>
            <w:shd w:val="clear" w:color="auto" w:fill="17365D"/>
            <w:tcMar>
              <w:top w:w="90" w:type="dxa"/>
              <w:left w:w="120" w:type="dxa"/>
              <w:bottom w:w="90" w:type="dxa"/>
              <w:right w:w="120" w:type="dxa"/>
            </w:tcMar>
            <w:vAlign w:val="center"/>
          </w:tcPr>
          <w:p w:rsidR="002E6790" w:rsidP="00B55F0C" w:rsidRDefault="00000000" w14:paraId="19899DBF" w14:textId="77777777">
            <w:pPr>
              <w:spacing w:after="0"/>
              <w:jc w:val="center"/>
            </w:pPr>
            <w:r>
              <w:rPr>
                <w:rFonts w:eastAsia="Arial"/>
                <w:b/>
                <w:color w:val="FFFFFF"/>
                <w:sz w:val="18"/>
              </w:rPr>
              <w:t>Mechanism →</w:t>
            </w:r>
          </w:p>
        </w:tc>
        <w:tc>
          <w:tcPr>
            <w:tcW w:w="3410" w:type="dxa"/>
            <w:shd w:val="clear" w:color="auto" w:fill="17365D"/>
            <w:tcMar>
              <w:top w:w="90" w:type="dxa"/>
              <w:left w:w="120" w:type="dxa"/>
              <w:bottom w:w="90" w:type="dxa"/>
              <w:right w:w="120" w:type="dxa"/>
            </w:tcMar>
            <w:vAlign w:val="center"/>
          </w:tcPr>
          <w:p w:rsidR="002E6790" w:rsidP="00B55F0C" w:rsidRDefault="00000000" w14:paraId="4F7555A5" w14:textId="77777777">
            <w:pPr>
              <w:spacing w:after="0"/>
              <w:jc w:val="center"/>
            </w:pPr>
            <w:r>
              <w:rPr>
                <w:rFonts w:eastAsia="Arial"/>
                <w:b/>
                <w:color w:val="FFFFFF"/>
                <w:sz w:val="18"/>
              </w:rPr>
              <w:t>Outcome / feedback</w:t>
            </w:r>
          </w:p>
        </w:tc>
      </w:tr>
      <w:tr w:rsidR="002E6790" w14:paraId="30897B3D" w14:textId="77777777">
        <w:trPr>
          <w:cantSplit/>
        </w:trPr>
        <w:tc>
          <w:tcPr>
            <w:tcW w:w="2450" w:type="dxa"/>
            <w:vAlign w:val="center"/>
          </w:tcPr>
          <w:p w:rsidR="002E6790" w:rsidP="00B55F0C" w:rsidRDefault="00000000" w14:paraId="77DA8177" w14:textId="77777777">
            <w:pPr>
              <w:spacing w:after="0"/>
              <w:jc w:val="center"/>
            </w:pPr>
            <w:r>
              <w:rPr>
                <w:rFonts w:eastAsia="Arial"/>
                <w:sz w:val="18"/>
              </w:rPr>
              <w:t>Patchy connectivity</w:t>
            </w:r>
          </w:p>
        </w:tc>
        <w:tc>
          <w:tcPr>
            <w:tcW w:w="3500" w:type="dxa"/>
            <w:vAlign w:val="center"/>
          </w:tcPr>
          <w:p w:rsidR="002E6790" w:rsidP="00B55F0C" w:rsidRDefault="00000000" w14:paraId="14A5AE17" w14:textId="77777777">
            <w:pPr>
              <w:spacing w:after="0"/>
            </w:pPr>
            <w:r>
              <w:rPr>
                <w:rFonts w:eastAsia="Arial"/>
                <w:sz w:val="18"/>
              </w:rPr>
              <w:t>Failed synchronisation and duplicate work</w:t>
            </w:r>
          </w:p>
        </w:tc>
        <w:tc>
          <w:tcPr>
            <w:tcW w:w="3410" w:type="dxa"/>
            <w:vAlign w:val="center"/>
          </w:tcPr>
          <w:p w:rsidR="002E6790" w:rsidP="00B55F0C" w:rsidRDefault="00000000" w14:paraId="33146593" w14:textId="77777777">
            <w:pPr>
              <w:spacing w:after="0"/>
            </w:pPr>
            <w:r>
              <w:rPr>
                <w:rFonts w:eastAsia="Arial"/>
                <w:sz w:val="18"/>
              </w:rPr>
              <w:t>Low trust in digital orders</w:t>
            </w:r>
          </w:p>
        </w:tc>
      </w:tr>
      <w:tr w:rsidR="002E6790" w14:paraId="5E595F08" w14:textId="77777777">
        <w:trPr>
          <w:cantSplit/>
        </w:trPr>
        <w:tc>
          <w:tcPr>
            <w:tcW w:w="2450" w:type="dxa"/>
            <w:shd w:val="clear" w:color="auto" w:fill="F2F4F7"/>
            <w:vAlign w:val="center"/>
          </w:tcPr>
          <w:p w:rsidR="002E6790" w:rsidP="00B55F0C" w:rsidRDefault="00000000" w14:paraId="2549ADE6" w14:textId="77777777">
            <w:pPr>
              <w:spacing w:after="0"/>
              <w:jc w:val="center"/>
            </w:pPr>
            <w:r>
              <w:rPr>
                <w:rFonts w:eastAsia="Arial"/>
                <w:sz w:val="18"/>
              </w:rPr>
              <w:t>Owner-operated capacity</w:t>
            </w:r>
          </w:p>
        </w:tc>
        <w:tc>
          <w:tcPr>
            <w:tcW w:w="3500" w:type="dxa"/>
            <w:shd w:val="clear" w:color="auto" w:fill="F2F4F7"/>
            <w:vAlign w:val="center"/>
          </w:tcPr>
          <w:p w:rsidR="002E6790" w:rsidP="00B55F0C" w:rsidRDefault="00000000" w14:paraId="16A1291F" w14:textId="77777777">
            <w:pPr>
              <w:spacing w:after="0"/>
            </w:pPr>
            <w:r>
              <w:rPr>
                <w:rFonts w:eastAsia="Arial"/>
                <w:sz w:val="18"/>
              </w:rPr>
              <w:t>Multiple channels reconciled manually</w:t>
            </w:r>
          </w:p>
        </w:tc>
        <w:tc>
          <w:tcPr>
            <w:tcW w:w="3410" w:type="dxa"/>
            <w:shd w:val="clear" w:color="auto" w:fill="F2F4F7"/>
            <w:vAlign w:val="center"/>
          </w:tcPr>
          <w:p w:rsidR="002E6790" w:rsidP="00B55F0C" w:rsidRDefault="00000000" w14:paraId="3FB35890" w14:textId="77777777">
            <w:pPr>
              <w:spacing w:after="0"/>
            </w:pPr>
            <w:r>
              <w:rPr>
                <w:rFonts w:eastAsia="Arial"/>
                <w:sz w:val="18"/>
              </w:rPr>
              <w:t>Errors and hidden labour cost</w:t>
            </w:r>
          </w:p>
        </w:tc>
      </w:tr>
      <w:tr w:rsidR="002E6790" w14:paraId="2A1A798F" w14:textId="77777777">
        <w:trPr>
          <w:cantSplit/>
        </w:trPr>
        <w:tc>
          <w:tcPr>
            <w:tcW w:w="2450" w:type="dxa"/>
            <w:vAlign w:val="center"/>
          </w:tcPr>
          <w:p w:rsidR="002E6790" w:rsidP="00B55F0C" w:rsidRDefault="00000000" w14:paraId="259FA421" w14:textId="77777777">
            <w:pPr>
              <w:spacing w:after="0"/>
              <w:jc w:val="center"/>
            </w:pPr>
            <w:r>
              <w:rPr>
                <w:rFonts w:eastAsia="Arial"/>
                <w:sz w:val="18"/>
              </w:rPr>
              <w:t>Sparse local demand</w:t>
            </w:r>
          </w:p>
        </w:tc>
        <w:tc>
          <w:tcPr>
            <w:tcW w:w="3500" w:type="dxa"/>
            <w:vAlign w:val="center"/>
          </w:tcPr>
          <w:p w:rsidR="002E6790" w:rsidP="00B55F0C" w:rsidRDefault="00000000" w14:paraId="786840E1" w14:textId="77777777">
            <w:pPr>
              <w:spacing w:after="0"/>
            </w:pPr>
            <w:r>
              <w:rPr>
                <w:rFonts w:eastAsia="Arial"/>
                <w:sz w:val="18"/>
              </w:rPr>
              <w:t>High cost per stop / weak service choice</w:t>
            </w:r>
          </w:p>
        </w:tc>
        <w:tc>
          <w:tcPr>
            <w:tcW w:w="3410" w:type="dxa"/>
            <w:vAlign w:val="center"/>
          </w:tcPr>
          <w:p w:rsidR="002E6790" w:rsidP="00B55F0C" w:rsidRDefault="00000000" w14:paraId="528DEF19" w14:textId="77777777">
            <w:pPr>
              <w:spacing w:after="0"/>
            </w:pPr>
            <w:r>
              <w:rPr>
                <w:rFonts w:eastAsia="Arial"/>
                <w:sz w:val="18"/>
              </w:rPr>
              <w:t>Low consumer and merchant adoption</w:t>
            </w:r>
          </w:p>
        </w:tc>
      </w:tr>
      <w:tr w:rsidR="002E6790" w14:paraId="6B2B7BAD" w14:textId="77777777">
        <w:trPr>
          <w:cantSplit/>
        </w:trPr>
        <w:tc>
          <w:tcPr>
            <w:tcW w:w="2450" w:type="dxa"/>
            <w:shd w:val="clear" w:color="auto" w:fill="F2F4F7"/>
            <w:vAlign w:val="center"/>
          </w:tcPr>
          <w:p w:rsidR="002E6790" w:rsidP="00B55F0C" w:rsidRDefault="00000000" w14:paraId="54B636DE" w14:textId="77777777">
            <w:pPr>
              <w:spacing w:after="0"/>
              <w:jc w:val="center"/>
            </w:pPr>
            <w:r>
              <w:rPr>
                <w:rFonts w:eastAsia="Arial"/>
                <w:sz w:val="18"/>
              </w:rPr>
              <w:t>Low adoption (feedback)</w:t>
            </w:r>
          </w:p>
        </w:tc>
        <w:tc>
          <w:tcPr>
            <w:tcW w:w="3500" w:type="dxa"/>
            <w:shd w:val="clear" w:color="auto" w:fill="F2F4F7"/>
            <w:vAlign w:val="center"/>
          </w:tcPr>
          <w:p w:rsidR="002E6790" w:rsidP="00B55F0C" w:rsidRDefault="00000000" w14:paraId="6D63CD45" w14:textId="77777777">
            <w:pPr>
              <w:spacing w:after="0"/>
            </w:pPr>
            <w:r>
              <w:rPr>
                <w:rFonts w:eastAsia="Arial"/>
                <w:sz w:val="18"/>
              </w:rPr>
              <w:t>Demand remains fragmented</w:t>
            </w:r>
          </w:p>
        </w:tc>
        <w:tc>
          <w:tcPr>
            <w:tcW w:w="3410" w:type="dxa"/>
            <w:shd w:val="clear" w:color="auto" w:fill="F2F4F7"/>
            <w:vAlign w:val="center"/>
          </w:tcPr>
          <w:p w:rsidR="002E6790" w:rsidP="00B55F0C" w:rsidRDefault="00000000" w14:paraId="28C6BC1D" w14:textId="77777777">
            <w:pPr>
              <w:spacing w:after="0"/>
            </w:pPr>
            <w:r>
              <w:rPr>
                <w:rFonts w:eastAsia="Arial"/>
                <w:sz w:val="18"/>
              </w:rPr>
              <w:t>Sparse local demand is reinforced</w:t>
            </w:r>
          </w:p>
        </w:tc>
      </w:tr>
    </w:tbl>
    <w:p w:rsidRPr="00B55F0C" w:rsidR="002E6790" w:rsidP="00B55F0C" w:rsidRDefault="00000000" w14:paraId="7E347F33" w14:textId="647063AC">
      <w:pPr>
        <w:spacing w:before="40" w:after="140" w:line="240" w:lineRule="auto"/>
        <w:jc w:val="center"/>
        <w:rPr>
          <w:color w:val="auto"/>
        </w:rPr>
      </w:pPr>
      <w:r w:rsidRPr="00B55F0C">
        <w:rPr>
          <w:rFonts w:eastAsia="Arial"/>
          <w:i/>
          <w:color w:val="auto"/>
          <w:sz w:val="17"/>
        </w:rPr>
        <w:t xml:space="preserve">Source: Author’s causal synthesis drawing on Department for Environment, Food &amp; Rural Affairs (2026), Ofcom (2024), Eller et al. (2020) and Parker, Van Alstyne and Choudary (2016). </w:t>
      </w:r>
    </w:p>
    <w:p w:rsidRPr="00C25EED" w:rsidR="00650905" w:rsidRDefault="00DD7ED9" w14:paraId="3F00C256" w14:textId="77777777">
      <w:pPr>
        <w:jc w:val="both"/>
        <w:rPr>
          <w:rFonts w:eastAsia="Arial"/>
          <w:color w:val="auto"/>
        </w:rPr>
      </w:pPr>
      <w:r>
        <w:rPr>
          <w:rFonts w:eastAsia="Arial"/>
        </w:rPr>
        <w:t xml:space="preserve">Point-of-view problem statement: Time-poor rural micro-retailers and producers need a low-skill </w:t>
      </w:r>
      <w:r w:rsidRPr="00C25EED">
        <w:rPr>
          <w:rFonts w:eastAsia="Arial"/>
          <w:color w:val="auto"/>
        </w:rPr>
        <w:t>solution to centralise local web demand and delegate fulfilment, due to the high cost and unreliability of each transaction when they operate single stores, handle orders through messaging and face sparse delivery routes; any solution must be able to function with weak connections, secure stakeholder data and prove density before committing to ownership.</w:t>
      </w:r>
    </w:p>
    <w:p w:rsidRPr="00C25EED" w:rsidR="00626CF0" w:rsidP="00626CF0" w:rsidRDefault="00626CF0" w14:paraId="1B2C2BFF" w14:textId="77777777">
      <w:pPr>
        <w:jc w:val="both"/>
        <w:rPr>
          <w:rFonts w:eastAsia="Arial"/>
          <w:color w:val="auto"/>
        </w:rPr>
      </w:pPr>
      <w:r w:rsidRPr="00C25EED">
        <w:rPr>
          <w:rFonts w:eastAsia="Arial"/>
          <w:color w:val="auto"/>
        </w:rPr>
        <w:t>This frame intentionally omits 'build a marketplace' from the problem statement and leaves the alternatives intact. It also identifies constraints that might challenge the concept, such as merchants not sharing a channel, consumers preferring national marketplaces, hubs not taking responsibility for delivery liability, and carriers not providing usable interfaces. An inspirational definition is not a good one; it is contestable and testable. The ambiguity of design thinking is beneficial only when converted into operational assumptions and evidence priorities (Rösch, Tiberius and Kraus, 2023; Verganti, Dell'Era and Swan, 2021).</w:t>
      </w:r>
    </w:p>
    <w:p w:rsidR="002E6790" w:rsidRDefault="00000000" w14:paraId="08A08572" w14:textId="77777777">
      <w:pPr>
        <w:pStyle w:val="Heading2"/>
      </w:pPr>
      <w:bookmarkStart w:name="_Toc237560673" w:id="9"/>
      <w:r>
        <w:t>3.3 Ideate: divergent options and disciplined convergence</w:t>
      </w:r>
      <w:bookmarkEnd w:id="9"/>
    </w:p>
    <w:p w:rsidRPr="00CA1806" w:rsidR="00626CF0" w:rsidP="00626CF0" w:rsidRDefault="00626CF0" w14:paraId="112C158C" w14:textId="77777777">
      <w:pPr>
        <w:jc w:val="both"/>
        <w:rPr>
          <w:rFonts w:eastAsia="Arial"/>
          <w:color w:val="auto"/>
        </w:rPr>
      </w:pPr>
      <w:r w:rsidRPr="00CA1806">
        <w:rPr>
          <w:rFonts w:eastAsia="Arial"/>
          <w:color w:val="auto"/>
        </w:rPr>
        <w:t>The 'How might we' question is, 'How could rural merchants combine demand and fulfilment without losing their customers or incurring carrier-level capital expenditure?' Brainwriting (silent brainstorming) should precede discussion, with the aim of minimising the anchoring effect, and be followed by discussion using prompts (SCAMPER) and analogies from click-and-collect baskets, parcel shops and cooperative purchasing. Ideas should be combined prior to evaluation, and it is important to remember that a good idea may not be a new technology; it can be a service configuration (Brown and Wyatt, 2009; Micheli et al., 2019).</w:t>
      </w:r>
    </w:p>
    <w:p w:rsidRPr="00FE3094" w:rsidR="002E6790" w:rsidRDefault="00000000" w14:paraId="63435900" w14:textId="77777777">
      <w:pPr>
        <w:pStyle w:val="Caption"/>
        <w:keepNext/>
        <w:spacing w:before="60" w:after="60"/>
        <w:jc w:val="center"/>
        <w:rPr>
          <w:color w:val="auto"/>
        </w:rPr>
      </w:pPr>
      <w:r w:rsidRPr="00FE3094">
        <w:rPr>
          <w:rFonts w:eastAsia="Arial"/>
          <w:color w:val="auto"/>
        </w:rPr>
        <w:t xml:space="preserve">Table </w:t>
      </w:r>
      <w:r w:rsidRPr="00FE3094">
        <w:rPr>
          <w:rFonts w:eastAsia="Arial"/>
          <w:color w:val="auto"/>
        </w:rPr>
        <w:fldChar w:fldCharType="begin"/>
      </w:r>
      <w:r w:rsidRPr="00FE3094">
        <w:rPr>
          <w:rFonts w:eastAsia="Arial"/>
          <w:color w:val="auto"/>
        </w:rPr>
        <w:instrText xml:space="preserve"> SEQ Table \* ARABIC </w:instrText>
      </w:r>
      <w:r w:rsidRPr="00FE3094">
        <w:rPr>
          <w:rFonts w:eastAsia="Arial"/>
          <w:color w:val="auto"/>
        </w:rPr>
        <w:fldChar w:fldCharType="separate"/>
      </w:r>
      <w:r w:rsidRPr="00FE3094" w:rsidR="00E845B8">
        <w:rPr>
          <w:rFonts w:eastAsia="Arial"/>
          <w:noProof/>
          <w:color w:val="auto"/>
        </w:rPr>
        <w:t>3</w:t>
      </w:r>
      <w:r w:rsidRPr="00FE3094">
        <w:rPr>
          <w:rFonts w:eastAsia="Arial"/>
          <w:color w:val="auto"/>
        </w:rPr>
        <w:fldChar w:fldCharType="end"/>
      </w:r>
      <w:r w:rsidRPr="00FE3094">
        <w:rPr>
          <w:rFonts w:eastAsia="Arial"/>
          <w:color w:val="auto"/>
        </w:rPr>
        <w:t>. Brainstorming output and evidence-led convergence.</w:t>
      </w:r>
    </w:p>
    <w:tbl>
      <w:tblPr>
        <w:tblStyle w:val="TableGrid"/>
        <w:tblW w:w="9360" w:type="dxa"/>
        <w:tblInd w:w="120" w:type="dxa"/>
        <w:tblLayout w:type="fixed"/>
        <w:tblLook w:val="04A0" w:firstRow="1" w:lastRow="0" w:firstColumn="1" w:lastColumn="0" w:noHBand="0" w:noVBand="1"/>
      </w:tblPr>
      <w:tblGrid>
        <w:gridCol w:w="2100"/>
        <w:gridCol w:w="2850"/>
        <w:gridCol w:w="3000"/>
        <w:gridCol w:w="1410"/>
      </w:tblGrid>
      <w:tr w:rsidR="002E6790" w:rsidTr="00A51AEF" w14:paraId="6EEB468D" w14:textId="77777777">
        <w:trPr>
          <w:tblHeader/>
        </w:trPr>
        <w:tc>
          <w:tcPr>
            <w:tcW w:w="2100" w:type="dxa"/>
            <w:shd w:val="clear" w:color="auto" w:fill="943634" w:themeFill="accent2" w:themeFillShade="BF"/>
            <w:tcMar>
              <w:top w:w="90" w:type="dxa"/>
              <w:left w:w="120" w:type="dxa"/>
              <w:bottom w:w="90" w:type="dxa"/>
              <w:right w:w="120" w:type="dxa"/>
            </w:tcMar>
            <w:vAlign w:val="center"/>
          </w:tcPr>
          <w:p w:rsidR="002E6790" w:rsidRDefault="00000000" w14:paraId="29BA373C" w14:textId="77777777">
            <w:pPr>
              <w:spacing w:after="0" w:line="252" w:lineRule="auto"/>
              <w:jc w:val="center"/>
            </w:pPr>
            <w:r>
              <w:rPr>
                <w:rFonts w:eastAsia="Arial"/>
                <w:b/>
                <w:color w:val="FFFFFF"/>
                <w:sz w:val="17"/>
              </w:rPr>
              <w:t>Concept</w:t>
            </w:r>
          </w:p>
        </w:tc>
        <w:tc>
          <w:tcPr>
            <w:tcW w:w="2850" w:type="dxa"/>
            <w:shd w:val="clear" w:color="auto" w:fill="943634" w:themeFill="accent2" w:themeFillShade="BF"/>
            <w:tcMar>
              <w:top w:w="90" w:type="dxa"/>
              <w:left w:w="120" w:type="dxa"/>
              <w:bottom w:w="90" w:type="dxa"/>
              <w:right w:w="120" w:type="dxa"/>
            </w:tcMar>
            <w:vAlign w:val="center"/>
          </w:tcPr>
          <w:p w:rsidR="002E6790" w:rsidRDefault="00000000" w14:paraId="67E5B14A" w14:textId="77777777">
            <w:pPr>
              <w:spacing w:after="0" w:line="252" w:lineRule="auto"/>
              <w:jc w:val="center"/>
            </w:pPr>
            <w:r>
              <w:rPr>
                <w:rFonts w:eastAsia="Arial"/>
                <w:b/>
                <w:color w:val="FFFFFF"/>
                <w:sz w:val="17"/>
              </w:rPr>
              <w:t>Value</w:t>
            </w:r>
          </w:p>
        </w:tc>
        <w:tc>
          <w:tcPr>
            <w:tcW w:w="3000" w:type="dxa"/>
            <w:shd w:val="clear" w:color="auto" w:fill="943634" w:themeFill="accent2" w:themeFillShade="BF"/>
            <w:tcMar>
              <w:top w:w="90" w:type="dxa"/>
              <w:left w:w="120" w:type="dxa"/>
              <w:bottom w:w="90" w:type="dxa"/>
              <w:right w:w="120" w:type="dxa"/>
            </w:tcMar>
            <w:vAlign w:val="center"/>
          </w:tcPr>
          <w:p w:rsidR="002E6790" w:rsidRDefault="00000000" w14:paraId="71CF626F" w14:textId="77777777">
            <w:pPr>
              <w:spacing w:after="0" w:line="252" w:lineRule="auto"/>
              <w:jc w:val="center"/>
            </w:pPr>
            <w:r>
              <w:rPr>
                <w:rFonts w:eastAsia="Arial"/>
                <w:b/>
                <w:color w:val="FFFFFF"/>
                <w:sz w:val="17"/>
              </w:rPr>
              <w:t>Critical weakness</w:t>
            </w:r>
          </w:p>
        </w:tc>
        <w:tc>
          <w:tcPr>
            <w:tcW w:w="1410" w:type="dxa"/>
            <w:shd w:val="clear" w:color="auto" w:fill="943634" w:themeFill="accent2" w:themeFillShade="BF"/>
            <w:tcMar>
              <w:top w:w="90" w:type="dxa"/>
              <w:left w:w="120" w:type="dxa"/>
              <w:bottom w:w="90" w:type="dxa"/>
              <w:right w:w="120" w:type="dxa"/>
            </w:tcMar>
            <w:vAlign w:val="center"/>
          </w:tcPr>
          <w:p w:rsidR="002E6790" w:rsidRDefault="00000000" w14:paraId="3C003482" w14:textId="77777777">
            <w:pPr>
              <w:spacing w:after="0" w:line="252" w:lineRule="auto"/>
              <w:jc w:val="center"/>
            </w:pPr>
            <w:r>
              <w:rPr>
                <w:rFonts w:eastAsia="Arial"/>
                <w:b/>
                <w:color w:val="FFFFFF"/>
                <w:sz w:val="17"/>
              </w:rPr>
              <w:t>Decision</w:t>
            </w:r>
          </w:p>
        </w:tc>
      </w:tr>
      <w:tr w:rsidR="002E6790" w14:paraId="5415F162" w14:textId="77777777">
        <w:trPr>
          <w:cantSplit/>
        </w:trPr>
        <w:tc>
          <w:tcPr>
            <w:tcW w:w="2100" w:type="dxa"/>
            <w:vAlign w:val="center"/>
          </w:tcPr>
          <w:p w:rsidR="002E6790" w:rsidRDefault="00000000" w14:paraId="52FE7B91" w14:textId="77777777">
            <w:pPr>
              <w:spacing w:after="0" w:line="259" w:lineRule="auto"/>
              <w:jc w:val="center"/>
            </w:pPr>
            <w:r>
              <w:rPr>
                <w:rFonts w:eastAsia="Arial"/>
                <w:sz w:val="17"/>
              </w:rPr>
              <w:t>Generic webshop builder</w:t>
            </w:r>
          </w:p>
        </w:tc>
        <w:tc>
          <w:tcPr>
            <w:tcW w:w="2850" w:type="dxa"/>
            <w:vAlign w:val="center"/>
          </w:tcPr>
          <w:p w:rsidR="002E6790" w:rsidRDefault="00000000" w14:paraId="07D75CB2" w14:textId="77777777">
            <w:pPr>
              <w:spacing w:after="0" w:line="259" w:lineRule="auto"/>
            </w:pPr>
            <w:r>
              <w:rPr>
                <w:rFonts w:eastAsia="Arial"/>
                <w:sz w:val="17"/>
              </w:rPr>
              <w:t>Fast and feasible</w:t>
            </w:r>
          </w:p>
        </w:tc>
        <w:tc>
          <w:tcPr>
            <w:tcW w:w="3000" w:type="dxa"/>
            <w:vAlign w:val="center"/>
          </w:tcPr>
          <w:p w:rsidR="002E6790" w:rsidRDefault="00000000" w14:paraId="6C0BC52B" w14:textId="77777777">
            <w:pPr>
              <w:spacing w:after="0" w:line="259" w:lineRule="auto"/>
            </w:pPr>
            <w:r>
              <w:rPr>
                <w:rFonts w:eastAsia="Arial"/>
                <w:sz w:val="17"/>
              </w:rPr>
              <w:t>Crowded; does not solve aggregation</w:t>
            </w:r>
          </w:p>
        </w:tc>
        <w:tc>
          <w:tcPr>
            <w:tcW w:w="1410" w:type="dxa"/>
            <w:vAlign w:val="center"/>
          </w:tcPr>
          <w:p w:rsidR="002E6790" w:rsidRDefault="00000000" w14:paraId="1A97FEC8" w14:textId="77777777">
            <w:pPr>
              <w:spacing w:after="0" w:line="259" w:lineRule="auto"/>
            </w:pPr>
            <w:r>
              <w:rPr>
                <w:rFonts w:eastAsia="Arial"/>
                <w:sz w:val="17"/>
              </w:rPr>
              <w:t>Reject as core</w:t>
            </w:r>
          </w:p>
        </w:tc>
      </w:tr>
      <w:tr w:rsidR="002E6790" w14:paraId="349B796B" w14:textId="77777777">
        <w:trPr>
          <w:cantSplit/>
        </w:trPr>
        <w:tc>
          <w:tcPr>
            <w:tcW w:w="2100" w:type="dxa"/>
            <w:shd w:val="clear" w:color="auto" w:fill="F2F4F7"/>
            <w:vAlign w:val="center"/>
          </w:tcPr>
          <w:p w:rsidR="002E6790" w:rsidRDefault="00000000" w14:paraId="68DA1551" w14:textId="77777777">
            <w:pPr>
              <w:spacing w:after="0" w:line="259" w:lineRule="auto"/>
              <w:jc w:val="center"/>
            </w:pPr>
            <w:r>
              <w:rPr>
                <w:rFonts w:eastAsia="Arial"/>
                <w:sz w:val="17"/>
              </w:rPr>
              <w:t>RuralLoop coordination layer</w:t>
            </w:r>
          </w:p>
        </w:tc>
        <w:tc>
          <w:tcPr>
            <w:tcW w:w="2850" w:type="dxa"/>
            <w:shd w:val="clear" w:color="auto" w:fill="F2F4F7"/>
            <w:vAlign w:val="center"/>
          </w:tcPr>
          <w:p w:rsidR="002E6790" w:rsidRDefault="00000000" w14:paraId="1170A0AA" w14:textId="77777777">
            <w:pPr>
              <w:spacing w:after="0" w:line="259" w:lineRule="auto"/>
            </w:pPr>
            <w:r>
              <w:rPr>
                <w:rFonts w:eastAsia="Arial"/>
                <w:sz w:val="17"/>
              </w:rPr>
              <w:t>Pools catalogue, orders, hubs and carrier handoff</w:t>
            </w:r>
          </w:p>
        </w:tc>
        <w:tc>
          <w:tcPr>
            <w:tcW w:w="3000" w:type="dxa"/>
            <w:shd w:val="clear" w:color="auto" w:fill="F2F4F7"/>
            <w:vAlign w:val="center"/>
          </w:tcPr>
          <w:p w:rsidR="002E6790" w:rsidRDefault="00000000" w14:paraId="28D0643D" w14:textId="77777777">
            <w:pPr>
              <w:spacing w:after="0" w:line="259" w:lineRule="auto"/>
            </w:pPr>
            <w:r>
              <w:rPr>
                <w:rFonts w:eastAsia="Arial"/>
                <w:sz w:val="17"/>
              </w:rPr>
              <w:t>Cold start and governance</w:t>
            </w:r>
          </w:p>
        </w:tc>
        <w:tc>
          <w:tcPr>
            <w:tcW w:w="1410" w:type="dxa"/>
            <w:shd w:val="clear" w:color="auto" w:fill="F2F4F7"/>
            <w:vAlign w:val="center"/>
          </w:tcPr>
          <w:p w:rsidR="002E6790" w:rsidRDefault="00000000" w14:paraId="5DA240C4" w14:textId="77777777">
            <w:pPr>
              <w:spacing w:after="0" w:line="259" w:lineRule="auto"/>
            </w:pPr>
            <w:r>
              <w:rPr>
                <w:rFonts w:eastAsia="Arial"/>
                <w:sz w:val="17"/>
              </w:rPr>
              <w:t>Select for MVP</w:t>
            </w:r>
          </w:p>
        </w:tc>
      </w:tr>
      <w:tr w:rsidR="002E6790" w14:paraId="38A866B9" w14:textId="77777777">
        <w:trPr>
          <w:cantSplit/>
        </w:trPr>
        <w:tc>
          <w:tcPr>
            <w:tcW w:w="2100" w:type="dxa"/>
            <w:vAlign w:val="center"/>
          </w:tcPr>
          <w:p w:rsidR="002E6790" w:rsidRDefault="00000000" w14:paraId="4B8DCC05" w14:textId="77777777">
            <w:pPr>
              <w:spacing w:after="0" w:line="259" w:lineRule="auto"/>
              <w:jc w:val="center"/>
            </w:pPr>
            <w:r>
              <w:rPr>
                <w:rFonts w:eastAsia="Arial"/>
                <w:sz w:val="17"/>
              </w:rPr>
              <w:t>Owned electric delivery fleet</w:t>
            </w:r>
          </w:p>
        </w:tc>
        <w:tc>
          <w:tcPr>
            <w:tcW w:w="2850" w:type="dxa"/>
            <w:vAlign w:val="center"/>
          </w:tcPr>
          <w:p w:rsidR="002E6790" w:rsidRDefault="00000000" w14:paraId="19D8C6F7" w14:textId="77777777">
            <w:pPr>
              <w:spacing w:after="0" w:line="259" w:lineRule="auto"/>
            </w:pPr>
            <w:r>
              <w:rPr>
                <w:rFonts w:eastAsia="Arial"/>
                <w:sz w:val="17"/>
              </w:rPr>
              <w:t>Control and branding</w:t>
            </w:r>
          </w:p>
        </w:tc>
        <w:tc>
          <w:tcPr>
            <w:tcW w:w="3000" w:type="dxa"/>
            <w:vAlign w:val="center"/>
          </w:tcPr>
          <w:p w:rsidR="002E6790" w:rsidRDefault="00000000" w14:paraId="2C55C1D5" w14:textId="77777777">
            <w:pPr>
              <w:spacing w:after="0" w:line="259" w:lineRule="auto"/>
            </w:pPr>
            <w:r>
              <w:rPr>
                <w:rFonts w:eastAsia="Arial"/>
                <w:sz w:val="17"/>
              </w:rPr>
              <w:t>Capital and density risk</w:t>
            </w:r>
          </w:p>
        </w:tc>
        <w:tc>
          <w:tcPr>
            <w:tcW w:w="1410" w:type="dxa"/>
            <w:vAlign w:val="center"/>
          </w:tcPr>
          <w:p w:rsidR="002E6790" w:rsidRDefault="00000000" w14:paraId="70F9C285" w14:textId="77777777">
            <w:pPr>
              <w:spacing w:after="0" w:line="259" w:lineRule="auto"/>
            </w:pPr>
            <w:r>
              <w:rPr>
                <w:rFonts w:eastAsia="Arial"/>
                <w:sz w:val="17"/>
              </w:rPr>
              <w:t>Defer until evidence</w:t>
            </w:r>
          </w:p>
        </w:tc>
      </w:tr>
      <w:tr w:rsidR="002E6790" w14:paraId="0A76F5C0" w14:textId="77777777">
        <w:trPr>
          <w:cantSplit/>
        </w:trPr>
        <w:tc>
          <w:tcPr>
            <w:tcW w:w="2100" w:type="dxa"/>
            <w:shd w:val="clear" w:color="auto" w:fill="F2F4F7"/>
            <w:vAlign w:val="center"/>
          </w:tcPr>
          <w:p w:rsidR="002E6790" w:rsidRDefault="00000000" w14:paraId="2F798B2B" w14:textId="77777777">
            <w:pPr>
              <w:spacing w:after="0" w:line="259" w:lineRule="auto"/>
              <w:jc w:val="center"/>
            </w:pPr>
            <w:r>
              <w:rPr>
                <w:rFonts w:eastAsia="Arial"/>
                <w:sz w:val="17"/>
              </w:rPr>
              <w:t>New parcel-locker network</w:t>
            </w:r>
          </w:p>
        </w:tc>
        <w:tc>
          <w:tcPr>
            <w:tcW w:w="2850" w:type="dxa"/>
            <w:shd w:val="clear" w:color="auto" w:fill="F2F4F7"/>
            <w:vAlign w:val="center"/>
          </w:tcPr>
          <w:p w:rsidR="002E6790" w:rsidRDefault="00000000" w14:paraId="64DCC0CB" w14:textId="77777777">
            <w:pPr>
              <w:spacing w:after="0" w:line="259" w:lineRule="auto"/>
            </w:pPr>
            <w:r>
              <w:rPr>
                <w:rFonts w:eastAsia="Arial"/>
                <w:sz w:val="17"/>
              </w:rPr>
              <w:t>Unattended collection</w:t>
            </w:r>
          </w:p>
        </w:tc>
        <w:tc>
          <w:tcPr>
            <w:tcW w:w="3000" w:type="dxa"/>
            <w:shd w:val="clear" w:color="auto" w:fill="F2F4F7"/>
            <w:vAlign w:val="center"/>
          </w:tcPr>
          <w:p w:rsidR="002E6790" w:rsidRDefault="00000000" w14:paraId="03DD133A" w14:textId="77777777">
            <w:pPr>
              <w:spacing w:after="0" w:line="259" w:lineRule="auto"/>
            </w:pPr>
            <w:r>
              <w:rPr>
                <w:rFonts w:eastAsia="Arial"/>
                <w:sz w:val="17"/>
              </w:rPr>
              <w:t>Siting, utilisation and capital risk</w:t>
            </w:r>
          </w:p>
        </w:tc>
        <w:tc>
          <w:tcPr>
            <w:tcW w:w="1410" w:type="dxa"/>
            <w:shd w:val="clear" w:color="auto" w:fill="F2F4F7"/>
            <w:vAlign w:val="center"/>
          </w:tcPr>
          <w:p w:rsidR="002E6790" w:rsidRDefault="00000000" w14:paraId="533745A0" w14:textId="77777777">
            <w:pPr>
              <w:spacing w:after="0" w:line="259" w:lineRule="auto"/>
            </w:pPr>
            <w:r>
              <w:rPr>
                <w:rFonts w:eastAsia="Arial"/>
                <w:sz w:val="17"/>
              </w:rPr>
              <w:t>Partner, do not own</w:t>
            </w:r>
          </w:p>
        </w:tc>
      </w:tr>
      <w:tr w:rsidR="002E6790" w14:paraId="0DEFDCB8" w14:textId="77777777">
        <w:trPr>
          <w:cantSplit/>
        </w:trPr>
        <w:tc>
          <w:tcPr>
            <w:tcW w:w="2100" w:type="dxa"/>
            <w:vAlign w:val="center"/>
          </w:tcPr>
          <w:p w:rsidR="002E6790" w:rsidRDefault="00000000" w14:paraId="10BE8C70" w14:textId="77777777">
            <w:pPr>
              <w:spacing w:after="0" w:line="259" w:lineRule="auto"/>
              <w:jc w:val="center"/>
            </w:pPr>
            <w:r>
              <w:rPr>
                <w:rFonts w:eastAsia="Arial"/>
                <w:sz w:val="17"/>
              </w:rPr>
              <w:t>WhatsApp-only ordering service</w:t>
            </w:r>
          </w:p>
        </w:tc>
        <w:tc>
          <w:tcPr>
            <w:tcW w:w="2850" w:type="dxa"/>
            <w:vAlign w:val="center"/>
          </w:tcPr>
          <w:p w:rsidR="002E6790" w:rsidRDefault="00000000" w14:paraId="791E5550" w14:textId="77777777">
            <w:pPr>
              <w:spacing w:after="0" w:line="259" w:lineRule="auto"/>
            </w:pPr>
            <w:r>
              <w:rPr>
                <w:rFonts w:eastAsia="Arial"/>
                <w:sz w:val="17"/>
              </w:rPr>
              <w:t>Low learning threshold</w:t>
            </w:r>
          </w:p>
        </w:tc>
        <w:tc>
          <w:tcPr>
            <w:tcW w:w="3000" w:type="dxa"/>
            <w:vAlign w:val="center"/>
          </w:tcPr>
          <w:p w:rsidR="002E6790" w:rsidRDefault="00000000" w14:paraId="1BBBD9D9" w14:textId="77777777">
            <w:pPr>
              <w:spacing w:after="0" w:line="259" w:lineRule="auto"/>
            </w:pPr>
            <w:r>
              <w:rPr>
                <w:rFonts w:eastAsia="Arial"/>
                <w:sz w:val="17"/>
              </w:rPr>
              <w:t>Poor stock control, consent and scale</w:t>
            </w:r>
          </w:p>
        </w:tc>
        <w:tc>
          <w:tcPr>
            <w:tcW w:w="1410" w:type="dxa"/>
            <w:vAlign w:val="center"/>
          </w:tcPr>
          <w:p w:rsidR="002E6790" w:rsidRDefault="00000000" w14:paraId="10A11002" w14:textId="77777777">
            <w:pPr>
              <w:spacing w:after="0" w:line="259" w:lineRule="auto"/>
            </w:pPr>
            <w:r>
              <w:rPr>
                <w:rFonts w:eastAsia="Arial"/>
                <w:sz w:val="17"/>
              </w:rPr>
              <w:t>Use as assisted entry channel</w:t>
            </w:r>
          </w:p>
        </w:tc>
      </w:tr>
    </w:tbl>
    <w:p w:rsidRPr="00A51AEF" w:rsidR="002E6790" w:rsidP="00A51AEF" w:rsidRDefault="00000000" w14:paraId="45F336F7" w14:textId="77777777">
      <w:pPr>
        <w:spacing w:before="40" w:after="140" w:line="240" w:lineRule="auto"/>
        <w:jc w:val="center"/>
        <w:rPr>
          <w:color w:val="auto"/>
        </w:rPr>
      </w:pPr>
      <w:r w:rsidRPr="00A51AEF">
        <w:rPr>
          <w:rFonts w:eastAsia="Arial"/>
          <w:i/>
          <w:color w:val="auto"/>
          <w:sz w:val="17"/>
        </w:rPr>
        <w:t>Source: Author’s brainwriting/SCAMPER synthesis informed by Micheli et al. (2019), Boysen, Fedtke and Schwerdfeger (2021), Zhang and Demir (2025) and Information Commissioner’s Office (2026).</w:t>
      </w:r>
    </w:p>
    <w:p w:rsidRPr="00A51AEF" w:rsidR="007E5089" w:rsidP="007E5089" w:rsidRDefault="007E5089" w14:paraId="1E907D72" w14:textId="77777777">
      <w:pPr>
        <w:jc w:val="both"/>
        <w:rPr>
          <w:rFonts w:eastAsia="Arial"/>
          <w:color w:val="auto"/>
        </w:rPr>
      </w:pPr>
      <w:r w:rsidRPr="00A51AEF">
        <w:rPr>
          <w:rFonts w:eastAsia="Arial"/>
          <w:color w:val="auto"/>
        </w:rPr>
        <w:t>RuralLoop is chosen because it is an experiment testing a distinct hypothesis – local aggregation – with minimal irreversible commitments. In the first iteration, the platform would not guarantee same-day delivery, would not construct lockers and would not buy vehicles. It would include a basic catalogue, a unified checkout, merchant pick lists, a locality-based order cut-off, a pickup or partner delivery option, and SMS status. Subtraction is a strategic discipline; an MVP is not the smallest version of each of the features requested (Ries, 2011; Blank, 2013).</w:t>
      </w:r>
    </w:p>
    <w:p w:rsidR="002E6790" w:rsidRDefault="00000000" w14:paraId="28293E7B" w14:textId="77777777">
      <w:pPr>
        <w:pStyle w:val="Heading2"/>
      </w:pPr>
      <w:bookmarkStart w:name="_Toc237560674" w:id="10"/>
      <w:r>
        <w:t>3.4 Prototype: a concierge MVP and service blueprint</w:t>
      </w:r>
      <w:bookmarkEnd w:id="10"/>
    </w:p>
    <w:p w:rsidRPr="00A51AEF" w:rsidR="007E5089" w:rsidP="007E5089" w:rsidRDefault="007E5089" w14:paraId="514EB3C6" w14:textId="77777777">
      <w:pPr>
        <w:jc w:val="both"/>
        <w:rPr>
          <w:rFonts w:eastAsia="Arial"/>
          <w:color w:val="auto"/>
        </w:rPr>
      </w:pPr>
      <w:r w:rsidRPr="00A51AEF">
        <w:rPr>
          <w:rFonts w:eastAsia="Arial"/>
          <w:color w:val="auto"/>
        </w:rPr>
        <w:t>The first prototype should be a ‘low-fidelity’ clickable merchant and consumer journey and then a concierge pilot where staff will manually consolidate orders behind a simple interface. The front end tests comprehension and trust; the manual back end shows exceptions before they become ingrained in automation. The MVP consists of merchant onboarding, catalogue and stock buffers, pooled checkout, order cut-offs, pick lists, carrier/hub manifests, status messages and a support route. Until there is evidence of core workflows, forecasting, dynamic pricing, owned routing and loyalty schemes are not included (Ries, 2011; IDEO.org, 2015).</w:t>
      </w:r>
    </w:p>
    <w:p w:rsidR="002E6790" w:rsidRDefault="00000000" w14:paraId="53538A85" w14:textId="2976A91C">
      <w:pPr>
        <w:pStyle w:val="Caption"/>
        <w:keepNext/>
        <w:spacing w:before="60" w:after="60"/>
        <w:jc w:val="center"/>
      </w:pPr>
      <w:r>
        <w:rPr>
          <w:rFonts w:eastAsia="Arial"/>
          <w:color w:val="17365D"/>
        </w:rPr>
        <w:t xml:space="preserve">Figure </w:t>
      </w:r>
      <w:r>
        <w:rPr>
          <w:rFonts w:eastAsia="Arial"/>
          <w:color w:val="17365D"/>
        </w:rPr>
        <w:fldChar w:fldCharType="begin"/>
      </w:r>
      <w:r>
        <w:rPr>
          <w:rFonts w:eastAsia="Arial"/>
          <w:color w:val="17365D"/>
        </w:rPr>
        <w:instrText xml:space="preserve"> SEQ Figure \* ARABIC </w:instrText>
      </w:r>
      <w:r>
        <w:rPr>
          <w:rFonts w:eastAsia="Arial"/>
          <w:color w:val="17365D"/>
        </w:rPr>
        <w:fldChar w:fldCharType="separate"/>
      </w:r>
      <w:r w:rsidR="00E845B8">
        <w:rPr>
          <w:rFonts w:eastAsia="Arial"/>
          <w:noProof/>
          <w:color w:val="17365D"/>
        </w:rPr>
        <w:t>5</w:t>
      </w:r>
      <w:r>
        <w:rPr>
          <w:rFonts w:eastAsia="Arial"/>
          <w:color w:val="17365D"/>
        </w:rPr>
        <w:fldChar w:fldCharType="end"/>
      </w:r>
      <w:r>
        <w:rPr>
          <w:rFonts w:eastAsia="Arial"/>
        </w:rPr>
        <w:t xml:space="preserve">. RuralLoop MVP service blueprint </w:t>
      </w:r>
    </w:p>
    <w:tbl>
      <w:tblPr>
        <w:tblStyle w:val="TableGrid"/>
        <w:tblW w:w="9360" w:type="dxa"/>
        <w:tblInd w:w="120" w:type="dxa"/>
        <w:tblLayout w:type="fixed"/>
        <w:tblLook w:val="04A0" w:firstRow="1" w:lastRow="0" w:firstColumn="1" w:lastColumn="0" w:noHBand="0" w:noVBand="1"/>
      </w:tblPr>
      <w:tblGrid>
        <w:gridCol w:w="1350"/>
        <w:gridCol w:w="1600"/>
        <w:gridCol w:w="1550"/>
        <w:gridCol w:w="1750"/>
        <w:gridCol w:w="1700"/>
        <w:gridCol w:w="1410"/>
      </w:tblGrid>
      <w:tr w:rsidR="002E6790" w14:paraId="1BE540E0" w14:textId="77777777">
        <w:trPr>
          <w:tblHeader/>
        </w:trPr>
        <w:tc>
          <w:tcPr>
            <w:tcW w:w="1350" w:type="dxa"/>
            <w:shd w:val="clear" w:color="auto" w:fill="17365D"/>
            <w:tcMar>
              <w:top w:w="90" w:type="dxa"/>
              <w:left w:w="120" w:type="dxa"/>
              <w:bottom w:w="90" w:type="dxa"/>
              <w:right w:w="120" w:type="dxa"/>
            </w:tcMar>
            <w:vAlign w:val="center"/>
          </w:tcPr>
          <w:p w:rsidR="002E6790" w:rsidP="00A51AEF" w:rsidRDefault="00000000" w14:paraId="46F5F71E" w14:textId="77777777">
            <w:pPr>
              <w:spacing w:after="0"/>
              <w:jc w:val="center"/>
            </w:pPr>
            <w:r>
              <w:rPr>
                <w:rFonts w:eastAsia="Arial"/>
                <w:b/>
                <w:color w:val="FFFFFF"/>
                <w:sz w:val="16"/>
              </w:rPr>
              <w:t>Actor</w:t>
            </w:r>
          </w:p>
        </w:tc>
        <w:tc>
          <w:tcPr>
            <w:tcW w:w="1600" w:type="dxa"/>
            <w:shd w:val="clear" w:color="auto" w:fill="17365D"/>
            <w:tcMar>
              <w:top w:w="90" w:type="dxa"/>
              <w:left w:w="120" w:type="dxa"/>
              <w:bottom w:w="90" w:type="dxa"/>
              <w:right w:w="120" w:type="dxa"/>
            </w:tcMar>
            <w:vAlign w:val="center"/>
          </w:tcPr>
          <w:p w:rsidR="002E6790" w:rsidP="00A51AEF" w:rsidRDefault="00000000" w14:paraId="65161BD4" w14:textId="77777777">
            <w:pPr>
              <w:spacing w:after="0"/>
              <w:jc w:val="center"/>
            </w:pPr>
            <w:r>
              <w:rPr>
                <w:rFonts w:eastAsia="Arial"/>
                <w:b/>
                <w:color w:val="FFFFFF"/>
                <w:sz w:val="16"/>
              </w:rPr>
              <w:t>Discover</w:t>
            </w:r>
          </w:p>
        </w:tc>
        <w:tc>
          <w:tcPr>
            <w:tcW w:w="1550" w:type="dxa"/>
            <w:shd w:val="clear" w:color="auto" w:fill="17365D"/>
            <w:tcMar>
              <w:top w:w="90" w:type="dxa"/>
              <w:left w:w="120" w:type="dxa"/>
              <w:bottom w:w="90" w:type="dxa"/>
              <w:right w:w="120" w:type="dxa"/>
            </w:tcMar>
            <w:vAlign w:val="center"/>
          </w:tcPr>
          <w:p w:rsidR="002E6790" w:rsidP="00A51AEF" w:rsidRDefault="00000000" w14:paraId="1C367D5E" w14:textId="77777777">
            <w:pPr>
              <w:spacing w:after="0"/>
              <w:jc w:val="center"/>
            </w:pPr>
            <w:r>
              <w:rPr>
                <w:rFonts w:eastAsia="Arial"/>
                <w:b/>
                <w:color w:val="FFFFFF"/>
                <w:sz w:val="16"/>
              </w:rPr>
              <w:t>Order</w:t>
            </w:r>
          </w:p>
        </w:tc>
        <w:tc>
          <w:tcPr>
            <w:tcW w:w="1750" w:type="dxa"/>
            <w:shd w:val="clear" w:color="auto" w:fill="17365D"/>
            <w:tcMar>
              <w:top w:w="90" w:type="dxa"/>
              <w:left w:w="120" w:type="dxa"/>
              <w:bottom w:w="90" w:type="dxa"/>
              <w:right w:w="120" w:type="dxa"/>
            </w:tcMar>
            <w:vAlign w:val="center"/>
          </w:tcPr>
          <w:p w:rsidR="002E6790" w:rsidP="00A51AEF" w:rsidRDefault="00000000" w14:paraId="71744175" w14:textId="77777777">
            <w:pPr>
              <w:spacing w:after="0"/>
              <w:jc w:val="center"/>
            </w:pPr>
            <w:r>
              <w:rPr>
                <w:rFonts w:eastAsia="Arial"/>
                <w:b/>
                <w:color w:val="FFFFFF"/>
                <w:sz w:val="16"/>
              </w:rPr>
              <w:t>Consolidate</w:t>
            </w:r>
          </w:p>
        </w:tc>
        <w:tc>
          <w:tcPr>
            <w:tcW w:w="1700" w:type="dxa"/>
            <w:shd w:val="clear" w:color="auto" w:fill="17365D"/>
            <w:tcMar>
              <w:top w:w="90" w:type="dxa"/>
              <w:left w:w="120" w:type="dxa"/>
              <w:bottom w:w="90" w:type="dxa"/>
              <w:right w:w="120" w:type="dxa"/>
            </w:tcMar>
            <w:vAlign w:val="center"/>
          </w:tcPr>
          <w:p w:rsidR="002E6790" w:rsidP="00A51AEF" w:rsidRDefault="00000000" w14:paraId="14001C31" w14:textId="77777777">
            <w:pPr>
              <w:spacing w:after="0"/>
              <w:jc w:val="center"/>
            </w:pPr>
            <w:r>
              <w:rPr>
                <w:rFonts w:eastAsia="Arial"/>
                <w:b/>
                <w:color w:val="FFFFFF"/>
                <w:sz w:val="16"/>
              </w:rPr>
              <w:t>Fulfil</w:t>
            </w:r>
          </w:p>
        </w:tc>
        <w:tc>
          <w:tcPr>
            <w:tcW w:w="1410" w:type="dxa"/>
            <w:shd w:val="clear" w:color="auto" w:fill="17365D"/>
            <w:tcMar>
              <w:top w:w="90" w:type="dxa"/>
              <w:left w:w="120" w:type="dxa"/>
              <w:bottom w:w="90" w:type="dxa"/>
              <w:right w:w="120" w:type="dxa"/>
            </w:tcMar>
            <w:vAlign w:val="center"/>
          </w:tcPr>
          <w:p w:rsidR="002E6790" w:rsidP="00A51AEF" w:rsidRDefault="00000000" w14:paraId="634652D9" w14:textId="77777777">
            <w:pPr>
              <w:spacing w:after="0"/>
              <w:jc w:val="center"/>
            </w:pPr>
            <w:r>
              <w:rPr>
                <w:rFonts w:eastAsia="Arial"/>
                <w:b/>
                <w:color w:val="FFFFFF"/>
                <w:sz w:val="16"/>
              </w:rPr>
              <w:t>Learn</w:t>
            </w:r>
          </w:p>
        </w:tc>
      </w:tr>
      <w:tr w:rsidR="002E6790" w14:paraId="7210DCAE" w14:textId="77777777">
        <w:trPr>
          <w:cantSplit/>
        </w:trPr>
        <w:tc>
          <w:tcPr>
            <w:tcW w:w="1350" w:type="dxa"/>
            <w:vAlign w:val="center"/>
          </w:tcPr>
          <w:p w:rsidR="002E6790" w:rsidP="00A51AEF" w:rsidRDefault="00000000" w14:paraId="44F69662" w14:textId="77777777">
            <w:pPr>
              <w:spacing w:after="0"/>
              <w:jc w:val="center"/>
            </w:pPr>
            <w:r>
              <w:rPr>
                <w:rFonts w:eastAsia="Arial"/>
                <w:sz w:val="16"/>
              </w:rPr>
              <w:t>Consumer</w:t>
            </w:r>
          </w:p>
        </w:tc>
        <w:tc>
          <w:tcPr>
            <w:tcW w:w="1600" w:type="dxa"/>
            <w:vAlign w:val="center"/>
          </w:tcPr>
          <w:p w:rsidR="002E6790" w:rsidP="00A51AEF" w:rsidRDefault="00000000" w14:paraId="42F4129B" w14:textId="77777777">
            <w:pPr>
              <w:spacing w:after="0"/>
            </w:pPr>
            <w:r>
              <w:rPr>
                <w:rFonts w:eastAsia="Arial"/>
                <w:sz w:val="16"/>
              </w:rPr>
              <w:t>Browse shared local catalogue</w:t>
            </w:r>
          </w:p>
        </w:tc>
        <w:tc>
          <w:tcPr>
            <w:tcW w:w="1550" w:type="dxa"/>
            <w:vAlign w:val="center"/>
          </w:tcPr>
          <w:p w:rsidR="002E6790" w:rsidP="00A51AEF" w:rsidRDefault="00000000" w14:paraId="287A9874" w14:textId="77777777">
            <w:pPr>
              <w:spacing w:after="0"/>
            </w:pPr>
            <w:r>
              <w:rPr>
                <w:rFonts w:eastAsia="Arial"/>
                <w:sz w:val="16"/>
              </w:rPr>
              <w:t>Place one basket</w:t>
            </w:r>
          </w:p>
        </w:tc>
        <w:tc>
          <w:tcPr>
            <w:tcW w:w="1750" w:type="dxa"/>
            <w:vAlign w:val="center"/>
          </w:tcPr>
          <w:p w:rsidR="002E6790" w:rsidP="00A51AEF" w:rsidRDefault="00000000" w14:paraId="0237734F" w14:textId="77777777">
            <w:pPr>
              <w:spacing w:after="0"/>
            </w:pPr>
            <w:r>
              <w:rPr>
                <w:rFonts w:eastAsia="Arial"/>
                <w:sz w:val="16"/>
              </w:rPr>
              <w:t>Choose hub or delivery</w:t>
            </w:r>
          </w:p>
        </w:tc>
        <w:tc>
          <w:tcPr>
            <w:tcW w:w="1700" w:type="dxa"/>
            <w:vAlign w:val="center"/>
          </w:tcPr>
          <w:p w:rsidR="002E6790" w:rsidP="00A51AEF" w:rsidRDefault="00000000" w14:paraId="244F5705" w14:textId="77777777">
            <w:pPr>
              <w:spacing w:after="0"/>
            </w:pPr>
            <w:r>
              <w:rPr>
                <w:rFonts w:eastAsia="Arial"/>
                <w:sz w:val="16"/>
              </w:rPr>
              <w:t>Collect / receive</w:t>
            </w:r>
          </w:p>
        </w:tc>
        <w:tc>
          <w:tcPr>
            <w:tcW w:w="1410" w:type="dxa"/>
            <w:vAlign w:val="center"/>
          </w:tcPr>
          <w:p w:rsidR="002E6790" w:rsidP="00A51AEF" w:rsidRDefault="00000000" w14:paraId="12CA32F0" w14:textId="77777777">
            <w:pPr>
              <w:spacing w:after="0"/>
            </w:pPr>
            <w:r>
              <w:rPr>
                <w:rFonts w:eastAsia="Arial"/>
                <w:sz w:val="16"/>
              </w:rPr>
              <w:t>Report issue</w:t>
            </w:r>
          </w:p>
        </w:tc>
      </w:tr>
      <w:tr w:rsidR="002E6790" w14:paraId="1DE59F08" w14:textId="77777777">
        <w:trPr>
          <w:cantSplit/>
        </w:trPr>
        <w:tc>
          <w:tcPr>
            <w:tcW w:w="1350" w:type="dxa"/>
            <w:shd w:val="clear" w:color="auto" w:fill="F2F4F7"/>
            <w:vAlign w:val="center"/>
          </w:tcPr>
          <w:p w:rsidR="002E6790" w:rsidP="00A51AEF" w:rsidRDefault="00000000" w14:paraId="0BEEE198" w14:textId="77777777">
            <w:pPr>
              <w:spacing w:after="0"/>
              <w:jc w:val="center"/>
            </w:pPr>
            <w:r>
              <w:rPr>
                <w:rFonts w:eastAsia="Arial"/>
                <w:sz w:val="16"/>
              </w:rPr>
              <w:t>Merchant</w:t>
            </w:r>
          </w:p>
        </w:tc>
        <w:tc>
          <w:tcPr>
            <w:tcW w:w="1600" w:type="dxa"/>
            <w:shd w:val="clear" w:color="auto" w:fill="F2F4F7"/>
            <w:vAlign w:val="center"/>
          </w:tcPr>
          <w:p w:rsidR="002E6790" w:rsidP="00A51AEF" w:rsidRDefault="00000000" w14:paraId="66514AB9" w14:textId="77777777">
            <w:pPr>
              <w:spacing w:after="0"/>
            </w:pPr>
            <w:r>
              <w:rPr>
                <w:rFonts w:eastAsia="Arial"/>
                <w:sz w:val="16"/>
              </w:rPr>
              <w:t>Maintain simple listing</w:t>
            </w:r>
          </w:p>
        </w:tc>
        <w:tc>
          <w:tcPr>
            <w:tcW w:w="1550" w:type="dxa"/>
            <w:shd w:val="clear" w:color="auto" w:fill="F2F4F7"/>
            <w:vAlign w:val="center"/>
          </w:tcPr>
          <w:p w:rsidR="002E6790" w:rsidP="00A51AEF" w:rsidRDefault="00000000" w14:paraId="57AC987C" w14:textId="77777777">
            <w:pPr>
              <w:spacing w:after="0"/>
            </w:pPr>
            <w:r>
              <w:rPr>
                <w:rFonts w:eastAsia="Arial"/>
                <w:sz w:val="16"/>
              </w:rPr>
              <w:t>Confirm stock buffer</w:t>
            </w:r>
          </w:p>
        </w:tc>
        <w:tc>
          <w:tcPr>
            <w:tcW w:w="1750" w:type="dxa"/>
            <w:shd w:val="clear" w:color="auto" w:fill="F2F4F7"/>
            <w:vAlign w:val="center"/>
          </w:tcPr>
          <w:p w:rsidR="002E6790" w:rsidP="00A51AEF" w:rsidRDefault="00000000" w14:paraId="1362C1DD" w14:textId="77777777">
            <w:pPr>
              <w:spacing w:after="0"/>
            </w:pPr>
            <w:r>
              <w:rPr>
                <w:rFonts w:eastAsia="Arial"/>
                <w:sz w:val="16"/>
              </w:rPr>
              <w:t>Pick by cut-off</w:t>
            </w:r>
          </w:p>
        </w:tc>
        <w:tc>
          <w:tcPr>
            <w:tcW w:w="1700" w:type="dxa"/>
            <w:shd w:val="clear" w:color="auto" w:fill="F2F4F7"/>
            <w:vAlign w:val="center"/>
          </w:tcPr>
          <w:p w:rsidR="002E6790" w:rsidP="00A51AEF" w:rsidRDefault="00000000" w14:paraId="4EB3F594" w14:textId="77777777">
            <w:pPr>
              <w:spacing w:after="0"/>
            </w:pPr>
            <w:r>
              <w:rPr>
                <w:rFonts w:eastAsia="Arial"/>
                <w:sz w:val="16"/>
              </w:rPr>
              <w:t>Hand over pooled orders</w:t>
            </w:r>
          </w:p>
        </w:tc>
        <w:tc>
          <w:tcPr>
            <w:tcW w:w="1410" w:type="dxa"/>
            <w:shd w:val="clear" w:color="auto" w:fill="F2F4F7"/>
            <w:vAlign w:val="center"/>
          </w:tcPr>
          <w:p w:rsidR="002E6790" w:rsidP="00A51AEF" w:rsidRDefault="00000000" w14:paraId="68E114BE" w14:textId="77777777">
            <w:pPr>
              <w:spacing w:after="0"/>
            </w:pPr>
            <w:r>
              <w:rPr>
                <w:rFonts w:eastAsia="Arial"/>
                <w:sz w:val="16"/>
              </w:rPr>
              <w:t>Review exceptions</w:t>
            </w:r>
          </w:p>
        </w:tc>
      </w:tr>
      <w:tr w:rsidR="002E6790" w14:paraId="70806126" w14:textId="77777777">
        <w:trPr>
          <w:cantSplit/>
        </w:trPr>
        <w:tc>
          <w:tcPr>
            <w:tcW w:w="1350" w:type="dxa"/>
            <w:vAlign w:val="center"/>
          </w:tcPr>
          <w:p w:rsidR="002E6790" w:rsidP="00A51AEF" w:rsidRDefault="00000000" w14:paraId="0D12BFDD" w14:textId="77777777">
            <w:pPr>
              <w:spacing w:after="0"/>
              <w:jc w:val="center"/>
            </w:pPr>
            <w:r>
              <w:rPr>
                <w:rFonts w:eastAsia="Arial"/>
                <w:sz w:val="16"/>
              </w:rPr>
              <w:t>RuralLoop</w:t>
            </w:r>
          </w:p>
        </w:tc>
        <w:tc>
          <w:tcPr>
            <w:tcW w:w="1600" w:type="dxa"/>
            <w:vAlign w:val="center"/>
          </w:tcPr>
          <w:p w:rsidR="002E6790" w:rsidP="00A51AEF" w:rsidRDefault="00000000" w14:paraId="23573F7A" w14:textId="77777777">
            <w:pPr>
              <w:spacing w:after="0"/>
            </w:pPr>
            <w:r>
              <w:rPr>
                <w:rFonts w:eastAsia="Arial"/>
                <w:sz w:val="16"/>
              </w:rPr>
              <w:t>Cache catalogue</w:t>
            </w:r>
          </w:p>
        </w:tc>
        <w:tc>
          <w:tcPr>
            <w:tcW w:w="1550" w:type="dxa"/>
            <w:vAlign w:val="center"/>
          </w:tcPr>
          <w:p w:rsidR="002E6790" w:rsidP="00A51AEF" w:rsidRDefault="00000000" w14:paraId="652AFC04" w14:textId="77777777">
            <w:pPr>
              <w:spacing w:after="0"/>
            </w:pPr>
            <w:r>
              <w:rPr>
                <w:rFonts w:eastAsia="Arial"/>
                <w:sz w:val="16"/>
              </w:rPr>
              <w:t>Split basket and payment record</w:t>
            </w:r>
          </w:p>
        </w:tc>
        <w:tc>
          <w:tcPr>
            <w:tcW w:w="1750" w:type="dxa"/>
            <w:vAlign w:val="center"/>
          </w:tcPr>
          <w:p w:rsidR="002E6790" w:rsidP="00A51AEF" w:rsidRDefault="00000000" w14:paraId="3D131758" w14:textId="77777777">
            <w:pPr>
              <w:spacing w:after="0"/>
            </w:pPr>
            <w:r>
              <w:rPr>
                <w:rFonts w:eastAsia="Arial"/>
                <w:sz w:val="16"/>
              </w:rPr>
              <w:t>Generate manifests</w:t>
            </w:r>
          </w:p>
        </w:tc>
        <w:tc>
          <w:tcPr>
            <w:tcW w:w="1700" w:type="dxa"/>
            <w:vAlign w:val="center"/>
          </w:tcPr>
          <w:p w:rsidR="002E6790" w:rsidP="00A51AEF" w:rsidRDefault="00000000" w14:paraId="20736868" w14:textId="77777777">
            <w:pPr>
              <w:spacing w:after="0"/>
            </w:pPr>
            <w:r>
              <w:rPr>
                <w:rFonts w:eastAsia="Arial"/>
                <w:sz w:val="16"/>
              </w:rPr>
              <w:t>Send status events</w:t>
            </w:r>
          </w:p>
        </w:tc>
        <w:tc>
          <w:tcPr>
            <w:tcW w:w="1410" w:type="dxa"/>
            <w:vAlign w:val="center"/>
          </w:tcPr>
          <w:p w:rsidR="002E6790" w:rsidP="00A51AEF" w:rsidRDefault="00000000" w14:paraId="067924AB" w14:textId="77777777">
            <w:pPr>
              <w:spacing w:after="0"/>
            </w:pPr>
            <w:r>
              <w:rPr>
                <w:rFonts w:eastAsia="Arial"/>
                <w:sz w:val="16"/>
              </w:rPr>
              <w:t>Measure outcomes</w:t>
            </w:r>
          </w:p>
        </w:tc>
      </w:tr>
      <w:tr w:rsidR="002E6790" w14:paraId="4AACD809" w14:textId="77777777">
        <w:trPr>
          <w:cantSplit/>
        </w:trPr>
        <w:tc>
          <w:tcPr>
            <w:tcW w:w="1350" w:type="dxa"/>
            <w:shd w:val="clear" w:color="auto" w:fill="F2F4F7"/>
            <w:vAlign w:val="center"/>
          </w:tcPr>
          <w:p w:rsidR="002E6790" w:rsidP="00A51AEF" w:rsidRDefault="00000000" w14:paraId="081BF561" w14:textId="77777777">
            <w:pPr>
              <w:spacing w:after="0"/>
              <w:jc w:val="center"/>
            </w:pPr>
            <w:r>
              <w:rPr>
                <w:rFonts w:eastAsia="Arial"/>
                <w:sz w:val="16"/>
              </w:rPr>
              <w:t>Partner / hub</w:t>
            </w:r>
          </w:p>
        </w:tc>
        <w:tc>
          <w:tcPr>
            <w:tcW w:w="1600" w:type="dxa"/>
            <w:shd w:val="clear" w:color="auto" w:fill="F2F4F7"/>
            <w:vAlign w:val="center"/>
          </w:tcPr>
          <w:p w:rsidR="002E6790" w:rsidP="00A51AEF" w:rsidRDefault="00000000" w14:paraId="33A14668" w14:textId="77777777">
            <w:pPr>
              <w:spacing w:after="0"/>
            </w:pPr>
            <w:r>
              <w:rPr>
                <w:rFonts w:eastAsia="Arial"/>
                <w:sz w:val="16"/>
              </w:rPr>
              <w:t>Publish availability</w:t>
            </w:r>
          </w:p>
        </w:tc>
        <w:tc>
          <w:tcPr>
            <w:tcW w:w="1550" w:type="dxa"/>
            <w:shd w:val="clear" w:color="auto" w:fill="F2F4F7"/>
            <w:vAlign w:val="center"/>
          </w:tcPr>
          <w:p w:rsidR="002E6790" w:rsidP="00A51AEF" w:rsidRDefault="00000000" w14:paraId="4D16D826" w14:textId="77777777">
            <w:pPr>
              <w:spacing w:after="0"/>
            </w:pPr>
            <w:r>
              <w:rPr>
                <w:rFonts w:eastAsia="Arial"/>
                <w:sz w:val="16"/>
              </w:rPr>
              <w:t>Receive volume notice</w:t>
            </w:r>
          </w:p>
        </w:tc>
        <w:tc>
          <w:tcPr>
            <w:tcW w:w="1750" w:type="dxa"/>
            <w:shd w:val="clear" w:color="auto" w:fill="F2F4F7"/>
            <w:vAlign w:val="center"/>
          </w:tcPr>
          <w:p w:rsidR="002E6790" w:rsidP="00A51AEF" w:rsidRDefault="00000000" w14:paraId="006F17E1" w14:textId="77777777">
            <w:pPr>
              <w:spacing w:after="0"/>
            </w:pPr>
            <w:r>
              <w:rPr>
                <w:rFonts w:eastAsia="Arial"/>
                <w:sz w:val="16"/>
              </w:rPr>
              <w:t>Accept consolidated handoff</w:t>
            </w:r>
          </w:p>
        </w:tc>
        <w:tc>
          <w:tcPr>
            <w:tcW w:w="1700" w:type="dxa"/>
            <w:shd w:val="clear" w:color="auto" w:fill="F2F4F7"/>
            <w:vAlign w:val="center"/>
          </w:tcPr>
          <w:p w:rsidR="002E6790" w:rsidP="00A51AEF" w:rsidRDefault="00000000" w14:paraId="40F3BFB2" w14:textId="77777777">
            <w:pPr>
              <w:spacing w:after="0"/>
            </w:pPr>
            <w:r>
              <w:rPr>
                <w:rFonts w:eastAsia="Arial"/>
                <w:sz w:val="16"/>
              </w:rPr>
              <w:t>Deliver or store safely</w:t>
            </w:r>
          </w:p>
        </w:tc>
        <w:tc>
          <w:tcPr>
            <w:tcW w:w="1410" w:type="dxa"/>
            <w:shd w:val="clear" w:color="auto" w:fill="F2F4F7"/>
            <w:vAlign w:val="center"/>
          </w:tcPr>
          <w:p w:rsidR="002E6790" w:rsidP="00A51AEF" w:rsidRDefault="00000000" w14:paraId="620DE8E7" w14:textId="77777777">
            <w:pPr>
              <w:spacing w:after="0"/>
            </w:pPr>
            <w:r>
              <w:rPr>
                <w:rFonts w:eastAsia="Arial"/>
                <w:sz w:val="16"/>
              </w:rPr>
              <w:t>Close proof of delivery</w:t>
            </w:r>
          </w:p>
        </w:tc>
      </w:tr>
    </w:tbl>
    <w:p w:rsidRPr="00A51AEF" w:rsidR="002E6790" w:rsidP="00A51AEF" w:rsidRDefault="00000000" w14:paraId="63E89D3F" w14:textId="77777777">
      <w:pPr>
        <w:spacing w:before="40" w:after="140" w:line="240" w:lineRule="auto"/>
        <w:jc w:val="center"/>
        <w:rPr>
          <w:color w:val="auto"/>
        </w:rPr>
      </w:pPr>
      <w:r w:rsidRPr="00A51AEF">
        <w:rPr>
          <w:rFonts w:eastAsia="Arial"/>
          <w:i/>
          <w:color w:val="auto"/>
          <w:sz w:val="17"/>
        </w:rPr>
        <w:t>Source: Author’s service blueprint, informed by Boysen, Fedtke and Schwerdfeger (2021), Verhoef et al. (2021) and Information Commissioner’s Office (2026).</w:t>
      </w:r>
    </w:p>
    <w:p w:rsidRPr="00A51AEF" w:rsidR="007E5089" w:rsidP="007E5089" w:rsidRDefault="007E5089" w14:paraId="6DE55AC4" w14:textId="77777777">
      <w:pPr>
        <w:jc w:val="both"/>
        <w:rPr>
          <w:rFonts w:eastAsia="Arial"/>
          <w:color w:val="auto"/>
        </w:rPr>
      </w:pPr>
      <w:r w:rsidRPr="00A51AEF">
        <w:rPr>
          <w:rFonts w:eastAsia="Arial"/>
          <w:color w:val="auto"/>
        </w:rPr>
        <w:t xml:space="preserve">Technical feasibility is achievable. A responsive PWA can cache catalogue data and support content updates; managed payments and carrier integration minimise build scope. Stock accuracy, split payments, refunds, age-restricted products and proof-of-delivery, however, add </w:t>
      </w:r>
      <w:r w:rsidRPr="00A51AEF">
        <w:rPr>
          <w:rFonts w:eastAsia="Arial"/>
          <w:color w:val="auto"/>
        </w:rPr>
        <w:t>to the complexity of operations and compliance. The prototype should thus start with non-regulated ambient goods, one payment flow and manual exception review. Data collection and location information should be minimised by default, along with role-based access, retention limits and a data-protection impact assessment prior to live piloting (Information Commissioner’s Office, 2026; Verhoef et al., 2021).</w:t>
      </w:r>
    </w:p>
    <w:p w:rsidRPr="00A51AEF" w:rsidR="007E5089" w:rsidP="007E5089" w:rsidRDefault="007E5089" w14:paraId="12D80C17" w14:textId="77777777">
      <w:pPr>
        <w:jc w:val="both"/>
        <w:rPr>
          <w:rFonts w:eastAsia="Arial"/>
          <w:color w:val="auto"/>
        </w:rPr>
      </w:pPr>
      <w:r w:rsidRPr="00A51AEF">
        <w:rPr>
          <w:rFonts w:eastAsia="Arial"/>
          <w:color w:val="auto"/>
        </w:rPr>
        <w:t>The business model is still an educated guess. A transaction fee should align with completed orders, and a later merchant subscription to catalogue and analytics services should reflect actual willingness to pay. In the pilot, merchant time saved, cost of support per order, charges for payment and expenses for order processing and fulfilment by partners should be measured at the activity level. If contribution after variable service and support costs can cover cluster launch and platform overheads without extracting excessive labour from hubs and couriers, then viability is possible (Teece, 2010; Osterwalder et al., 2014).</w:t>
      </w:r>
    </w:p>
    <w:p w:rsidR="002E6790" w:rsidRDefault="00000000" w14:paraId="05547DA4" w14:textId="77777777">
      <w:pPr>
        <w:pStyle w:val="Heading2"/>
      </w:pPr>
      <w:bookmarkStart w:name="_Toc237560675" w:id="11"/>
      <w:r>
        <w:t>3.5 Test and refine: pre-registered learning gates</w:t>
      </w:r>
      <w:bookmarkEnd w:id="11"/>
    </w:p>
    <w:p w:rsidRPr="00A51AEF" w:rsidR="00E22905" w:rsidP="00E22905" w:rsidRDefault="00E22905" w14:paraId="1564A14C" w14:textId="77777777">
      <w:pPr>
        <w:jc w:val="both"/>
        <w:rPr>
          <w:rFonts w:eastAsia="Arial"/>
          <w:color w:val="auto"/>
        </w:rPr>
      </w:pPr>
      <w:r w:rsidRPr="00A51AEF">
        <w:rPr>
          <w:rFonts w:eastAsia="Arial"/>
          <w:color w:val="auto"/>
        </w:rPr>
        <w:t>Testing should proceed in descending order of uncertainty cost. First, five-second and task-based prototype tests assess user comprehension of the shared basket, stock status and fulfilment choice. Second, there is a landing page and merchant promise test to assess apparent interest, but it must not imply that a service is available. Third, an actual workflow and delivery event are measured using a time-bounded concierge pilot in a single cluster. Software automation or a second locality should be financed only after repeated transactions are demonstrated (Blank, 2013; Ries, 2011).</w:t>
      </w:r>
    </w:p>
    <w:p w:rsidR="002E6790" w:rsidRDefault="00000000" w14:paraId="508C943C" w14:textId="77777777">
      <w:pPr>
        <w:pStyle w:val="Caption"/>
        <w:keepNext/>
        <w:spacing w:before="60" w:after="60"/>
        <w:jc w:val="center"/>
      </w:pPr>
      <w:r>
        <w:rPr>
          <w:rFonts w:eastAsia="Arial"/>
          <w:color w:val="17365D"/>
        </w:rPr>
        <w:t xml:space="preserve">Table </w:t>
      </w:r>
      <w:r>
        <w:rPr>
          <w:rFonts w:eastAsia="Arial"/>
          <w:color w:val="17365D"/>
        </w:rPr>
        <w:fldChar w:fldCharType="begin"/>
      </w:r>
      <w:r>
        <w:rPr>
          <w:rFonts w:eastAsia="Arial"/>
          <w:color w:val="17365D"/>
        </w:rPr>
        <w:instrText xml:space="preserve"> SEQ Table \* ARABIC </w:instrText>
      </w:r>
      <w:r>
        <w:rPr>
          <w:rFonts w:eastAsia="Arial"/>
          <w:color w:val="17365D"/>
        </w:rPr>
        <w:fldChar w:fldCharType="separate"/>
      </w:r>
      <w:r w:rsidR="00E845B8">
        <w:rPr>
          <w:rFonts w:eastAsia="Arial"/>
          <w:noProof/>
          <w:color w:val="17365D"/>
        </w:rPr>
        <w:t>4</w:t>
      </w:r>
      <w:r>
        <w:rPr>
          <w:rFonts w:eastAsia="Arial"/>
          <w:color w:val="17365D"/>
        </w:rPr>
        <w:fldChar w:fldCharType="end"/>
      </w:r>
      <w:r>
        <w:rPr>
          <w:rFonts w:eastAsia="Arial"/>
        </w:rPr>
        <w:t>. Proposed test plan and decision gates; thresholds are not results.</w:t>
      </w:r>
    </w:p>
    <w:tbl>
      <w:tblPr>
        <w:tblStyle w:val="TableGrid"/>
        <w:tblW w:w="9360" w:type="dxa"/>
        <w:tblInd w:w="120" w:type="dxa"/>
        <w:tblLayout w:type="fixed"/>
        <w:tblLook w:val="04A0" w:firstRow="1" w:lastRow="0" w:firstColumn="1" w:lastColumn="0" w:noHBand="0" w:noVBand="1"/>
      </w:tblPr>
      <w:tblGrid>
        <w:gridCol w:w="1450"/>
        <w:gridCol w:w="2200"/>
        <w:gridCol w:w="3900"/>
        <w:gridCol w:w="1810"/>
      </w:tblGrid>
      <w:tr w:rsidR="002E6790" w14:paraId="7A01BB2E" w14:textId="77777777">
        <w:trPr>
          <w:tblHeader/>
        </w:trPr>
        <w:tc>
          <w:tcPr>
            <w:tcW w:w="1450" w:type="dxa"/>
            <w:shd w:val="clear" w:color="auto" w:fill="17365D"/>
            <w:tcMar>
              <w:top w:w="90" w:type="dxa"/>
              <w:left w:w="120" w:type="dxa"/>
              <w:bottom w:w="90" w:type="dxa"/>
              <w:right w:w="120" w:type="dxa"/>
            </w:tcMar>
            <w:vAlign w:val="center"/>
          </w:tcPr>
          <w:p w:rsidR="002E6790" w:rsidRDefault="00000000" w14:paraId="3C1FA168" w14:textId="77777777">
            <w:pPr>
              <w:spacing w:after="0" w:line="252" w:lineRule="auto"/>
              <w:jc w:val="center"/>
            </w:pPr>
            <w:r>
              <w:rPr>
                <w:rFonts w:eastAsia="Arial"/>
                <w:b/>
                <w:color w:val="FFFFFF"/>
                <w:sz w:val="16"/>
              </w:rPr>
              <w:t>Hypothesis</w:t>
            </w:r>
          </w:p>
        </w:tc>
        <w:tc>
          <w:tcPr>
            <w:tcW w:w="2200" w:type="dxa"/>
            <w:shd w:val="clear" w:color="auto" w:fill="17365D"/>
            <w:tcMar>
              <w:top w:w="90" w:type="dxa"/>
              <w:left w:w="120" w:type="dxa"/>
              <w:bottom w:w="90" w:type="dxa"/>
              <w:right w:w="120" w:type="dxa"/>
            </w:tcMar>
            <w:vAlign w:val="center"/>
          </w:tcPr>
          <w:p w:rsidR="002E6790" w:rsidRDefault="00000000" w14:paraId="247FE3EE" w14:textId="77777777">
            <w:pPr>
              <w:spacing w:after="0" w:line="252" w:lineRule="auto"/>
              <w:jc w:val="center"/>
            </w:pPr>
            <w:r>
              <w:rPr>
                <w:rFonts w:eastAsia="Arial"/>
                <w:b/>
                <w:color w:val="FFFFFF"/>
                <w:sz w:val="16"/>
              </w:rPr>
              <w:t>Method</w:t>
            </w:r>
          </w:p>
        </w:tc>
        <w:tc>
          <w:tcPr>
            <w:tcW w:w="3900" w:type="dxa"/>
            <w:shd w:val="clear" w:color="auto" w:fill="17365D"/>
            <w:tcMar>
              <w:top w:w="90" w:type="dxa"/>
              <w:left w:w="120" w:type="dxa"/>
              <w:bottom w:w="90" w:type="dxa"/>
              <w:right w:w="120" w:type="dxa"/>
            </w:tcMar>
            <w:vAlign w:val="center"/>
          </w:tcPr>
          <w:p w:rsidR="002E6790" w:rsidRDefault="00000000" w14:paraId="5957F06F" w14:textId="77777777">
            <w:pPr>
              <w:spacing w:after="0" w:line="252" w:lineRule="auto"/>
              <w:jc w:val="center"/>
            </w:pPr>
            <w:r>
              <w:rPr>
                <w:rFonts w:eastAsia="Arial"/>
                <w:b/>
                <w:color w:val="FFFFFF"/>
                <w:sz w:val="16"/>
              </w:rPr>
              <w:t>Proposed gate</w:t>
            </w:r>
          </w:p>
        </w:tc>
        <w:tc>
          <w:tcPr>
            <w:tcW w:w="1810" w:type="dxa"/>
            <w:shd w:val="clear" w:color="auto" w:fill="17365D"/>
            <w:tcMar>
              <w:top w:w="90" w:type="dxa"/>
              <w:left w:w="120" w:type="dxa"/>
              <w:bottom w:w="90" w:type="dxa"/>
              <w:right w:w="120" w:type="dxa"/>
            </w:tcMar>
            <w:vAlign w:val="center"/>
          </w:tcPr>
          <w:p w:rsidR="002E6790" w:rsidRDefault="00000000" w14:paraId="1DAFBD66" w14:textId="77777777">
            <w:pPr>
              <w:spacing w:after="0" w:line="252" w:lineRule="auto"/>
              <w:jc w:val="center"/>
            </w:pPr>
            <w:r>
              <w:rPr>
                <w:rFonts w:eastAsia="Arial"/>
                <w:b/>
                <w:color w:val="FFFFFF"/>
                <w:sz w:val="16"/>
              </w:rPr>
              <w:t>If failed</w:t>
            </w:r>
          </w:p>
        </w:tc>
      </w:tr>
      <w:tr w:rsidR="002E6790" w14:paraId="4FA5ABD1" w14:textId="77777777">
        <w:trPr>
          <w:cantSplit/>
        </w:trPr>
        <w:tc>
          <w:tcPr>
            <w:tcW w:w="1450" w:type="dxa"/>
            <w:vAlign w:val="center"/>
          </w:tcPr>
          <w:p w:rsidR="002E6790" w:rsidRDefault="00000000" w14:paraId="2F76DEB4" w14:textId="77777777">
            <w:pPr>
              <w:spacing w:after="0" w:line="259" w:lineRule="auto"/>
              <w:jc w:val="center"/>
            </w:pPr>
            <w:r>
              <w:rPr>
                <w:rFonts w:eastAsia="Arial"/>
                <w:sz w:val="16"/>
              </w:rPr>
              <w:t>Problem evidence</w:t>
            </w:r>
          </w:p>
        </w:tc>
        <w:tc>
          <w:tcPr>
            <w:tcW w:w="2200" w:type="dxa"/>
            <w:vAlign w:val="center"/>
          </w:tcPr>
          <w:p w:rsidR="002E6790" w:rsidRDefault="00000000" w14:paraId="7E4A7721" w14:textId="77777777">
            <w:pPr>
              <w:spacing w:after="0" w:line="259" w:lineRule="auto"/>
            </w:pPr>
            <w:r>
              <w:rPr>
                <w:rFonts w:eastAsia="Arial"/>
                <w:sz w:val="16"/>
              </w:rPr>
              <w:t>Contextual interviews and order shadowing</w:t>
            </w:r>
          </w:p>
        </w:tc>
        <w:tc>
          <w:tcPr>
            <w:tcW w:w="3900" w:type="dxa"/>
            <w:vAlign w:val="center"/>
          </w:tcPr>
          <w:p w:rsidR="002E6790" w:rsidRDefault="00000000" w14:paraId="09C921BB" w14:textId="77777777">
            <w:pPr>
              <w:spacing w:after="0" w:line="259" w:lineRule="auto"/>
            </w:pPr>
            <w:r>
              <w:rPr>
                <w:rFonts w:eastAsia="Arial"/>
                <w:sz w:val="16"/>
              </w:rPr>
              <w:t>Recurring pain across stakeholder types; no critical excluded actor</w:t>
            </w:r>
          </w:p>
        </w:tc>
        <w:tc>
          <w:tcPr>
            <w:tcW w:w="1810" w:type="dxa"/>
            <w:vAlign w:val="center"/>
          </w:tcPr>
          <w:p w:rsidR="002E6790" w:rsidRDefault="00000000" w14:paraId="041FB66A" w14:textId="77777777">
            <w:pPr>
              <w:spacing w:after="0" w:line="259" w:lineRule="auto"/>
            </w:pPr>
            <w:r>
              <w:rPr>
                <w:rFonts w:eastAsia="Arial"/>
                <w:sz w:val="16"/>
              </w:rPr>
              <w:t>Reframe or narrow segment</w:t>
            </w:r>
          </w:p>
        </w:tc>
      </w:tr>
      <w:tr w:rsidR="002E6790" w14:paraId="47B1085F" w14:textId="77777777">
        <w:trPr>
          <w:cantSplit/>
        </w:trPr>
        <w:tc>
          <w:tcPr>
            <w:tcW w:w="1450" w:type="dxa"/>
            <w:shd w:val="clear" w:color="auto" w:fill="F2F4F7"/>
            <w:vAlign w:val="center"/>
          </w:tcPr>
          <w:p w:rsidR="002E6790" w:rsidRDefault="00000000" w14:paraId="21BD4A51" w14:textId="77777777">
            <w:pPr>
              <w:spacing w:after="0" w:line="259" w:lineRule="auto"/>
              <w:jc w:val="center"/>
            </w:pPr>
            <w:r>
              <w:rPr>
                <w:rFonts w:eastAsia="Arial"/>
                <w:sz w:val="16"/>
              </w:rPr>
              <w:t>Usability</w:t>
            </w:r>
          </w:p>
        </w:tc>
        <w:tc>
          <w:tcPr>
            <w:tcW w:w="2200" w:type="dxa"/>
            <w:shd w:val="clear" w:color="auto" w:fill="F2F4F7"/>
            <w:vAlign w:val="center"/>
          </w:tcPr>
          <w:p w:rsidR="002E6790" w:rsidRDefault="00000000" w14:paraId="75D8D3A6" w14:textId="77777777">
            <w:pPr>
              <w:spacing w:after="0" w:line="259" w:lineRule="auto"/>
            </w:pPr>
            <w:r>
              <w:rPr>
                <w:rFonts w:eastAsia="Arial"/>
                <w:sz w:val="16"/>
              </w:rPr>
              <w:t>Moderated core-task tests</w:t>
            </w:r>
          </w:p>
        </w:tc>
        <w:tc>
          <w:tcPr>
            <w:tcW w:w="3900" w:type="dxa"/>
            <w:shd w:val="clear" w:color="auto" w:fill="F2F4F7"/>
            <w:vAlign w:val="center"/>
          </w:tcPr>
          <w:p w:rsidR="002E6790" w:rsidRDefault="00000000" w14:paraId="1A3C796C" w14:textId="77777777">
            <w:pPr>
              <w:spacing w:after="0" w:line="259" w:lineRule="auto"/>
            </w:pPr>
            <w:r>
              <w:rPr>
                <w:rFonts w:eastAsia="Arial"/>
                <w:sz w:val="16"/>
              </w:rPr>
              <w:t>≥80% complete without facilitator rescue; all severe accessibility failures fixed</w:t>
            </w:r>
          </w:p>
        </w:tc>
        <w:tc>
          <w:tcPr>
            <w:tcW w:w="1810" w:type="dxa"/>
            <w:shd w:val="clear" w:color="auto" w:fill="F2F4F7"/>
            <w:vAlign w:val="center"/>
          </w:tcPr>
          <w:p w:rsidR="002E6790" w:rsidRDefault="00000000" w14:paraId="1D0AF04A" w14:textId="77777777">
            <w:pPr>
              <w:spacing w:after="0" w:line="259" w:lineRule="auto"/>
            </w:pPr>
            <w:r>
              <w:rPr>
                <w:rFonts w:eastAsia="Arial"/>
                <w:sz w:val="16"/>
              </w:rPr>
              <w:t>Redesign flow</w:t>
            </w:r>
          </w:p>
        </w:tc>
      </w:tr>
      <w:tr w:rsidR="002E6790" w14:paraId="1D4D0B8E" w14:textId="77777777">
        <w:trPr>
          <w:cantSplit/>
        </w:trPr>
        <w:tc>
          <w:tcPr>
            <w:tcW w:w="1450" w:type="dxa"/>
            <w:vAlign w:val="center"/>
          </w:tcPr>
          <w:p w:rsidR="002E6790" w:rsidRDefault="00000000" w14:paraId="6D9AF4E8" w14:textId="77777777">
            <w:pPr>
              <w:spacing w:after="0" w:line="259" w:lineRule="auto"/>
              <w:jc w:val="center"/>
            </w:pPr>
            <w:r>
              <w:rPr>
                <w:rFonts w:eastAsia="Arial"/>
                <w:sz w:val="16"/>
              </w:rPr>
              <w:t>Demand</w:t>
            </w:r>
          </w:p>
        </w:tc>
        <w:tc>
          <w:tcPr>
            <w:tcW w:w="2200" w:type="dxa"/>
            <w:vAlign w:val="center"/>
          </w:tcPr>
          <w:p w:rsidR="002E6790" w:rsidRDefault="00000000" w14:paraId="6CB264A9" w14:textId="77777777">
            <w:pPr>
              <w:spacing w:after="0" w:line="259" w:lineRule="auto"/>
            </w:pPr>
            <w:r>
              <w:rPr>
                <w:rFonts w:eastAsia="Arial"/>
                <w:sz w:val="16"/>
              </w:rPr>
              <w:t>Signed merchant pilot commitments and real repeat orders</w:t>
            </w:r>
          </w:p>
        </w:tc>
        <w:tc>
          <w:tcPr>
            <w:tcW w:w="3900" w:type="dxa"/>
            <w:vAlign w:val="center"/>
          </w:tcPr>
          <w:p w:rsidR="002E6790" w:rsidRDefault="00000000" w14:paraId="12CC9551" w14:textId="77777777">
            <w:pPr>
              <w:spacing w:after="0" w:line="259" w:lineRule="auto"/>
            </w:pPr>
            <w:r>
              <w:rPr>
                <w:rFonts w:eastAsia="Arial"/>
                <w:sz w:val="16"/>
              </w:rPr>
              <w:t>Retention and repeat use across the pilot, not registrations alone</w:t>
            </w:r>
          </w:p>
        </w:tc>
        <w:tc>
          <w:tcPr>
            <w:tcW w:w="1810" w:type="dxa"/>
            <w:vAlign w:val="center"/>
          </w:tcPr>
          <w:p w:rsidR="002E6790" w:rsidRDefault="00000000" w14:paraId="4D8909E2" w14:textId="77777777">
            <w:pPr>
              <w:spacing w:after="0" w:line="259" w:lineRule="auto"/>
            </w:pPr>
            <w:r>
              <w:rPr>
                <w:rFonts w:eastAsia="Arial"/>
                <w:sz w:val="16"/>
              </w:rPr>
              <w:t>Change value proposition</w:t>
            </w:r>
          </w:p>
        </w:tc>
      </w:tr>
      <w:tr w:rsidR="002E6790" w14:paraId="4A1612E0" w14:textId="77777777">
        <w:trPr>
          <w:cantSplit/>
        </w:trPr>
        <w:tc>
          <w:tcPr>
            <w:tcW w:w="1450" w:type="dxa"/>
            <w:shd w:val="clear" w:color="auto" w:fill="F2F4F7"/>
            <w:vAlign w:val="center"/>
          </w:tcPr>
          <w:p w:rsidR="002E6790" w:rsidRDefault="00000000" w14:paraId="2FC10201" w14:textId="77777777">
            <w:pPr>
              <w:spacing w:after="0" w:line="259" w:lineRule="auto"/>
              <w:jc w:val="center"/>
            </w:pPr>
            <w:r>
              <w:rPr>
                <w:rFonts w:eastAsia="Arial"/>
                <w:sz w:val="16"/>
              </w:rPr>
              <w:t>Operations</w:t>
            </w:r>
          </w:p>
        </w:tc>
        <w:tc>
          <w:tcPr>
            <w:tcW w:w="2200" w:type="dxa"/>
            <w:shd w:val="clear" w:color="auto" w:fill="F2F4F7"/>
            <w:vAlign w:val="center"/>
          </w:tcPr>
          <w:p w:rsidR="002E6790" w:rsidRDefault="00000000" w14:paraId="1A76BBC7" w14:textId="77777777">
            <w:pPr>
              <w:spacing w:after="0" w:line="259" w:lineRule="auto"/>
            </w:pPr>
            <w:r>
              <w:rPr>
                <w:rFonts w:eastAsia="Arial"/>
                <w:sz w:val="16"/>
              </w:rPr>
              <w:t>Event log and exception review</w:t>
            </w:r>
          </w:p>
        </w:tc>
        <w:tc>
          <w:tcPr>
            <w:tcW w:w="3900" w:type="dxa"/>
            <w:shd w:val="clear" w:color="auto" w:fill="F2F4F7"/>
            <w:vAlign w:val="center"/>
          </w:tcPr>
          <w:p w:rsidR="002E6790" w:rsidRDefault="00000000" w14:paraId="580E8BD8" w14:textId="77777777">
            <w:pPr>
              <w:spacing w:after="0" w:line="259" w:lineRule="auto"/>
            </w:pPr>
            <w:r>
              <w:rPr>
                <w:rFonts w:eastAsia="Arial"/>
                <w:sz w:val="16"/>
              </w:rPr>
              <w:t>Reliable first-attempt handoff; support time trends downward</w:t>
            </w:r>
          </w:p>
        </w:tc>
        <w:tc>
          <w:tcPr>
            <w:tcW w:w="1810" w:type="dxa"/>
            <w:shd w:val="clear" w:color="auto" w:fill="F2F4F7"/>
            <w:vAlign w:val="center"/>
          </w:tcPr>
          <w:p w:rsidR="002E6790" w:rsidRDefault="00000000" w14:paraId="4117D368" w14:textId="77777777">
            <w:pPr>
              <w:spacing w:after="0" w:line="259" w:lineRule="auto"/>
            </w:pPr>
            <w:r>
              <w:rPr>
                <w:rFonts w:eastAsia="Arial"/>
                <w:sz w:val="16"/>
              </w:rPr>
              <w:t>Simplify service / partners</w:t>
            </w:r>
          </w:p>
        </w:tc>
      </w:tr>
      <w:tr w:rsidR="002E6790" w14:paraId="478498F5" w14:textId="77777777">
        <w:trPr>
          <w:cantSplit/>
        </w:trPr>
        <w:tc>
          <w:tcPr>
            <w:tcW w:w="1450" w:type="dxa"/>
            <w:vAlign w:val="center"/>
          </w:tcPr>
          <w:p w:rsidR="002E6790" w:rsidRDefault="00000000" w14:paraId="4BDEE9E6" w14:textId="77777777">
            <w:pPr>
              <w:spacing w:after="0" w:line="259" w:lineRule="auto"/>
              <w:jc w:val="center"/>
            </w:pPr>
            <w:r>
              <w:rPr>
                <w:rFonts w:eastAsia="Arial"/>
                <w:sz w:val="16"/>
              </w:rPr>
              <w:t>Viability</w:t>
            </w:r>
          </w:p>
        </w:tc>
        <w:tc>
          <w:tcPr>
            <w:tcW w:w="2200" w:type="dxa"/>
            <w:vAlign w:val="center"/>
          </w:tcPr>
          <w:p w:rsidR="002E6790" w:rsidRDefault="00000000" w14:paraId="41C0042E" w14:textId="77777777">
            <w:pPr>
              <w:spacing w:after="0" w:line="259" w:lineRule="auto"/>
            </w:pPr>
            <w:r>
              <w:rPr>
                <w:rFonts w:eastAsia="Arial"/>
                <w:sz w:val="16"/>
              </w:rPr>
              <w:t>Activity-based unit economics</w:t>
            </w:r>
          </w:p>
        </w:tc>
        <w:tc>
          <w:tcPr>
            <w:tcW w:w="3900" w:type="dxa"/>
            <w:vAlign w:val="center"/>
          </w:tcPr>
          <w:p w:rsidR="002E6790" w:rsidRDefault="00000000" w14:paraId="7E6D3A90" w14:textId="77777777">
            <w:pPr>
              <w:spacing w:after="0" w:line="259" w:lineRule="auto"/>
            </w:pPr>
            <w:r>
              <w:rPr>
                <w:rFonts w:eastAsia="Arial"/>
                <w:sz w:val="16"/>
              </w:rPr>
              <w:t>Positive contribution after payment, support and fulfilment variable costs</w:t>
            </w:r>
          </w:p>
        </w:tc>
        <w:tc>
          <w:tcPr>
            <w:tcW w:w="1810" w:type="dxa"/>
            <w:vAlign w:val="center"/>
          </w:tcPr>
          <w:p w:rsidR="002E6790" w:rsidRDefault="00000000" w14:paraId="3F6CAF0F" w14:textId="77777777">
            <w:pPr>
              <w:spacing w:after="0" w:line="259" w:lineRule="auto"/>
            </w:pPr>
            <w:r>
              <w:rPr>
                <w:rFonts w:eastAsia="Arial"/>
                <w:sz w:val="16"/>
              </w:rPr>
              <w:t>Reprice or stop</w:t>
            </w:r>
          </w:p>
        </w:tc>
      </w:tr>
      <w:tr w:rsidR="002E6790" w14:paraId="6EF25FA6" w14:textId="77777777">
        <w:trPr>
          <w:cantSplit/>
        </w:trPr>
        <w:tc>
          <w:tcPr>
            <w:tcW w:w="1450" w:type="dxa"/>
            <w:shd w:val="clear" w:color="auto" w:fill="F2F4F7"/>
            <w:vAlign w:val="center"/>
          </w:tcPr>
          <w:p w:rsidR="002E6790" w:rsidRDefault="00000000" w14:paraId="44ECC5EC" w14:textId="77777777">
            <w:pPr>
              <w:spacing w:after="0" w:line="259" w:lineRule="auto"/>
              <w:jc w:val="center"/>
            </w:pPr>
            <w:r>
              <w:rPr>
                <w:rFonts w:eastAsia="Arial"/>
                <w:sz w:val="16"/>
              </w:rPr>
              <w:t>Sustainability</w:t>
            </w:r>
          </w:p>
        </w:tc>
        <w:tc>
          <w:tcPr>
            <w:tcW w:w="2200" w:type="dxa"/>
            <w:shd w:val="clear" w:color="auto" w:fill="F2F4F7"/>
            <w:vAlign w:val="center"/>
          </w:tcPr>
          <w:p w:rsidR="002E6790" w:rsidRDefault="00000000" w14:paraId="4A71BD2F" w14:textId="77777777">
            <w:pPr>
              <w:spacing w:after="0" w:line="259" w:lineRule="auto"/>
            </w:pPr>
            <w:r>
              <w:rPr>
                <w:rFonts w:eastAsia="Arial"/>
                <w:sz w:val="16"/>
              </w:rPr>
              <w:t>Baseline and pilot vehicle-km / CO2e per completed order</w:t>
            </w:r>
          </w:p>
        </w:tc>
        <w:tc>
          <w:tcPr>
            <w:tcW w:w="3900" w:type="dxa"/>
            <w:shd w:val="clear" w:color="auto" w:fill="F2F4F7"/>
            <w:vAlign w:val="center"/>
          </w:tcPr>
          <w:p w:rsidR="002E6790" w:rsidRDefault="00000000" w14:paraId="087394BC" w14:textId="77777777">
            <w:pPr>
              <w:spacing w:after="0" w:line="259" w:lineRule="auto"/>
            </w:pPr>
            <w:r>
              <w:rPr>
                <w:rFonts w:eastAsia="Arial"/>
                <w:sz w:val="16"/>
              </w:rPr>
              <w:t>Measured improvement without extra consumer travel offset</w:t>
            </w:r>
          </w:p>
        </w:tc>
        <w:tc>
          <w:tcPr>
            <w:tcW w:w="1810" w:type="dxa"/>
            <w:shd w:val="clear" w:color="auto" w:fill="F2F4F7"/>
            <w:vAlign w:val="center"/>
          </w:tcPr>
          <w:p w:rsidR="002E6790" w:rsidRDefault="00000000" w14:paraId="551DAFE9" w14:textId="77777777">
            <w:pPr>
              <w:spacing w:after="0" w:line="259" w:lineRule="auto"/>
            </w:pPr>
            <w:r>
              <w:rPr>
                <w:rFonts w:eastAsia="Arial"/>
                <w:sz w:val="16"/>
              </w:rPr>
              <w:t>Remove green claim</w:t>
            </w:r>
          </w:p>
        </w:tc>
      </w:tr>
    </w:tbl>
    <w:p w:rsidRPr="00A51AEF" w:rsidR="002E6790" w:rsidP="00A51AEF" w:rsidRDefault="00000000" w14:paraId="634C539F" w14:textId="48425690">
      <w:pPr>
        <w:spacing w:before="40" w:after="140" w:line="240" w:lineRule="auto"/>
        <w:jc w:val="center"/>
        <w:rPr>
          <w:color w:val="auto"/>
        </w:rPr>
      </w:pPr>
      <w:r w:rsidRPr="00A51AEF">
        <w:rPr>
          <w:rFonts w:eastAsia="Arial"/>
          <w:i/>
          <w:color w:val="auto"/>
          <w:sz w:val="17"/>
        </w:rPr>
        <w:t>Source: Author’s pre-registered decision framework drawing on Ries (2011), Blank (2013), Information Commissioner’s Office (2026) and Bonilla et al. (2024).</w:t>
      </w:r>
    </w:p>
    <w:p w:rsidRPr="00A51AEF" w:rsidR="00E22905" w:rsidP="00E22905" w:rsidRDefault="00E22905" w14:paraId="0230DF65" w14:textId="77777777">
      <w:pPr>
        <w:jc w:val="both"/>
        <w:rPr>
          <w:rFonts w:eastAsia="Arial"/>
          <w:color w:val="auto"/>
        </w:rPr>
      </w:pPr>
      <w:r w:rsidRPr="00A51AEF">
        <w:rPr>
          <w:rFonts w:eastAsia="Arial"/>
          <w:color w:val="auto"/>
        </w:rPr>
        <w:t xml:space="preserve">Qualitative severity is deliberately considered alongside the usability threshold: a high completion average might conceal systematic lockout of low-confidence, poor-connectivity or </w:t>
      </w:r>
      <w:r w:rsidRPr="00A51AEF">
        <w:rPr>
          <w:rFonts w:eastAsia="Arial"/>
          <w:color w:val="auto"/>
        </w:rPr>
        <w:t>assistive-technology users. Instead of producing a single vanity number, tests are supposed to measure completion, time, errors, assistance required and user confidence by context. Similarly, demand evidence based on registrations and gross merchandise value is weak when the orders are not repeated or when a merchant has to endure some hidden administrative tasks (Zahoor et al., 2023; Department for Science, Innovation and Technology, 2025).</w:t>
      </w:r>
    </w:p>
    <w:p w:rsidRPr="00A51AEF" w:rsidR="00E22905" w:rsidRDefault="00E22905" w14:paraId="27F6D6FF" w14:textId="77777777">
      <w:pPr>
        <w:jc w:val="both"/>
        <w:rPr>
          <w:rFonts w:eastAsia="Arial"/>
          <w:color w:val="auto"/>
        </w:rPr>
      </w:pPr>
      <w:r w:rsidRPr="00A51AEF">
        <w:rPr>
          <w:rFonts w:eastAsia="Arial"/>
          <w:color w:val="auto"/>
        </w:rPr>
        <w:t>Refinement should follow the evidence hierarchy. In case users fail to comprehend pooled orders, redesign the interface. In case merchants benefit only with substantial administration, streamline catalogue maintenance or reduce assortment. In case carriers cannot achieve viable economics at the given density, extend cutoffs, expand the cluster or switch to pickup. In case the platform shows positive contribution only when stakeholders are unpaid, the model does not apply. A failed gate creates learning when the gate alters the problem or service boundary or investment decision (Ries, 2011; Verganti, Dell'Era and Swan, 2021).</w:t>
      </w:r>
    </w:p>
    <w:p w:rsidR="002E6790" w:rsidRDefault="00000000" w14:paraId="43A2BC0C" w14:textId="77777777">
      <w:pPr>
        <w:pStyle w:val="Heading1"/>
      </w:pPr>
      <w:bookmarkStart w:name="_Toc237560676" w:id="12"/>
      <w:r>
        <w:t>4. Critical assessment of the venture</w:t>
      </w:r>
      <w:bookmarkEnd w:id="12"/>
    </w:p>
    <w:p w:rsidR="002E6790" w:rsidRDefault="00000000" w14:paraId="5514E6CF" w14:textId="77777777">
      <w:pPr>
        <w:pStyle w:val="Heading2"/>
      </w:pPr>
      <w:bookmarkStart w:name="_Toc237560677" w:id="13"/>
      <w:r>
        <w:t>4.1 Desirability and inclusion</w:t>
      </w:r>
      <w:bookmarkEnd w:id="13"/>
    </w:p>
    <w:p w:rsidRPr="00204C7D" w:rsidR="00204C7D" w:rsidP="00204C7D" w:rsidRDefault="00204C7D" w14:paraId="53575439" w14:textId="77777777">
      <w:pPr>
        <w:jc w:val="both"/>
        <w:rPr>
          <w:rFonts w:eastAsia="Arial"/>
          <w:color w:val="auto"/>
        </w:rPr>
      </w:pPr>
      <w:r w:rsidRPr="00204C7D">
        <w:rPr>
          <w:rFonts w:eastAsia="Arial"/>
          <w:color w:val="auto"/>
        </w:rPr>
        <w:t>RuralLoop is appealing in contexts where consumers value local range, and coordination problems are a reality for the merchants, but the rural market is not a uniform one. Demand for collection may be lower if there is a high proportion of rural users who use their cars, and the digitally underserved user may wish to place orders by phone or face-to-face. The service should provide assisted onboarding, with an SMS and/or a printable fallback – neither of which should be treated as inferior. Therefore, it is counterintuitive to the problem framing and will not promote inclusive market fit if higher-need users are excluded from inclusion (Department for Environment, Food &amp; Rural Affairs, 2026; Department for Science, Innovation and Technology, 2025).</w:t>
      </w:r>
    </w:p>
    <w:p w:rsidR="002E6790" w:rsidRDefault="00000000" w14:paraId="53547E89" w14:textId="77777777">
      <w:pPr>
        <w:pStyle w:val="Heading2"/>
      </w:pPr>
      <w:bookmarkStart w:name="_Toc237560678" w:id="14"/>
      <w:r>
        <w:t>4.2 Feasibility and operational risk</w:t>
      </w:r>
      <w:bookmarkEnd w:id="14"/>
    </w:p>
    <w:p w:rsidRPr="00204C7D" w:rsidR="00204C7D" w:rsidP="00204C7D" w:rsidRDefault="00204C7D" w14:paraId="1EF67E6C" w14:textId="77777777">
      <w:pPr>
        <w:jc w:val="both"/>
        <w:rPr>
          <w:rFonts w:eastAsia="Arial"/>
          <w:color w:val="auto"/>
        </w:rPr>
      </w:pPr>
      <w:r w:rsidRPr="00204C7D">
        <w:rPr>
          <w:rFonts w:eastAsia="Arial"/>
          <w:color w:val="auto"/>
        </w:rPr>
        <w:t xml:space="preserve">Feasibility, though primarily socio-technical, is achievable with the basic technology via mature web, payment and messaging services. The entire experience can be negatively affected by poor inventory management, merchant turnaround, split orders, carrier availability and hub liability, even in the event that the code is working. Exceptions will be visible if there are a limited number of product categories and only one locality. If volume has not been achieved and there is no evidence of the reliability of the carrier service, then deep API integration is </w:t>
      </w:r>
      <w:r w:rsidRPr="00204C7D">
        <w:rPr>
          <w:rFonts w:eastAsia="Arial"/>
          <w:color w:val="auto"/>
        </w:rPr>
        <w:t>recommended after successful data exports, and bargaining flexibility should also be preserved (Verhoef et al., 2021; Boysen, Fedtke and Schwerdfeger, 2021).</w:t>
      </w:r>
    </w:p>
    <w:p w:rsidR="002E6790" w:rsidRDefault="00000000" w14:paraId="3C40AF3F" w14:textId="77777777">
      <w:pPr>
        <w:pStyle w:val="Heading2"/>
      </w:pPr>
      <w:bookmarkStart w:name="_Toc237560679" w:id="15"/>
      <w:r>
        <w:t>4.3 Viability and scalability</w:t>
      </w:r>
      <w:bookmarkEnd w:id="15"/>
    </w:p>
    <w:p w:rsidRPr="00204C7D" w:rsidR="00204C7D" w:rsidP="00204C7D" w:rsidRDefault="00204C7D" w14:paraId="312A4664" w14:textId="77777777">
      <w:pPr>
        <w:jc w:val="both"/>
        <w:rPr>
          <w:rFonts w:eastAsia="Arial"/>
          <w:color w:val="auto"/>
        </w:rPr>
      </w:pPr>
      <w:r w:rsidRPr="00204C7D">
        <w:rPr>
          <w:rFonts w:eastAsia="Arial"/>
          <w:color w:val="auto"/>
        </w:rPr>
        <w:t>The density of transactions, support and willingness to pay is more important than the national SME population in terms of viability. A reported 5.64 million small businesses are relevant in 2025 but not addressable by RuralLoop. Eligible merchants, active assortment, order frequency and contribution margin should be measured for each cluster. Expansion does not require convergence without accompanied costs; it must be accompanied by convergence in terms of repeatable launching, retention and support in terms of sound unit economics (Department for Business and Trade, 2025; Teece, 2010).</w:t>
      </w:r>
    </w:p>
    <w:p w:rsidR="002E6790" w:rsidRDefault="00000000" w14:paraId="63D7E79E" w14:textId="77777777">
      <w:pPr>
        <w:pStyle w:val="Heading2"/>
      </w:pPr>
      <w:bookmarkStart w:name="_Toc237560680" w:id="16"/>
      <w:r>
        <w:t>4.4 Sustainability and ethical limits</w:t>
      </w:r>
      <w:bookmarkEnd w:id="16"/>
    </w:p>
    <w:p w:rsidRPr="00204C7D" w:rsidR="00204C7D" w:rsidP="00204C7D" w:rsidRDefault="00204C7D" w14:paraId="46BD3E43" w14:textId="77777777">
      <w:pPr>
        <w:jc w:val="both"/>
        <w:rPr>
          <w:rFonts w:eastAsia="Arial"/>
          <w:color w:val="auto"/>
        </w:rPr>
      </w:pPr>
      <w:r w:rsidRPr="00204C7D">
        <w:rPr>
          <w:rFonts w:eastAsia="Arial"/>
          <w:color w:val="auto"/>
        </w:rPr>
        <w:t>The impact of consolidation on the environment is conditional also, as is the ability to reduce kilometres and failed stops. Pollution can also be shifted to the consumers by the use of remote pickup points; convenience could be the reason behind the increase in the frequency of orders, and capital and electricity effects remain in an electric fleet. RuralLoop should be transparent about its system boundaries until there is evidence against an adjusted baseline and should not claim to know the environment. Social sustainability requires fair compensation and viable operating conditions for carriers and hubs instead of transferring platform-efficiency costs to vulnerable workers (Bonilla et al., 2024; Baldassarre et al., 2024).</w:t>
      </w:r>
    </w:p>
    <w:p w:rsidR="002E6790" w:rsidRDefault="00000000" w14:paraId="0970FD6F" w14:textId="77777777">
      <w:pPr>
        <w:pStyle w:val="Heading1"/>
      </w:pPr>
      <w:bookmarkStart w:name="_Toc237560681" w:id="17"/>
      <w:r>
        <w:t>5. Recommendations and conclusion</w:t>
      </w:r>
      <w:bookmarkEnd w:id="17"/>
    </w:p>
    <w:p w:rsidRPr="00204C7D" w:rsidR="00204C7D" w:rsidP="00204C7D" w:rsidRDefault="00204C7D" w14:paraId="49122D62" w14:textId="77777777">
      <w:pPr>
        <w:jc w:val="both"/>
        <w:rPr>
          <w:rFonts w:eastAsia="Arial"/>
        </w:rPr>
      </w:pPr>
      <w:r w:rsidRPr="00204C7D">
        <w:rPr>
          <w:rFonts w:eastAsia="Arial"/>
        </w:rPr>
        <w:t>Analysis confirms RuralLoop as a viable opportunity for piloting it but not as proven. The strategic value is the pinpoint intervention point: centralise demand, streamline merchant processes and align existing fulfilment resources. The evidence seen in the UK will not show that online behaviour has continued. While there is a significant business base in the rural areas and an improving, although uneven, level of connectivity, it will not illustrate willingness to embrace a local platform. The added value of design thinking, as long as empathy is not replaced by some fictional personas and iterations are constrained by business, regulatory and environmental evidence (Office for National Statistics, 2026; Department for Environment, Food &amp; Rural Affairs, 2026; Micheli et al., 2019).</w:t>
      </w:r>
    </w:p>
    <w:p w:rsidRPr="00E22905" w:rsidR="00204C7D" w:rsidP="00E22905" w:rsidRDefault="00204C7D" w14:paraId="68094C4C" w14:textId="77777777">
      <w:pPr>
        <w:jc w:val="both"/>
        <w:rPr>
          <w:rFonts w:eastAsia="Arial"/>
        </w:rPr>
      </w:pPr>
    </w:p>
    <w:p w:rsidR="002E6790" w:rsidRDefault="00000000" w14:paraId="695274BA" w14:textId="77777777">
      <w:pPr>
        <w:pStyle w:val="Caption"/>
        <w:keepNext/>
        <w:spacing w:before="60" w:after="60"/>
        <w:jc w:val="center"/>
      </w:pPr>
      <w:r>
        <w:rPr>
          <w:rFonts w:eastAsia="Arial"/>
          <w:color w:val="17365D"/>
        </w:rPr>
        <w:t xml:space="preserve">Table </w:t>
      </w:r>
      <w:r>
        <w:rPr>
          <w:rFonts w:eastAsia="Arial"/>
          <w:color w:val="17365D"/>
        </w:rPr>
        <w:fldChar w:fldCharType="begin"/>
      </w:r>
      <w:r>
        <w:rPr>
          <w:rFonts w:eastAsia="Arial"/>
          <w:color w:val="17365D"/>
        </w:rPr>
        <w:instrText xml:space="preserve"> SEQ Table \* ARABIC </w:instrText>
      </w:r>
      <w:r>
        <w:rPr>
          <w:rFonts w:eastAsia="Arial"/>
          <w:color w:val="17365D"/>
        </w:rPr>
        <w:fldChar w:fldCharType="separate"/>
      </w:r>
      <w:r w:rsidR="00E845B8">
        <w:rPr>
          <w:rFonts w:eastAsia="Arial"/>
          <w:noProof/>
          <w:color w:val="17365D"/>
        </w:rPr>
        <w:t>5</w:t>
      </w:r>
      <w:r>
        <w:rPr>
          <w:rFonts w:eastAsia="Arial"/>
          <w:color w:val="17365D"/>
        </w:rPr>
        <w:fldChar w:fldCharType="end"/>
      </w:r>
      <w:r>
        <w:rPr>
          <w:rFonts w:eastAsia="Arial"/>
        </w:rPr>
        <w:t>. Prioritised action plan.</w:t>
      </w:r>
    </w:p>
    <w:tbl>
      <w:tblPr>
        <w:tblStyle w:val="TableGrid"/>
        <w:tblW w:w="9360" w:type="dxa"/>
        <w:tblInd w:w="120" w:type="dxa"/>
        <w:tblLayout w:type="fixed"/>
        <w:tblLook w:val="04A0" w:firstRow="1" w:lastRow="0" w:firstColumn="1" w:lastColumn="0" w:noHBand="0" w:noVBand="1"/>
      </w:tblPr>
      <w:tblGrid>
        <w:gridCol w:w="900"/>
        <w:gridCol w:w="6500"/>
        <w:gridCol w:w="1960"/>
      </w:tblGrid>
      <w:tr w:rsidR="002E6790" w14:paraId="00250CF6" w14:textId="77777777">
        <w:trPr>
          <w:tblHeader/>
        </w:trPr>
        <w:tc>
          <w:tcPr>
            <w:tcW w:w="900" w:type="dxa"/>
            <w:shd w:val="clear" w:color="auto" w:fill="17365D"/>
            <w:tcMar>
              <w:top w:w="90" w:type="dxa"/>
              <w:left w:w="120" w:type="dxa"/>
              <w:bottom w:w="90" w:type="dxa"/>
              <w:right w:w="120" w:type="dxa"/>
            </w:tcMar>
            <w:vAlign w:val="center"/>
          </w:tcPr>
          <w:p w:rsidR="002E6790" w:rsidP="008D6DA8" w:rsidRDefault="00000000" w14:paraId="1B54E5A7" w14:textId="77777777">
            <w:pPr>
              <w:spacing w:after="0"/>
              <w:jc w:val="center"/>
            </w:pPr>
            <w:r>
              <w:rPr>
                <w:rFonts w:eastAsia="Arial"/>
                <w:b/>
                <w:color w:val="FFFFFF"/>
                <w:sz w:val="18"/>
              </w:rPr>
              <w:t>Priority</w:t>
            </w:r>
          </w:p>
        </w:tc>
        <w:tc>
          <w:tcPr>
            <w:tcW w:w="6500" w:type="dxa"/>
            <w:shd w:val="clear" w:color="auto" w:fill="17365D"/>
            <w:tcMar>
              <w:top w:w="90" w:type="dxa"/>
              <w:left w:w="120" w:type="dxa"/>
              <w:bottom w:w="90" w:type="dxa"/>
              <w:right w:w="120" w:type="dxa"/>
            </w:tcMar>
            <w:vAlign w:val="center"/>
          </w:tcPr>
          <w:p w:rsidR="002E6790" w:rsidP="008D6DA8" w:rsidRDefault="00000000" w14:paraId="22FB0898" w14:textId="77777777">
            <w:pPr>
              <w:spacing w:after="0"/>
              <w:jc w:val="center"/>
            </w:pPr>
            <w:r>
              <w:rPr>
                <w:rFonts w:eastAsia="Arial"/>
                <w:b/>
                <w:color w:val="FFFFFF"/>
                <w:sz w:val="18"/>
              </w:rPr>
              <w:t>Action</w:t>
            </w:r>
          </w:p>
        </w:tc>
        <w:tc>
          <w:tcPr>
            <w:tcW w:w="1960" w:type="dxa"/>
            <w:shd w:val="clear" w:color="auto" w:fill="17365D"/>
            <w:tcMar>
              <w:top w:w="90" w:type="dxa"/>
              <w:left w:w="120" w:type="dxa"/>
              <w:bottom w:w="90" w:type="dxa"/>
              <w:right w:w="120" w:type="dxa"/>
            </w:tcMar>
            <w:vAlign w:val="center"/>
          </w:tcPr>
          <w:p w:rsidR="002E6790" w:rsidP="008D6DA8" w:rsidRDefault="00000000" w14:paraId="1385694B" w14:textId="77777777">
            <w:pPr>
              <w:spacing w:after="0"/>
              <w:jc w:val="center"/>
            </w:pPr>
            <w:r>
              <w:rPr>
                <w:rFonts w:eastAsia="Arial"/>
                <w:b/>
                <w:color w:val="FFFFFF"/>
                <w:sz w:val="18"/>
              </w:rPr>
              <w:t>Decision protected</w:t>
            </w:r>
          </w:p>
        </w:tc>
      </w:tr>
      <w:tr w:rsidR="002E6790" w14:paraId="109DF2BC" w14:textId="77777777">
        <w:trPr>
          <w:cantSplit/>
        </w:trPr>
        <w:tc>
          <w:tcPr>
            <w:tcW w:w="900" w:type="dxa"/>
            <w:vAlign w:val="center"/>
          </w:tcPr>
          <w:p w:rsidR="002E6790" w:rsidP="008D6DA8" w:rsidRDefault="00000000" w14:paraId="286EDB03" w14:textId="77777777">
            <w:pPr>
              <w:spacing w:after="0"/>
              <w:jc w:val="center"/>
            </w:pPr>
            <w:r>
              <w:rPr>
                <w:rFonts w:eastAsia="Arial"/>
                <w:sz w:val="18"/>
              </w:rPr>
              <w:t>1</w:t>
            </w:r>
          </w:p>
        </w:tc>
        <w:tc>
          <w:tcPr>
            <w:tcW w:w="6500" w:type="dxa"/>
            <w:vAlign w:val="center"/>
          </w:tcPr>
          <w:p w:rsidR="002E6790" w:rsidP="008D6DA8" w:rsidRDefault="00000000" w14:paraId="3FD4CAEC" w14:textId="77777777">
            <w:pPr>
              <w:spacing w:after="0"/>
            </w:pPr>
            <w:r>
              <w:rPr>
                <w:rFonts w:eastAsia="Arial"/>
                <w:sz w:val="18"/>
              </w:rPr>
              <w:t>Validate the causal map with diverse merchants, consumers, carriers and hubs before software build.</w:t>
            </w:r>
          </w:p>
        </w:tc>
        <w:tc>
          <w:tcPr>
            <w:tcW w:w="1960" w:type="dxa"/>
            <w:vAlign w:val="center"/>
          </w:tcPr>
          <w:p w:rsidR="002E6790" w:rsidP="008D6DA8" w:rsidRDefault="00000000" w14:paraId="617996E0" w14:textId="77777777">
            <w:pPr>
              <w:spacing w:after="0"/>
            </w:pPr>
            <w:r>
              <w:rPr>
                <w:rFonts w:eastAsia="Arial"/>
                <w:sz w:val="18"/>
              </w:rPr>
              <w:t>Problem evidence</w:t>
            </w:r>
          </w:p>
        </w:tc>
      </w:tr>
      <w:tr w:rsidR="002E6790" w14:paraId="6E3FAD76" w14:textId="77777777">
        <w:trPr>
          <w:cantSplit/>
        </w:trPr>
        <w:tc>
          <w:tcPr>
            <w:tcW w:w="900" w:type="dxa"/>
            <w:shd w:val="clear" w:color="auto" w:fill="F2F4F7"/>
            <w:vAlign w:val="center"/>
          </w:tcPr>
          <w:p w:rsidR="002E6790" w:rsidP="008D6DA8" w:rsidRDefault="00000000" w14:paraId="1675C43B" w14:textId="77777777">
            <w:pPr>
              <w:spacing w:after="0"/>
              <w:jc w:val="center"/>
            </w:pPr>
            <w:r>
              <w:rPr>
                <w:rFonts w:eastAsia="Arial"/>
                <w:sz w:val="18"/>
              </w:rPr>
              <w:t>2</w:t>
            </w:r>
          </w:p>
        </w:tc>
        <w:tc>
          <w:tcPr>
            <w:tcW w:w="6500" w:type="dxa"/>
            <w:shd w:val="clear" w:color="auto" w:fill="F2F4F7"/>
            <w:vAlign w:val="center"/>
          </w:tcPr>
          <w:p w:rsidR="002E6790" w:rsidP="008D6DA8" w:rsidRDefault="00000000" w14:paraId="3EF5CC2C" w14:textId="77777777">
            <w:pPr>
              <w:spacing w:after="0"/>
            </w:pPr>
            <w:r>
              <w:rPr>
                <w:rFonts w:eastAsia="Arial"/>
                <w:sz w:val="18"/>
              </w:rPr>
              <w:t>Prototype the shared basket and fulfilment choice; include low-bandwidth and assisted routes.</w:t>
            </w:r>
          </w:p>
        </w:tc>
        <w:tc>
          <w:tcPr>
            <w:tcW w:w="1960" w:type="dxa"/>
            <w:shd w:val="clear" w:color="auto" w:fill="F2F4F7"/>
            <w:vAlign w:val="center"/>
          </w:tcPr>
          <w:p w:rsidR="002E6790" w:rsidP="008D6DA8" w:rsidRDefault="00000000" w14:paraId="76A68B6C" w14:textId="77777777">
            <w:pPr>
              <w:spacing w:after="0"/>
            </w:pPr>
            <w:r>
              <w:rPr>
                <w:rFonts w:eastAsia="Arial"/>
                <w:sz w:val="18"/>
              </w:rPr>
              <w:t>Desirability / inclusion</w:t>
            </w:r>
          </w:p>
        </w:tc>
      </w:tr>
      <w:tr w:rsidR="002E6790" w14:paraId="6634E2A2" w14:textId="77777777">
        <w:trPr>
          <w:cantSplit/>
        </w:trPr>
        <w:tc>
          <w:tcPr>
            <w:tcW w:w="900" w:type="dxa"/>
            <w:vAlign w:val="center"/>
          </w:tcPr>
          <w:p w:rsidR="002E6790" w:rsidP="008D6DA8" w:rsidRDefault="00000000" w14:paraId="1BEE7231" w14:textId="77777777">
            <w:pPr>
              <w:spacing w:after="0"/>
              <w:jc w:val="center"/>
            </w:pPr>
            <w:r>
              <w:rPr>
                <w:rFonts w:eastAsia="Arial"/>
                <w:sz w:val="18"/>
              </w:rPr>
              <w:t>3</w:t>
            </w:r>
          </w:p>
        </w:tc>
        <w:tc>
          <w:tcPr>
            <w:tcW w:w="6500" w:type="dxa"/>
            <w:vAlign w:val="center"/>
          </w:tcPr>
          <w:p w:rsidR="002E6790" w:rsidP="008D6DA8" w:rsidRDefault="00000000" w14:paraId="259F920D" w14:textId="77777777">
            <w:pPr>
              <w:spacing w:after="0"/>
            </w:pPr>
            <w:r>
              <w:rPr>
                <w:rFonts w:eastAsia="Arial"/>
                <w:sz w:val="18"/>
              </w:rPr>
              <w:t>Run one concierge cluster using partner capacity; avoid vehicles and lockers until density is proven.</w:t>
            </w:r>
          </w:p>
        </w:tc>
        <w:tc>
          <w:tcPr>
            <w:tcW w:w="1960" w:type="dxa"/>
            <w:vAlign w:val="center"/>
          </w:tcPr>
          <w:p w:rsidR="002E6790" w:rsidP="008D6DA8" w:rsidRDefault="00000000" w14:paraId="75B2C4CD" w14:textId="77777777">
            <w:pPr>
              <w:spacing w:after="0"/>
            </w:pPr>
            <w:r>
              <w:rPr>
                <w:rFonts w:eastAsia="Arial"/>
                <w:sz w:val="18"/>
              </w:rPr>
              <w:t>Feasibility / capital</w:t>
            </w:r>
          </w:p>
        </w:tc>
      </w:tr>
      <w:tr w:rsidR="002E6790" w14:paraId="0BFEB7B2" w14:textId="77777777">
        <w:trPr>
          <w:cantSplit/>
        </w:trPr>
        <w:tc>
          <w:tcPr>
            <w:tcW w:w="900" w:type="dxa"/>
            <w:shd w:val="clear" w:color="auto" w:fill="F2F4F7"/>
            <w:vAlign w:val="center"/>
          </w:tcPr>
          <w:p w:rsidR="002E6790" w:rsidP="008D6DA8" w:rsidRDefault="00000000" w14:paraId="15E74BED" w14:textId="77777777">
            <w:pPr>
              <w:spacing w:after="0"/>
              <w:jc w:val="center"/>
            </w:pPr>
            <w:r>
              <w:rPr>
                <w:rFonts w:eastAsia="Arial"/>
                <w:sz w:val="18"/>
              </w:rPr>
              <w:t>4</w:t>
            </w:r>
          </w:p>
        </w:tc>
        <w:tc>
          <w:tcPr>
            <w:tcW w:w="6500" w:type="dxa"/>
            <w:shd w:val="clear" w:color="auto" w:fill="F2F4F7"/>
            <w:vAlign w:val="center"/>
          </w:tcPr>
          <w:p w:rsidR="002E6790" w:rsidP="008D6DA8" w:rsidRDefault="00000000" w14:paraId="65588C3A" w14:textId="77777777">
            <w:pPr>
              <w:spacing w:after="0"/>
            </w:pPr>
            <w:r>
              <w:rPr>
                <w:rFonts w:eastAsia="Arial"/>
                <w:sz w:val="18"/>
              </w:rPr>
              <w:t>Record activity-based costs, exceptions, repeat orders and stakeholder labour from the first transaction.</w:t>
            </w:r>
          </w:p>
        </w:tc>
        <w:tc>
          <w:tcPr>
            <w:tcW w:w="1960" w:type="dxa"/>
            <w:shd w:val="clear" w:color="auto" w:fill="F2F4F7"/>
            <w:vAlign w:val="center"/>
          </w:tcPr>
          <w:p w:rsidR="002E6790" w:rsidP="008D6DA8" w:rsidRDefault="00000000" w14:paraId="110871B4" w14:textId="77777777">
            <w:pPr>
              <w:spacing w:after="0"/>
            </w:pPr>
            <w:r>
              <w:rPr>
                <w:rFonts w:eastAsia="Arial"/>
                <w:sz w:val="18"/>
              </w:rPr>
              <w:t>Viability</w:t>
            </w:r>
          </w:p>
        </w:tc>
      </w:tr>
      <w:tr w:rsidR="002E6790" w14:paraId="2299F93E" w14:textId="77777777">
        <w:trPr>
          <w:cantSplit/>
        </w:trPr>
        <w:tc>
          <w:tcPr>
            <w:tcW w:w="900" w:type="dxa"/>
            <w:vAlign w:val="center"/>
          </w:tcPr>
          <w:p w:rsidR="002E6790" w:rsidP="008D6DA8" w:rsidRDefault="00000000" w14:paraId="45D9EF12" w14:textId="77777777">
            <w:pPr>
              <w:spacing w:after="0"/>
              <w:jc w:val="center"/>
            </w:pPr>
            <w:r>
              <w:rPr>
                <w:rFonts w:eastAsia="Arial"/>
                <w:sz w:val="18"/>
              </w:rPr>
              <w:t>5</w:t>
            </w:r>
          </w:p>
        </w:tc>
        <w:tc>
          <w:tcPr>
            <w:tcW w:w="6500" w:type="dxa"/>
            <w:vAlign w:val="center"/>
          </w:tcPr>
          <w:p w:rsidR="002E6790" w:rsidP="008D6DA8" w:rsidRDefault="00000000" w14:paraId="54B56359" w14:textId="77777777">
            <w:pPr>
              <w:spacing w:after="0"/>
            </w:pPr>
            <w:r>
              <w:rPr>
                <w:rFonts w:eastAsia="Arial"/>
                <w:sz w:val="18"/>
              </w:rPr>
              <w:t>Scale only after contribution, service reliability, data protection and per-order environmental gates pass.</w:t>
            </w:r>
          </w:p>
        </w:tc>
        <w:tc>
          <w:tcPr>
            <w:tcW w:w="1960" w:type="dxa"/>
            <w:vAlign w:val="center"/>
          </w:tcPr>
          <w:p w:rsidR="002E6790" w:rsidP="008D6DA8" w:rsidRDefault="00000000" w14:paraId="4DB1370E" w14:textId="77777777">
            <w:pPr>
              <w:spacing w:after="0"/>
            </w:pPr>
            <w:r>
              <w:rPr>
                <w:rFonts w:eastAsia="Arial"/>
                <w:sz w:val="18"/>
              </w:rPr>
              <w:t>Responsible scale</w:t>
            </w:r>
          </w:p>
        </w:tc>
      </w:tr>
    </w:tbl>
    <w:p w:rsidRPr="008D6DA8" w:rsidR="002E6790" w:rsidP="008D6DA8" w:rsidRDefault="00000000" w14:paraId="07FB7B3F" w14:textId="77777777">
      <w:pPr>
        <w:spacing w:before="40" w:after="140" w:line="240" w:lineRule="auto"/>
        <w:jc w:val="center"/>
        <w:rPr>
          <w:color w:val="auto"/>
        </w:rPr>
      </w:pPr>
      <w:r w:rsidRPr="008D6DA8">
        <w:rPr>
          <w:rFonts w:eastAsia="Arial"/>
          <w:i/>
          <w:color w:val="auto"/>
          <w:sz w:val="17"/>
        </w:rPr>
        <w:t>Source: Author’s recommendations synthesising Ries (2011), Teece (2010), Information Commissioner’s Office (2026), Bonilla et al. (2024) and Verganti, Dell’Era and Swan (2021).</w:t>
      </w:r>
    </w:p>
    <w:p w:rsidRPr="004E2EA6" w:rsidR="00E22905" w:rsidP="00E22905" w:rsidRDefault="00E22905" w14:paraId="55B3CA72" w14:textId="77777777">
      <w:pPr>
        <w:jc w:val="both"/>
        <w:rPr>
          <w:rFonts w:eastAsia="Arial"/>
          <w:color w:val="auto"/>
        </w:rPr>
      </w:pPr>
      <w:r w:rsidRPr="004E2EA6">
        <w:rPr>
          <w:rFonts w:eastAsia="Arial"/>
          <w:color w:val="auto"/>
        </w:rPr>
        <w:t>The immediate decision is thus to finance discovery and a rigorous pilot rather than an entire platform. Repeatable and accessible utilisation and evidence that coordination reduces more work and expense than it creates would demonstrate success. Failure would also be equally instructive in the event that it indicates that the appropriate product is merchant workflow software, a pick-up partnership or no venture at all. Such rigorous, evidence-led recasting or reframing – not adherence to RuralLoop – is the most powerful use of design thinking in the creation of new ventures (Brown and Wyatt, 2009; Rösch, Tiberius and Kraus, 2023).</w:t>
      </w:r>
    </w:p>
    <w:p w:rsidR="00E22905" w:rsidRDefault="00E22905" w14:paraId="6D6A57D8" w14:textId="77777777">
      <w:pPr>
        <w:jc w:val="both"/>
      </w:pPr>
    </w:p>
    <w:p w:rsidR="002E6790" w:rsidRDefault="00000000" w14:paraId="23B8F0E8" w14:textId="77777777">
      <w:r>
        <w:br w:type="page"/>
      </w:r>
    </w:p>
    <w:p w:rsidR="002E6790" w:rsidRDefault="00000000" w14:paraId="08FEBC71" w14:textId="77777777">
      <w:pPr>
        <w:pStyle w:val="Heading1"/>
      </w:pPr>
      <w:bookmarkStart w:name="_Toc237560682" w:id="18"/>
      <w:r>
        <w:t>References</w:t>
      </w:r>
      <w:bookmarkEnd w:id="18"/>
    </w:p>
    <w:p w:rsidRPr="002364D4" w:rsidR="0013022D" w:rsidP="00D6285C" w:rsidRDefault="0013022D" w14:paraId="2F8FEB75" w14:textId="77777777">
      <w:pPr>
        <w:spacing w:after="100"/>
        <w:ind w:left="504" w:hanging="504"/>
        <w:jc w:val="both"/>
        <w:rPr>
          <w:rFonts w:eastAsia="Arial"/>
        </w:rPr>
      </w:pPr>
      <w:r w:rsidRPr="002364D4">
        <w:rPr>
          <w:rFonts w:eastAsia="Arial"/>
        </w:rPr>
        <w:t xml:space="preserve">Baldassarre, B., Calabretta, G., Karpen, I.O., Bocken, N. and Hultink, E.J. (2024) ‘Responsible design thinking for sustainable development: critical literature review, new conceptual framework, and research agenda’, </w:t>
      </w:r>
      <w:r w:rsidRPr="002364D4">
        <w:rPr>
          <w:rFonts w:eastAsia="Arial"/>
          <w:i/>
          <w:iCs/>
        </w:rPr>
        <w:t>Journal of Business Ethics</w:t>
      </w:r>
      <w:r w:rsidRPr="002364D4">
        <w:rPr>
          <w:rFonts w:eastAsia="Arial"/>
        </w:rPr>
        <w:t xml:space="preserve">, 195(1), pp. 25–46. Available at: </w:t>
      </w:r>
      <w:hyperlink w:tgtFrame="_new" w:history="1" r:id="rId11">
        <w:r w:rsidRPr="002364D4">
          <w:rPr>
            <w:rStyle w:val="Hyperlink"/>
            <w:rFonts w:eastAsia="Arial"/>
          </w:rPr>
          <w:t>https://doi.org/10.1007/s10551-023-05600-z</w:t>
        </w:r>
      </w:hyperlink>
      <w:r w:rsidRPr="002364D4">
        <w:rPr>
          <w:rFonts w:eastAsia="Arial"/>
        </w:rPr>
        <w:t>.</w:t>
      </w:r>
    </w:p>
    <w:p w:rsidRPr="002364D4" w:rsidR="0013022D" w:rsidP="00D6285C" w:rsidRDefault="0013022D" w14:paraId="3F48A804" w14:textId="4BC21419">
      <w:pPr>
        <w:spacing w:after="100"/>
        <w:ind w:left="504" w:hanging="504"/>
        <w:jc w:val="both"/>
        <w:rPr>
          <w:rFonts w:eastAsia="Arial"/>
        </w:rPr>
      </w:pPr>
      <w:r w:rsidRPr="002364D4">
        <w:rPr>
          <w:rFonts w:eastAsia="Arial"/>
        </w:rPr>
        <w:t xml:space="preserve">Blank, S. (2013) ‘Why the lean start-up changes everything’, </w:t>
      </w:r>
      <w:r w:rsidRPr="002364D4">
        <w:rPr>
          <w:rFonts w:eastAsia="Arial"/>
          <w:i/>
          <w:iCs/>
        </w:rPr>
        <w:t>Harvard Business Review</w:t>
      </w:r>
      <w:r w:rsidRPr="002364D4">
        <w:rPr>
          <w:rFonts w:eastAsia="Arial"/>
        </w:rPr>
        <w:t xml:space="preserve">, 91(5), pp. 63–72. Available at: </w:t>
      </w:r>
      <w:hyperlink w:tgtFrame="_new" w:history="1" r:id="rId12">
        <w:r w:rsidRPr="002364D4">
          <w:rPr>
            <w:rStyle w:val="Hyperlink"/>
            <w:rFonts w:eastAsia="Arial"/>
          </w:rPr>
          <w:t>https://hbr.org/2013/05/why-the-lean-start-up-changes-everything</w:t>
        </w:r>
      </w:hyperlink>
      <w:r w:rsidRPr="002364D4">
        <w:rPr>
          <w:rFonts w:eastAsia="Arial"/>
        </w:rPr>
        <w:t xml:space="preserve"> (Accessed: </w:t>
      </w:r>
      <w:r w:rsidR="0080145A">
        <w:rPr>
          <w:rFonts w:eastAsia="Arial"/>
        </w:rPr>
        <w:t>10</w:t>
      </w:r>
      <w:r w:rsidRPr="002364D4">
        <w:rPr>
          <w:rFonts w:eastAsia="Arial"/>
        </w:rPr>
        <w:t xml:space="preserve"> August 2026).</w:t>
      </w:r>
    </w:p>
    <w:p w:rsidRPr="002364D4" w:rsidR="0013022D" w:rsidP="00D6285C" w:rsidRDefault="0013022D" w14:paraId="61628A5A" w14:textId="77777777">
      <w:pPr>
        <w:spacing w:after="100"/>
        <w:ind w:left="504" w:hanging="504"/>
        <w:jc w:val="both"/>
        <w:rPr>
          <w:rFonts w:eastAsia="Arial"/>
        </w:rPr>
      </w:pPr>
      <w:r w:rsidRPr="002364D4">
        <w:rPr>
          <w:rFonts w:eastAsia="Arial"/>
        </w:rPr>
        <w:t xml:space="preserve">Bonilla, M.A.M., Bouzon, M. and Peña-Montoya, C.C. (2024) ‘Taxonomy of key practices for a sustainable last-mile logistics network in e-retail: a comprehensive literature review’, </w:t>
      </w:r>
      <w:r w:rsidRPr="002364D4">
        <w:rPr>
          <w:rFonts w:eastAsia="Arial"/>
          <w:i/>
          <w:iCs/>
        </w:rPr>
        <w:t>Cleaner Logistics and Supply Chain</w:t>
      </w:r>
      <w:r w:rsidRPr="002364D4">
        <w:rPr>
          <w:rFonts w:eastAsia="Arial"/>
        </w:rPr>
        <w:t xml:space="preserve">, 11, article 100149. Available at: </w:t>
      </w:r>
      <w:hyperlink w:tgtFrame="_new" w:history="1" r:id="rId13">
        <w:r w:rsidRPr="002364D4">
          <w:rPr>
            <w:rStyle w:val="Hyperlink"/>
            <w:rFonts w:eastAsia="Arial"/>
          </w:rPr>
          <w:t>https://doi.org/10.1016/j.clscn.2024.100149</w:t>
        </w:r>
      </w:hyperlink>
      <w:r w:rsidRPr="002364D4">
        <w:rPr>
          <w:rFonts w:eastAsia="Arial"/>
        </w:rPr>
        <w:t>.</w:t>
      </w:r>
    </w:p>
    <w:p w:rsidRPr="002364D4" w:rsidR="0013022D" w:rsidP="00D6285C" w:rsidRDefault="0013022D" w14:paraId="1C6283ED" w14:textId="77777777">
      <w:pPr>
        <w:spacing w:after="100"/>
        <w:ind w:left="504" w:hanging="504"/>
        <w:jc w:val="both"/>
        <w:rPr>
          <w:rFonts w:eastAsia="Arial"/>
        </w:rPr>
      </w:pPr>
      <w:bookmarkStart w:name="_Int_qaSZcpJm" w:id="1622449379"/>
      <w:r w:rsidRPr="28023B4D" w:rsidR="0013022D">
        <w:rPr>
          <w:rFonts w:eastAsia="Arial"/>
        </w:rPr>
        <w:t xml:space="preserve">Boysen, N., Fedtke, S. and Schwerdfeger, S. (2021) ‘Last-mile delivery concepts: a survey from an operational research perspective’, </w:t>
      </w:r>
      <w:r w:rsidRPr="28023B4D" w:rsidR="0013022D">
        <w:rPr>
          <w:rFonts w:eastAsia="Arial"/>
          <w:i w:val="1"/>
          <w:iCs w:val="1"/>
        </w:rPr>
        <w:t>OR Spectrum</w:t>
      </w:r>
      <w:r w:rsidRPr="28023B4D" w:rsidR="0013022D">
        <w:rPr>
          <w:rFonts w:eastAsia="Arial"/>
        </w:rPr>
        <w:t>, 43, pp. 1–58.</w:t>
      </w:r>
      <w:bookmarkEnd w:id="1622449379"/>
      <w:r w:rsidRPr="28023B4D" w:rsidR="0013022D">
        <w:rPr>
          <w:rFonts w:eastAsia="Arial"/>
        </w:rPr>
        <w:t xml:space="preserve"> Available at: </w:t>
      </w:r>
      <w:hyperlink r:id="R769a9c8b09cc4a10">
        <w:r w:rsidRPr="28023B4D" w:rsidR="0013022D">
          <w:rPr>
            <w:rStyle w:val="Hyperlink"/>
            <w:rFonts w:eastAsia="Arial"/>
          </w:rPr>
          <w:t>https://doi.org/10.1007/s00291-020-00607-8</w:t>
        </w:r>
      </w:hyperlink>
      <w:r w:rsidRPr="28023B4D" w:rsidR="0013022D">
        <w:rPr>
          <w:rFonts w:eastAsia="Arial"/>
        </w:rPr>
        <w:t>.</w:t>
      </w:r>
    </w:p>
    <w:p w:rsidRPr="002364D4" w:rsidR="0013022D" w:rsidP="00D6285C" w:rsidRDefault="0013022D" w14:paraId="0A6BDDCA" w14:textId="6B98077D">
      <w:pPr>
        <w:spacing w:after="100"/>
        <w:ind w:left="504" w:hanging="504"/>
        <w:jc w:val="both"/>
        <w:rPr>
          <w:rFonts w:eastAsia="Arial"/>
        </w:rPr>
      </w:pPr>
      <w:r w:rsidRPr="002364D4">
        <w:rPr>
          <w:rFonts w:eastAsia="Arial"/>
        </w:rPr>
        <w:t xml:space="preserve">Brown, T. (2008) ‘Design thinking’, </w:t>
      </w:r>
      <w:r w:rsidRPr="002364D4">
        <w:rPr>
          <w:rFonts w:eastAsia="Arial"/>
          <w:i/>
          <w:iCs/>
        </w:rPr>
        <w:t>Harvard Business Review</w:t>
      </w:r>
      <w:r w:rsidRPr="002364D4">
        <w:rPr>
          <w:rFonts w:eastAsia="Arial"/>
        </w:rPr>
        <w:t xml:space="preserve">, 86(6), pp. 84–92 and 141. Available at: </w:t>
      </w:r>
      <w:hyperlink w:tgtFrame="_new" w:history="1" r:id="rId15">
        <w:r w:rsidRPr="002364D4">
          <w:rPr>
            <w:rStyle w:val="Hyperlink"/>
            <w:rFonts w:eastAsia="Arial"/>
          </w:rPr>
          <w:t>https://hbr.org/2008/06/design-thinking</w:t>
        </w:r>
      </w:hyperlink>
      <w:r w:rsidRPr="002364D4">
        <w:rPr>
          <w:rFonts w:eastAsia="Arial"/>
        </w:rPr>
        <w:t xml:space="preserve"> (Accessed: </w:t>
      </w:r>
      <w:r w:rsidR="0080145A">
        <w:rPr>
          <w:rFonts w:eastAsia="Arial"/>
        </w:rPr>
        <w:t>11</w:t>
      </w:r>
      <w:r w:rsidRPr="002364D4">
        <w:rPr>
          <w:rFonts w:eastAsia="Arial"/>
        </w:rPr>
        <w:t xml:space="preserve"> August 2026).</w:t>
      </w:r>
    </w:p>
    <w:p w:rsidRPr="002364D4" w:rsidR="0013022D" w:rsidP="00D6285C" w:rsidRDefault="0013022D" w14:paraId="672834D2" w14:textId="77777777">
      <w:pPr>
        <w:spacing w:after="100"/>
        <w:ind w:left="504" w:hanging="504"/>
        <w:jc w:val="both"/>
        <w:rPr>
          <w:rFonts w:eastAsia="Arial"/>
        </w:rPr>
      </w:pPr>
      <w:r w:rsidRPr="002364D4">
        <w:rPr>
          <w:rFonts w:eastAsia="Arial"/>
        </w:rPr>
        <w:t xml:space="preserve">Brown, T. and Wyatt, J. (2009) ‘Design thinking for social innovation’, </w:t>
      </w:r>
      <w:r w:rsidRPr="002364D4">
        <w:rPr>
          <w:rFonts w:eastAsia="Arial"/>
          <w:i/>
          <w:iCs/>
        </w:rPr>
        <w:t>Stanford Social Innovation Review</w:t>
      </w:r>
      <w:r w:rsidRPr="002364D4">
        <w:rPr>
          <w:rFonts w:eastAsia="Arial"/>
        </w:rPr>
        <w:t xml:space="preserve">, 8(1), pp. 31–35. Available at: </w:t>
      </w:r>
      <w:hyperlink w:tgtFrame="_new" w:history="1" r:id="rId16">
        <w:r w:rsidRPr="002364D4">
          <w:rPr>
            <w:rStyle w:val="Hyperlink"/>
            <w:rFonts w:eastAsia="Arial"/>
          </w:rPr>
          <w:t>https://doi.org/10.48558/58Z7-3J85</w:t>
        </w:r>
      </w:hyperlink>
      <w:r w:rsidRPr="002364D4">
        <w:rPr>
          <w:rFonts w:eastAsia="Arial"/>
        </w:rPr>
        <w:t>.</w:t>
      </w:r>
    </w:p>
    <w:p w:rsidRPr="002364D4" w:rsidR="0013022D" w:rsidP="00D6285C" w:rsidRDefault="0013022D" w14:paraId="0C7F3D1A" w14:textId="56FDD816">
      <w:pPr>
        <w:spacing w:after="100"/>
        <w:ind w:left="504" w:hanging="504"/>
        <w:jc w:val="both"/>
        <w:rPr>
          <w:rFonts w:eastAsia="Arial"/>
        </w:rPr>
      </w:pPr>
      <w:r w:rsidRPr="002364D4">
        <w:rPr>
          <w:rFonts w:eastAsia="Arial"/>
        </w:rPr>
        <w:t xml:space="preserve">Citizens Advice (2024) </w:t>
      </w:r>
      <w:r w:rsidRPr="002364D4">
        <w:rPr>
          <w:rFonts w:eastAsia="Arial"/>
          <w:i/>
          <w:iCs/>
        </w:rPr>
        <w:t>Almost 15 million people experienced a problem with a parcel delivery in the last month</w:t>
      </w:r>
      <w:r w:rsidRPr="002364D4">
        <w:rPr>
          <w:rFonts w:eastAsia="Arial"/>
        </w:rPr>
        <w:t xml:space="preserve">. Available at: </w:t>
      </w:r>
      <w:hyperlink w:tgtFrame="_new" w:history="1" r:id="rId17">
        <w:r w:rsidRPr="002364D4">
          <w:rPr>
            <w:rStyle w:val="Hyperlink"/>
            <w:rFonts w:eastAsia="Arial"/>
          </w:rPr>
          <w:t>https://www.citizensadvice.org.uk/about-us/media-centre/press-releases/almost-15-million-people-experienced-a-problem-with-a-parcel-delivery-in-the/</w:t>
        </w:r>
      </w:hyperlink>
      <w:r w:rsidRPr="002364D4">
        <w:rPr>
          <w:rFonts w:eastAsia="Arial"/>
        </w:rPr>
        <w:t xml:space="preserve"> (Accessed: </w:t>
      </w:r>
      <w:r w:rsidR="0080145A">
        <w:rPr>
          <w:rFonts w:eastAsia="Arial"/>
        </w:rPr>
        <w:t>12</w:t>
      </w:r>
      <w:r w:rsidRPr="002364D4">
        <w:rPr>
          <w:rFonts w:eastAsia="Arial"/>
        </w:rPr>
        <w:t xml:space="preserve"> August 2026).</w:t>
      </w:r>
    </w:p>
    <w:p w:rsidRPr="002364D4" w:rsidR="0013022D" w:rsidP="00D6285C" w:rsidRDefault="0013022D" w14:paraId="0857B5A3" w14:textId="77777777">
      <w:pPr>
        <w:spacing w:after="100"/>
        <w:ind w:left="504" w:hanging="504"/>
        <w:jc w:val="both"/>
        <w:rPr>
          <w:rFonts w:eastAsia="Arial"/>
        </w:rPr>
      </w:pPr>
      <w:r w:rsidRPr="002364D4">
        <w:rPr>
          <w:rFonts w:eastAsia="Arial"/>
        </w:rPr>
        <w:t xml:space="preserve">Dell’Era, C., Magistretti, S., Cautela, C., Verganti, R. and Zurlo, F. (2020) ‘Four kinds of design thinking: from ideating to making, engaging, and criticizing’, </w:t>
      </w:r>
      <w:r w:rsidRPr="002364D4">
        <w:rPr>
          <w:rFonts w:eastAsia="Arial"/>
          <w:i/>
          <w:iCs/>
        </w:rPr>
        <w:t>Creativity and Innovation Management</w:t>
      </w:r>
      <w:r w:rsidRPr="002364D4">
        <w:rPr>
          <w:rFonts w:eastAsia="Arial"/>
        </w:rPr>
        <w:t xml:space="preserve">, 29(2), pp. 324–344. Available at: </w:t>
      </w:r>
      <w:hyperlink w:tgtFrame="_new" w:history="1" r:id="rId18">
        <w:r w:rsidRPr="002364D4">
          <w:rPr>
            <w:rStyle w:val="Hyperlink"/>
            <w:rFonts w:eastAsia="Arial"/>
          </w:rPr>
          <w:t>https://doi.org/10.1111/caim.12353</w:t>
        </w:r>
      </w:hyperlink>
      <w:r w:rsidRPr="002364D4">
        <w:rPr>
          <w:rFonts w:eastAsia="Arial"/>
        </w:rPr>
        <w:t>.</w:t>
      </w:r>
    </w:p>
    <w:p w:rsidRPr="002364D4" w:rsidR="0013022D" w:rsidP="00D6285C" w:rsidRDefault="0013022D" w14:paraId="27DFE19E" w14:textId="77777777">
      <w:pPr>
        <w:spacing w:after="100"/>
        <w:ind w:left="504" w:hanging="504"/>
        <w:jc w:val="both"/>
        <w:rPr>
          <w:rFonts w:eastAsia="Arial"/>
        </w:rPr>
      </w:pPr>
      <w:bookmarkStart w:name="_Int_iZJibTx9" w:id="1513138716"/>
      <w:r w:rsidRPr="28023B4D" w:rsidR="0013022D">
        <w:rPr>
          <w:rFonts w:eastAsia="Arial"/>
        </w:rPr>
        <w:t xml:space="preserve">Department for Business and Trade (2025) </w:t>
      </w:r>
      <w:r w:rsidRPr="28023B4D" w:rsidR="0013022D">
        <w:rPr>
          <w:rFonts w:eastAsia="Arial"/>
          <w:i w:val="1"/>
          <w:iCs w:val="1"/>
        </w:rPr>
        <w:t>Business population estimates for the UK and regions 2025: statistical release</w:t>
      </w:r>
      <w:r w:rsidRPr="28023B4D" w:rsidR="0013022D">
        <w:rPr>
          <w:rFonts w:eastAsia="Arial"/>
        </w:rPr>
        <w:t>.</w:t>
      </w:r>
      <w:bookmarkEnd w:id="1513138716"/>
      <w:r w:rsidRPr="28023B4D" w:rsidR="0013022D">
        <w:rPr>
          <w:rFonts w:eastAsia="Arial"/>
        </w:rPr>
        <w:t xml:space="preserve"> Available at: </w:t>
      </w:r>
      <w:hyperlink r:id="Re2437b24b9e84d60">
        <w:r w:rsidRPr="28023B4D" w:rsidR="0013022D">
          <w:rPr>
            <w:rStyle w:val="Hyperlink"/>
            <w:rFonts w:eastAsia="Arial"/>
          </w:rPr>
          <w:t>https://www.gov.uk/government/statistics/business-population-estimates-2025/business-population-estimates-for-the-uk-and-regions-2025-statistical-release</w:t>
        </w:r>
      </w:hyperlink>
      <w:r w:rsidRPr="28023B4D" w:rsidR="0013022D">
        <w:rPr>
          <w:rFonts w:eastAsia="Arial"/>
        </w:rPr>
        <w:t xml:space="preserve"> (Accessed: 13 August 2026).</w:t>
      </w:r>
    </w:p>
    <w:p w:rsidRPr="002364D4" w:rsidR="0013022D" w:rsidP="00D6285C" w:rsidRDefault="0013022D" w14:paraId="52DF351A" w14:textId="4AB6A9D4">
      <w:pPr>
        <w:spacing w:after="100"/>
        <w:ind w:left="504" w:hanging="504"/>
        <w:jc w:val="both"/>
        <w:rPr>
          <w:rFonts w:eastAsia="Arial"/>
        </w:rPr>
      </w:pPr>
      <w:r w:rsidRPr="002364D4">
        <w:rPr>
          <w:rFonts w:eastAsia="Arial"/>
        </w:rPr>
        <w:t xml:space="preserve">Department for Environment, Food &amp; Rural Affairs (2026) </w:t>
      </w:r>
      <w:r w:rsidRPr="002364D4">
        <w:rPr>
          <w:rFonts w:eastAsia="Arial"/>
          <w:i/>
          <w:iCs/>
        </w:rPr>
        <w:t>Key findings, Statistical Digest of Rural England</w:t>
      </w:r>
      <w:r w:rsidRPr="002364D4">
        <w:rPr>
          <w:rFonts w:eastAsia="Arial"/>
        </w:rPr>
        <w:t xml:space="preserve">. Available at: </w:t>
      </w:r>
      <w:hyperlink w:tgtFrame="_new" w:history="1" r:id="rId20">
        <w:r w:rsidRPr="002364D4">
          <w:rPr>
            <w:rStyle w:val="Hyperlink"/>
            <w:rFonts w:eastAsia="Arial"/>
          </w:rPr>
          <w:t>https://www.gov.uk/government/statistics/key-findings-statistical-digest-of-rural-england/key-findings-statistical-digest-of-rural-england</w:t>
        </w:r>
      </w:hyperlink>
      <w:r w:rsidRPr="002364D4">
        <w:rPr>
          <w:rFonts w:eastAsia="Arial"/>
        </w:rPr>
        <w:t xml:space="preserve"> (Accessed: </w:t>
      </w:r>
      <w:r w:rsidR="0080145A">
        <w:rPr>
          <w:rFonts w:eastAsia="Arial"/>
        </w:rPr>
        <w:t>14</w:t>
      </w:r>
      <w:r w:rsidRPr="002364D4">
        <w:rPr>
          <w:rFonts w:eastAsia="Arial"/>
        </w:rPr>
        <w:t xml:space="preserve"> August 2026).</w:t>
      </w:r>
    </w:p>
    <w:p w:rsidRPr="002364D4" w:rsidR="0013022D" w:rsidP="00D6285C" w:rsidRDefault="0013022D" w14:paraId="580503F4" w14:textId="77777777">
      <w:pPr>
        <w:spacing w:after="100"/>
        <w:ind w:left="504" w:hanging="504"/>
        <w:jc w:val="both"/>
        <w:rPr>
          <w:rFonts w:eastAsia="Arial"/>
        </w:rPr>
      </w:pPr>
      <w:bookmarkStart w:name="_Int_Idnur98m" w:id="618359969"/>
      <w:r w:rsidRPr="28023B4D" w:rsidR="0013022D">
        <w:rPr>
          <w:rFonts w:eastAsia="Arial"/>
        </w:rPr>
        <w:t xml:space="preserve">Department for Science, Innovation and Technology (2025) </w:t>
      </w:r>
      <w:r w:rsidRPr="28023B4D" w:rsidR="0013022D">
        <w:rPr>
          <w:rFonts w:eastAsia="Arial"/>
          <w:i w:val="1"/>
          <w:iCs w:val="1"/>
        </w:rPr>
        <w:t>Digital Inclusion Action Plan: First Steps</w:t>
      </w:r>
      <w:r w:rsidRPr="28023B4D" w:rsidR="0013022D">
        <w:rPr>
          <w:rFonts w:eastAsia="Arial"/>
        </w:rPr>
        <w:t>.</w:t>
      </w:r>
      <w:bookmarkEnd w:id="618359969"/>
      <w:r w:rsidRPr="28023B4D" w:rsidR="0013022D">
        <w:rPr>
          <w:rFonts w:eastAsia="Arial"/>
        </w:rPr>
        <w:t xml:space="preserve"> Available at: </w:t>
      </w:r>
      <w:hyperlink r:id="Rf2f237d58ad24768">
        <w:r w:rsidRPr="28023B4D" w:rsidR="0013022D">
          <w:rPr>
            <w:rStyle w:val="Hyperlink"/>
            <w:rFonts w:eastAsia="Arial"/>
          </w:rPr>
          <w:t>https://www.gov.uk/government/publications/digital-inclusion-action-plan-first-steps/digital-inclusion-action-plan-first-steps</w:t>
        </w:r>
      </w:hyperlink>
      <w:r w:rsidRPr="28023B4D" w:rsidR="0013022D">
        <w:rPr>
          <w:rFonts w:eastAsia="Arial"/>
        </w:rPr>
        <w:t xml:space="preserve"> (Accessed: 13 August 2026).</w:t>
      </w:r>
    </w:p>
    <w:p w:rsidRPr="002364D4" w:rsidR="0013022D" w:rsidP="00D6285C" w:rsidRDefault="0013022D" w14:paraId="53759BDB" w14:textId="77777777">
      <w:pPr>
        <w:spacing w:after="100"/>
        <w:ind w:left="504" w:hanging="504"/>
        <w:jc w:val="both"/>
        <w:rPr>
          <w:rFonts w:eastAsia="Arial"/>
        </w:rPr>
      </w:pPr>
      <w:r w:rsidRPr="002364D4">
        <w:rPr>
          <w:rFonts w:eastAsia="Arial"/>
        </w:rPr>
        <w:t xml:space="preserve">Eller, R., Alford, P., Kallmünzer, A. and Peters, M. (2020) ‘Antecedents, consequences, and challenges of small and medium-sized enterprise digitalization’, </w:t>
      </w:r>
      <w:r w:rsidRPr="002364D4">
        <w:rPr>
          <w:rFonts w:eastAsia="Arial"/>
          <w:i/>
          <w:iCs/>
        </w:rPr>
        <w:t>Journal of Business Research</w:t>
      </w:r>
      <w:r w:rsidRPr="002364D4">
        <w:rPr>
          <w:rFonts w:eastAsia="Arial"/>
        </w:rPr>
        <w:t xml:space="preserve">, 112, pp. 119–127. Available at: </w:t>
      </w:r>
      <w:hyperlink w:tgtFrame="_new" w:history="1" r:id="rId22">
        <w:r w:rsidRPr="002364D4">
          <w:rPr>
            <w:rStyle w:val="Hyperlink"/>
            <w:rFonts w:eastAsia="Arial"/>
          </w:rPr>
          <w:t>https://doi.org/10.1016/j.jbusres.2020.03.004</w:t>
        </w:r>
      </w:hyperlink>
      <w:r w:rsidRPr="002364D4">
        <w:rPr>
          <w:rFonts w:eastAsia="Arial"/>
        </w:rPr>
        <w:t>.</w:t>
      </w:r>
    </w:p>
    <w:p w:rsidRPr="002364D4" w:rsidR="0013022D" w:rsidP="00D6285C" w:rsidRDefault="0013022D" w14:paraId="61E8EFD5" w14:textId="77777777">
      <w:pPr>
        <w:spacing w:after="100"/>
        <w:ind w:left="504" w:hanging="504"/>
        <w:jc w:val="both"/>
        <w:rPr>
          <w:rFonts w:eastAsia="Arial"/>
        </w:rPr>
      </w:pPr>
      <w:bookmarkStart w:name="_Int_LiEkNiRb" w:id="984364538"/>
      <w:r w:rsidRPr="28023B4D" w:rsidR="0013022D">
        <w:rPr>
          <w:rFonts w:eastAsia="Arial"/>
        </w:rPr>
        <w:t xml:space="preserve">IDEO.org (2015) </w:t>
      </w:r>
      <w:r w:rsidRPr="28023B4D" w:rsidR="0013022D">
        <w:rPr>
          <w:rFonts w:eastAsia="Arial"/>
          <w:i w:val="1"/>
          <w:iCs w:val="1"/>
        </w:rPr>
        <w:t>The Field Guide to Human-Centered Design: Design Kit</w:t>
      </w:r>
      <w:r w:rsidRPr="28023B4D" w:rsidR="0013022D">
        <w:rPr>
          <w:rFonts w:eastAsia="Arial"/>
        </w:rPr>
        <w:t>.</w:t>
      </w:r>
      <w:bookmarkEnd w:id="984364538"/>
      <w:r w:rsidRPr="28023B4D" w:rsidR="0013022D">
        <w:rPr>
          <w:rFonts w:eastAsia="Arial"/>
        </w:rPr>
        <w:t xml:space="preserve"> 1st edn. San Francisco, CA: IDEO.org. Available at: </w:t>
      </w:r>
      <w:hyperlink r:id="R9634304e6fb74837">
        <w:r w:rsidRPr="28023B4D" w:rsidR="0013022D">
          <w:rPr>
            <w:rStyle w:val="Hyperlink"/>
            <w:rFonts w:eastAsia="Arial"/>
          </w:rPr>
          <w:t>https://www.designkit.org/resources/1.html</w:t>
        </w:r>
      </w:hyperlink>
      <w:r w:rsidRPr="28023B4D" w:rsidR="0013022D">
        <w:rPr>
          <w:rFonts w:eastAsia="Arial"/>
        </w:rPr>
        <w:t xml:space="preserve"> (Accessed: 13 August 2026).</w:t>
      </w:r>
    </w:p>
    <w:p w:rsidRPr="002364D4" w:rsidR="0013022D" w:rsidP="00D6285C" w:rsidRDefault="0013022D" w14:paraId="40459EF6" w14:textId="77777777">
      <w:pPr>
        <w:spacing w:after="100"/>
        <w:ind w:left="504" w:hanging="504"/>
        <w:jc w:val="both"/>
        <w:rPr>
          <w:rFonts w:eastAsia="Arial"/>
        </w:rPr>
      </w:pPr>
      <w:r w:rsidRPr="002364D4">
        <w:rPr>
          <w:rFonts w:eastAsia="Arial"/>
        </w:rPr>
        <w:t xml:space="preserve">Information Commissioner’s Office (2026) </w:t>
      </w:r>
      <w:r w:rsidRPr="002364D4">
        <w:rPr>
          <w:rFonts w:eastAsia="Arial"/>
          <w:i/>
          <w:iCs/>
        </w:rPr>
        <w:t>Data protection by design and by default</w:t>
      </w:r>
      <w:r w:rsidRPr="002364D4">
        <w:rPr>
          <w:rFonts w:eastAsia="Arial"/>
        </w:rPr>
        <w:t xml:space="preserve">. Available at: </w:t>
      </w:r>
      <w:hyperlink w:tgtFrame="_new" w:history="1" r:id="rId24">
        <w:r w:rsidRPr="002364D4">
          <w:rPr>
            <w:rStyle w:val="Hyperlink"/>
            <w:rFonts w:eastAsia="Arial"/>
          </w:rPr>
          <w:t>https://ico.org.uk/for-organisations/uk-gdpr-guidance-and-resources/accountability-and-governance/guide-to-accountability-and-governance/data-protection-by-design-and-by-default/</w:t>
        </w:r>
      </w:hyperlink>
      <w:r w:rsidRPr="002364D4">
        <w:rPr>
          <w:rFonts w:eastAsia="Arial"/>
        </w:rPr>
        <w:t xml:space="preserve"> (Accessed: 13 August 2026).</w:t>
      </w:r>
    </w:p>
    <w:p w:rsidRPr="002364D4" w:rsidR="0013022D" w:rsidP="00D6285C" w:rsidRDefault="0013022D" w14:paraId="49F02260" w14:textId="77777777">
      <w:pPr>
        <w:spacing w:after="100"/>
        <w:ind w:left="504" w:hanging="504"/>
        <w:jc w:val="both"/>
        <w:rPr>
          <w:rFonts w:eastAsia="Arial"/>
        </w:rPr>
      </w:pPr>
      <w:r w:rsidRPr="002364D4">
        <w:rPr>
          <w:rFonts w:eastAsia="Arial"/>
        </w:rPr>
        <w:t xml:space="preserve">Meadows, D.H. (2008) </w:t>
      </w:r>
      <w:r w:rsidRPr="002364D4">
        <w:rPr>
          <w:rFonts w:eastAsia="Arial"/>
          <w:i/>
          <w:iCs/>
        </w:rPr>
        <w:t>Thinking in Systems: A Primer</w:t>
      </w:r>
      <w:r w:rsidRPr="002364D4">
        <w:rPr>
          <w:rFonts w:eastAsia="Arial"/>
        </w:rPr>
        <w:t xml:space="preserve">. Edited by D. Wright. White River Junction, VT: Chelsea Green Publishing. Available at: </w:t>
      </w:r>
      <w:hyperlink w:tgtFrame="_new" w:history="1" r:id="rId25">
        <w:r w:rsidRPr="002364D4">
          <w:rPr>
            <w:rStyle w:val="Hyperlink"/>
            <w:rFonts w:eastAsia="Arial"/>
          </w:rPr>
          <w:t>https://www.chelseagreen.com/product/thinking-in-systems/</w:t>
        </w:r>
      </w:hyperlink>
      <w:r w:rsidRPr="002364D4">
        <w:rPr>
          <w:rFonts w:eastAsia="Arial"/>
        </w:rPr>
        <w:t xml:space="preserve"> (Accessed: 13 August 2026).</w:t>
      </w:r>
    </w:p>
    <w:p w:rsidRPr="002364D4" w:rsidR="0013022D" w:rsidP="00D6285C" w:rsidRDefault="0013022D" w14:paraId="1C63A301" w14:textId="77777777">
      <w:pPr>
        <w:spacing w:after="100"/>
        <w:ind w:left="504" w:hanging="504"/>
        <w:jc w:val="both"/>
        <w:rPr>
          <w:rFonts w:eastAsia="Arial"/>
        </w:rPr>
      </w:pPr>
      <w:r w:rsidRPr="002364D4">
        <w:rPr>
          <w:rFonts w:eastAsia="Arial"/>
        </w:rPr>
        <w:t xml:space="preserve">Micheli, P., Wilner, S.J.S., Bhatti, S.H., Mura, M. and Beverland, M.B. (2019) ‘Doing design thinking: conceptual review, synthesis, and research agenda’, </w:t>
      </w:r>
      <w:r w:rsidRPr="002364D4">
        <w:rPr>
          <w:rFonts w:eastAsia="Arial"/>
          <w:i/>
          <w:iCs/>
        </w:rPr>
        <w:t>Journal of Product Innovation Management</w:t>
      </w:r>
      <w:r w:rsidRPr="002364D4">
        <w:rPr>
          <w:rFonts w:eastAsia="Arial"/>
        </w:rPr>
        <w:t xml:space="preserve">, 36(2), pp. 124–148. Available at: </w:t>
      </w:r>
      <w:hyperlink w:tgtFrame="_new" w:history="1" r:id="rId26">
        <w:r w:rsidRPr="002364D4">
          <w:rPr>
            <w:rStyle w:val="Hyperlink"/>
            <w:rFonts w:eastAsia="Arial"/>
          </w:rPr>
          <w:t>https://doi.org/10.1111/jpim.12466</w:t>
        </w:r>
      </w:hyperlink>
      <w:r w:rsidRPr="002364D4">
        <w:rPr>
          <w:rFonts w:eastAsia="Arial"/>
        </w:rPr>
        <w:t>.</w:t>
      </w:r>
    </w:p>
    <w:p w:rsidRPr="002364D4" w:rsidR="0013022D" w:rsidP="00D6285C" w:rsidRDefault="0013022D" w14:paraId="357126F2" w14:textId="77777777">
      <w:pPr>
        <w:spacing w:after="100"/>
        <w:ind w:left="504" w:hanging="504"/>
        <w:jc w:val="both"/>
        <w:rPr>
          <w:rFonts w:eastAsia="Arial"/>
        </w:rPr>
      </w:pPr>
      <w:r w:rsidRPr="002364D4">
        <w:rPr>
          <w:rFonts w:eastAsia="Arial"/>
        </w:rPr>
        <w:t xml:space="preserve">Ofcom (2023) </w:t>
      </w:r>
      <w:r w:rsidRPr="002364D4">
        <w:rPr>
          <w:rFonts w:eastAsia="Arial"/>
          <w:i/>
          <w:iCs/>
        </w:rPr>
        <w:t>Post monitoring report: postal services in the financial year 2022–23</w:t>
      </w:r>
      <w:r w:rsidRPr="002364D4">
        <w:rPr>
          <w:rFonts w:eastAsia="Arial"/>
        </w:rPr>
        <w:t xml:space="preserve">. Available at: </w:t>
      </w:r>
      <w:hyperlink w:tgtFrame="_new" w:history="1" r:id="rId27">
        <w:r w:rsidRPr="002364D4">
          <w:rPr>
            <w:rStyle w:val="Hyperlink"/>
            <w:rFonts w:eastAsia="Arial"/>
          </w:rPr>
          <w:t>https://www.ofcom.org.uk/siteassets/resources/documents/postal-services/monitoring-reports/2022-23/post-monitoring-report-2022-23?v=330546</w:t>
        </w:r>
      </w:hyperlink>
      <w:r w:rsidRPr="002364D4">
        <w:rPr>
          <w:rFonts w:eastAsia="Arial"/>
        </w:rPr>
        <w:t xml:space="preserve"> (Accessed: 13 August 2026).</w:t>
      </w:r>
    </w:p>
    <w:p w:rsidRPr="002364D4" w:rsidR="0013022D" w:rsidP="00D6285C" w:rsidRDefault="0013022D" w14:paraId="50EFD3A0" w14:textId="53BD5A23">
      <w:pPr>
        <w:spacing w:after="100"/>
        <w:ind w:left="504" w:hanging="504"/>
        <w:jc w:val="both"/>
        <w:rPr>
          <w:rFonts w:eastAsia="Arial"/>
        </w:rPr>
      </w:pPr>
      <w:r w:rsidRPr="002364D4">
        <w:rPr>
          <w:rFonts w:eastAsia="Arial"/>
        </w:rPr>
        <w:t xml:space="preserve">Ofcom (2024) </w:t>
      </w:r>
      <w:r w:rsidRPr="002364D4">
        <w:rPr>
          <w:rFonts w:eastAsia="Arial"/>
          <w:i/>
          <w:iCs/>
        </w:rPr>
        <w:t>Full-fibre broadband reaches nearly 7 in 10 homes</w:t>
      </w:r>
      <w:r w:rsidRPr="002364D4">
        <w:rPr>
          <w:rFonts w:eastAsia="Arial"/>
        </w:rPr>
        <w:t xml:space="preserve">. Available at: </w:t>
      </w:r>
      <w:hyperlink w:tgtFrame="_new" w:history="1" r:id="rId28">
        <w:r w:rsidRPr="002364D4">
          <w:rPr>
            <w:rStyle w:val="Hyperlink"/>
            <w:rFonts w:eastAsia="Arial"/>
          </w:rPr>
          <w:t>https://www.ofcom.org.uk/phones-and-broadband/coverage-and-speeds/full-fibre-broadband-reaches-nearly-7-in-10-homes</w:t>
        </w:r>
      </w:hyperlink>
      <w:r w:rsidRPr="002364D4">
        <w:rPr>
          <w:rFonts w:eastAsia="Arial"/>
        </w:rPr>
        <w:t xml:space="preserve"> (Accessed: </w:t>
      </w:r>
      <w:r w:rsidR="00764254">
        <w:rPr>
          <w:rFonts w:eastAsia="Arial"/>
        </w:rPr>
        <w:t>10</w:t>
      </w:r>
      <w:r w:rsidRPr="002364D4">
        <w:rPr>
          <w:rFonts w:eastAsia="Arial"/>
        </w:rPr>
        <w:t xml:space="preserve"> August 2026).</w:t>
      </w:r>
    </w:p>
    <w:p w:rsidRPr="002364D4" w:rsidR="0013022D" w:rsidP="00D6285C" w:rsidRDefault="0013022D" w14:paraId="1B96866E" w14:textId="77777777">
      <w:pPr>
        <w:spacing w:after="100"/>
        <w:ind w:left="504" w:hanging="504"/>
        <w:jc w:val="both"/>
        <w:rPr>
          <w:rFonts w:eastAsia="Arial"/>
        </w:rPr>
      </w:pPr>
      <w:r w:rsidRPr="002364D4">
        <w:rPr>
          <w:rFonts w:eastAsia="Arial"/>
        </w:rPr>
        <w:t xml:space="preserve">Office for National Statistics (2026) </w:t>
      </w:r>
      <w:r w:rsidRPr="002364D4">
        <w:rPr>
          <w:rFonts w:eastAsia="Arial"/>
          <w:i/>
          <w:iCs/>
        </w:rPr>
        <w:t>Internet sales as a percentage of total retail sales (ratio) (%), series J4MC</w:t>
      </w:r>
      <w:r w:rsidRPr="002364D4">
        <w:rPr>
          <w:rFonts w:eastAsia="Arial"/>
        </w:rPr>
        <w:t xml:space="preserve">. Available at: </w:t>
      </w:r>
      <w:r w:rsidRPr="002364D4">
        <w:rPr>
          <w:rFonts w:eastAsia="Arial"/>
        </w:rPr>
        <w:t>https://www.ons.gov.uk/businessindustryandtrade/retailindustry/timeseries/j4mc/drsi (Accessed: 13 August 2026).</w:t>
      </w:r>
    </w:p>
    <w:p w:rsidRPr="002364D4" w:rsidR="0013022D" w:rsidP="00D6285C" w:rsidRDefault="0013022D" w14:paraId="78AFF39D" w14:textId="77777777">
      <w:pPr>
        <w:spacing w:after="100"/>
        <w:ind w:left="504" w:hanging="504"/>
        <w:jc w:val="both"/>
        <w:rPr>
          <w:rFonts w:eastAsia="Arial"/>
        </w:rPr>
      </w:pPr>
      <w:bookmarkStart w:name="_Int_RPDLVyNU" w:id="95548058"/>
      <w:r w:rsidRPr="28023B4D" w:rsidR="0013022D">
        <w:rPr>
          <w:rFonts w:eastAsia="Arial"/>
        </w:rPr>
        <w:t xml:space="preserve">Osterwalder, A., Pigneur, Y., Bernarda, G. and Smith, A. (2014) </w:t>
      </w:r>
      <w:r w:rsidRPr="28023B4D" w:rsidR="0013022D">
        <w:rPr>
          <w:rFonts w:eastAsia="Arial"/>
          <w:i w:val="1"/>
          <w:iCs w:val="1"/>
        </w:rPr>
        <w:t>Value Proposition Design: How to Create Products and Services Customers Want</w:t>
      </w:r>
      <w:r w:rsidRPr="28023B4D" w:rsidR="0013022D">
        <w:rPr>
          <w:rFonts w:eastAsia="Arial"/>
        </w:rPr>
        <w:t>.</w:t>
      </w:r>
      <w:bookmarkEnd w:id="95548058"/>
      <w:r w:rsidRPr="28023B4D" w:rsidR="0013022D">
        <w:rPr>
          <w:rFonts w:eastAsia="Arial"/>
        </w:rPr>
        <w:t xml:space="preserve"> Hoboken, NJ: John Wiley &amp; Sons. Available at: </w:t>
      </w:r>
      <w:hyperlink r:id="R0f25622513bd4d9e">
        <w:r w:rsidRPr="28023B4D" w:rsidR="0013022D">
          <w:rPr>
            <w:rStyle w:val="Hyperlink"/>
            <w:rFonts w:eastAsia="Arial"/>
          </w:rPr>
          <w:t>Wiley—Value Proposition Design</w:t>
        </w:r>
      </w:hyperlink>
      <w:r w:rsidRPr="28023B4D" w:rsidR="0013022D">
        <w:rPr>
          <w:rFonts w:eastAsia="Arial"/>
        </w:rPr>
        <w:t xml:space="preserve"> (Accessed: 13 August 2026).</w:t>
      </w:r>
    </w:p>
    <w:p w:rsidRPr="002364D4" w:rsidR="0013022D" w:rsidP="00D6285C" w:rsidRDefault="0013022D" w14:paraId="1121BD15" w14:textId="77777777">
      <w:pPr>
        <w:spacing w:after="100"/>
        <w:ind w:left="504" w:hanging="504"/>
        <w:jc w:val="both"/>
        <w:rPr>
          <w:rFonts w:eastAsia="Arial"/>
        </w:rPr>
      </w:pPr>
      <w:r w:rsidRPr="002364D4">
        <w:rPr>
          <w:rFonts w:eastAsia="Arial"/>
        </w:rPr>
        <w:t xml:space="preserve">Parker, G.G., Van Alstyne, M.W. and Choudary, S.P. (2016) </w:t>
      </w:r>
      <w:r w:rsidRPr="002364D4">
        <w:rPr>
          <w:rFonts w:eastAsia="Arial"/>
          <w:i/>
          <w:iCs/>
        </w:rPr>
        <w:t>Platform Revolution: How Networked Markets Are Transforming the Economy—and How to Make Them Work for You</w:t>
      </w:r>
      <w:r w:rsidRPr="002364D4">
        <w:rPr>
          <w:rFonts w:eastAsia="Arial"/>
        </w:rPr>
        <w:t xml:space="preserve">. New York: W.W. Norton &amp; Company. Available at: </w:t>
      </w:r>
      <w:hyperlink w:tgtFrame="_new" w:history="1" r:id="rId30">
        <w:r w:rsidRPr="002364D4">
          <w:rPr>
            <w:rStyle w:val="Hyperlink"/>
            <w:rFonts w:eastAsia="Arial"/>
          </w:rPr>
          <w:t>https://wwnorton.com/books/platform-revolution</w:t>
        </w:r>
      </w:hyperlink>
      <w:r w:rsidRPr="002364D4">
        <w:rPr>
          <w:rFonts w:eastAsia="Arial"/>
        </w:rPr>
        <w:t xml:space="preserve"> (Accessed: 13 August 2026).</w:t>
      </w:r>
    </w:p>
    <w:p w:rsidRPr="002364D4" w:rsidR="0013022D" w:rsidP="00D6285C" w:rsidRDefault="0013022D" w14:paraId="565F8999" w14:textId="77777777">
      <w:pPr>
        <w:spacing w:after="100"/>
        <w:ind w:left="504" w:hanging="504"/>
        <w:jc w:val="both"/>
        <w:rPr>
          <w:rFonts w:eastAsia="Arial"/>
        </w:rPr>
      </w:pPr>
      <w:bookmarkStart w:name="_Int_zw9shpqQ" w:id="1579270925"/>
      <w:r w:rsidRPr="28023B4D" w:rsidR="0013022D">
        <w:rPr>
          <w:rFonts w:eastAsia="Arial"/>
        </w:rPr>
        <w:t xml:space="preserve">Ries, E. (2011) </w:t>
      </w:r>
      <w:r w:rsidRPr="28023B4D" w:rsidR="0013022D">
        <w:rPr>
          <w:rFonts w:eastAsia="Arial"/>
          <w:i w:val="1"/>
          <w:iCs w:val="1"/>
        </w:rPr>
        <w:t>The Lean Startup: How Today’s Entrepreneurs Use Continuous Innovation to Create Radically Successful Businesses</w:t>
      </w:r>
      <w:r w:rsidRPr="28023B4D" w:rsidR="0013022D">
        <w:rPr>
          <w:rFonts w:eastAsia="Arial"/>
        </w:rPr>
        <w:t>.</w:t>
      </w:r>
      <w:bookmarkEnd w:id="1579270925"/>
      <w:r w:rsidRPr="28023B4D" w:rsidR="0013022D">
        <w:rPr>
          <w:rFonts w:eastAsia="Arial"/>
        </w:rPr>
        <w:t xml:space="preserve"> New York: Crown Business. Available at: </w:t>
      </w:r>
      <w:hyperlink r:id="R85f50f11fc7d4580">
        <w:r w:rsidRPr="28023B4D" w:rsidR="0013022D">
          <w:rPr>
            <w:rStyle w:val="Hyperlink"/>
            <w:rFonts w:eastAsia="Arial"/>
          </w:rPr>
          <w:t>https://www.penguinrandomhouse.com/books/210088/the-lean-startup-by-eric-ries/</w:t>
        </w:r>
      </w:hyperlink>
      <w:r w:rsidRPr="28023B4D" w:rsidR="0013022D">
        <w:rPr>
          <w:rFonts w:eastAsia="Arial"/>
        </w:rPr>
        <w:t xml:space="preserve"> (Accessed: 13 August 2026).</w:t>
      </w:r>
    </w:p>
    <w:p w:rsidRPr="002364D4" w:rsidR="0013022D" w:rsidP="00D6285C" w:rsidRDefault="0013022D" w14:paraId="2A2E8A8D" w14:textId="77777777">
      <w:pPr>
        <w:spacing w:after="100"/>
        <w:ind w:left="504" w:hanging="504"/>
        <w:jc w:val="both"/>
        <w:rPr>
          <w:rFonts w:eastAsia="Arial"/>
        </w:rPr>
      </w:pPr>
      <w:r w:rsidRPr="002364D4">
        <w:rPr>
          <w:rFonts w:eastAsia="Arial"/>
        </w:rPr>
        <w:t xml:space="preserve">Rösch, N., Tiberius, V. and Kraus, S. (2023) ‘Design thinking for innovation: context factors, process, and outcomes’, </w:t>
      </w:r>
      <w:r w:rsidRPr="002364D4">
        <w:rPr>
          <w:rFonts w:eastAsia="Arial"/>
          <w:i/>
          <w:iCs/>
        </w:rPr>
        <w:t>European Journal of Innovation Management</w:t>
      </w:r>
      <w:r w:rsidRPr="002364D4">
        <w:rPr>
          <w:rFonts w:eastAsia="Arial"/>
        </w:rPr>
        <w:t xml:space="preserve">, 26(7), pp. 160–176. Available at: </w:t>
      </w:r>
      <w:hyperlink w:tgtFrame="_new" w:history="1" r:id="rId32">
        <w:r w:rsidRPr="002364D4">
          <w:rPr>
            <w:rStyle w:val="Hyperlink"/>
            <w:rFonts w:eastAsia="Arial"/>
          </w:rPr>
          <w:t>https://doi.org/10.1108/EJIM-03-2022-0164</w:t>
        </w:r>
      </w:hyperlink>
      <w:r w:rsidRPr="002364D4">
        <w:rPr>
          <w:rFonts w:eastAsia="Arial"/>
        </w:rPr>
        <w:t>.</w:t>
      </w:r>
    </w:p>
    <w:p w:rsidRPr="002364D4" w:rsidR="0013022D" w:rsidP="00D6285C" w:rsidRDefault="0013022D" w14:paraId="56860023" w14:textId="77777777">
      <w:pPr>
        <w:spacing w:after="100"/>
        <w:ind w:left="504" w:hanging="504"/>
        <w:jc w:val="both"/>
        <w:rPr>
          <w:rFonts w:eastAsia="Arial"/>
        </w:rPr>
      </w:pPr>
      <w:r w:rsidRPr="002364D4">
        <w:rPr>
          <w:rFonts w:eastAsia="Arial"/>
        </w:rPr>
        <w:t xml:space="preserve">Teece, D.J. (2010) ‘Business models, business strategy and innovation’, </w:t>
      </w:r>
      <w:r w:rsidRPr="002364D4">
        <w:rPr>
          <w:rFonts w:eastAsia="Arial"/>
          <w:i/>
          <w:iCs/>
        </w:rPr>
        <w:t>Long Range Planning</w:t>
      </w:r>
      <w:r w:rsidRPr="002364D4">
        <w:rPr>
          <w:rFonts w:eastAsia="Arial"/>
        </w:rPr>
        <w:t xml:space="preserve">, 43(2–3), pp. 172–194. Available at: </w:t>
      </w:r>
      <w:hyperlink w:tgtFrame="_new" w:history="1" r:id="rId33">
        <w:r w:rsidRPr="002364D4">
          <w:rPr>
            <w:rStyle w:val="Hyperlink"/>
            <w:rFonts w:eastAsia="Arial"/>
          </w:rPr>
          <w:t>https://doi.org/10.1016/j.lrp.2009.07.003</w:t>
        </w:r>
      </w:hyperlink>
      <w:r w:rsidRPr="002364D4">
        <w:rPr>
          <w:rFonts w:eastAsia="Arial"/>
        </w:rPr>
        <w:t>.</w:t>
      </w:r>
    </w:p>
    <w:p w:rsidRPr="002364D4" w:rsidR="0013022D" w:rsidP="00D6285C" w:rsidRDefault="0013022D" w14:paraId="6DC03267" w14:textId="77777777">
      <w:pPr>
        <w:spacing w:after="100"/>
        <w:ind w:left="504" w:hanging="504"/>
        <w:jc w:val="both"/>
        <w:rPr>
          <w:rFonts w:eastAsia="Arial"/>
        </w:rPr>
      </w:pPr>
      <w:r w:rsidRPr="002364D4">
        <w:rPr>
          <w:rFonts w:eastAsia="Arial"/>
        </w:rPr>
        <w:t xml:space="preserve">Verganti, R., Dell’Era, C. and Swan, K.S. (2021) ‘Design thinking: critical analysis and future evolution’, </w:t>
      </w:r>
      <w:r w:rsidRPr="002364D4">
        <w:rPr>
          <w:rFonts w:eastAsia="Arial"/>
          <w:i/>
          <w:iCs/>
        </w:rPr>
        <w:t>Journal of Product Innovation Management</w:t>
      </w:r>
      <w:r w:rsidRPr="002364D4">
        <w:rPr>
          <w:rFonts w:eastAsia="Arial"/>
        </w:rPr>
        <w:t xml:space="preserve">, 38(6), pp. 603–622. Available at: </w:t>
      </w:r>
      <w:hyperlink w:tgtFrame="_new" w:history="1" r:id="rId34">
        <w:r w:rsidRPr="002364D4">
          <w:rPr>
            <w:rStyle w:val="Hyperlink"/>
            <w:rFonts w:eastAsia="Arial"/>
          </w:rPr>
          <w:t>https://doi.org/10.1111/jpim.12610</w:t>
        </w:r>
      </w:hyperlink>
      <w:r w:rsidRPr="002364D4">
        <w:rPr>
          <w:rFonts w:eastAsia="Arial"/>
        </w:rPr>
        <w:t>.</w:t>
      </w:r>
    </w:p>
    <w:p w:rsidRPr="002364D4" w:rsidR="0013022D" w:rsidP="00D6285C" w:rsidRDefault="0013022D" w14:paraId="015A84A5" w14:textId="77777777">
      <w:pPr>
        <w:spacing w:after="100"/>
        <w:ind w:left="504" w:hanging="504"/>
        <w:jc w:val="both"/>
        <w:rPr>
          <w:rFonts w:eastAsia="Arial"/>
        </w:rPr>
      </w:pPr>
      <w:r w:rsidRPr="002364D4">
        <w:rPr>
          <w:rFonts w:eastAsia="Arial"/>
        </w:rPr>
        <w:t xml:space="preserve">Verhoef, P.C., Broekhuizen, T., Bart, Y., Bhattacharya, A., Dong, J.Q., Fabian, N. and Haenlein, M. (2021) ‘Digital transformation: a multidisciplinary reflection and research agenda’, </w:t>
      </w:r>
      <w:r w:rsidRPr="002364D4">
        <w:rPr>
          <w:rFonts w:eastAsia="Arial"/>
          <w:i/>
          <w:iCs/>
        </w:rPr>
        <w:t>Journal of Business Research</w:t>
      </w:r>
      <w:r w:rsidRPr="002364D4">
        <w:rPr>
          <w:rFonts w:eastAsia="Arial"/>
        </w:rPr>
        <w:t xml:space="preserve">, 122, pp. 889–901. Available at: </w:t>
      </w:r>
      <w:hyperlink w:tgtFrame="_new" w:history="1" r:id="rId35">
        <w:r w:rsidRPr="002364D4">
          <w:rPr>
            <w:rStyle w:val="Hyperlink"/>
            <w:rFonts w:eastAsia="Arial"/>
          </w:rPr>
          <w:t>https://doi.org/10.1016/j.jbusres.2019.09.022</w:t>
        </w:r>
      </w:hyperlink>
      <w:r w:rsidRPr="002364D4">
        <w:rPr>
          <w:rFonts w:eastAsia="Arial"/>
        </w:rPr>
        <w:t>.</w:t>
      </w:r>
    </w:p>
    <w:p w:rsidRPr="002364D4" w:rsidR="0013022D" w:rsidP="00D6285C" w:rsidRDefault="0013022D" w14:paraId="089F5EB9" w14:textId="77777777">
      <w:pPr>
        <w:spacing w:after="100"/>
        <w:ind w:left="504" w:hanging="504"/>
        <w:jc w:val="both"/>
        <w:rPr>
          <w:rFonts w:eastAsia="Arial"/>
        </w:rPr>
      </w:pPr>
      <w:bookmarkStart w:name="_Int_hQZzlHfE" w:id="1452555087"/>
      <w:r w:rsidRPr="28023B4D" w:rsidR="0013022D">
        <w:rPr>
          <w:rFonts w:eastAsia="Arial"/>
        </w:rPr>
        <w:t xml:space="preserve">Zahoor, N., Zopiatis, A., Adomako, S. and Lamprinakos, G. (2023) ‘The micro-foundations of digitally transforming SMEs: how digital literacy and technology interact with managerial attributes’, </w:t>
      </w:r>
      <w:r w:rsidRPr="28023B4D" w:rsidR="0013022D">
        <w:rPr>
          <w:rFonts w:eastAsia="Arial"/>
          <w:i w:val="1"/>
          <w:iCs w:val="1"/>
        </w:rPr>
        <w:t>Journal of Business Research</w:t>
      </w:r>
      <w:r w:rsidRPr="28023B4D" w:rsidR="0013022D">
        <w:rPr>
          <w:rFonts w:eastAsia="Arial"/>
        </w:rPr>
        <w:t>, 159, article 113755.</w:t>
      </w:r>
      <w:bookmarkEnd w:id="1452555087"/>
      <w:r w:rsidRPr="28023B4D" w:rsidR="0013022D">
        <w:rPr>
          <w:rFonts w:eastAsia="Arial"/>
        </w:rPr>
        <w:t xml:space="preserve"> Available at: </w:t>
      </w:r>
      <w:hyperlink r:id="Ra124aee94c854d75">
        <w:r w:rsidRPr="28023B4D" w:rsidR="0013022D">
          <w:rPr>
            <w:rStyle w:val="Hyperlink"/>
            <w:rFonts w:eastAsia="Arial"/>
          </w:rPr>
          <w:t>https://doi.org/10.1016/j.jbusres.2023.113755</w:t>
        </w:r>
      </w:hyperlink>
      <w:r w:rsidRPr="28023B4D" w:rsidR="0013022D">
        <w:rPr>
          <w:rFonts w:eastAsia="Arial"/>
        </w:rPr>
        <w:t>.</w:t>
      </w:r>
    </w:p>
    <w:p w:rsidRPr="002364D4" w:rsidR="0013022D" w:rsidP="00D6285C" w:rsidRDefault="0013022D" w14:paraId="65019C33" w14:textId="77777777">
      <w:pPr>
        <w:spacing w:after="100"/>
        <w:ind w:left="504" w:hanging="504"/>
        <w:jc w:val="both"/>
        <w:rPr>
          <w:rFonts w:eastAsia="Arial"/>
        </w:rPr>
      </w:pPr>
      <w:r w:rsidRPr="002364D4">
        <w:rPr>
          <w:rFonts w:eastAsia="Arial"/>
        </w:rPr>
        <w:t xml:space="preserve">Zhang, Q. and Demir, E. (2025) ‘Parcel locker solutions for last mile delivery: a systematic literature review and future research directions’, </w:t>
      </w:r>
      <w:r w:rsidRPr="002364D4">
        <w:rPr>
          <w:rFonts w:eastAsia="Arial"/>
          <w:i/>
          <w:iCs/>
        </w:rPr>
        <w:t>Frontiers in Future Transportation</w:t>
      </w:r>
      <w:r w:rsidRPr="002364D4">
        <w:rPr>
          <w:rFonts w:eastAsia="Arial"/>
        </w:rPr>
        <w:t xml:space="preserve">, 6, article 1654621. Available at: </w:t>
      </w:r>
      <w:hyperlink w:tgtFrame="_new" w:history="1" r:id="rId37">
        <w:r w:rsidRPr="002364D4">
          <w:rPr>
            <w:rStyle w:val="Hyperlink"/>
            <w:rFonts w:eastAsia="Arial"/>
          </w:rPr>
          <w:t>https://doi.org/10.3389/ffutr.2025.1654621</w:t>
        </w:r>
      </w:hyperlink>
      <w:r w:rsidRPr="002364D4">
        <w:rPr>
          <w:rFonts w:eastAsia="Arial"/>
        </w:rPr>
        <w:t>.</w:t>
      </w:r>
    </w:p>
    <w:p w:rsidR="002E6790" w:rsidRDefault="00000000" w14:paraId="09D23054" w14:textId="77777777">
      <w:pPr>
        <w:pStyle w:val="Heading1"/>
      </w:pPr>
      <w:bookmarkStart w:name="_Toc237560683" w:id="19"/>
      <w:r>
        <w:t>AI use declaration</w:t>
      </w:r>
      <w:bookmarkEnd w:id="19"/>
    </w:p>
    <w:p w:rsidRPr="009F561F" w:rsidR="002E6790" w:rsidRDefault="00A55217" w14:paraId="5F94AF93" w14:textId="7674EC3C">
      <w:pPr>
        <w:jc w:val="both"/>
        <w:rPr>
          <w:color w:val="auto"/>
        </w:rPr>
      </w:pPr>
      <w:r w:rsidRPr="009F561F">
        <w:rPr>
          <w:color w:val="auto"/>
        </w:rPr>
        <w:t xml:space="preserve">Generative AI was used only for permitted research support and proofreading, including grammar, syntax. All analysis, arguments, decisions and final responsibility remain with </w:t>
      </w:r>
      <w:r w:rsidRPr="009F561F" w:rsidR="009F0782">
        <w:rPr>
          <w:color w:val="auto"/>
        </w:rPr>
        <w:t>me</w:t>
      </w:r>
      <w:r w:rsidRPr="009F561F">
        <w:rPr>
          <w:color w:val="auto"/>
        </w:rPr>
        <w:t>.</w:t>
      </w:r>
    </w:p>
    <w:sectPr w:rsidRPr="009F561F" w:rsidR="002E6790" w:rsidSect="00034616">
      <w:headerReference w:type="default" r:id="rId38"/>
      <w:footerReference w:type="default" r:id="rId39"/>
      <w:pgSz w:w="12240" w:h="15840" w:orient="portrait"/>
      <w:pgMar w:top="1440" w:right="1440" w:bottom="1224" w:left="1440" w:header="504"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5917" w:rsidRDefault="00915917" w14:paraId="2E8CD9D8" w14:textId="77777777">
      <w:pPr>
        <w:spacing w:after="0" w:line="240" w:lineRule="auto"/>
      </w:pPr>
      <w:r>
        <w:separator/>
      </w:r>
    </w:p>
  </w:endnote>
  <w:endnote w:type="continuationSeparator" w:id="0">
    <w:p w:rsidR="00915917" w:rsidRDefault="00915917" w14:paraId="1BE1781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E6790" w:rsidRDefault="00000000" w14:paraId="162D1058" w14:textId="77777777">
    <w:pPr>
      <w:pStyle w:val="Footer"/>
      <w:jc w:val="right"/>
    </w:pPr>
    <w:r>
      <w:rPr>
        <w:rFonts w:eastAsia="Arial"/>
        <w:color w:val="5B6573"/>
        <w:sz w:val="17"/>
      </w:rPr>
      <w:t xml:space="preserve">Page </w:t>
    </w:r>
    <w:r>
      <w:rPr>
        <w:rFonts w:eastAsia="Arial"/>
        <w:color w:val="5B6573"/>
        <w:sz w:val="17"/>
      </w:rPr>
      <w:fldChar w:fldCharType="begin"/>
    </w:r>
    <w:r>
      <w:rPr>
        <w:rFonts w:eastAsia="Arial"/>
        <w:color w:val="5B6573"/>
        <w:sz w:val="17"/>
      </w:rPr>
      <w:instrText xml:space="preserve"> PAGE </w:instrText>
    </w:r>
    <w:r>
      <w:rPr>
        <w:rFonts w:eastAsia="Arial"/>
        <w:color w:val="5B6573"/>
        <w:sz w:val="17"/>
      </w:rPr>
      <w:fldChar w:fldCharType="separate"/>
    </w:r>
    <w:r w:rsidR="00E845B8">
      <w:rPr>
        <w:rFonts w:eastAsia="Arial"/>
        <w:noProof/>
        <w:color w:val="5B6573"/>
        <w:sz w:val="17"/>
      </w:rPr>
      <w:t>1</w:t>
    </w:r>
    <w:r>
      <w:rPr>
        <w:rFonts w:eastAsia="Arial"/>
        <w:color w:val="5B6573"/>
        <w:sz w:val="17"/>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5917" w:rsidRDefault="00915917" w14:paraId="03CFCC58" w14:textId="77777777">
      <w:pPr>
        <w:spacing w:after="0" w:line="240" w:lineRule="auto"/>
      </w:pPr>
      <w:r>
        <w:separator/>
      </w:r>
    </w:p>
  </w:footnote>
  <w:footnote w:type="continuationSeparator" w:id="0">
    <w:p w:rsidR="00915917" w:rsidRDefault="00915917" w14:paraId="6708E97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E634B" w:rsidRDefault="00AE634B" w14:paraId="057223FA" w14:textId="77777777">
    <w:pPr>
      <w:pStyle w:val="Header"/>
    </w:pPr>
  </w:p>
</w:hdr>
</file>

<file path=word/intelligence2.xml><?xml version="1.0" encoding="utf-8"?>
<int2:intelligence xmlns:oel="http://schemas.microsoft.com/office/2019/extlst" xmlns:int2="http://schemas.microsoft.com/office/intelligence/2020/intelligence">
  <int2:observations>
    <int2:bookmark int2:bookmarkName="_Int_hQZzlHfE" int2:invalidationBookmarkName="" int2:hashCode="OpEiptXqrsip7k" int2:id="kegQp87K">
      <int2:extLst>
        <oel:ext uri="426473B9-03D8-482F-96C9-C2C85392BACA">
          <int2:similarityCritique int2:version="1" int2:context="Zahoor, N., Zopiatis, A., Adomako, S. and Lamprinakos, G. (2023) ‘The micro-foundations of digitally transforming SMEs: how digital literacy and technology interact with managerial attributes’, Journal of Business Research, 159, article 113755.">
            <int2:source int2:sourceType="Online" int2:sourceTitle="The micro-foundations of digitally transforming SMEs: How digital ..." int2:sourceUrl="https://psycnet.apa.org/record/2023-50574-001" int2:sourceSnippet="Research often illustrates the importance of digital transformation for small and medium-sized enterprises (SMEs), particularly during external disruptions. However, little attention has been devoted to how SMEs’ digital transformation occurs. Employing a micro-foundations perspective, this study investigates the effect of managers’ digital literacy (MDL) on SMEs’ digital transformation ...">
              <int2:suggestions int2:citationType="Inline">
                <int2:suggestion int2:citationStyle="Mla" int2:isIdentical="0">
                  <int2:citationText>(“The micro-foundations of digitally transforming SMEs: How digital ...”)</int2:citationText>
                </int2:suggestion>
                <int2:suggestion int2:citationStyle="Apa" int2:isIdentical="0">
                  <int2:citationText>(“The micro-foundations of digitally transforming SMEs: How digital ...”)</int2:citationText>
                </int2:suggestion>
                <int2:suggestion int2:citationStyle="Chicago" int2:isIdentical="0">
                  <int2:citationText>(“The micro-foundations of digitally transforming SMEs: How digital ...”)</int2:citationText>
                </int2:suggestion>
              </int2:suggestions>
              <int2:suggestions int2:citationType="Full">
                <int2:suggestion int2:citationStyle="Mla" int2:isIdentical="0">
                  <int2:citationText>&lt;i&gt;The micro-foundations of digitally transforming SMEs: How digital ...&lt;/i&gt;, https://psycnet.apa.org/record/2023-50574-001.</int2:citationText>
                </int2:suggestion>
                <int2:suggestion int2:citationStyle="Apa" int2:isIdentical="0">
                  <int2:citationText>&lt;i&gt;The micro-foundations of digitally transforming SMEs: How digital ...&lt;/i&gt;. (n.d.). Retrieved from https://psycnet.apa.org/record/2023-50574-001</int2:citationText>
                </int2:suggestion>
                <int2:suggestion int2:citationStyle="Chicago" int2:isIdentical="0">
                  <int2:citationText>“The micro-foundations of digitally transforming SMEs: How digital ...” n.d., https://psycnet.apa.org/record/2023-50574-001.</int2:citationText>
                </int2:suggestion>
              </int2:suggestions>
            </int2:source>
          </int2:similarityCritique>
        </oel:ext>
      </int2:extLst>
    </int2:bookmark>
    <int2:bookmark int2:bookmarkName="_Int_zw9shpqQ" int2:invalidationBookmarkName="" int2:hashCode="5C8+VKqDp53++t" int2:id="TWaIA1Uo">
      <int2:extLst>
        <oel:ext uri="426473B9-03D8-482F-96C9-C2C85392BACA">
          <int2:similarityCritique int2:version="1" int2:context="Ries, E. (2011) The Lean Startup: How Today’s Entrepreneurs Use Continuous Innovation to Create Radically Successful Businesses.">
            <int2:source int2:sourceType="Online" int2:sourceTitle="The Lean Startup - Wikipedia" int2:sourceUrl="https://en.wikipedia.org/wiki/The_Lean_Startup" int2:sourceSnippet="The Lean Startup: How Today's Entrepreneurs Use Continuous Innovation to Create Radically Successful Businesses is a 2011 book by American entrepreneur Eric Ries. It outlines the lean startup methodology, a framework for startup development that prioritizes rapid prototyping, validated learning, and iterative product releases. [1] The goal of this methodology is to shorten product development ...">
              <int2:suggestions int2:citationType="Inline">
                <int2:suggestion int2:citationStyle="Mla" int2:isIdentical="0">
                  <int2:citationText>(“The Lean Startup - Wikipedia”)</int2:citationText>
                </int2:suggestion>
                <int2:suggestion int2:citationStyle="Apa" int2:isIdentical="0">
                  <int2:citationText>(“The Lean Startup - Wikipedia”)</int2:citationText>
                </int2:suggestion>
                <int2:suggestion int2:citationStyle="Chicago" int2:isIdentical="0">
                  <int2:citationText>(“The Lean Startup - Wikipedia”)</int2:citationText>
                </int2:suggestion>
              </int2:suggestions>
              <int2:suggestions int2:citationType="Full">
                <int2:suggestion int2:citationStyle="Mla" int2:isIdentical="0">
                  <int2:citationText>&lt;i&gt;The Lean Startup - Wikipedia&lt;/i&gt;, https://en.wikipedia.org/wiki/The_Lean_Startup.</int2:citationText>
                </int2:suggestion>
                <int2:suggestion int2:citationStyle="Apa" int2:isIdentical="0">
                  <int2:citationText>&lt;i&gt;The Lean Startup - Wikipedia&lt;/i&gt;. (n.d.). Retrieved from https://en.wikipedia.org/wiki/The_Lean_Startup</int2:citationText>
                </int2:suggestion>
                <int2:suggestion int2:citationStyle="Chicago" int2:isIdentical="0">
                  <int2:citationText>“The Lean Startup - Wikipedia” n.d., https://en.wikipedia.org/wiki/The_Lean_Startup.</int2:citationText>
                </int2:suggestion>
              </int2:suggestions>
            </int2:source>
            <int2:source int2:sourceType="Online" int2:sourceTitle="By Eric Ries The Lean Startup: How Today's Entrepreneurs Use ... - Amazon" int2:sourceUrl="https://www.amazon.com/Eric-Ries-Lean-Startup-Entrepreneurs/dp/B00RWOSRIE" int2:sourceSnippet="By Eric Ries The Lean Startup: How Today's Entrepreneurs Use Continuous Innovation to Create Radically Successful Businesses Hardcover - October 2011">
              <int2:suggestions int2:citationType="Inline">
                <int2:suggestion int2:citationStyle="Mla" int2:isIdentical="0">
                  <int2:citationText>(“By Eric Ries The Lean Startup: How Today's Entrepreneurs Use ... - Amazon”)</int2:citationText>
                </int2:suggestion>
                <int2:suggestion int2:citationStyle="Apa" int2:isIdentical="0">
                  <int2:citationText>(“By Eric Ries The Lean Startup: How Today's Entrepreneurs Use ... - Amazon”)</int2:citationText>
                </int2:suggestion>
                <int2:suggestion int2:citationStyle="Chicago" int2:isIdentical="0">
                  <int2:citationText>(“By Eric Ries The Lean Startup: How Today's Entrepreneurs Use ... - Amazon”)</int2:citationText>
                </int2:suggestion>
              </int2:suggestions>
              <int2:suggestions int2:citationType="Full">
                <int2:suggestion int2:citationStyle="Mla" int2:isIdentical="0">
                  <int2:citationText>&lt;i&gt;By Eric Ries The Lean Startup: How Today's Entrepreneurs Use ... - Amazon&lt;/i&gt;, https://www.amazon.com/Eric-Ries-Lean-Startup-Entrepreneurs/dp/B00RWOSRIE.</int2:citationText>
                </int2:suggestion>
                <int2:suggestion int2:citationStyle="Apa" int2:isIdentical="0">
                  <int2:citationText>&lt;i&gt;By Eric Ries The Lean Startup: How Today's Entrepreneurs Use ... - Amazon&lt;/i&gt;. (n.d.). Retrieved from https://www.amazon.com/Eric-Ries-Lean-Startup-Entrepreneurs/dp/B00RWOSRIE</int2:citationText>
                </int2:suggestion>
                <int2:suggestion int2:citationStyle="Chicago" int2:isIdentical="0">
                  <int2:citationText>“By Eric Ries The Lean Startup: How Today's Entrepreneurs Use ... - Amazon” n.d., https://www.amazon.com/Eric-Ries-Lean-Startup-Entrepreneurs/dp/B00RWOSRIE.</int2:citationText>
                </int2:suggestion>
              </int2:suggestions>
            </int2:source>
          </int2:similarityCritique>
        </oel:ext>
      </int2:extLst>
    </int2:bookmark>
    <int2:bookmark int2:bookmarkName="_Int_RPDLVyNU" int2:invalidationBookmarkName="" int2:hashCode="Z6eOMQyb9jYAeP" int2:id="j76qdTCH">
      <int2:extLst>
        <oel:ext uri="426473B9-03D8-482F-96C9-C2C85392BACA">
          <int2:similarityCritique int2:version="1" int2:context="Osterwalder, A., Pigneur, Y., Bernarda, G. and Smith, A. (2014) Value Proposition Design: How to Create Products and Services Customers Want.">
            <int2:source int2:sourceType="Online" int2:sourceTitle="Value Proposition Design: How to Create Products and Services Customers ..." int2:sourceUrl="http://cebr.vse.cz/pdfs/cbr/2014/04/09.pdf" int2:sourceSnippet="VALUE PROPOSITION DESIGN: HOW TO CREATE PRODUCTS AND SERVICES CUSTOMERS WANT Osterwalder, A., Pigneur, Y., Bernarda, G., Smith, A., Papadakos, T.: Value Proposition ...">
              <int2:suggestions int2:citationType="Inline">
                <int2:suggestion int2:citationStyle="Mla" int2:isIdentical="0">
                  <int2:citationText>(“Value Proposition Design: How to Create Products and Services Customers ...”)</int2:citationText>
                </int2:suggestion>
                <int2:suggestion int2:citationStyle="Apa" int2:isIdentical="0">
                  <int2:citationText>(“Value Proposition Design: How to Create Products and Services Customers ...”)</int2:citationText>
                </int2:suggestion>
                <int2:suggestion int2:citationStyle="Chicago" int2:isIdentical="0">
                  <int2:citationText>(“Value Proposition Design: How to Create Products and Services Customers ...”)</int2:citationText>
                </int2:suggestion>
              </int2:suggestions>
              <int2:suggestions int2:citationType="Full">
                <int2:suggestion int2:citationStyle="Mla" int2:isIdentical="0">
                  <int2:citationText>&lt;i&gt;Value Proposition Design: How to Create Products and Services Customers ...&lt;/i&gt;, http://cebr.vse.cz/pdfs/cbr/2014/04/09.pdf.</int2:citationText>
                </int2:suggestion>
                <int2:suggestion int2:citationStyle="Apa" int2:isIdentical="0">
                  <int2:citationText>&lt;i&gt;Value Proposition Design: How to Create Products and Services Customers ...&lt;/i&gt;. (n.d.). Retrieved from http://cebr.vse.cz/pdfs/cbr/2014/04/09.pdf</int2:citationText>
                </int2:suggestion>
                <int2:suggestion int2:citationStyle="Chicago" int2:isIdentical="0">
                  <int2:citationText>“Value Proposition Design: How to Create Products and Services Customers ...” n.d., http://cebr.vse.cz/pdfs/cbr/2014/04/09.pdf.</int2:citationText>
                </int2:suggestion>
              </int2:suggestions>
            </int2:source>
            <int2:source int2:sourceType="Online" int2:sourceTitle="Value Proposition Design: How to Create Products and Services Customers ..." int2:sourceUrl="https://cebr.vse.cz/pdfs/cbr/2014/04/09.pdf" int2:sourceSnippet="VALUE PROPOSITION DESIGN: HOW TO CREATE PRODUCTS AND SERVICES CUSTOMERS WANT Osterwalder, A., Pigneur, Y., Bernarda, G., Smith, A., Papadakos, T.: Value Proposition ...">
              <int2:suggestions int2:citationType="Inline">
                <int2:suggestion int2:citationStyle="Mla" int2:isIdentical="0">
                  <int2:citationText>(“Value Proposition Design: How to Create Products and Services Customers ...”)</int2:citationText>
                </int2:suggestion>
                <int2:suggestion int2:citationStyle="Apa" int2:isIdentical="0">
                  <int2:citationText>(“Value Proposition Design: How to Create Products and Services Customers ...”)</int2:citationText>
                </int2:suggestion>
                <int2:suggestion int2:citationStyle="Chicago" int2:isIdentical="0">
                  <int2:citationText>(“Value Proposition Design: How to Create Products and Services Customers ...”)</int2:citationText>
                </int2:suggestion>
              </int2:suggestions>
              <int2:suggestions int2:citationType="Full">
                <int2:suggestion int2:citationStyle="Mla" int2:isIdentical="0">
                  <int2:citationText>&lt;i&gt;Value Proposition Design: How to Create Products and Services Customers ...&lt;/i&gt;, https://cebr.vse.cz/pdfs/cbr/2014/04/09.pdf.</int2:citationText>
                </int2:suggestion>
                <int2:suggestion int2:citationStyle="Apa" int2:isIdentical="0">
                  <int2:citationText>&lt;i&gt;Value Proposition Design: How to Create Products and Services Customers ...&lt;/i&gt;. (n.d.). Retrieved from https://cebr.vse.cz/pdfs/cbr/2014/04/09.pdf</int2:citationText>
                </int2:suggestion>
                <int2:suggestion int2:citationStyle="Chicago" int2:isIdentical="0">
                  <int2:citationText>“Value Proposition Design: How to Create Products and Services Customers ...” n.d., https://cebr.vse.cz/pdfs/cbr/2014/04/09.pdf.</int2:citationText>
                </int2:suggestion>
              </int2:suggestions>
            </int2:source>
          </int2:similarityCritique>
        </oel:ext>
      </int2:extLst>
    </int2:bookmark>
    <int2:bookmark int2:bookmarkName="_Int_LiEkNiRb" int2:invalidationBookmarkName="" int2:hashCode="CUeonbpzb6Qk0z" int2:id="TJaKBSuc">
      <int2:extLst>
        <oel:ext uri="426473B9-03D8-482F-96C9-C2C85392BACA">
          <int2:similarityCritique int2:version="1" int2:context="IDEO.org (2015) The Field Guide to Human-Centered Design: Design Kit.">
            <int2:source int2:sourceType="Online" int2:sourceTitle="The Field Guide to Human-Centered Design - Open Library" int2:sourceUrl="https://openlibrary.org/books/OL26791059M/The_Field_Guide_to_Human-Centered_Design" int2:sourceSnippet="The Field Guide to Human-Centered Design by IDEO.org, Mar 18, 2015, IDEO.org / Design Kit edition,">
              <int2:suggestions int2:citationType="Inline">
                <int2:suggestion int2:citationStyle="Mla" int2:isIdentical="0">
                  <int2:citationText>(“The Field Guide to Human-Centered Design - Open Library”)</int2:citationText>
                </int2:suggestion>
                <int2:suggestion int2:citationStyle="Apa" int2:isIdentical="0">
                  <int2:citationText>(“The Field Guide to Human-Centered Design - Open Library”)</int2:citationText>
                </int2:suggestion>
                <int2:suggestion int2:citationStyle="Chicago" int2:isIdentical="0">
                  <int2:citationText>(“The Field Guide to Human-Centered Design - Open Library”)</int2:citationText>
                </int2:suggestion>
              </int2:suggestions>
              <int2:suggestions int2:citationType="Full">
                <int2:suggestion int2:citationStyle="Mla" int2:isIdentical="0">
                  <int2:citationText>&lt;i&gt;The Field Guide to Human-Centered Design - Open Library&lt;/i&gt;, https://openlibrary.org/books/OL26791059M/The_Field_Guide_to_Human-Centered_Design.</int2:citationText>
                </int2:suggestion>
                <int2:suggestion int2:citationStyle="Apa" int2:isIdentical="0">
                  <int2:citationText>&lt;i&gt;The Field Guide to Human-Centered Design - Open Library&lt;/i&gt;. (n.d.). Retrieved from https://openlibrary.org/books/OL26791059M/The_Field_Guide_to_Human-Centered_Design</int2:citationText>
                </int2:suggestion>
                <int2:suggestion int2:citationStyle="Chicago" int2:isIdentical="0">
                  <int2:citationText>“The Field Guide to Human-Centered Design - Open Library” n.d., https://openlibrary.org/books/OL26791059M/The_Field_Guide_to_Human-Centered_Design.</int2:citationText>
                </int2:suggestion>
              </int2:suggestions>
            </int2:source>
          </int2:similarityCritique>
        </oel:ext>
      </int2:extLst>
    </int2:bookmark>
    <int2:bookmark int2:bookmarkName="_Int_Idnur98m" int2:invalidationBookmarkName="" int2:hashCode="pLu1xRaRmjTF4u" int2:id="84JWQUJh">
      <int2:extLst>
        <oel:ext uri="426473B9-03D8-482F-96C9-C2C85392BACA">
          <int2:similarityCritique int2:version="1" int2:context="Department for Science, Innovation and Technology (2025) Digital Inclusion Action Plan: First Steps.">
            <int2:source int2:sourceType="Online" int2:sourceTitle="Digital Inclusion Action Plan : First Steps" int2:sourceUrl="https://dera.ioe.ac.uk/id/eprint/41090/" int2:sourceSnippet="Department for Science, Innovation, and Technology, corp creator. (2025) Digital Inclusion Action Plan : First Steps. [ Policy paper ]">
              <int2:suggestions int2:citationType="Inline">
                <int2:suggestion int2:citationStyle="Mla" int2:isIdentical="0">
                  <int2:citationText>(“Digital Inclusion Action Plan : First Steps”)</int2:citationText>
                </int2:suggestion>
                <int2:suggestion int2:citationStyle="Apa" int2:isIdentical="0">
                  <int2:citationText>(“Digital Inclusion Action Plan : First Steps”)</int2:citationText>
                </int2:suggestion>
                <int2:suggestion int2:citationStyle="Chicago" int2:isIdentical="0">
                  <int2:citationText>(“Digital Inclusion Action Plan : First Steps”)</int2:citationText>
                </int2:suggestion>
              </int2:suggestions>
              <int2:suggestions int2:citationType="Full">
                <int2:suggestion int2:citationStyle="Mla" int2:isIdentical="0">
                  <int2:citationText>&lt;i&gt;Digital Inclusion Action Plan : First Steps&lt;/i&gt;, https://dera.ioe.ac.uk/id/eprint/41090/.</int2:citationText>
                </int2:suggestion>
                <int2:suggestion int2:citationStyle="Apa" int2:isIdentical="0">
                  <int2:citationText>&lt;i&gt;Digital Inclusion Action Plan : First Steps&lt;/i&gt;. (n.d.). Retrieved from https://dera.ioe.ac.uk/id/eprint/41090/</int2:citationText>
                </int2:suggestion>
                <int2:suggestion int2:citationStyle="Chicago" int2:isIdentical="0">
                  <int2:citationText>“Digital Inclusion Action Plan : First Steps” n.d., https://dera.ioe.ac.uk/id/eprint/41090/.</int2:citationText>
                </int2:suggestion>
              </int2:suggestions>
            </int2:source>
          </int2:similarityCritique>
        </oel:ext>
      </int2:extLst>
    </int2:bookmark>
    <int2:bookmark int2:bookmarkName="_Int_iZJibTx9" int2:invalidationBookmarkName="" int2:hashCode="mRL6j4ciYSCqeH" int2:id="KoIb20L4">
      <int2:extLst>
        <oel:ext uri="426473B9-03D8-482F-96C9-C2C85392BACA">
          <int2:similarityCritique int2:version="1" int2:context="Department for Business and Trade (2025) Business population estimates for the UK and regions 2025: statistical release.">
            <int2:source int2:sourceType="Online" int2:sourceTitle="Business population estimates for the UK and regions 2025: statistical ..." int2:sourceUrl="https://www.gov.uk/government/statistics/business-population-estimates-2025/business-population-estimates-for-the-uk-and-regions-2025-statistical-release" int2:sourceSnippet="Department for Business &amp; Trade Official Statistics Business population estimates for the UK and regions 2025: statistical release Published 2 October 2025">
              <int2:suggestions int2:citationType="Inline">
                <int2:suggestion int2:citationStyle="Mla" int2:isIdentical="0">
                  <int2:citationText>(“Business population estimates for the UK and regions 2025: statistical ...”)</int2:citationText>
                </int2:suggestion>
                <int2:suggestion int2:citationStyle="Apa" int2:isIdentical="0">
                  <int2:citationText>(“Business population estimates for the UK and regions 2025: statistical ...”)</int2:citationText>
                </int2:suggestion>
                <int2:suggestion int2:citationStyle="Chicago" int2:isIdentical="0">
                  <int2:citationText>(“Business population estimates for the UK and regions 2025: statistical ...”)</int2:citationText>
                </int2:suggestion>
              </int2:suggestions>
              <int2:suggestions int2:citationType="Full">
                <int2:suggestion int2:citationStyle="Mla" int2:isIdentical="0">
                  <int2:citationText>&lt;i&gt;Business population estimates for the UK and regions 2025: statistical ...&lt;/i&gt;, https://www.gov.uk/government/statistics/business-population-estimates-2025/business-population-estimates-for-the-uk-and-regions-2025-statistical-release.</int2:citationText>
                </int2:suggestion>
                <int2:suggestion int2:citationStyle="Apa" int2:isIdentical="0">
                  <int2:citationText>&lt;i&gt;Business population estimates for the UK and regions 2025: statistical ...&lt;/i&gt;. (n.d.). Retrieved from https://www.gov.uk/government/statistics/business-population-estimates-2025/business-population-estimates-for-the-uk-and-regions-2025-statistical-release</int2:citationText>
                </int2:suggestion>
                <int2:suggestion int2:citationStyle="Chicago" int2:isIdentical="0">
                  <int2:citationText>“Business population estimates for the UK and regions 2025: statistical ...” n.d., https://www.gov.uk/government/statistics/business-population-estimates-2025/business-population-estimates-for-the-uk-and-regions-2025-statistical-release.</int2:citationText>
                </int2:suggestion>
              </int2:suggestions>
            </int2:source>
          </int2:similarityCritique>
        </oel:ext>
      </int2:extLst>
    </int2:bookmark>
    <int2:bookmark int2:bookmarkName="_Int_qaSZcpJm" int2:invalidationBookmarkName="" int2:hashCode="s5+jpLgd/fMIhQ" int2:id="NUoce3SG">
      <int2:extLst>
        <oel:ext uri="426473B9-03D8-482F-96C9-C2C85392BACA">
          <int2:similarityCritique int2:version="1" int2:context="Boysen, N., Fedtke, S. and Schwerdfeger, S. (2021) ‘Last-mile delivery concepts: a survey from an operational research perspective’, OR Spectrum, 43, pp. 1–58.">
            <int2:source int2:sourceType="Online" int2:sourceTitle="Last-mile delivery concepts: a survey from an operational re" int2:sourceUrl="https://ideas.repec.org/a/spr/orspec/v43y2021i1d10.1007_s00291-020-00607-8.html" int2:sourceSnippet="In the wake of e-commerce and its successful diffusion in most commercial activities, last-mile distribution causes more and more trouble in urban areas all around the globe. Growing parcel volumes t">
              <int2:suggestions int2:citationType="Inline">
                <int2:suggestion int2:citationStyle="Mla" int2:isIdentical="0">
                  <int2:citationText>(“Last-mile delivery concepts: a survey from an operational re”)</int2:citationText>
                </int2:suggestion>
                <int2:suggestion int2:citationStyle="Apa" int2:isIdentical="0">
                  <int2:citationText>(“Last-mile delivery concepts: a survey from an operational re”)</int2:citationText>
                </int2:suggestion>
                <int2:suggestion int2:citationStyle="Chicago" int2:isIdentical="0">
                  <int2:citationText>(“Last-mile delivery concepts: a survey from an operational re”)</int2:citationText>
                </int2:suggestion>
              </int2:suggestions>
              <int2:suggestions int2:citationType="Full">
                <int2:suggestion int2:citationStyle="Mla" int2:isIdentical="0">
                  <int2:citationText>&lt;i&gt;Last-mile delivery concepts: a survey from an operational re&lt;/i&gt;, https://ideas.repec.org/a/spr/orspec/v43y2021i1d10.1007_s00291-020-00607-8.html.</int2:citationText>
                </int2:suggestion>
                <int2:suggestion int2:citationStyle="Apa" int2:isIdentical="0">
                  <int2:citationText>&lt;i&gt;Last-mile delivery concepts: a survey from an operational re&lt;/i&gt;. (n.d.). Retrieved from https://ideas.repec.org/a/spr/orspec/v43y2021i1d10.1007_s00291-020-00607-8.html</int2:citationText>
                </int2:suggestion>
                <int2:suggestion int2:citationStyle="Chicago" int2:isIdentical="0">
                  <int2:citationText>“Last-mile delivery concepts: a survey from an operational re” n.d., https://ideas.repec.org/a/spr/orspec/v43y2021i1d10.1007_s00291-020-00607-8.html.</int2:citationText>
                </int2:suggestion>
              </int2:suggestions>
            </int2:source>
            <int2:source int2:sourceType="Online" int2:sourceTitle="Boysen, N., Fedtke, S. and Schwerdfeger, S. (2020) Last-Mile Delivery ..." int2:sourceUrl="https://www.scirp.org/reference/referencespapers?referenceid=4308018" int2:sourceSnippet="Boysen, N., Fedtke, S. and Schwerdfeger, S. (2020) Last-Mile Delivery Concepts A Survey from an Operational Research Perspective. OR Spectrum, 43, 1-58.">
              <int2:suggestions int2:citationType="Inline">
                <int2:suggestion int2:citationStyle="Mla" int2:isIdentical="0">
                  <int2:citationText>(“Boysen, N., Fedtke, S. and Schwerdfeger, S. (2020) Last-Mile Delivery ...”)</int2:citationText>
                </int2:suggestion>
                <int2:suggestion int2:citationStyle="Apa" int2:isIdentical="0">
                  <int2:citationText>(“Boysen, N., Fedtke, S. and Schwerdfeger, S. (2020) Last-Mile Delivery ...”)</int2:citationText>
                </int2:suggestion>
                <int2:suggestion int2:citationStyle="Chicago" int2:isIdentical="0">
                  <int2:citationText>(“Boysen, N., Fedtke, S. and Schwerdfeger, S. (2020) Last-Mile Delivery ...”)</int2:citationText>
                </int2:suggestion>
              </int2:suggestions>
              <int2:suggestions int2:citationType="Full">
                <int2:suggestion int2:citationStyle="Mla" int2:isIdentical="0">
                  <int2:citationText>&lt;i&gt;Boysen, N., Fedtke, S. and Schwerdfeger, S. (2020) Last-Mile Delivery ...&lt;/i&gt;, https://www.scirp.org/reference/referencespapers?referenceid=4308018.</int2:citationText>
                </int2:suggestion>
                <int2:suggestion int2:citationStyle="Apa" int2:isIdentical="0">
                  <int2:citationText>&lt;i&gt;Boysen, N., Fedtke, S. and Schwerdfeger, S. (2020) Last-Mile Delivery ...&lt;/i&gt;. (n.d.). Retrieved from https://www.scirp.org/reference/referencespapers?referenceid=4308018</int2:citationText>
                </int2:suggestion>
                <int2:suggestion int2:citationStyle="Chicago" int2:isIdentical="0">
                  <int2:citationText>“Boysen, N., Fedtke, S. and Schwerdfeger, S. (2020) Last-Mile Delivery ...” n.d., https://www.scirp.org/reference/referencespapers?referenceid=4308018.</int2:citationText>
                </int2:suggestion>
              </int2:suggestions>
            </int2:source>
          </int2:similarityCritique>
        </oel:ext>
      </int2:extLst>
    </int2:bookmark>
    <int2:entireDocument int2:id="Xz4PRmuC">
      <int2:extLst>
        <oel:ext uri="E302BA01-7950-474C-9AD3-286E660C40A8">
          <int2:similaritySummary int2:version="1" int2:runId="1786727817336" int2:tilesCheckedInThisRun="0" int2:totalNumOfTiles="313" int2:similarityAnnotationCount="7" int2:numWords="5188" int2:numFlaggedWords="134"/>
        </oel:ext>
      </int2:extLst>
    </int2:entireDocument>
  </int2:observations>
  <int2:intelligenceSettings/>
  <int2:onDemandWorkflows>
    <int2:onDemandWorkflow int2:type="SimilarityCheck" int2:paragraphVersions="1F22DE16-77777777 17AEBEDF-77777777 25DD326D-77777777 31E44907-77777777 1DD26BAF-77777777 2C79DFC2-77777777 76252553-77777777 0A15C52F-1FEE3323 5ADF054E-77777777 38DB5808-77777777 3E8CE3F8-77777777 3E126DF8-77777777 14D4F672-77777777 48FF2730-77777777 37161174-77777777 64A85EF0-77777777 34F9DB9A-77777777 706A6554-02A8C7B0 6A7073FC-77777777 0DAC372A-77777777 22CCF551-77777777 2BEBDA9A-77777777 122E05F0-77777777 2BD0A66B-420329AE 7F40D87A-77777777 0DAC0E1E-77777777 3210DE1A-77777777 4D83E30B-77777777 2CE85301-77777777 0F2DA235-77777777 7C1B15D8-77777777 4EB9997E-77777777 50EC209E-77777777 2847FE2C-77777777 5B0E82CB-71C0AB73 56BC867A-5562F7A1 197FE345-3ECDDADD 5A3E8596-62A0F22C 2B97BC30-08BF99E1 771B381A-3A3450AA 6A444643-178633EA 58486C41-7018DACF 6D6DD360-34B04E80 2952FAF2-34079F44 6F71CD22-26A98970 7BD78C88-00B10EE5 17372EED-5DB4C8C1 3B0FF4C4-17C4AB82 6E2DE5A8-039B52CA 71D051CB-4E5EEF7D 5FDECB03-279C48E3 011F0C15-3CCCE9E6 1F1F3AE0-2B949908 0C227487-37FD573A 3726C80A-20DD1328 65D4FE53-77777777 372D9610-77777777 09D4CA5C-6BEC2F7A 4363E4F8-77777777 6A53C4C0-77777777 2AAFDE9B-77777777 355E90F0-77777777 2CA6D061-77777777 3997B918-77777777 37FBA684-77777777 4C2FF75C-77777777 6731635B-77777777 3BE0270C-77777777 2146B8C6-4BCB95BE 312B4D5C-5C3C7ECD 65439C8F-77777777 6DDA077E-77777777 605E5C0A-77777777 1EFDE1CC-77777777 0CCC13BF-77777777 0C1E488D-77777777 00D20B9D-77777777 151436F7-77777777 438D6CA9-77777777 238E66F3-77777777 29104874-77777777 70B84B40-77777777 692BD088-77777777 50EBDC07-77777777 0364E498-77777777 7D44993F-77777777 4BB808C9-77777777 6E35ED72-77777777 25E313DE-77777777 137E0364-77777777 6454E1B4-77777777 319B395E-77777777 2AF4866B-77777777 01D5845A-77777777 77431D20-77777777 64C149D0-77777777 6639A4C6-77777777 7ADADC41-77777777 3940AEFD-77777777 0185DFAE-77777777 07E2B96E-77777777 1FF072AD-77777777 666C2149-77777777 5E82B691-77777777 57A2BD4E-77777777 19453101-77777777 0E75BAC6-77777777 558AF560-77777777 4EF44D99-77777777 1601CD62-77777777 5E30D329-77777777 1221AC55-77777777 30DCE397-77777777 2513DFDD-77777777 067FEA1F-77777777 212773D2-17D96414 0193055A-77777777 0040FACE-77777777 57E271A6-77777777 252ED737-77777777 11032842-77777777 412C2632-77777777 55C22B2C-77777777 14FF1D1D-77777777 1A0CAB1E-77777777 730D5F9C-77777777 6319C8F9-77777777 6F3FE879-77777777 01C65901-77777777 31513655-77777777 139E32DA-77777777 371182C1-77777777 35D1EA60-77777777 4D8286F1-77777777 237FA0F9-77777777 724F26A1-77777777 35A5A176-77777777 02C52907-77777777 498DC5CC-77777777 6189D4D7-77777777 7FB71ABD-77777777 2E89AE4F-77777777 72F0EB08-77777777 1F75860C-77777777 0AA41835-77777777 5441596F-77777777 6A10C94B-77777777 21073783-77777777 0F3B3C22-77777777 6E7EA23D-77777777 0B22FFB7-77777777 58B8C534-77777777 10DFE8F6-77777777 78F8D877-77777777 7D9548C9-77777777 63163516-77777777 16E153F6-77777777 5D5EC088-77777777 170D1C24-77777777 6CFD58C8-77777777 1E81E4D9-4882323D 7835191E-77777777 28118E42-77777777 448B4548-77777777 2DEDA3B0-77777777 10AD6A30-118B0700 67CF5F58-77777777 19899DBF-77777777 4F7555A5-77777777 77DA8177-77777777 14A5AE17-77777777 33146593-77777777 2549ADE6-77777777 16A1291F-77777777 3FB35890-77777777 259FA421-77777777 786840E1-77777777 528DEF19-77777777 54B636DE-77777777 6D63CD45-77777777 28C6BC1D-77777777 7E347F33-647063AC 3F00C256-77777777 1B2C2BFF-77777777 08A08572-77777777 112C158C-77777777 63435900-77777777 29BA373C-77777777 67E5B14A-77777777 71CF626F-77777777 3C003482-77777777 52FE7B91-77777777 07D75CB2-77777777 6C0BC52B-77777777 1A97FEC8-77777777 68DA1551-77777777 1170A0AA-77777777 28D0643D-77777777 5DA240C4-77777777 4B8DCC05-77777777 19D8C6F7-77777777 2C55C1D5-77777777 70F9C285-77777777 2F798B2B-77777777 64DCC0CB-77777777 03DD133A-77777777 533745A0-77777777 10BE8C70-77777777 791E5550-77777777 1BBBD9D9-77777777 10A11002-77777777 45F336F7-77777777 1E907D72-77777777 28293E7B-77777777 514EB3C6-77777777 53538A85-2976A91C 46F5F71E-77777777 65161BD4-77777777 1C367D5E-77777777 71744175-77777777 14001C31-77777777 634652D9-77777777 44F69662-77777777 42F4129B-77777777 287A9874-77777777 0237734F-77777777 244F5705-77777777 12CA32F0-77777777 0BEEE198-77777777 66514AB9-77777777 57AC987C-77777777 1362C1DD-77777777 4EB3F594-77777777 68E114BE-77777777 0D12BFDD-77777777 23573F7A-77777777 652AFC04-77777777 3D131758-77777777 20736868-77777777 067924AB-77777777 081BF561-77777777 33A14668-77777777 4D16D826-77777777 006F17E1-77777777 40F3BFB2-77777777 620DE8E7-77777777 63E89D3F-77777777 6DE55AC4-77777777 12D80C17-77777777 05547DA4-77777777 1564A14C-77777777 508C943C-77777777 3C1FA168-77777777 247FE3EE-77777777 5957F06F-77777777 1DAFBD66-77777777 2F76DEB4-77777777 7E4A7721-77777777 09C921BB-77777777 041FB66A-77777777 21BD4A51-77777777 75D8D3A6-77777777 1A3C796C-77777777 1D0AF04A-77777777 6D9AF4E8-77777777 6CB264A9-77777777 12CC9551-77777777 4D8909E2-77777777 2FC10201-77777777 1A76BBC7-77777777 580E8BD8-77777777 4117D368-77777777 4BDEE9E6-77777777 41C0042E-77777777 7E6D3A90-77777777 3F6CAF0F-77777777 44ECC5EC-77777777 4A71BD2F-77777777 087394BC-77777777 551DAFE9-77777777 634C539F-48425690 0230DF65-77777777 27F6D6FF-77777777 43A2BC0C-77777777 5514E6CF-77777777 53575439-77777777 53547E89-77777777 1EF67E6C-77777777 3C40AF3F-77777777 312A4664-77777777 63D7E79E-77777777 46BD3E43-77777777 0970FD6F-77777777 49122D62-77777777 68094C4C-77777777 695274BA-77777777 1B54E5A7-77777777 22FB0898-77777777 1385694B-77777777 286EDB03-77777777 3FD4CAEC-77777777 617996E0-77777777 1675C43B-77777777 3EF5CC2C-77777777 76A68B6C-77777777 1BEE7231-77777777 259F920D-77777777 75B2C4CD-77777777 15E74BED-77777777 65588C3A-77777777 110871B4-77777777 45D9EF12-77777777 54B56359-77777777 4DB1370E-77777777 07FB7B3F-77777777 55B3CA72-77777777 6D6A57D8-77777777 23B8F0E8-77777777 08FEBC71-77777777 2F8FEB75-77777777 3F48A804-4BC21419 61628A5A-77777777 1C6283ED-77777777 0A6BDDCA-6B98077D 672834D2-77777777 0C7F3D1A-56FDD816 0857B5A3-77777777 27DFE19E-77777777 52DF351A-4AB6A9D4 580503F4-77777777 53759BDB-77777777 61E8EFD5-77777777 40459EF6-77777777 49F02260-77777777 1C63A301-77777777 357126F2-77777777 50EFD3A0-53BD5A23 1B96866E-77777777 78AFF39D-77777777 1121BD15-77777777 565F8999-77777777 2A2E8A8D-77777777 56860023-77777777 6DC03267-77777777 015A84A5-77777777 089F5EB9-77777777 65019C33-77777777 09D23054-77777777 5F94AF93-7674EC3C 057223FA-77777777 162D1058-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615745561">
    <w:abstractNumId w:val="8"/>
  </w:num>
  <w:num w:numId="2" w16cid:durableId="1032027821">
    <w:abstractNumId w:val="6"/>
  </w:num>
  <w:num w:numId="3" w16cid:durableId="731848301">
    <w:abstractNumId w:val="5"/>
  </w:num>
  <w:num w:numId="4" w16cid:durableId="1168986544">
    <w:abstractNumId w:val="4"/>
  </w:num>
  <w:num w:numId="5" w16cid:durableId="1103920680">
    <w:abstractNumId w:val="7"/>
  </w:num>
  <w:num w:numId="6" w16cid:durableId="1327586408">
    <w:abstractNumId w:val="3"/>
  </w:num>
  <w:num w:numId="7" w16cid:durableId="801263562">
    <w:abstractNumId w:val="2"/>
  </w:num>
  <w:num w:numId="8" w16cid:durableId="393165655">
    <w:abstractNumId w:val="1"/>
  </w:num>
  <w:num w:numId="9" w16cid:durableId="48779092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22E21"/>
    <w:rsid w:val="00034616"/>
    <w:rsid w:val="0006063C"/>
    <w:rsid w:val="0013022D"/>
    <w:rsid w:val="00141F93"/>
    <w:rsid w:val="0015074B"/>
    <w:rsid w:val="001E1FE0"/>
    <w:rsid w:val="00204C7D"/>
    <w:rsid w:val="00231B27"/>
    <w:rsid w:val="002364D4"/>
    <w:rsid w:val="00253E5E"/>
    <w:rsid w:val="00260F05"/>
    <w:rsid w:val="00267A5A"/>
    <w:rsid w:val="0029639D"/>
    <w:rsid w:val="002B2541"/>
    <w:rsid w:val="002E6790"/>
    <w:rsid w:val="00326F90"/>
    <w:rsid w:val="00336234"/>
    <w:rsid w:val="0038483D"/>
    <w:rsid w:val="003A34F7"/>
    <w:rsid w:val="003A6EDB"/>
    <w:rsid w:val="00405B85"/>
    <w:rsid w:val="00427E75"/>
    <w:rsid w:val="004536A0"/>
    <w:rsid w:val="004A410F"/>
    <w:rsid w:val="004E2EA6"/>
    <w:rsid w:val="004F4564"/>
    <w:rsid w:val="005451E2"/>
    <w:rsid w:val="00564CA3"/>
    <w:rsid w:val="005E652C"/>
    <w:rsid w:val="00626CF0"/>
    <w:rsid w:val="00650905"/>
    <w:rsid w:val="007165BF"/>
    <w:rsid w:val="00740A8C"/>
    <w:rsid w:val="00751DB0"/>
    <w:rsid w:val="00764254"/>
    <w:rsid w:val="00790589"/>
    <w:rsid w:val="007E5089"/>
    <w:rsid w:val="0080145A"/>
    <w:rsid w:val="008664AB"/>
    <w:rsid w:val="008D6DA8"/>
    <w:rsid w:val="00915917"/>
    <w:rsid w:val="009F0782"/>
    <w:rsid w:val="009F561F"/>
    <w:rsid w:val="00A51AEF"/>
    <w:rsid w:val="00A55217"/>
    <w:rsid w:val="00A92CED"/>
    <w:rsid w:val="00AA1D8D"/>
    <w:rsid w:val="00AA4C87"/>
    <w:rsid w:val="00AA4CD8"/>
    <w:rsid w:val="00AC3649"/>
    <w:rsid w:val="00AE634B"/>
    <w:rsid w:val="00B11C42"/>
    <w:rsid w:val="00B47730"/>
    <w:rsid w:val="00B55F0C"/>
    <w:rsid w:val="00B64E07"/>
    <w:rsid w:val="00B65495"/>
    <w:rsid w:val="00C25EED"/>
    <w:rsid w:val="00CA1806"/>
    <w:rsid w:val="00CB0664"/>
    <w:rsid w:val="00D17657"/>
    <w:rsid w:val="00D6285C"/>
    <w:rsid w:val="00D77FFD"/>
    <w:rsid w:val="00DD2D14"/>
    <w:rsid w:val="00DD7ED9"/>
    <w:rsid w:val="00E118ED"/>
    <w:rsid w:val="00E22905"/>
    <w:rsid w:val="00E52B70"/>
    <w:rsid w:val="00E845B8"/>
    <w:rsid w:val="00F0513F"/>
    <w:rsid w:val="00F564D6"/>
    <w:rsid w:val="00FC693F"/>
    <w:rsid w:val="00FE3094"/>
    <w:rsid w:val="0E45FF33"/>
    <w:rsid w:val="28023B4D"/>
    <w:rsid w:val="2859423E"/>
    <w:rsid w:val="42C33C5B"/>
    <w:rsid w:val="65762FDA"/>
    <w:rsid w:val="7152EF5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BD18B9C"/>
  <w14:defaultImageDpi w14:val="300"/>
  <w15:docId w15:val="{6EE20003-41C7-4467-B625-5263B28D7B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pPr>
    <w:rPr>
      <w:rFonts w:ascii="Arial" w:hAnsi="Arial"/>
      <w:color w:val="1F1F1F"/>
    </w:rPr>
  </w:style>
  <w:style w:type="paragraph" w:styleId="Heading1">
    <w:name w:val="heading 1"/>
    <w:basedOn w:val="Normal"/>
    <w:next w:val="Normal"/>
    <w:link w:val="Heading1Char"/>
    <w:uiPriority w:val="9"/>
    <w:qFormat/>
    <w:rsid w:val="00FC693F"/>
    <w:pPr>
      <w:keepNext/>
      <w:keepLines/>
      <w:spacing w:before="320" w:after="160"/>
      <w:outlineLvl w:val="0"/>
    </w:pPr>
    <w:rPr>
      <w:rFonts w:asciiTheme="majorHAnsi" w:hAnsiTheme="majorHAnsi" w:eastAsiaTheme="majorEastAsia" w:cstheme="majorBidi"/>
      <w:b/>
      <w:bCs/>
      <w:color w:val="2E74B5"/>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hAnsiTheme="majorHAnsi" w:eastAsiaTheme="majorEastAsia" w:cstheme="majorBidi"/>
      <w:b/>
      <w:bCs/>
      <w:color w:val="2E74B5"/>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hAnsiTheme="majorHAnsi" w:eastAsiaTheme="majorEastAsia" w:cstheme="majorBidi"/>
      <w:b/>
      <w:bCs/>
      <w:color w:val="17365D"/>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5B6573"/>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E5089"/>
    <w:rPr>
      <w:color w:val="0000FF" w:themeColor="hyperlink"/>
      <w:u w:val="single"/>
    </w:rPr>
  </w:style>
  <w:style w:type="character" w:styleId="UnresolvedMention">
    <w:name w:val="Unresolved Mention"/>
    <w:basedOn w:val="DefaultParagraphFont"/>
    <w:uiPriority w:val="99"/>
    <w:semiHidden/>
    <w:unhideWhenUsed/>
    <w:rsid w:val="007E5089"/>
    <w:rPr>
      <w:color w:val="605E5C"/>
      <w:shd w:val="clear" w:color="auto" w:fill="E1DFDD"/>
    </w:rPr>
  </w:style>
  <w:style w:type="paragraph" w:styleId="TOC1">
    <w:name w:val="toc 1"/>
    <w:basedOn w:val="Normal"/>
    <w:next w:val="Normal"/>
    <w:autoRedefine/>
    <w:uiPriority w:val="39"/>
    <w:unhideWhenUsed/>
    <w:rsid w:val="00AA4C87"/>
    <w:pPr>
      <w:spacing w:after="100"/>
    </w:pPr>
  </w:style>
  <w:style w:type="paragraph" w:styleId="TOC2">
    <w:name w:val="toc 2"/>
    <w:basedOn w:val="Normal"/>
    <w:next w:val="Normal"/>
    <w:autoRedefine/>
    <w:uiPriority w:val="39"/>
    <w:unhideWhenUsed/>
    <w:rsid w:val="00AA4C8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03692">
      <w:bodyDiv w:val="1"/>
      <w:marLeft w:val="0"/>
      <w:marRight w:val="0"/>
      <w:marTop w:val="0"/>
      <w:marBottom w:val="0"/>
      <w:divBdr>
        <w:top w:val="none" w:sz="0" w:space="0" w:color="auto"/>
        <w:left w:val="none" w:sz="0" w:space="0" w:color="auto"/>
        <w:bottom w:val="none" w:sz="0" w:space="0" w:color="auto"/>
        <w:right w:val="none" w:sz="0" w:space="0" w:color="auto"/>
      </w:divBdr>
    </w:div>
    <w:div w:id="71434790">
      <w:bodyDiv w:val="1"/>
      <w:marLeft w:val="0"/>
      <w:marRight w:val="0"/>
      <w:marTop w:val="0"/>
      <w:marBottom w:val="0"/>
      <w:divBdr>
        <w:top w:val="none" w:sz="0" w:space="0" w:color="auto"/>
        <w:left w:val="none" w:sz="0" w:space="0" w:color="auto"/>
        <w:bottom w:val="none" w:sz="0" w:space="0" w:color="auto"/>
        <w:right w:val="none" w:sz="0" w:space="0" w:color="auto"/>
      </w:divBdr>
    </w:div>
    <w:div w:id="86854424">
      <w:bodyDiv w:val="1"/>
      <w:marLeft w:val="0"/>
      <w:marRight w:val="0"/>
      <w:marTop w:val="0"/>
      <w:marBottom w:val="0"/>
      <w:divBdr>
        <w:top w:val="none" w:sz="0" w:space="0" w:color="auto"/>
        <w:left w:val="none" w:sz="0" w:space="0" w:color="auto"/>
        <w:bottom w:val="none" w:sz="0" w:space="0" w:color="auto"/>
        <w:right w:val="none" w:sz="0" w:space="0" w:color="auto"/>
      </w:divBdr>
    </w:div>
    <w:div w:id="154760668">
      <w:bodyDiv w:val="1"/>
      <w:marLeft w:val="0"/>
      <w:marRight w:val="0"/>
      <w:marTop w:val="0"/>
      <w:marBottom w:val="0"/>
      <w:divBdr>
        <w:top w:val="none" w:sz="0" w:space="0" w:color="auto"/>
        <w:left w:val="none" w:sz="0" w:space="0" w:color="auto"/>
        <w:bottom w:val="none" w:sz="0" w:space="0" w:color="auto"/>
        <w:right w:val="none" w:sz="0" w:space="0" w:color="auto"/>
      </w:divBdr>
    </w:div>
    <w:div w:id="159515704">
      <w:bodyDiv w:val="1"/>
      <w:marLeft w:val="0"/>
      <w:marRight w:val="0"/>
      <w:marTop w:val="0"/>
      <w:marBottom w:val="0"/>
      <w:divBdr>
        <w:top w:val="none" w:sz="0" w:space="0" w:color="auto"/>
        <w:left w:val="none" w:sz="0" w:space="0" w:color="auto"/>
        <w:bottom w:val="none" w:sz="0" w:space="0" w:color="auto"/>
        <w:right w:val="none" w:sz="0" w:space="0" w:color="auto"/>
      </w:divBdr>
    </w:div>
    <w:div w:id="186259051">
      <w:bodyDiv w:val="1"/>
      <w:marLeft w:val="0"/>
      <w:marRight w:val="0"/>
      <w:marTop w:val="0"/>
      <w:marBottom w:val="0"/>
      <w:divBdr>
        <w:top w:val="none" w:sz="0" w:space="0" w:color="auto"/>
        <w:left w:val="none" w:sz="0" w:space="0" w:color="auto"/>
        <w:bottom w:val="none" w:sz="0" w:space="0" w:color="auto"/>
        <w:right w:val="none" w:sz="0" w:space="0" w:color="auto"/>
      </w:divBdr>
    </w:div>
    <w:div w:id="188564823">
      <w:bodyDiv w:val="1"/>
      <w:marLeft w:val="0"/>
      <w:marRight w:val="0"/>
      <w:marTop w:val="0"/>
      <w:marBottom w:val="0"/>
      <w:divBdr>
        <w:top w:val="none" w:sz="0" w:space="0" w:color="auto"/>
        <w:left w:val="none" w:sz="0" w:space="0" w:color="auto"/>
        <w:bottom w:val="none" w:sz="0" w:space="0" w:color="auto"/>
        <w:right w:val="none" w:sz="0" w:space="0" w:color="auto"/>
      </w:divBdr>
    </w:div>
    <w:div w:id="193466825">
      <w:bodyDiv w:val="1"/>
      <w:marLeft w:val="0"/>
      <w:marRight w:val="0"/>
      <w:marTop w:val="0"/>
      <w:marBottom w:val="0"/>
      <w:divBdr>
        <w:top w:val="none" w:sz="0" w:space="0" w:color="auto"/>
        <w:left w:val="none" w:sz="0" w:space="0" w:color="auto"/>
        <w:bottom w:val="none" w:sz="0" w:space="0" w:color="auto"/>
        <w:right w:val="none" w:sz="0" w:space="0" w:color="auto"/>
      </w:divBdr>
    </w:div>
    <w:div w:id="202450866">
      <w:bodyDiv w:val="1"/>
      <w:marLeft w:val="0"/>
      <w:marRight w:val="0"/>
      <w:marTop w:val="0"/>
      <w:marBottom w:val="0"/>
      <w:divBdr>
        <w:top w:val="none" w:sz="0" w:space="0" w:color="auto"/>
        <w:left w:val="none" w:sz="0" w:space="0" w:color="auto"/>
        <w:bottom w:val="none" w:sz="0" w:space="0" w:color="auto"/>
        <w:right w:val="none" w:sz="0" w:space="0" w:color="auto"/>
      </w:divBdr>
    </w:div>
    <w:div w:id="212546083">
      <w:bodyDiv w:val="1"/>
      <w:marLeft w:val="0"/>
      <w:marRight w:val="0"/>
      <w:marTop w:val="0"/>
      <w:marBottom w:val="0"/>
      <w:divBdr>
        <w:top w:val="none" w:sz="0" w:space="0" w:color="auto"/>
        <w:left w:val="none" w:sz="0" w:space="0" w:color="auto"/>
        <w:bottom w:val="none" w:sz="0" w:space="0" w:color="auto"/>
        <w:right w:val="none" w:sz="0" w:space="0" w:color="auto"/>
      </w:divBdr>
    </w:div>
    <w:div w:id="215821533">
      <w:bodyDiv w:val="1"/>
      <w:marLeft w:val="0"/>
      <w:marRight w:val="0"/>
      <w:marTop w:val="0"/>
      <w:marBottom w:val="0"/>
      <w:divBdr>
        <w:top w:val="none" w:sz="0" w:space="0" w:color="auto"/>
        <w:left w:val="none" w:sz="0" w:space="0" w:color="auto"/>
        <w:bottom w:val="none" w:sz="0" w:space="0" w:color="auto"/>
        <w:right w:val="none" w:sz="0" w:space="0" w:color="auto"/>
      </w:divBdr>
    </w:div>
    <w:div w:id="228616797">
      <w:bodyDiv w:val="1"/>
      <w:marLeft w:val="0"/>
      <w:marRight w:val="0"/>
      <w:marTop w:val="0"/>
      <w:marBottom w:val="0"/>
      <w:divBdr>
        <w:top w:val="none" w:sz="0" w:space="0" w:color="auto"/>
        <w:left w:val="none" w:sz="0" w:space="0" w:color="auto"/>
        <w:bottom w:val="none" w:sz="0" w:space="0" w:color="auto"/>
        <w:right w:val="none" w:sz="0" w:space="0" w:color="auto"/>
      </w:divBdr>
    </w:div>
    <w:div w:id="275528288">
      <w:bodyDiv w:val="1"/>
      <w:marLeft w:val="0"/>
      <w:marRight w:val="0"/>
      <w:marTop w:val="0"/>
      <w:marBottom w:val="0"/>
      <w:divBdr>
        <w:top w:val="none" w:sz="0" w:space="0" w:color="auto"/>
        <w:left w:val="none" w:sz="0" w:space="0" w:color="auto"/>
        <w:bottom w:val="none" w:sz="0" w:space="0" w:color="auto"/>
        <w:right w:val="none" w:sz="0" w:space="0" w:color="auto"/>
      </w:divBdr>
    </w:div>
    <w:div w:id="302083994">
      <w:bodyDiv w:val="1"/>
      <w:marLeft w:val="0"/>
      <w:marRight w:val="0"/>
      <w:marTop w:val="0"/>
      <w:marBottom w:val="0"/>
      <w:divBdr>
        <w:top w:val="none" w:sz="0" w:space="0" w:color="auto"/>
        <w:left w:val="none" w:sz="0" w:space="0" w:color="auto"/>
        <w:bottom w:val="none" w:sz="0" w:space="0" w:color="auto"/>
        <w:right w:val="none" w:sz="0" w:space="0" w:color="auto"/>
      </w:divBdr>
    </w:div>
    <w:div w:id="302659021">
      <w:bodyDiv w:val="1"/>
      <w:marLeft w:val="0"/>
      <w:marRight w:val="0"/>
      <w:marTop w:val="0"/>
      <w:marBottom w:val="0"/>
      <w:divBdr>
        <w:top w:val="none" w:sz="0" w:space="0" w:color="auto"/>
        <w:left w:val="none" w:sz="0" w:space="0" w:color="auto"/>
        <w:bottom w:val="none" w:sz="0" w:space="0" w:color="auto"/>
        <w:right w:val="none" w:sz="0" w:space="0" w:color="auto"/>
      </w:divBdr>
    </w:div>
    <w:div w:id="334236619">
      <w:bodyDiv w:val="1"/>
      <w:marLeft w:val="0"/>
      <w:marRight w:val="0"/>
      <w:marTop w:val="0"/>
      <w:marBottom w:val="0"/>
      <w:divBdr>
        <w:top w:val="none" w:sz="0" w:space="0" w:color="auto"/>
        <w:left w:val="none" w:sz="0" w:space="0" w:color="auto"/>
        <w:bottom w:val="none" w:sz="0" w:space="0" w:color="auto"/>
        <w:right w:val="none" w:sz="0" w:space="0" w:color="auto"/>
      </w:divBdr>
    </w:div>
    <w:div w:id="354232124">
      <w:bodyDiv w:val="1"/>
      <w:marLeft w:val="0"/>
      <w:marRight w:val="0"/>
      <w:marTop w:val="0"/>
      <w:marBottom w:val="0"/>
      <w:divBdr>
        <w:top w:val="none" w:sz="0" w:space="0" w:color="auto"/>
        <w:left w:val="none" w:sz="0" w:space="0" w:color="auto"/>
        <w:bottom w:val="none" w:sz="0" w:space="0" w:color="auto"/>
        <w:right w:val="none" w:sz="0" w:space="0" w:color="auto"/>
      </w:divBdr>
    </w:div>
    <w:div w:id="367610736">
      <w:bodyDiv w:val="1"/>
      <w:marLeft w:val="0"/>
      <w:marRight w:val="0"/>
      <w:marTop w:val="0"/>
      <w:marBottom w:val="0"/>
      <w:divBdr>
        <w:top w:val="none" w:sz="0" w:space="0" w:color="auto"/>
        <w:left w:val="none" w:sz="0" w:space="0" w:color="auto"/>
        <w:bottom w:val="none" w:sz="0" w:space="0" w:color="auto"/>
        <w:right w:val="none" w:sz="0" w:space="0" w:color="auto"/>
      </w:divBdr>
    </w:div>
    <w:div w:id="416638965">
      <w:bodyDiv w:val="1"/>
      <w:marLeft w:val="0"/>
      <w:marRight w:val="0"/>
      <w:marTop w:val="0"/>
      <w:marBottom w:val="0"/>
      <w:divBdr>
        <w:top w:val="none" w:sz="0" w:space="0" w:color="auto"/>
        <w:left w:val="none" w:sz="0" w:space="0" w:color="auto"/>
        <w:bottom w:val="none" w:sz="0" w:space="0" w:color="auto"/>
        <w:right w:val="none" w:sz="0" w:space="0" w:color="auto"/>
      </w:divBdr>
    </w:div>
    <w:div w:id="458302474">
      <w:bodyDiv w:val="1"/>
      <w:marLeft w:val="0"/>
      <w:marRight w:val="0"/>
      <w:marTop w:val="0"/>
      <w:marBottom w:val="0"/>
      <w:divBdr>
        <w:top w:val="none" w:sz="0" w:space="0" w:color="auto"/>
        <w:left w:val="none" w:sz="0" w:space="0" w:color="auto"/>
        <w:bottom w:val="none" w:sz="0" w:space="0" w:color="auto"/>
        <w:right w:val="none" w:sz="0" w:space="0" w:color="auto"/>
      </w:divBdr>
    </w:div>
    <w:div w:id="466775765">
      <w:bodyDiv w:val="1"/>
      <w:marLeft w:val="0"/>
      <w:marRight w:val="0"/>
      <w:marTop w:val="0"/>
      <w:marBottom w:val="0"/>
      <w:divBdr>
        <w:top w:val="none" w:sz="0" w:space="0" w:color="auto"/>
        <w:left w:val="none" w:sz="0" w:space="0" w:color="auto"/>
        <w:bottom w:val="none" w:sz="0" w:space="0" w:color="auto"/>
        <w:right w:val="none" w:sz="0" w:space="0" w:color="auto"/>
      </w:divBdr>
    </w:div>
    <w:div w:id="474880771">
      <w:bodyDiv w:val="1"/>
      <w:marLeft w:val="0"/>
      <w:marRight w:val="0"/>
      <w:marTop w:val="0"/>
      <w:marBottom w:val="0"/>
      <w:divBdr>
        <w:top w:val="none" w:sz="0" w:space="0" w:color="auto"/>
        <w:left w:val="none" w:sz="0" w:space="0" w:color="auto"/>
        <w:bottom w:val="none" w:sz="0" w:space="0" w:color="auto"/>
        <w:right w:val="none" w:sz="0" w:space="0" w:color="auto"/>
      </w:divBdr>
    </w:div>
    <w:div w:id="485168885">
      <w:bodyDiv w:val="1"/>
      <w:marLeft w:val="0"/>
      <w:marRight w:val="0"/>
      <w:marTop w:val="0"/>
      <w:marBottom w:val="0"/>
      <w:divBdr>
        <w:top w:val="none" w:sz="0" w:space="0" w:color="auto"/>
        <w:left w:val="none" w:sz="0" w:space="0" w:color="auto"/>
        <w:bottom w:val="none" w:sz="0" w:space="0" w:color="auto"/>
        <w:right w:val="none" w:sz="0" w:space="0" w:color="auto"/>
      </w:divBdr>
    </w:div>
    <w:div w:id="596258328">
      <w:bodyDiv w:val="1"/>
      <w:marLeft w:val="0"/>
      <w:marRight w:val="0"/>
      <w:marTop w:val="0"/>
      <w:marBottom w:val="0"/>
      <w:divBdr>
        <w:top w:val="none" w:sz="0" w:space="0" w:color="auto"/>
        <w:left w:val="none" w:sz="0" w:space="0" w:color="auto"/>
        <w:bottom w:val="none" w:sz="0" w:space="0" w:color="auto"/>
        <w:right w:val="none" w:sz="0" w:space="0" w:color="auto"/>
      </w:divBdr>
    </w:div>
    <w:div w:id="641276024">
      <w:bodyDiv w:val="1"/>
      <w:marLeft w:val="0"/>
      <w:marRight w:val="0"/>
      <w:marTop w:val="0"/>
      <w:marBottom w:val="0"/>
      <w:divBdr>
        <w:top w:val="none" w:sz="0" w:space="0" w:color="auto"/>
        <w:left w:val="none" w:sz="0" w:space="0" w:color="auto"/>
        <w:bottom w:val="none" w:sz="0" w:space="0" w:color="auto"/>
        <w:right w:val="none" w:sz="0" w:space="0" w:color="auto"/>
      </w:divBdr>
    </w:div>
    <w:div w:id="682169522">
      <w:bodyDiv w:val="1"/>
      <w:marLeft w:val="0"/>
      <w:marRight w:val="0"/>
      <w:marTop w:val="0"/>
      <w:marBottom w:val="0"/>
      <w:divBdr>
        <w:top w:val="none" w:sz="0" w:space="0" w:color="auto"/>
        <w:left w:val="none" w:sz="0" w:space="0" w:color="auto"/>
        <w:bottom w:val="none" w:sz="0" w:space="0" w:color="auto"/>
        <w:right w:val="none" w:sz="0" w:space="0" w:color="auto"/>
      </w:divBdr>
    </w:div>
    <w:div w:id="709378313">
      <w:bodyDiv w:val="1"/>
      <w:marLeft w:val="0"/>
      <w:marRight w:val="0"/>
      <w:marTop w:val="0"/>
      <w:marBottom w:val="0"/>
      <w:divBdr>
        <w:top w:val="none" w:sz="0" w:space="0" w:color="auto"/>
        <w:left w:val="none" w:sz="0" w:space="0" w:color="auto"/>
        <w:bottom w:val="none" w:sz="0" w:space="0" w:color="auto"/>
        <w:right w:val="none" w:sz="0" w:space="0" w:color="auto"/>
      </w:divBdr>
    </w:div>
    <w:div w:id="758719859">
      <w:bodyDiv w:val="1"/>
      <w:marLeft w:val="0"/>
      <w:marRight w:val="0"/>
      <w:marTop w:val="0"/>
      <w:marBottom w:val="0"/>
      <w:divBdr>
        <w:top w:val="none" w:sz="0" w:space="0" w:color="auto"/>
        <w:left w:val="none" w:sz="0" w:space="0" w:color="auto"/>
        <w:bottom w:val="none" w:sz="0" w:space="0" w:color="auto"/>
        <w:right w:val="none" w:sz="0" w:space="0" w:color="auto"/>
      </w:divBdr>
    </w:div>
    <w:div w:id="846672028">
      <w:bodyDiv w:val="1"/>
      <w:marLeft w:val="0"/>
      <w:marRight w:val="0"/>
      <w:marTop w:val="0"/>
      <w:marBottom w:val="0"/>
      <w:divBdr>
        <w:top w:val="none" w:sz="0" w:space="0" w:color="auto"/>
        <w:left w:val="none" w:sz="0" w:space="0" w:color="auto"/>
        <w:bottom w:val="none" w:sz="0" w:space="0" w:color="auto"/>
        <w:right w:val="none" w:sz="0" w:space="0" w:color="auto"/>
      </w:divBdr>
    </w:div>
    <w:div w:id="856650437">
      <w:bodyDiv w:val="1"/>
      <w:marLeft w:val="0"/>
      <w:marRight w:val="0"/>
      <w:marTop w:val="0"/>
      <w:marBottom w:val="0"/>
      <w:divBdr>
        <w:top w:val="none" w:sz="0" w:space="0" w:color="auto"/>
        <w:left w:val="none" w:sz="0" w:space="0" w:color="auto"/>
        <w:bottom w:val="none" w:sz="0" w:space="0" w:color="auto"/>
        <w:right w:val="none" w:sz="0" w:space="0" w:color="auto"/>
      </w:divBdr>
    </w:div>
    <w:div w:id="982126117">
      <w:bodyDiv w:val="1"/>
      <w:marLeft w:val="0"/>
      <w:marRight w:val="0"/>
      <w:marTop w:val="0"/>
      <w:marBottom w:val="0"/>
      <w:divBdr>
        <w:top w:val="none" w:sz="0" w:space="0" w:color="auto"/>
        <w:left w:val="none" w:sz="0" w:space="0" w:color="auto"/>
        <w:bottom w:val="none" w:sz="0" w:space="0" w:color="auto"/>
        <w:right w:val="none" w:sz="0" w:space="0" w:color="auto"/>
      </w:divBdr>
    </w:div>
    <w:div w:id="1053044094">
      <w:bodyDiv w:val="1"/>
      <w:marLeft w:val="0"/>
      <w:marRight w:val="0"/>
      <w:marTop w:val="0"/>
      <w:marBottom w:val="0"/>
      <w:divBdr>
        <w:top w:val="none" w:sz="0" w:space="0" w:color="auto"/>
        <w:left w:val="none" w:sz="0" w:space="0" w:color="auto"/>
        <w:bottom w:val="none" w:sz="0" w:space="0" w:color="auto"/>
        <w:right w:val="none" w:sz="0" w:space="0" w:color="auto"/>
      </w:divBdr>
    </w:div>
    <w:div w:id="1091243693">
      <w:bodyDiv w:val="1"/>
      <w:marLeft w:val="0"/>
      <w:marRight w:val="0"/>
      <w:marTop w:val="0"/>
      <w:marBottom w:val="0"/>
      <w:divBdr>
        <w:top w:val="none" w:sz="0" w:space="0" w:color="auto"/>
        <w:left w:val="none" w:sz="0" w:space="0" w:color="auto"/>
        <w:bottom w:val="none" w:sz="0" w:space="0" w:color="auto"/>
        <w:right w:val="none" w:sz="0" w:space="0" w:color="auto"/>
      </w:divBdr>
    </w:div>
    <w:div w:id="1232347387">
      <w:bodyDiv w:val="1"/>
      <w:marLeft w:val="0"/>
      <w:marRight w:val="0"/>
      <w:marTop w:val="0"/>
      <w:marBottom w:val="0"/>
      <w:divBdr>
        <w:top w:val="none" w:sz="0" w:space="0" w:color="auto"/>
        <w:left w:val="none" w:sz="0" w:space="0" w:color="auto"/>
        <w:bottom w:val="none" w:sz="0" w:space="0" w:color="auto"/>
        <w:right w:val="none" w:sz="0" w:space="0" w:color="auto"/>
      </w:divBdr>
    </w:div>
    <w:div w:id="1250579577">
      <w:bodyDiv w:val="1"/>
      <w:marLeft w:val="0"/>
      <w:marRight w:val="0"/>
      <w:marTop w:val="0"/>
      <w:marBottom w:val="0"/>
      <w:divBdr>
        <w:top w:val="none" w:sz="0" w:space="0" w:color="auto"/>
        <w:left w:val="none" w:sz="0" w:space="0" w:color="auto"/>
        <w:bottom w:val="none" w:sz="0" w:space="0" w:color="auto"/>
        <w:right w:val="none" w:sz="0" w:space="0" w:color="auto"/>
      </w:divBdr>
    </w:div>
    <w:div w:id="1285431473">
      <w:bodyDiv w:val="1"/>
      <w:marLeft w:val="0"/>
      <w:marRight w:val="0"/>
      <w:marTop w:val="0"/>
      <w:marBottom w:val="0"/>
      <w:divBdr>
        <w:top w:val="none" w:sz="0" w:space="0" w:color="auto"/>
        <w:left w:val="none" w:sz="0" w:space="0" w:color="auto"/>
        <w:bottom w:val="none" w:sz="0" w:space="0" w:color="auto"/>
        <w:right w:val="none" w:sz="0" w:space="0" w:color="auto"/>
      </w:divBdr>
    </w:div>
    <w:div w:id="1312053917">
      <w:bodyDiv w:val="1"/>
      <w:marLeft w:val="0"/>
      <w:marRight w:val="0"/>
      <w:marTop w:val="0"/>
      <w:marBottom w:val="0"/>
      <w:divBdr>
        <w:top w:val="none" w:sz="0" w:space="0" w:color="auto"/>
        <w:left w:val="none" w:sz="0" w:space="0" w:color="auto"/>
        <w:bottom w:val="none" w:sz="0" w:space="0" w:color="auto"/>
        <w:right w:val="none" w:sz="0" w:space="0" w:color="auto"/>
      </w:divBdr>
    </w:div>
    <w:div w:id="1321077468">
      <w:bodyDiv w:val="1"/>
      <w:marLeft w:val="0"/>
      <w:marRight w:val="0"/>
      <w:marTop w:val="0"/>
      <w:marBottom w:val="0"/>
      <w:divBdr>
        <w:top w:val="none" w:sz="0" w:space="0" w:color="auto"/>
        <w:left w:val="none" w:sz="0" w:space="0" w:color="auto"/>
        <w:bottom w:val="none" w:sz="0" w:space="0" w:color="auto"/>
        <w:right w:val="none" w:sz="0" w:space="0" w:color="auto"/>
      </w:divBdr>
    </w:div>
    <w:div w:id="1365212541">
      <w:bodyDiv w:val="1"/>
      <w:marLeft w:val="0"/>
      <w:marRight w:val="0"/>
      <w:marTop w:val="0"/>
      <w:marBottom w:val="0"/>
      <w:divBdr>
        <w:top w:val="none" w:sz="0" w:space="0" w:color="auto"/>
        <w:left w:val="none" w:sz="0" w:space="0" w:color="auto"/>
        <w:bottom w:val="none" w:sz="0" w:space="0" w:color="auto"/>
        <w:right w:val="none" w:sz="0" w:space="0" w:color="auto"/>
      </w:divBdr>
    </w:div>
    <w:div w:id="1436096472">
      <w:bodyDiv w:val="1"/>
      <w:marLeft w:val="0"/>
      <w:marRight w:val="0"/>
      <w:marTop w:val="0"/>
      <w:marBottom w:val="0"/>
      <w:divBdr>
        <w:top w:val="none" w:sz="0" w:space="0" w:color="auto"/>
        <w:left w:val="none" w:sz="0" w:space="0" w:color="auto"/>
        <w:bottom w:val="none" w:sz="0" w:space="0" w:color="auto"/>
        <w:right w:val="none" w:sz="0" w:space="0" w:color="auto"/>
      </w:divBdr>
    </w:div>
    <w:div w:id="1482118645">
      <w:bodyDiv w:val="1"/>
      <w:marLeft w:val="0"/>
      <w:marRight w:val="0"/>
      <w:marTop w:val="0"/>
      <w:marBottom w:val="0"/>
      <w:divBdr>
        <w:top w:val="none" w:sz="0" w:space="0" w:color="auto"/>
        <w:left w:val="none" w:sz="0" w:space="0" w:color="auto"/>
        <w:bottom w:val="none" w:sz="0" w:space="0" w:color="auto"/>
        <w:right w:val="none" w:sz="0" w:space="0" w:color="auto"/>
      </w:divBdr>
    </w:div>
    <w:div w:id="1524513708">
      <w:bodyDiv w:val="1"/>
      <w:marLeft w:val="0"/>
      <w:marRight w:val="0"/>
      <w:marTop w:val="0"/>
      <w:marBottom w:val="0"/>
      <w:divBdr>
        <w:top w:val="none" w:sz="0" w:space="0" w:color="auto"/>
        <w:left w:val="none" w:sz="0" w:space="0" w:color="auto"/>
        <w:bottom w:val="none" w:sz="0" w:space="0" w:color="auto"/>
        <w:right w:val="none" w:sz="0" w:space="0" w:color="auto"/>
      </w:divBdr>
    </w:div>
    <w:div w:id="1583369287">
      <w:bodyDiv w:val="1"/>
      <w:marLeft w:val="0"/>
      <w:marRight w:val="0"/>
      <w:marTop w:val="0"/>
      <w:marBottom w:val="0"/>
      <w:divBdr>
        <w:top w:val="none" w:sz="0" w:space="0" w:color="auto"/>
        <w:left w:val="none" w:sz="0" w:space="0" w:color="auto"/>
        <w:bottom w:val="none" w:sz="0" w:space="0" w:color="auto"/>
        <w:right w:val="none" w:sz="0" w:space="0" w:color="auto"/>
      </w:divBdr>
    </w:div>
    <w:div w:id="1681851363">
      <w:bodyDiv w:val="1"/>
      <w:marLeft w:val="0"/>
      <w:marRight w:val="0"/>
      <w:marTop w:val="0"/>
      <w:marBottom w:val="0"/>
      <w:divBdr>
        <w:top w:val="none" w:sz="0" w:space="0" w:color="auto"/>
        <w:left w:val="none" w:sz="0" w:space="0" w:color="auto"/>
        <w:bottom w:val="none" w:sz="0" w:space="0" w:color="auto"/>
        <w:right w:val="none" w:sz="0" w:space="0" w:color="auto"/>
      </w:divBdr>
    </w:div>
    <w:div w:id="1709139213">
      <w:bodyDiv w:val="1"/>
      <w:marLeft w:val="0"/>
      <w:marRight w:val="0"/>
      <w:marTop w:val="0"/>
      <w:marBottom w:val="0"/>
      <w:divBdr>
        <w:top w:val="none" w:sz="0" w:space="0" w:color="auto"/>
        <w:left w:val="none" w:sz="0" w:space="0" w:color="auto"/>
        <w:bottom w:val="none" w:sz="0" w:space="0" w:color="auto"/>
        <w:right w:val="none" w:sz="0" w:space="0" w:color="auto"/>
      </w:divBdr>
    </w:div>
    <w:div w:id="1767769106">
      <w:bodyDiv w:val="1"/>
      <w:marLeft w:val="0"/>
      <w:marRight w:val="0"/>
      <w:marTop w:val="0"/>
      <w:marBottom w:val="0"/>
      <w:divBdr>
        <w:top w:val="none" w:sz="0" w:space="0" w:color="auto"/>
        <w:left w:val="none" w:sz="0" w:space="0" w:color="auto"/>
        <w:bottom w:val="none" w:sz="0" w:space="0" w:color="auto"/>
        <w:right w:val="none" w:sz="0" w:space="0" w:color="auto"/>
      </w:divBdr>
    </w:div>
    <w:div w:id="1810778774">
      <w:bodyDiv w:val="1"/>
      <w:marLeft w:val="0"/>
      <w:marRight w:val="0"/>
      <w:marTop w:val="0"/>
      <w:marBottom w:val="0"/>
      <w:divBdr>
        <w:top w:val="none" w:sz="0" w:space="0" w:color="auto"/>
        <w:left w:val="none" w:sz="0" w:space="0" w:color="auto"/>
        <w:bottom w:val="none" w:sz="0" w:space="0" w:color="auto"/>
        <w:right w:val="none" w:sz="0" w:space="0" w:color="auto"/>
      </w:divBdr>
    </w:div>
    <w:div w:id="1817800347">
      <w:bodyDiv w:val="1"/>
      <w:marLeft w:val="0"/>
      <w:marRight w:val="0"/>
      <w:marTop w:val="0"/>
      <w:marBottom w:val="0"/>
      <w:divBdr>
        <w:top w:val="none" w:sz="0" w:space="0" w:color="auto"/>
        <w:left w:val="none" w:sz="0" w:space="0" w:color="auto"/>
        <w:bottom w:val="none" w:sz="0" w:space="0" w:color="auto"/>
        <w:right w:val="none" w:sz="0" w:space="0" w:color="auto"/>
      </w:divBdr>
    </w:div>
    <w:div w:id="1841309624">
      <w:bodyDiv w:val="1"/>
      <w:marLeft w:val="0"/>
      <w:marRight w:val="0"/>
      <w:marTop w:val="0"/>
      <w:marBottom w:val="0"/>
      <w:divBdr>
        <w:top w:val="none" w:sz="0" w:space="0" w:color="auto"/>
        <w:left w:val="none" w:sz="0" w:space="0" w:color="auto"/>
        <w:bottom w:val="none" w:sz="0" w:space="0" w:color="auto"/>
        <w:right w:val="none" w:sz="0" w:space="0" w:color="auto"/>
      </w:divBdr>
    </w:div>
    <w:div w:id="1841852903">
      <w:bodyDiv w:val="1"/>
      <w:marLeft w:val="0"/>
      <w:marRight w:val="0"/>
      <w:marTop w:val="0"/>
      <w:marBottom w:val="0"/>
      <w:divBdr>
        <w:top w:val="none" w:sz="0" w:space="0" w:color="auto"/>
        <w:left w:val="none" w:sz="0" w:space="0" w:color="auto"/>
        <w:bottom w:val="none" w:sz="0" w:space="0" w:color="auto"/>
        <w:right w:val="none" w:sz="0" w:space="0" w:color="auto"/>
      </w:divBdr>
    </w:div>
    <w:div w:id="1879463032">
      <w:bodyDiv w:val="1"/>
      <w:marLeft w:val="0"/>
      <w:marRight w:val="0"/>
      <w:marTop w:val="0"/>
      <w:marBottom w:val="0"/>
      <w:divBdr>
        <w:top w:val="none" w:sz="0" w:space="0" w:color="auto"/>
        <w:left w:val="none" w:sz="0" w:space="0" w:color="auto"/>
        <w:bottom w:val="none" w:sz="0" w:space="0" w:color="auto"/>
        <w:right w:val="none" w:sz="0" w:space="0" w:color="auto"/>
      </w:divBdr>
    </w:div>
    <w:div w:id="1903324555">
      <w:bodyDiv w:val="1"/>
      <w:marLeft w:val="0"/>
      <w:marRight w:val="0"/>
      <w:marTop w:val="0"/>
      <w:marBottom w:val="0"/>
      <w:divBdr>
        <w:top w:val="none" w:sz="0" w:space="0" w:color="auto"/>
        <w:left w:val="none" w:sz="0" w:space="0" w:color="auto"/>
        <w:bottom w:val="none" w:sz="0" w:space="0" w:color="auto"/>
        <w:right w:val="none" w:sz="0" w:space="0" w:color="auto"/>
      </w:divBdr>
    </w:div>
    <w:div w:id="1924800654">
      <w:bodyDiv w:val="1"/>
      <w:marLeft w:val="0"/>
      <w:marRight w:val="0"/>
      <w:marTop w:val="0"/>
      <w:marBottom w:val="0"/>
      <w:divBdr>
        <w:top w:val="none" w:sz="0" w:space="0" w:color="auto"/>
        <w:left w:val="none" w:sz="0" w:space="0" w:color="auto"/>
        <w:bottom w:val="none" w:sz="0" w:space="0" w:color="auto"/>
        <w:right w:val="none" w:sz="0" w:space="0" w:color="auto"/>
      </w:divBdr>
    </w:div>
    <w:div w:id="2008746966">
      <w:bodyDiv w:val="1"/>
      <w:marLeft w:val="0"/>
      <w:marRight w:val="0"/>
      <w:marTop w:val="0"/>
      <w:marBottom w:val="0"/>
      <w:divBdr>
        <w:top w:val="none" w:sz="0" w:space="0" w:color="auto"/>
        <w:left w:val="none" w:sz="0" w:space="0" w:color="auto"/>
        <w:bottom w:val="none" w:sz="0" w:space="0" w:color="auto"/>
        <w:right w:val="none" w:sz="0" w:space="0" w:color="auto"/>
      </w:divBdr>
    </w:div>
    <w:div w:id="2103061282">
      <w:bodyDiv w:val="1"/>
      <w:marLeft w:val="0"/>
      <w:marRight w:val="0"/>
      <w:marTop w:val="0"/>
      <w:marBottom w:val="0"/>
      <w:divBdr>
        <w:top w:val="none" w:sz="0" w:space="0" w:color="auto"/>
        <w:left w:val="none" w:sz="0" w:space="0" w:color="auto"/>
        <w:bottom w:val="none" w:sz="0" w:space="0" w:color="auto"/>
        <w:right w:val="none" w:sz="0" w:space="0" w:color="auto"/>
      </w:divBdr>
    </w:div>
    <w:div w:id="212476892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hyperlink" Target="https://doi.org/10.1016/j.clscn.2024.100149" TargetMode="External" Id="rId13" /><Relationship Type="http://schemas.openxmlformats.org/officeDocument/2006/relationships/hyperlink" Target="https://doi.org/10.1111/caim.12353" TargetMode="External" Id="rId18" /><Relationship Type="http://schemas.openxmlformats.org/officeDocument/2006/relationships/hyperlink" Target="https://doi.org/10.1111/jpim.12466" TargetMode="External" Id="rId26" /><Relationship Type="http://schemas.openxmlformats.org/officeDocument/2006/relationships/footer" Target="footer1.xml" Id="rId39" /><Relationship Type="http://schemas.openxmlformats.org/officeDocument/2006/relationships/hyperlink" Target="https://doi.org/10.1111/jpim.12610" TargetMode="External" Id="rId34"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doi.org/10.48558/58Z7-3J85" TargetMode="External" Id="rId16" /><Relationship Type="http://schemas.openxmlformats.org/officeDocument/2006/relationships/hyperlink" Target="https://www.gov.uk/government/statistics/key-findings-statistical-digest-of-rural-england/key-findings-statistical-digest-of-rural-england?utm_source=chatgpt.com" TargetMode="External" Id="rId20"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07/s10551-023-05600-z" TargetMode="External" Id="rId11" /><Relationship Type="http://schemas.openxmlformats.org/officeDocument/2006/relationships/hyperlink" Target="https://ico.org.uk/for-organisations/uk-gdpr-guidance-and-resources/accountability-and-governance/guide-to-accountability-and-governance/data-protection-by-design-and-by-default/?utm_source=chatgpt.com" TargetMode="External" Id="rId24" /><Relationship Type="http://schemas.openxmlformats.org/officeDocument/2006/relationships/hyperlink" Target="https://doi.org/10.1108/EJIM-03-2022-0164" TargetMode="External" Id="rId32" /><Relationship Type="http://schemas.openxmlformats.org/officeDocument/2006/relationships/hyperlink" Target="https://doi.org/10.3389/ffutr.2025.1654621" TargetMode="External" Id="rId37" /><Relationship Type="http://schemas.openxmlformats.org/officeDocument/2006/relationships/fontTable" Target="fontTable.xml" Id="rId40" /><Relationship Type="http://schemas.openxmlformats.org/officeDocument/2006/relationships/webSettings" Target="webSettings.xml" Id="rId5" /><Relationship Type="http://schemas.openxmlformats.org/officeDocument/2006/relationships/hyperlink" Target="https://hbr.org/2008/06/design-thinking?utm_source=chatgpt.com" TargetMode="External" Id="rId15" /><Relationship Type="http://schemas.openxmlformats.org/officeDocument/2006/relationships/hyperlink" Target="https://www.ofcom.org.uk/phones-and-broadband/coverage-and-speeds/full-fibre-broadband-reaches-nearly-7-in-10-homes?utm_source=chatgpt.com" TargetMode="External" Id="rId28" /><Relationship Type="http://schemas.openxmlformats.org/officeDocument/2006/relationships/chart" Target="charts/chart2.xml" Id="rId10" /><Relationship Type="http://schemas.openxmlformats.org/officeDocument/2006/relationships/settings" Target="settings.xml" Id="rId4" /><Relationship Type="http://schemas.openxmlformats.org/officeDocument/2006/relationships/chart" Target="charts/chart1.xml" Id="rId9" /><Relationship Type="http://schemas.openxmlformats.org/officeDocument/2006/relationships/hyperlink" Target="https://doi.org/10.1016/j.jbusres.2020.03.004" TargetMode="External" Id="rId22" /><Relationship Type="http://schemas.openxmlformats.org/officeDocument/2006/relationships/hyperlink" Target="https://www.ofcom.org.uk/siteassets/resources/documents/postal-services/monitoring-reports/2022-23/post-monitoring-report-2022-23?v=330546&amp;utm_source=chatgpt.com" TargetMode="External" Id="rId27" /><Relationship Type="http://schemas.openxmlformats.org/officeDocument/2006/relationships/hyperlink" Target="https://wwnorton.com/books/platform-revolution?utm_source=chatgpt.com" TargetMode="External" Id="rId30" /><Relationship Type="http://schemas.openxmlformats.org/officeDocument/2006/relationships/hyperlink" Target="https://doi.org/10.1016/j.jbusres.2019.09.022" TargetMode="External" Id="rId35" /><Relationship Type="http://schemas.openxmlformats.org/officeDocument/2006/relationships/image" Target="media/image1.tmp" Id="rId8" /><Relationship Type="http://schemas.openxmlformats.org/officeDocument/2006/relationships/styles" Target="styles.xml" Id="rId3" /><Relationship Type="http://schemas.openxmlformats.org/officeDocument/2006/relationships/hyperlink" Target="https://hbr.org/2013/05/why-the-lean-start-up-changes-everything?utm_source=chatgpt.com" TargetMode="External" Id="rId12" /><Relationship Type="http://schemas.openxmlformats.org/officeDocument/2006/relationships/hyperlink" Target="https://www.citizensadvice.org.uk/about-us/media-centre/press-releases/almost-15-million-people-experienced-a-problem-with-a-parcel-delivery-in-the/?utm_source=chatgpt.com" TargetMode="External" Id="rId17" /><Relationship Type="http://schemas.openxmlformats.org/officeDocument/2006/relationships/hyperlink" Target="https://www.chelseagreen.com/product/thinking-in-systems/" TargetMode="External" Id="rId25" /><Relationship Type="http://schemas.openxmlformats.org/officeDocument/2006/relationships/hyperlink" Target="https://doi.org/10.1016/j.lrp.2009.07.003" TargetMode="External" Id="rId33" /><Relationship Type="http://schemas.openxmlformats.org/officeDocument/2006/relationships/header" Target="header1.xml" Id="rId38" /><Relationship Type="http://schemas.openxmlformats.org/officeDocument/2006/relationships/hyperlink" Target="https://doi.org/10.1007/s00291-020-00607-8?utm_source=chatgpt.com" TargetMode="External" Id="R769a9c8b09cc4a10" /><Relationship Type="http://schemas.openxmlformats.org/officeDocument/2006/relationships/hyperlink" Target="https://www.gov.uk/government/statistics/business-population-estimates-2025/business-population-estimates-for-the-uk-and-regions-2025-statistical-release?utm_source=chatgpt.com" TargetMode="External" Id="Re2437b24b9e84d60" /><Relationship Type="http://schemas.openxmlformats.org/officeDocument/2006/relationships/hyperlink" Target="https://www.gov.uk/government/publications/digital-inclusion-action-plan-first-steps/digital-inclusion-action-plan-first-steps?utm_source=chatgpt.com" TargetMode="External" Id="Rf2f237d58ad24768" /><Relationship Type="http://schemas.openxmlformats.org/officeDocument/2006/relationships/hyperlink" Target="https://www.designkit.org/resources/1.html?utm_source=chatgpt.com" TargetMode="External" Id="R9634304e6fb74837" /><Relationship Type="http://schemas.openxmlformats.org/officeDocument/2006/relationships/hyperlink" Target="https://www.wiley.com/en-us/Value%2BProposition%2BDesign%3A%2BHow%2Bto%2BCreate%2BProducts%2Band%2BServices%2BCustomers%2BWant-p-9781118968055?utm_source=chatgpt.com" TargetMode="External" Id="R0f25622513bd4d9e" /><Relationship Type="http://schemas.openxmlformats.org/officeDocument/2006/relationships/hyperlink" Target="https://www.penguinrandomhouse.com/books/210088/the-lean-startup-by-eric-ries/?utm_source=chatgpt.com" TargetMode="External" Id="R85f50f11fc7d4580" /><Relationship Type="http://schemas.openxmlformats.org/officeDocument/2006/relationships/hyperlink" Target="https://doi.org/10.1016/j.jbusres.2023.113755" TargetMode="External" Id="Ra124aee94c854d75" /><Relationship Type="http://schemas.microsoft.com/office/2020/10/relationships/intelligence" Target="intelligence2.xml" Id="R2bd000d7af14422e"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13"/>
  <c:chart>
    <c:title>
      <c:tx>
        <c:rich>
          <a:bodyPr/>
          <a:lstStyle/>
          <a:p>
            <a:pPr>
              <a:defRPr>
                <a:latin typeface="Arial"/>
              </a:defRPr>
            </a:pPr>
            <a:r>
              <a:rPr lang="en-US"/>
              <a:t>Internet sales as a share of total retail sales</a:t>
            </a:r>
          </a:p>
        </c:rich>
      </c:tx>
      <c:overlay val="1"/>
    </c:title>
    <c:autoTitleDeleted val="0"/>
    <c:plotArea>
      <c:layout/>
      <c:lineChart>
        <c:grouping val="standard"/>
        <c:varyColors val="1"/>
        <c:ser>
          <c:idx val="0"/>
          <c:order val="0"/>
          <c:tx>
            <c:strRef>
              <c:f>'ONS J4MC'!B1</c:f>
              <c:strCache>
                <c:ptCount val="1"/>
                <c:pt idx="0">
                  <c:v>Online share (%)</c:v>
                </c:pt>
              </c:strCache>
            </c:strRef>
          </c:tx>
          <c:spPr>
            <a:ln w="28000">
              <a:solidFill>
                <a:srgbClr val="2E74B5"/>
              </a:solidFill>
              <a:prstDash val="solid"/>
            </a:ln>
          </c:spPr>
          <c:marker>
            <c:symbol val="circle"/>
            <c:size val="6"/>
            <c:spPr>
              <a:solidFill>
                <a:srgbClr val="2F7F7A"/>
              </a:solidFill>
              <a:ln>
                <a:prstDash val="solid"/>
              </a:ln>
            </c:spPr>
          </c:marker>
          <c:cat>
            <c:numRef>
              <c:f>'ONS J4MC'!$A$2:$A$8</c:f>
              <c:numCache>
                <c:formatCode>General</c:formatCode>
                <c:ptCount val="7"/>
                <c:pt idx="0">
                  <c:v>2019</c:v>
                </c:pt>
                <c:pt idx="1">
                  <c:v>2020</c:v>
                </c:pt>
                <c:pt idx="2">
                  <c:v>2021</c:v>
                </c:pt>
                <c:pt idx="3">
                  <c:v>2022</c:v>
                </c:pt>
                <c:pt idx="4">
                  <c:v>2023</c:v>
                </c:pt>
                <c:pt idx="5">
                  <c:v>2024</c:v>
                </c:pt>
                <c:pt idx="6">
                  <c:v>2025</c:v>
                </c:pt>
              </c:numCache>
            </c:numRef>
          </c:cat>
          <c:val>
            <c:numRef>
              <c:f>'ONS J4MC'!$B$2:$B$8</c:f>
              <c:numCache>
                <c:formatCode>0.0</c:formatCode>
                <c:ptCount val="7"/>
                <c:pt idx="0">
                  <c:v>19.2</c:v>
                </c:pt>
                <c:pt idx="1">
                  <c:v>28.1</c:v>
                </c:pt>
                <c:pt idx="2">
                  <c:v>30.7</c:v>
                </c:pt>
                <c:pt idx="3">
                  <c:v>26.6</c:v>
                </c:pt>
                <c:pt idx="4">
                  <c:v>26.7</c:v>
                </c:pt>
                <c:pt idx="5">
                  <c:v>27.1</c:v>
                </c:pt>
                <c:pt idx="6">
                  <c:v>27.4</c:v>
                </c:pt>
              </c:numCache>
            </c:numRef>
          </c:val>
          <c:smooth val="1"/>
          <c:extLst>
            <c:ext xmlns:c16="http://schemas.microsoft.com/office/drawing/2014/chart" uri="{C3380CC4-5D6E-409C-BE32-E72D297353CC}">
              <c16:uniqueId val="{00000000-BC1E-46C8-A92C-F91207149AD8}"/>
            </c:ext>
          </c:extLst>
        </c:ser>
        <c:dLbls>
          <c:showLegendKey val="0"/>
          <c:showVal val="0"/>
          <c:showCatName val="0"/>
          <c:showSerName val="0"/>
          <c:showPercent val="0"/>
          <c:showBubbleSize val="0"/>
        </c:dLbls>
        <c:marker val="1"/>
        <c:smooth val="0"/>
        <c:axId val="10"/>
        <c:axId val="100"/>
      </c:lineChart>
      <c:catAx>
        <c:axId val="10"/>
        <c:scaling>
          <c:orientation val="minMax"/>
        </c:scaling>
        <c:delete val="1"/>
        <c:axPos val="b"/>
        <c:title>
          <c:tx>
            <c:rich>
              <a:bodyPr/>
              <a:lstStyle/>
              <a:p>
                <a:pPr>
                  <a:defRPr>
                    <a:latin typeface="Arial"/>
                  </a:defRPr>
                </a:pPr>
                <a:r>
                  <a:rPr lang="en-US"/>
                  <a:t>Year</a:t>
                </a:r>
              </a:p>
            </c:rich>
          </c:tx>
          <c:overlay val="1"/>
        </c:title>
        <c:numFmt formatCode="General" sourceLinked="0"/>
        <c:majorTickMark val="none"/>
        <c:minorTickMark val="none"/>
        <c:tickLblPos val="nextTo"/>
        <c:crossAx val="100"/>
        <c:crosses val="autoZero"/>
        <c:auto val="1"/>
        <c:lblAlgn val="ctr"/>
        <c:lblOffset val="100"/>
        <c:noMultiLvlLbl val="1"/>
      </c:catAx>
      <c:valAx>
        <c:axId val="100"/>
        <c:scaling>
          <c:orientation val="minMax"/>
        </c:scaling>
        <c:delete val="1"/>
        <c:axPos val="l"/>
        <c:majorGridlines/>
        <c:title>
          <c:tx>
            <c:rich>
              <a:bodyPr/>
              <a:lstStyle/>
              <a:p>
                <a:pPr>
                  <a:defRPr>
                    <a:latin typeface="Arial"/>
                  </a:defRPr>
                </a:pPr>
                <a:r>
                  <a:rPr lang="en-US"/>
                  <a:t>Per cent</a:t>
                </a:r>
              </a:p>
            </c:rich>
          </c:tx>
          <c:overlay val="1"/>
        </c:title>
        <c:numFmt formatCode="0.0" sourceLinked="1"/>
        <c:majorTickMark val="none"/>
        <c:minorTickMark val="none"/>
        <c:tickLblPos val="nextTo"/>
        <c:crossAx val="10"/>
        <c:crosses val="autoZero"/>
        <c:crossBetween val="between"/>
      </c:valAx>
    </c:plotArea>
    <c:plotVisOnly val="1"/>
    <c:dispBlanksAs val="gap"/>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1"/>
  <c:lang val="en-US"/>
  <c:roundedCorners val="1"/>
  <c:style val="10"/>
  <c:chart>
    <c:title>
      <c:tx>
        <c:rich>
          <a:bodyPr/>
          <a:lstStyle/>
          <a:p>
            <a:pPr>
              <a:defRPr>
                <a:latin typeface="Arial"/>
              </a:defRPr>
            </a:pPr>
            <a:r>
              <a:rPr lang="en-US"/>
              <a:t>UK full-fibre availability and take-up increased</a:t>
            </a:r>
          </a:p>
        </c:rich>
      </c:tx>
      <c:overlay val="0"/>
    </c:title>
    <c:autoTitleDeleted val="0"/>
    <c:plotArea>
      <c:layout/>
      <c:barChart>
        <c:barDir val="col"/>
        <c:grouping val="clustered"/>
        <c:varyColors val="1"/>
        <c:ser>
          <c:idx val="0"/>
          <c:order val="0"/>
          <c:tx>
            <c:strRef>
              <c:f>'Ofcom 2024'!B1</c:f>
              <c:strCache>
                <c:ptCount val="1"/>
                <c:pt idx="0">
                  <c:v>2023 (%)</c:v>
                </c:pt>
              </c:strCache>
            </c:strRef>
          </c:tx>
          <c:spPr>
            <a:solidFill>
              <a:srgbClr val="A9C4E4"/>
            </a:solidFill>
            <a:ln>
              <a:prstDash val="solid"/>
            </a:ln>
          </c:spPr>
          <c:invertIfNegative val="1"/>
          <c:cat>
            <c:strRef>
              <c:f>'Ofcom 2024'!$A$2:$A$3</c:f>
              <c:strCache>
                <c:ptCount val="2"/>
                <c:pt idx="0">
                  <c:v>Full-fibre availability</c:v>
                </c:pt>
                <c:pt idx="1">
                  <c:v>Take-up where available</c:v>
                </c:pt>
              </c:strCache>
            </c:strRef>
          </c:cat>
          <c:val>
            <c:numRef>
              <c:f>'Ofcom 2024'!$B$2:$B$3</c:f>
              <c:numCache>
                <c:formatCode>0.0</c:formatCode>
                <c:ptCount val="2"/>
                <c:pt idx="0">
                  <c:v>57</c:v>
                </c:pt>
                <c:pt idx="1">
                  <c:v>28</c:v>
                </c:pt>
              </c:numCache>
            </c:numRef>
          </c:val>
          <c:extLst>
            <c:ext xmlns:c14="http://schemas.microsoft.com/office/drawing/2007/8/2/chart" uri="{6F2FDCE9-48DA-4B69-8628-5D25D57E5C99}">
              <c14:invertSolidFillFmt>
                <c14:spPr xmlns:c14="http://schemas.microsoft.com/office/drawing/2007/8/2/chart">
                  <a:solidFill>
                    <a:srgbClr val="FFFFFF"/>
                  </a:solidFill>
                  <a:ln>
                    <a:prstDash val="solid"/>
                  </a:ln>
                </c14:spPr>
              </c14:invertSolidFillFmt>
            </c:ext>
            <c:ext xmlns:c16="http://schemas.microsoft.com/office/drawing/2014/chart" uri="{C3380CC4-5D6E-409C-BE32-E72D297353CC}">
              <c16:uniqueId val="{00000000-88F1-4CF5-AC57-50D7C0B606F0}"/>
            </c:ext>
          </c:extLst>
        </c:ser>
        <c:ser>
          <c:idx val="1"/>
          <c:order val="1"/>
          <c:tx>
            <c:strRef>
              <c:f>'Ofcom 2024'!C1</c:f>
              <c:strCache>
                <c:ptCount val="1"/>
                <c:pt idx="0">
                  <c:v>2024 (%)</c:v>
                </c:pt>
              </c:strCache>
            </c:strRef>
          </c:tx>
          <c:spPr>
            <a:solidFill>
              <a:srgbClr val="2F7F7A"/>
            </a:solidFill>
            <a:ln>
              <a:prstDash val="solid"/>
            </a:ln>
          </c:spPr>
          <c:invertIfNegative val="1"/>
          <c:cat>
            <c:strRef>
              <c:f>'Ofcom 2024'!$A$2:$A$3</c:f>
              <c:strCache>
                <c:ptCount val="2"/>
                <c:pt idx="0">
                  <c:v>Full-fibre availability</c:v>
                </c:pt>
                <c:pt idx="1">
                  <c:v>Take-up where available</c:v>
                </c:pt>
              </c:strCache>
            </c:strRef>
          </c:cat>
          <c:val>
            <c:numRef>
              <c:f>'Ofcom 2024'!$C$2:$C$3</c:f>
              <c:numCache>
                <c:formatCode>0.0</c:formatCode>
                <c:ptCount val="2"/>
                <c:pt idx="0">
                  <c:v>69</c:v>
                </c:pt>
                <c:pt idx="1">
                  <c:v>35</c:v>
                </c:pt>
              </c:numCache>
            </c:numRef>
          </c:val>
          <c:extLst>
            <c:ext xmlns:c14="http://schemas.microsoft.com/office/drawing/2007/8/2/chart" uri="{6F2FDCE9-48DA-4B69-8628-5D25D57E5C99}">
              <c14:invertSolidFillFmt>
                <c14:spPr xmlns:c14="http://schemas.microsoft.com/office/drawing/2007/8/2/chart">
                  <a:solidFill>
                    <a:srgbClr val="FFFFFF"/>
                  </a:solidFill>
                  <a:ln>
                    <a:prstDash val="solid"/>
                  </a:ln>
                </c14:spPr>
              </c14:invertSolidFillFmt>
            </c:ext>
            <c:ext xmlns:c16="http://schemas.microsoft.com/office/drawing/2014/chart" uri="{C3380CC4-5D6E-409C-BE32-E72D297353CC}">
              <c16:uniqueId val="{00000001-88F1-4CF5-AC57-50D7C0B606F0}"/>
            </c:ext>
          </c:extLst>
        </c:ser>
        <c:dLbls>
          <c:showLegendKey val="0"/>
          <c:showVal val="0"/>
          <c:showCatName val="0"/>
          <c:showSerName val="0"/>
          <c:showPercent val="0"/>
          <c:showBubbleSize val="0"/>
        </c:dLbls>
        <c:gapWidth val="150"/>
        <c:axId val="10"/>
        <c:axId val="100"/>
      </c:barChart>
      <c:catAx>
        <c:axId val="10"/>
        <c:scaling>
          <c:orientation val="minMax"/>
        </c:scaling>
        <c:delete val="0"/>
        <c:axPos val="b"/>
        <c:numFmt formatCode="General" sourceLinked="0"/>
        <c:majorTickMark val="none"/>
        <c:minorTickMark val="none"/>
        <c:tickLblPos val="nextTo"/>
        <c:crossAx val="100"/>
        <c:crosses val="autoZero"/>
        <c:auto val="1"/>
        <c:lblAlgn val="ctr"/>
        <c:lblOffset val="100"/>
        <c:noMultiLvlLbl val="1"/>
      </c:catAx>
      <c:valAx>
        <c:axId val="100"/>
        <c:scaling>
          <c:orientation val="minMax"/>
        </c:scaling>
        <c:delete val="0"/>
        <c:axPos val="l"/>
        <c:majorGridlines/>
        <c:title>
          <c:tx>
            <c:rich>
              <a:bodyPr/>
              <a:lstStyle/>
              <a:p>
                <a:pPr>
                  <a:defRPr>
                    <a:latin typeface="Arial"/>
                  </a:defRPr>
                </a:pPr>
                <a:r>
                  <a:rPr lang="en-US"/>
                  <a:t>Per cent</a:t>
                </a:r>
              </a:p>
            </c:rich>
          </c:tx>
          <c:overlay val="1"/>
        </c:title>
        <c:numFmt formatCode="0.0" sourceLinked="1"/>
        <c:majorTickMark val="none"/>
        <c:minorTickMark val="none"/>
        <c:tickLblPos val="nextTo"/>
        <c:crossAx val="10"/>
        <c:crosses val="autoZero"/>
        <c:crossBetween val="between"/>
      </c:valAx>
      <c:dTable>
        <c:showHorzBorder val="1"/>
        <c:showVertBorder val="1"/>
        <c:showOutline val="1"/>
        <c:showKeys val="1"/>
      </c:dTable>
    </c:plotArea>
    <c:plotVisOnly val="1"/>
    <c:dispBlanksAs val="gap"/>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terms:created xsi:type="dcterms:W3CDTF">2013-12-23T23:15:00.0000000Z</dcterms:created>
  <dcterms:modified xsi:type="dcterms:W3CDTF">2026-08-14T17:18:18.2168923Z</dcterms:modified>
  <category/>
  <lastModifiedBy>Mihaela Mihai (2334118)</lastModifiedBy>
</coreProperties>
</file>