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Pr="00AE2414" w:rsidRDefault="00DD5969" w:rsidP="00DD5969">
      <w:pPr>
        <w:spacing w:before="212"/>
        <w:rPr>
          <w:rFonts w:ascii="Calibri" w:hAnsi="Calibri" w:cs="Calibri"/>
          <w:b/>
          <w:sz w:val="56"/>
        </w:rPr>
      </w:pPr>
    </w:p>
    <w:p w14:paraId="7EE9271E" w14:textId="18E1306E" w:rsidR="00DD5969" w:rsidRPr="00AE2414" w:rsidRDefault="00DD5969" w:rsidP="00DD5969">
      <w:pPr>
        <w:spacing w:before="212"/>
        <w:rPr>
          <w:rFonts w:ascii="Calibri" w:hAnsi="Calibri" w:cs="Calibri"/>
          <w:b/>
          <w:sz w:val="48"/>
          <w:szCs w:val="48"/>
          <w:lang w:val="fr-FR"/>
        </w:rPr>
      </w:pPr>
      <w:r w:rsidRPr="00AE2414">
        <w:rPr>
          <w:rFonts w:ascii="Calibri" w:hAnsi="Calibri" w:cs="Calibri"/>
          <w:b/>
          <w:sz w:val="48"/>
          <w:szCs w:val="48"/>
          <w:lang w:val="fr-FR"/>
        </w:rPr>
        <w:t xml:space="preserve">MODULE </w:t>
      </w:r>
      <w:proofErr w:type="gramStart"/>
      <w:r w:rsidR="00AE2414" w:rsidRPr="00AE2414">
        <w:rPr>
          <w:rFonts w:ascii="Calibri" w:hAnsi="Calibri" w:cs="Calibri"/>
          <w:b/>
          <w:sz w:val="48"/>
          <w:szCs w:val="48"/>
          <w:lang w:val="fr-FR"/>
        </w:rPr>
        <w:t>CODE:</w:t>
      </w:r>
      <w:proofErr w:type="gramEnd"/>
      <w:r w:rsidR="00C07628" w:rsidRPr="00AE2414">
        <w:rPr>
          <w:rFonts w:ascii="Calibri" w:hAnsi="Calibri" w:cs="Calibri"/>
          <w:b/>
          <w:sz w:val="48"/>
          <w:szCs w:val="48"/>
          <w:lang w:val="fr-FR"/>
        </w:rPr>
        <w:t xml:space="preserve"> </w:t>
      </w:r>
      <w:r w:rsidR="0000375B" w:rsidRPr="00AE2414">
        <w:rPr>
          <w:rFonts w:ascii="Calibri" w:hAnsi="Calibri" w:cs="Calibri"/>
          <w:b/>
          <w:sz w:val="48"/>
          <w:szCs w:val="48"/>
          <w:lang w:val="fr-FR"/>
        </w:rPr>
        <w:t>ECAD</w:t>
      </w:r>
      <w:r w:rsidR="004B09BF" w:rsidRPr="00AE2414">
        <w:rPr>
          <w:rFonts w:ascii="Calibri" w:hAnsi="Calibri" w:cs="Calibri"/>
          <w:b/>
          <w:sz w:val="48"/>
          <w:szCs w:val="48"/>
          <w:lang w:val="fr-FR"/>
        </w:rPr>
        <w:t>5011</w:t>
      </w:r>
    </w:p>
    <w:p w14:paraId="5051A2D5" w14:textId="77777777" w:rsidR="00347EA1" w:rsidRPr="00AE2414" w:rsidRDefault="00347EA1" w:rsidP="00DD5969">
      <w:pPr>
        <w:spacing w:before="212"/>
        <w:rPr>
          <w:rFonts w:ascii="Calibri" w:hAnsi="Calibri" w:cs="Calibri"/>
          <w:b/>
          <w:sz w:val="48"/>
          <w:szCs w:val="48"/>
          <w:lang w:val="fr-FR"/>
        </w:rPr>
      </w:pPr>
    </w:p>
    <w:p w14:paraId="7681432B" w14:textId="6169CBE1" w:rsidR="00DD5969" w:rsidRPr="00AE2414" w:rsidRDefault="00DD5969" w:rsidP="00DD5969">
      <w:pPr>
        <w:spacing w:before="3"/>
        <w:rPr>
          <w:rFonts w:ascii="Calibri" w:hAnsi="Calibri" w:cs="Calibri"/>
          <w:b/>
          <w:sz w:val="48"/>
          <w:szCs w:val="48"/>
        </w:rPr>
      </w:pPr>
      <w:r w:rsidRPr="00AE2414">
        <w:rPr>
          <w:rFonts w:ascii="Calibri" w:hAnsi="Calibri" w:cs="Calibri"/>
          <w:b/>
          <w:sz w:val="48"/>
          <w:szCs w:val="48"/>
        </w:rPr>
        <w:t>STUDENT NAME:</w:t>
      </w:r>
      <w:r w:rsidR="00C07628" w:rsidRPr="00AE2414">
        <w:rPr>
          <w:rFonts w:ascii="Calibri" w:hAnsi="Calibri" w:cs="Calibri"/>
          <w:b/>
          <w:sz w:val="48"/>
          <w:szCs w:val="48"/>
        </w:rPr>
        <w:t xml:space="preserve"> Sophie Rocky</w:t>
      </w:r>
    </w:p>
    <w:p w14:paraId="0D16D138" w14:textId="77777777" w:rsidR="00DD5969" w:rsidRPr="00AE2414" w:rsidRDefault="00DD5969" w:rsidP="00DD5969">
      <w:pPr>
        <w:spacing w:before="3"/>
        <w:rPr>
          <w:rFonts w:ascii="Calibri" w:hAnsi="Calibri" w:cs="Calibri"/>
          <w:b/>
          <w:sz w:val="48"/>
          <w:szCs w:val="48"/>
        </w:rPr>
      </w:pPr>
    </w:p>
    <w:p w14:paraId="18107AFF" w14:textId="36624568" w:rsidR="00DD5969" w:rsidRPr="00AE2414" w:rsidRDefault="00DD5969" w:rsidP="00DD5969">
      <w:pPr>
        <w:spacing w:before="3"/>
        <w:rPr>
          <w:rFonts w:ascii="Calibri" w:hAnsi="Calibri" w:cs="Calibri"/>
          <w:b/>
          <w:sz w:val="48"/>
          <w:szCs w:val="48"/>
        </w:rPr>
      </w:pPr>
      <w:r w:rsidRPr="00AE2414">
        <w:rPr>
          <w:rFonts w:ascii="Calibri" w:hAnsi="Calibri" w:cs="Calibri"/>
          <w:b/>
          <w:sz w:val="48"/>
          <w:szCs w:val="48"/>
        </w:rPr>
        <w:t xml:space="preserve">STUDENT </w:t>
      </w:r>
      <w:r w:rsidR="007203C3" w:rsidRPr="00AE2414">
        <w:rPr>
          <w:rFonts w:ascii="Calibri" w:hAnsi="Calibri" w:cs="Calibri"/>
          <w:b/>
          <w:sz w:val="48"/>
          <w:szCs w:val="48"/>
        </w:rPr>
        <w:t>NUMBER</w:t>
      </w:r>
      <w:r w:rsidRPr="00AE2414">
        <w:rPr>
          <w:rFonts w:ascii="Calibri" w:hAnsi="Calibri" w:cs="Calibri"/>
          <w:b/>
          <w:sz w:val="48"/>
          <w:szCs w:val="48"/>
        </w:rPr>
        <w:t>:</w:t>
      </w:r>
      <w:r w:rsidR="00C07628" w:rsidRPr="00AE2414">
        <w:rPr>
          <w:rFonts w:ascii="Calibri" w:hAnsi="Calibri" w:cs="Calibri"/>
          <w:b/>
          <w:sz w:val="48"/>
          <w:szCs w:val="48"/>
        </w:rPr>
        <w:t xml:space="preserve"> 2208704</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3A56DF45" w14:textId="77777777" w:rsidR="0000375B" w:rsidRDefault="0000375B" w:rsidP="00DD5969">
      <w:pPr>
        <w:jc w:val="center"/>
        <w:rPr>
          <w:rFonts w:ascii="Arial"/>
          <w:b/>
          <w:sz w:val="40"/>
        </w:rPr>
      </w:pPr>
    </w:p>
    <w:p w14:paraId="35E77934" w14:textId="77777777" w:rsidR="0000375B" w:rsidRPr="00192D3C" w:rsidRDefault="0000375B" w:rsidP="00DD5969">
      <w:pPr>
        <w:jc w:val="center"/>
        <w:rPr>
          <w:rFonts w:ascii="Arial"/>
          <w:b/>
          <w:sz w:val="40"/>
        </w:rPr>
      </w:pPr>
    </w:p>
    <w:p w14:paraId="4C9C9B74" w14:textId="32AE2462" w:rsidR="00B103B9" w:rsidRPr="00AE2414" w:rsidRDefault="00B103B9" w:rsidP="00DD5969">
      <w:pPr>
        <w:rPr>
          <w:rFonts w:ascii="Calibri" w:hAnsi="Calibri" w:cs="Calibri"/>
          <w:b/>
          <w:bCs/>
          <w:u w:val="single"/>
        </w:rPr>
      </w:pPr>
      <w:r w:rsidRPr="00AE2414">
        <w:rPr>
          <w:rFonts w:ascii="Calibri" w:hAnsi="Calibri" w:cs="Calibri"/>
          <w:b/>
          <w:bCs/>
          <w:u w:val="single"/>
        </w:rPr>
        <w:lastRenderedPageBreak/>
        <w:t>AI Acknowledgement</w:t>
      </w:r>
    </w:p>
    <w:p w14:paraId="768557CB" w14:textId="67B8D4BA" w:rsidR="00C2550A" w:rsidRPr="00AE2414" w:rsidRDefault="00E243A8" w:rsidP="00E243A8">
      <w:pPr>
        <w:rPr>
          <w:rFonts w:ascii="Calibri" w:hAnsi="Calibri" w:cs="Calibri"/>
        </w:rPr>
      </w:pPr>
      <w:r w:rsidRPr="00AE2414">
        <w:rPr>
          <w:rFonts w:ascii="Calibri" w:hAnsi="Calibri" w:cs="Calibri"/>
        </w:rPr>
        <w:t>I confirm that I have not presented any AI</w:t>
      </w:r>
      <w:r w:rsidR="001A2046" w:rsidRPr="00AE2414">
        <w:rPr>
          <w:rFonts w:ascii="Calibri" w:hAnsi="Calibri" w:cs="Calibri"/>
        </w:rPr>
        <w:t>-</w:t>
      </w:r>
      <w:r w:rsidRPr="00AE2414">
        <w:rPr>
          <w:rFonts w:ascii="Calibri" w:hAnsi="Calibri" w:cs="Calibri"/>
        </w:rPr>
        <w:t xml:space="preserve">generated materials as my work. </w:t>
      </w:r>
    </w:p>
    <w:p w14:paraId="44C358F6" w14:textId="547B7B09" w:rsidR="00DD5969" w:rsidRPr="00AE2414" w:rsidRDefault="00DD5969" w:rsidP="00DD5969">
      <w:pPr>
        <w:rPr>
          <w:rFonts w:ascii="Calibri" w:hAnsi="Calibri" w:cs="Calibri"/>
        </w:rPr>
      </w:pPr>
      <w:r w:rsidRPr="00AE2414">
        <w:rPr>
          <w:rFonts w:ascii="Calibri" w:hAnsi="Calibri" w:cs="Calibri"/>
        </w:rPr>
        <w:t xml:space="preserve">I acknowledge the use of [AI Tool] [(AI Tool </w:t>
      </w:r>
      <w:r w:rsidR="001A2046" w:rsidRPr="00AE2414">
        <w:rPr>
          <w:rFonts w:ascii="Calibri" w:hAnsi="Calibri" w:cs="Calibri"/>
        </w:rPr>
        <w:t>URL</w:t>
      </w:r>
      <w:r w:rsidRPr="00AE2414">
        <w:rPr>
          <w:rFonts w:ascii="Calibri" w:hAnsi="Calibri" w:cs="Calibri"/>
        </w:rPr>
        <w:t xml:space="preserve">)] on </w:t>
      </w:r>
      <w:r w:rsidR="000B3452" w:rsidRPr="00AE2414">
        <w:rPr>
          <w:rFonts w:ascii="Calibri" w:hAnsi="Calibri" w:cs="Calibri"/>
        </w:rPr>
        <w:t>the 10</w:t>
      </w:r>
      <w:r w:rsidR="000B3452" w:rsidRPr="00AE2414">
        <w:rPr>
          <w:rFonts w:ascii="Calibri" w:hAnsi="Calibri" w:cs="Calibri"/>
          <w:vertAlign w:val="superscript"/>
        </w:rPr>
        <w:t>th</w:t>
      </w:r>
      <w:r w:rsidR="000B3452" w:rsidRPr="00AE2414">
        <w:rPr>
          <w:rFonts w:ascii="Calibri" w:hAnsi="Calibri" w:cs="Calibri"/>
        </w:rPr>
        <w:t>, and 11</w:t>
      </w:r>
      <w:r w:rsidR="000B3452" w:rsidRPr="00AE2414">
        <w:rPr>
          <w:rFonts w:ascii="Calibri" w:hAnsi="Calibri" w:cs="Calibri"/>
          <w:vertAlign w:val="superscript"/>
        </w:rPr>
        <w:t xml:space="preserve">th </w:t>
      </w:r>
      <w:r w:rsidR="000B3452" w:rsidRPr="00AE2414">
        <w:rPr>
          <w:rFonts w:ascii="Calibri" w:hAnsi="Calibri" w:cs="Calibri"/>
        </w:rPr>
        <w:t>of March 2025</w:t>
      </w:r>
      <w:r w:rsidRPr="00AE2414">
        <w:rPr>
          <w:rFonts w:ascii="Calibri" w:hAnsi="Calibri" w:cs="Calibri"/>
        </w:rPr>
        <w:t xml:space="preserve"> to </w:t>
      </w:r>
      <w:r w:rsidR="000B3452" w:rsidRPr="00AE2414">
        <w:rPr>
          <w:rFonts w:ascii="Calibri" w:hAnsi="Calibri" w:cs="Calibri"/>
        </w:rPr>
        <w:t>check my work using the prompts</w:t>
      </w:r>
      <w:r w:rsidRPr="00AE2414">
        <w:rPr>
          <w:rFonts w:ascii="Calibri" w:hAnsi="Calibri" w:cs="Calibri"/>
        </w:rPr>
        <w:t xml:space="preserve">. I used the prompt(s): </w:t>
      </w:r>
    </w:p>
    <w:p w14:paraId="15389F66" w14:textId="3D269AFC" w:rsidR="00DD5969" w:rsidRPr="00AE2414" w:rsidRDefault="000B3452" w:rsidP="00C96A1B">
      <w:pPr>
        <w:pStyle w:val="ListParagraph"/>
        <w:numPr>
          <w:ilvl w:val="0"/>
          <w:numId w:val="4"/>
        </w:numPr>
        <w:rPr>
          <w:rFonts w:ascii="Calibri" w:hAnsi="Calibri" w:cs="Calibri"/>
        </w:rPr>
      </w:pPr>
      <w:r w:rsidRPr="00AE2414">
        <w:rPr>
          <w:rFonts w:ascii="Calibri" w:hAnsi="Calibri" w:cs="Calibri"/>
        </w:rPr>
        <w:t>Who disagrees with sensory circuits as an intervention?</w:t>
      </w:r>
    </w:p>
    <w:p w14:paraId="3847D137" w14:textId="0C8DDF0C" w:rsidR="00DD5969" w:rsidRPr="00AE2414" w:rsidRDefault="000B3452" w:rsidP="00C96A1B">
      <w:pPr>
        <w:pStyle w:val="ListParagraph"/>
        <w:numPr>
          <w:ilvl w:val="0"/>
          <w:numId w:val="4"/>
        </w:numPr>
        <w:rPr>
          <w:rFonts w:ascii="Calibri" w:hAnsi="Calibri" w:cs="Calibri"/>
        </w:rPr>
      </w:pPr>
      <w:r w:rsidRPr="00AE2414">
        <w:rPr>
          <w:rFonts w:ascii="Calibri" w:hAnsi="Calibri" w:cs="Calibri"/>
        </w:rPr>
        <w:t>Who agrees with sensory circuits as an intervention?</w:t>
      </w:r>
    </w:p>
    <w:p w14:paraId="35F2F4DA" w14:textId="71FC5A5A" w:rsidR="00DD5969" w:rsidRPr="00AE2414" w:rsidRDefault="00DD5969" w:rsidP="00C96A1B">
      <w:pPr>
        <w:pStyle w:val="ListParagraph"/>
        <w:numPr>
          <w:ilvl w:val="0"/>
          <w:numId w:val="4"/>
        </w:numPr>
        <w:rPr>
          <w:rFonts w:ascii="Calibri" w:hAnsi="Calibri" w:cs="Calibri"/>
        </w:rPr>
      </w:pPr>
      <w:r w:rsidRPr="00AE2414">
        <w:rPr>
          <w:rFonts w:ascii="Calibri" w:hAnsi="Calibri" w:cs="Calibri"/>
        </w:rPr>
        <w:t xml:space="preserve"> </w:t>
      </w:r>
    </w:p>
    <w:p w14:paraId="4008D193" w14:textId="1934EB9F" w:rsidR="00E243A8" w:rsidRPr="00AE2414" w:rsidRDefault="00DD5969" w:rsidP="00DD5969">
      <w:pPr>
        <w:rPr>
          <w:rFonts w:ascii="Calibri" w:hAnsi="Calibri" w:cs="Calibri"/>
        </w:rPr>
      </w:pPr>
      <w:r w:rsidRPr="00AE2414">
        <w:rPr>
          <w:rFonts w:ascii="Calibri" w:hAnsi="Calibri" w:cs="Calibri"/>
        </w:rPr>
        <w:t>I confirm that I have not presented any AI</w:t>
      </w:r>
      <w:r w:rsidR="001A2046" w:rsidRPr="00AE2414">
        <w:rPr>
          <w:rFonts w:ascii="Calibri" w:hAnsi="Calibri" w:cs="Calibri"/>
        </w:rPr>
        <w:t>-</w:t>
      </w:r>
      <w:r w:rsidRPr="00AE2414">
        <w:rPr>
          <w:rFonts w:ascii="Calibri" w:hAnsi="Calibri" w:cs="Calibri"/>
        </w:rPr>
        <w:t xml:space="preserve">generated text as my work. </w:t>
      </w:r>
    </w:p>
    <w:p w14:paraId="4AA3FD13" w14:textId="77777777" w:rsidR="00C96A1B" w:rsidRPr="00AE2414" w:rsidRDefault="00C96A1B" w:rsidP="00E10797">
      <w:pPr>
        <w:rPr>
          <w:rFonts w:ascii="Calibri" w:hAnsi="Calibri" w:cs="Calibri"/>
        </w:rPr>
      </w:pPr>
    </w:p>
    <w:p w14:paraId="35FEC936" w14:textId="7D44920D" w:rsidR="00C96A1B" w:rsidRPr="00AE2414" w:rsidRDefault="00C96A1B" w:rsidP="00E10797">
      <w:pPr>
        <w:rPr>
          <w:rFonts w:ascii="Calibri" w:hAnsi="Calibri" w:cs="Calibri"/>
        </w:rPr>
      </w:pPr>
      <w:r w:rsidRPr="00AE2414">
        <w:rPr>
          <w:rFonts w:ascii="Calibri" w:hAnsi="Calibri" w:cs="Calibri"/>
        </w:rPr>
        <w:t>I acknowledge the use of Grammarly (https://www.grammarly.com/) on 10</w:t>
      </w:r>
      <w:r w:rsidRPr="00AE2414">
        <w:rPr>
          <w:rFonts w:ascii="Calibri" w:hAnsi="Calibri" w:cs="Calibri"/>
          <w:vertAlign w:val="superscript"/>
        </w:rPr>
        <w:t>th</w:t>
      </w:r>
      <w:r w:rsidRPr="00AE2414">
        <w:rPr>
          <w:rFonts w:ascii="Calibri" w:hAnsi="Calibri" w:cs="Calibri"/>
        </w:rPr>
        <w:t>, 11</w:t>
      </w:r>
      <w:r w:rsidRPr="00AE2414">
        <w:rPr>
          <w:rFonts w:ascii="Calibri" w:hAnsi="Calibri" w:cs="Calibri"/>
          <w:vertAlign w:val="superscript"/>
        </w:rPr>
        <w:t>th</w:t>
      </w:r>
      <w:r w:rsidRPr="00AE2414">
        <w:rPr>
          <w:rFonts w:ascii="Calibri" w:hAnsi="Calibri" w:cs="Calibri"/>
        </w:rPr>
        <w:t xml:space="preserve"> of March 2025 to check my work using the prompt(s):</w:t>
      </w:r>
    </w:p>
    <w:p w14:paraId="58E45C42" w14:textId="67DB17D2" w:rsidR="00C96A1B" w:rsidRPr="00AE2414" w:rsidRDefault="00C96A1B" w:rsidP="00C96A1B">
      <w:pPr>
        <w:pStyle w:val="ListParagraph"/>
        <w:numPr>
          <w:ilvl w:val="0"/>
          <w:numId w:val="5"/>
        </w:numPr>
        <w:rPr>
          <w:rFonts w:ascii="Calibri" w:hAnsi="Calibri" w:cs="Calibri"/>
        </w:rPr>
      </w:pPr>
      <w:r w:rsidRPr="00AE2414">
        <w:rPr>
          <w:rFonts w:ascii="Calibri" w:hAnsi="Calibri" w:cs="Calibri"/>
        </w:rPr>
        <w:t>To check spelling, punctuation and grammar throughout my work.</w:t>
      </w:r>
    </w:p>
    <w:p w14:paraId="061710D3" w14:textId="77777777" w:rsidR="00E10797" w:rsidRPr="00AE2414" w:rsidRDefault="00E10797" w:rsidP="00DD5969">
      <w:pPr>
        <w:rPr>
          <w:rFonts w:ascii="Calibri" w:hAnsi="Calibri" w:cs="Calibri"/>
        </w:rPr>
      </w:pPr>
    </w:p>
    <w:p w14:paraId="2EDDA3DC" w14:textId="77777777" w:rsidR="000B3452" w:rsidRPr="00AE2414" w:rsidRDefault="000B3452" w:rsidP="00DD5969">
      <w:pPr>
        <w:rPr>
          <w:rFonts w:ascii="Calibri" w:hAnsi="Calibri" w:cs="Calibri"/>
          <w:b/>
          <w:bCs/>
          <w:u w:val="single"/>
        </w:rPr>
      </w:pPr>
    </w:p>
    <w:p w14:paraId="1A7A8F0B" w14:textId="77777777" w:rsidR="00145DE2" w:rsidRPr="00AE2414" w:rsidRDefault="00145DE2" w:rsidP="00DD5969">
      <w:pPr>
        <w:rPr>
          <w:rFonts w:ascii="Calibri" w:hAnsi="Calibri" w:cs="Calibri"/>
          <w:b/>
          <w:bCs/>
          <w:u w:val="single"/>
        </w:rPr>
      </w:pPr>
    </w:p>
    <w:p w14:paraId="0A15F014" w14:textId="77777777" w:rsidR="00145DE2" w:rsidRPr="00AE2414" w:rsidRDefault="00145DE2" w:rsidP="00DD5969">
      <w:pPr>
        <w:rPr>
          <w:rFonts w:ascii="Calibri" w:hAnsi="Calibri" w:cs="Calibri"/>
          <w:b/>
          <w:bCs/>
          <w:u w:val="single"/>
        </w:rPr>
      </w:pPr>
    </w:p>
    <w:p w14:paraId="7070732D" w14:textId="77777777" w:rsidR="00145DE2" w:rsidRPr="00AE2414" w:rsidRDefault="00145DE2" w:rsidP="00DD5969">
      <w:pPr>
        <w:rPr>
          <w:rFonts w:ascii="Calibri" w:hAnsi="Calibri" w:cs="Calibri"/>
          <w:b/>
          <w:bCs/>
          <w:u w:val="single"/>
        </w:rPr>
      </w:pPr>
    </w:p>
    <w:p w14:paraId="79D002AC" w14:textId="77777777" w:rsidR="00145DE2" w:rsidRPr="00AE2414" w:rsidRDefault="00145DE2" w:rsidP="00DD5969">
      <w:pPr>
        <w:rPr>
          <w:rFonts w:ascii="Calibri" w:hAnsi="Calibri" w:cs="Calibri"/>
          <w:b/>
          <w:bCs/>
          <w:u w:val="single"/>
        </w:rPr>
      </w:pPr>
    </w:p>
    <w:p w14:paraId="6DF98B45" w14:textId="77777777" w:rsidR="00145DE2" w:rsidRPr="00AE2414" w:rsidRDefault="00145DE2" w:rsidP="00DD5969">
      <w:pPr>
        <w:rPr>
          <w:rFonts w:ascii="Calibri" w:hAnsi="Calibri" w:cs="Calibri"/>
          <w:b/>
          <w:bCs/>
          <w:u w:val="single"/>
        </w:rPr>
      </w:pPr>
    </w:p>
    <w:p w14:paraId="31739920" w14:textId="77777777" w:rsidR="00145DE2" w:rsidRPr="00AE2414" w:rsidRDefault="00145DE2" w:rsidP="00DD5969">
      <w:pPr>
        <w:rPr>
          <w:rFonts w:ascii="Calibri" w:hAnsi="Calibri" w:cs="Calibri"/>
          <w:b/>
          <w:bCs/>
          <w:u w:val="single"/>
        </w:rPr>
      </w:pPr>
    </w:p>
    <w:p w14:paraId="5EDAFA23" w14:textId="77777777" w:rsidR="00145DE2" w:rsidRPr="00AE2414" w:rsidRDefault="00145DE2" w:rsidP="00DD5969">
      <w:pPr>
        <w:rPr>
          <w:rFonts w:ascii="Calibri" w:hAnsi="Calibri" w:cs="Calibri"/>
          <w:b/>
          <w:bCs/>
          <w:u w:val="single"/>
        </w:rPr>
      </w:pPr>
    </w:p>
    <w:p w14:paraId="6D0E8C03" w14:textId="77777777" w:rsidR="00C96A1B" w:rsidRPr="00AE2414" w:rsidRDefault="00C96A1B" w:rsidP="00DD5969">
      <w:pPr>
        <w:rPr>
          <w:rFonts w:ascii="Calibri" w:hAnsi="Calibri" w:cs="Calibri"/>
          <w:b/>
          <w:bCs/>
          <w:u w:val="single"/>
        </w:rPr>
      </w:pPr>
    </w:p>
    <w:p w14:paraId="3EDD8D1E" w14:textId="77777777" w:rsidR="00C96A1B" w:rsidRPr="00AE2414" w:rsidRDefault="00C96A1B" w:rsidP="00DD5969">
      <w:pPr>
        <w:rPr>
          <w:rFonts w:ascii="Calibri" w:hAnsi="Calibri" w:cs="Calibri"/>
          <w:b/>
          <w:bCs/>
          <w:u w:val="single"/>
        </w:rPr>
      </w:pPr>
    </w:p>
    <w:p w14:paraId="4DF22479" w14:textId="77777777" w:rsidR="000C541C" w:rsidRPr="00AE2414" w:rsidRDefault="000C541C" w:rsidP="00DD5969">
      <w:pPr>
        <w:rPr>
          <w:rFonts w:ascii="Calibri" w:hAnsi="Calibri" w:cs="Calibri"/>
        </w:rPr>
      </w:pPr>
    </w:p>
    <w:p w14:paraId="6E7759F1" w14:textId="77777777" w:rsidR="0000375B" w:rsidRPr="00AE2414" w:rsidRDefault="0000375B">
      <w:pPr>
        <w:rPr>
          <w:rFonts w:ascii="Calibri" w:hAnsi="Calibri" w:cs="Calibri"/>
        </w:rPr>
      </w:pPr>
    </w:p>
    <w:p w14:paraId="053AAD8E" w14:textId="77777777" w:rsidR="0000375B" w:rsidRPr="00AE2414" w:rsidRDefault="0000375B">
      <w:pPr>
        <w:rPr>
          <w:rFonts w:ascii="Calibri" w:hAnsi="Calibri" w:cs="Calibri"/>
        </w:rPr>
      </w:pPr>
    </w:p>
    <w:p w14:paraId="00DEC237" w14:textId="77777777" w:rsidR="0000375B" w:rsidRPr="00AE2414" w:rsidRDefault="0000375B">
      <w:pPr>
        <w:rPr>
          <w:rFonts w:ascii="Calibri" w:hAnsi="Calibri" w:cs="Calibri"/>
        </w:rPr>
      </w:pPr>
    </w:p>
    <w:p w14:paraId="6D2D955E" w14:textId="77777777" w:rsidR="0000375B" w:rsidRPr="00AE2414" w:rsidRDefault="0000375B">
      <w:pPr>
        <w:rPr>
          <w:rFonts w:ascii="Calibri" w:hAnsi="Calibri" w:cs="Calibri"/>
        </w:rPr>
      </w:pPr>
    </w:p>
    <w:p w14:paraId="02511CD8" w14:textId="77777777" w:rsidR="0000375B" w:rsidRPr="00AE2414" w:rsidRDefault="0000375B">
      <w:pPr>
        <w:rPr>
          <w:rFonts w:ascii="Calibri" w:hAnsi="Calibri" w:cs="Calibri"/>
        </w:rPr>
      </w:pPr>
    </w:p>
    <w:p w14:paraId="44120BD6" w14:textId="77777777" w:rsidR="0000375B" w:rsidRPr="00AE2414" w:rsidRDefault="0000375B">
      <w:pPr>
        <w:rPr>
          <w:rFonts w:ascii="Calibri" w:hAnsi="Calibri" w:cs="Calibri"/>
        </w:rPr>
      </w:pPr>
    </w:p>
    <w:p w14:paraId="1EB16707" w14:textId="77777777" w:rsidR="0000375B" w:rsidRPr="00AE2414" w:rsidRDefault="0000375B">
      <w:pPr>
        <w:rPr>
          <w:rFonts w:ascii="Calibri" w:hAnsi="Calibri" w:cs="Calibri"/>
        </w:rPr>
      </w:pPr>
    </w:p>
    <w:p w14:paraId="66DB19BA" w14:textId="77777777" w:rsidR="0000375B" w:rsidRPr="00AE2414" w:rsidRDefault="0000375B">
      <w:pPr>
        <w:rPr>
          <w:rFonts w:ascii="Calibri" w:hAnsi="Calibri" w:cs="Calibri"/>
        </w:rPr>
      </w:pPr>
    </w:p>
    <w:p w14:paraId="5154171D" w14:textId="77777777" w:rsidR="0000375B" w:rsidRPr="00AE2414" w:rsidRDefault="0000375B">
      <w:pPr>
        <w:rPr>
          <w:rFonts w:ascii="Calibri" w:hAnsi="Calibri" w:cs="Calibri"/>
          <w:b/>
          <w:bCs/>
        </w:rPr>
      </w:pPr>
      <w:r w:rsidRPr="00AE2414">
        <w:rPr>
          <w:rFonts w:ascii="Calibri" w:hAnsi="Calibri" w:cs="Calibri"/>
          <w:b/>
          <w:bCs/>
        </w:rPr>
        <w:t>Targets from my previous assignment</w:t>
      </w:r>
    </w:p>
    <w:p w14:paraId="17A7A376" w14:textId="77777777" w:rsidR="0000375B" w:rsidRPr="00AE2414" w:rsidRDefault="0000375B">
      <w:pPr>
        <w:rPr>
          <w:rFonts w:ascii="Calibri" w:hAnsi="Calibri" w:cs="Calibri"/>
          <w:b/>
          <w:bCs/>
        </w:rPr>
      </w:pPr>
    </w:p>
    <w:tbl>
      <w:tblPr>
        <w:tblStyle w:val="TableGrid"/>
        <w:tblW w:w="0" w:type="auto"/>
        <w:tblLook w:val="04A0" w:firstRow="1" w:lastRow="0" w:firstColumn="1" w:lastColumn="0" w:noHBand="0" w:noVBand="1"/>
      </w:tblPr>
      <w:tblGrid>
        <w:gridCol w:w="4508"/>
        <w:gridCol w:w="4508"/>
      </w:tblGrid>
      <w:tr w:rsidR="0000375B" w:rsidRPr="00AE2414" w14:paraId="551E84E1" w14:textId="77777777" w:rsidTr="0000375B">
        <w:tc>
          <w:tcPr>
            <w:tcW w:w="4508" w:type="dxa"/>
          </w:tcPr>
          <w:p w14:paraId="672FF086" w14:textId="6A0E023B" w:rsidR="0000375B" w:rsidRPr="00AE2414" w:rsidRDefault="0000375B" w:rsidP="00DD5969">
            <w:pPr>
              <w:rPr>
                <w:rFonts w:ascii="Calibri" w:hAnsi="Calibri" w:cs="Calibri"/>
                <w:b/>
                <w:bCs/>
              </w:rPr>
            </w:pPr>
            <w:r w:rsidRPr="00AE2414">
              <w:rPr>
                <w:rFonts w:ascii="Calibri" w:hAnsi="Calibri" w:cs="Calibri"/>
                <w:b/>
                <w:bCs/>
              </w:rPr>
              <w:t>Target</w:t>
            </w:r>
          </w:p>
        </w:tc>
        <w:tc>
          <w:tcPr>
            <w:tcW w:w="4508" w:type="dxa"/>
          </w:tcPr>
          <w:p w14:paraId="352B31B4" w14:textId="3C8264E3" w:rsidR="0000375B" w:rsidRPr="00AE2414" w:rsidRDefault="0000375B" w:rsidP="00DD5969">
            <w:pPr>
              <w:rPr>
                <w:rFonts w:ascii="Calibri" w:hAnsi="Calibri" w:cs="Calibri"/>
                <w:b/>
                <w:bCs/>
              </w:rPr>
            </w:pPr>
            <w:r w:rsidRPr="00AE2414">
              <w:rPr>
                <w:rFonts w:ascii="Calibri" w:hAnsi="Calibri" w:cs="Calibri"/>
                <w:b/>
                <w:bCs/>
              </w:rPr>
              <w:t>How I have addressed it in this work</w:t>
            </w:r>
          </w:p>
        </w:tc>
      </w:tr>
      <w:tr w:rsidR="0000375B" w:rsidRPr="00AE2414" w14:paraId="0DC71ABF" w14:textId="77777777" w:rsidTr="0000375B">
        <w:tc>
          <w:tcPr>
            <w:tcW w:w="4508" w:type="dxa"/>
          </w:tcPr>
          <w:p w14:paraId="52EB84A3" w14:textId="77777777" w:rsidR="0000375B" w:rsidRPr="00AE2414" w:rsidRDefault="0000375B" w:rsidP="00DD5969">
            <w:pPr>
              <w:rPr>
                <w:rFonts w:ascii="Calibri" w:hAnsi="Calibri" w:cs="Calibri"/>
              </w:rPr>
            </w:pPr>
          </w:p>
          <w:p w14:paraId="76BEE28D" w14:textId="0769AD3C" w:rsidR="0000375B" w:rsidRPr="00AE2414" w:rsidRDefault="000B3452" w:rsidP="00DD5969">
            <w:pPr>
              <w:rPr>
                <w:rFonts w:ascii="Calibri" w:hAnsi="Calibri" w:cs="Calibri"/>
              </w:rPr>
            </w:pPr>
            <w:r w:rsidRPr="00AE2414">
              <w:rPr>
                <w:rFonts w:ascii="Calibri" w:hAnsi="Calibri" w:cs="Calibri"/>
                <w:color w:val="283041"/>
                <w:shd w:val="clear" w:color="auto" w:fill="FFFFFF"/>
              </w:rPr>
              <w:t>Continue to develop a supported critical approach throughout, offering the opposing view whenever possible.</w:t>
            </w:r>
          </w:p>
          <w:p w14:paraId="0EDC9850" w14:textId="77777777" w:rsidR="0000375B" w:rsidRPr="00AE2414" w:rsidRDefault="0000375B" w:rsidP="00DD5969">
            <w:pPr>
              <w:rPr>
                <w:rFonts w:ascii="Calibri" w:hAnsi="Calibri" w:cs="Calibri"/>
              </w:rPr>
            </w:pPr>
          </w:p>
        </w:tc>
        <w:tc>
          <w:tcPr>
            <w:tcW w:w="4508" w:type="dxa"/>
          </w:tcPr>
          <w:p w14:paraId="3FCBF01B" w14:textId="4C1467CE" w:rsidR="0000375B" w:rsidRPr="00AE2414" w:rsidRDefault="00C96A1B" w:rsidP="00DD5969">
            <w:pPr>
              <w:rPr>
                <w:rFonts w:ascii="Calibri" w:hAnsi="Calibri" w:cs="Calibri"/>
              </w:rPr>
            </w:pPr>
            <w:r w:rsidRPr="00AE2414">
              <w:rPr>
                <w:rFonts w:ascii="Calibri" w:hAnsi="Calibri" w:cs="Calibri"/>
              </w:rPr>
              <w:t xml:space="preserve">I have included supported critical opinions and the opposite view whenever possible. </w:t>
            </w:r>
          </w:p>
        </w:tc>
      </w:tr>
      <w:tr w:rsidR="0000375B" w:rsidRPr="00AE2414" w14:paraId="2411A5A2" w14:textId="77777777" w:rsidTr="0000375B">
        <w:tc>
          <w:tcPr>
            <w:tcW w:w="4508" w:type="dxa"/>
          </w:tcPr>
          <w:p w14:paraId="4A120529" w14:textId="77777777" w:rsidR="0000375B" w:rsidRPr="00AE2414" w:rsidRDefault="0000375B" w:rsidP="00DD5969">
            <w:pPr>
              <w:rPr>
                <w:rFonts w:ascii="Calibri" w:hAnsi="Calibri" w:cs="Calibri"/>
              </w:rPr>
            </w:pPr>
          </w:p>
          <w:p w14:paraId="06DCAC79" w14:textId="77777777" w:rsidR="0000375B" w:rsidRPr="00AE2414" w:rsidRDefault="000B3452" w:rsidP="00DD5969">
            <w:pPr>
              <w:rPr>
                <w:rFonts w:ascii="Calibri" w:hAnsi="Calibri" w:cs="Calibri"/>
                <w:color w:val="283041"/>
                <w:shd w:val="clear" w:color="auto" w:fill="FFFFFF"/>
              </w:rPr>
            </w:pPr>
            <w:r w:rsidRPr="00AE2414">
              <w:rPr>
                <w:rFonts w:ascii="Calibri" w:hAnsi="Calibri" w:cs="Calibri"/>
                <w:color w:val="283041"/>
                <w:shd w:val="clear" w:color="auto" w:fill="FFFFFF"/>
              </w:rPr>
              <w:t>Read even more relevant and peer reviewed books and journal articles as well as websites when researching (ESTYN case studies can be useful)</w:t>
            </w:r>
          </w:p>
          <w:p w14:paraId="2A59CA2F" w14:textId="683809AF" w:rsidR="003C773B" w:rsidRPr="00AE2414" w:rsidRDefault="003C773B" w:rsidP="00DD5969">
            <w:pPr>
              <w:rPr>
                <w:rFonts w:ascii="Calibri" w:hAnsi="Calibri" w:cs="Calibri"/>
              </w:rPr>
            </w:pPr>
          </w:p>
        </w:tc>
        <w:tc>
          <w:tcPr>
            <w:tcW w:w="4508" w:type="dxa"/>
          </w:tcPr>
          <w:p w14:paraId="51AE3AC6" w14:textId="0FAFB84E" w:rsidR="0000375B" w:rsidRPr="00AE2414" w:rsidRDefault="00C96A1B" w:rsidP="00DD5969">
            <w:pPr>
              <w:rPr>
                <w:rFonts w:ascii="Calibri" w:hAnsi="Calibri" w:cs="Calibri"/>
              </w:rPr>
            </w:pPr>
            <w:r w:rsidRPr="00AE2414">
              <w:rPr>
                <w:rFonts w:ascii="Calibri" w:hAnsi="Calibri" w:cs="Calibri"/>
              </w:rPr>
              <w:t>I have read journals and articles relevant to my intervention.</w:t>
            </w:r>
          </w:p>
        </w:tc>
      </w:tr>
    </w:tbl>
    <w:p w14:paraId="7F589502"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090E061" w:rsidR="0000375B" w:rsidRDefault="0000375B">
      <w:pPr>
        <w:rPr>
          <w:sz w:val="16"/>
          <w:szCs w:val="16"/>
        </w:rPr>
      </w:pPr>
      <w:r>
        <w:rPr>
          <w:sz w:val="16"/>
          <w:szCs w:val="16"/>
        </w:rPr>
        <w:br w:type="page"/>
      </w:r>
    </w:p>
    <w:p w14:paraId="3E103AD6" w14:textId="617F58E4" w:rsidR="004B09BF" w:rsidRPr="003C773B" w:rsidRDefault="004B09BF" w:rsidP="004B09BF">
      <w:pPr>
        <w:rPr>
          <w:rFonts w:ascii="Calibri" w:hAnsi="Calibri" w:cs="Calibri"/>
          <w:b/>
          <w:bCs/>
          <w:u w:val="single"/>
        </w:rPr>
      </w:pPr>
      <w:r w:rsidRPr="003C773B">
        <w:rPr>
          <w:rFonts w:ascii="Calibri" w:hAnsi="Calibri" w:cs="Calibri"/>
          <w:b/>
          <w:bCs/>
          <w:u w:val="single"/>
        </w:rPr>
        <w:lastRenderedPageBreak/>
        <w:t>Choose an intervention that supports the learning and development of a pupil</w:t>
      </w:r>
      <w:r w:rsidR="00C07628" w:rsidRPr="003C773B">
        <w:rPr>
          <w:rFonts w:ascii="Calibri" w:hAnsi="Calibri" w:cs="Calibri"/>
          <w:b/>
          <w:bCs/>
          <w:u w:val="single"/>
        </w:rPr>
        <w:t>/</w:t>
      </w:r>
      <w:r w:rsidRPr="003C773B">
        <w:rPr>
          <w:rFonts w:ascii="Calibri" w:hAnsi="Calibri" w:cs="Calibri"/>
          <w:b/>
          <w:bCs/>
          <w:u w:val="single"/>
        </w:rPr>
        <w:t>group of pupils. Reflect critically on its potential and the possible challenges that may arise.</w:t>
      </w:r>
    </w:p>
    <w:p w14:paraId="28F1DABC" w14:textId="77777777" w:rsidR="003C773B" w:rsidRDefault="003C773B" w:rsidP="004B09BF">
      <w:pPr>
        <w:rPr>
          <w:rFonts w:ascii="Calibri" w:hAnsi="Calibri" w:cs="Calibri"/>
          <w:b/>
          <w:bCs/>
          <w:u w:val="single"/>
        </w:rPr>
      </w:pPr>
    </w:p>
    <w:p w14:paraId="718EB9C1" w14:textId="5AD14285" w:rsidR="00C07628" w:rsidRPr="003C773B" w:rsidRDefault="00C07628" w:rsidP="004B09BF">
      <w:pPr>
        <w:rPr>
          <w:rFonts w:ascii="Calibri" w:hAnsi="Calibri" w:cs="Calibri"/>
          <w:b/>
          <w:bCs/>
          <w:u w:val="single"/>
        </w:rPr>
      </w:pPr>
      <w:r w:rsidRPr="003C773B">
        <w:rPr>
          <w:rFonts w:ascii="Calibri" w:hAnsi="Calibri" w:cs="Calibri"/>
          <w:b/>
          <w:bCs/>
          <w:u w:val="single"/>
        </w:rPr>
        <w:t>Introduction</w:t>
      </w:r>
    </w:p>
    <w:p w14:paraId="62B3E3A5" w14:textId="103E7291" w:rsidR="002F0188" w:rsidRPr="003C773B" w:rsidRDefault="00F1106B" w:rsidP="00F3069F">
      <w:pPr>
        <w:spacing w:line="360" w:lineRule="auto"/>
        <w:rPr>
          <w:rFonts w:ascii="Calibri" w:hAnsi="Calibri" w:cs="Calibri"/>
          <w:color w:val="000000" w:themeColor="text1"/>
        </w:rPr>
      </w:pPr>
      <w:r w:rsidRPr="003C773B">
        <w:rPr>
          <w:rFonts w:ascii="Calibri" w:hAnsi="Calibri" w:cs="Calibri"/>
          <w:color w:val="000000" w:themeColor="text1"/>
        </w:rPr>
        <w:t>My a</w:t>
      </w:r>
      <w:r w:rsidR="002F0188" w:rsidRPr="003C773B">
        <w:rPr>
          <w:rFonts w:ascii="Calibri" w:hAnsi="Calibri" w:cs="Calibri"/>
          <w:color w:val="000000" w:themeColor="text1"/>
        </w:rPr>
        <w:t xml:space="preserve">ssignment explores the use of a sensory circuit as an intervention to support the learning and development of a nine-year-old </w:t>
      </w:r>
      <w:r w:rsidRPr="003C773B">
        <w:rPr>
          <w:rFonts w:ascii="Calibri" w:hAnsi="Calibri" w:cs="Calibri"/>
          <w:color w:val="000000" w:themeColor="text1"/>
        </w:rPr>
        <w:t>child,</w:t>
      </w:r>
      <w:r w:rsidR="002F0188" w:rsidRPr="003C773B">
        <w:rPr>
          <w:rFonts w:ascii="Calibri" w:hAnsi="Calibri" w:cs="Calibri"/>
          <w:color w:val="000000" w:themeColor="text1"/>
        </w:rPr>
        <w:t xml:space="preserve"> referred to as Child X, within his primary school setting. The primary focus of this intervention is to address his hypermobility and difficulties with concentration, as well as his tendency to struggle with remaining still during class activities. Child X, as illustrated in Appendix A, is currently on the ND pathway for ADHD, and he faces specific challenges related to his fine motor skills. His emotional responses can sometimes become heightened, requiring him to take a break in the reading area to calm down and regulate his feelings. In these moments, access to a sensory circuit has been shown to significantly support his social and emotional regulation, allowing him to return to class with a more balanced emotional state. To further address his sensory needs, Child X has access to a wobble chair within the classroom. This tool suggests a specific need for movement, and its use indicates that sensory circuits may complement his existing strategies for enhancing focus. The wobble chair provides him with the ability to remain engaged in classroom activities while simultaneously allowing him to regulate his sensory needs and maintain concentration. The core objective of this assignment is to critically evaluate the potential benefits of sensory circuits in enhancing Child X’s ability to regulate his physical energy, improve his attention span, and foster better engagement in his learning activities. The assignment will also explore various learning and development theories to assess the effectiveness of sensory circuits in addressing his needs. Furthermore, it will examine the practical implementation of sensory circuits in the classroom and consider the potential challenges associated with their use. Sensory circuits are structured physical activities designed to help children manage their sensory needs, particularly those who experience difficulties with attention, concentration, and self-regulation (Ayres et al., 2005). These circuits generally involve activities that promote movement and body awareness, such as jumping, swinging, and balance exercises, and are especially beneficial for children with developmental or physical difficulties, including hypermobility, sensory processing disorders, or attention challenges. The specific activities incorporated into the circuits are intended to </w:t>
      </w:r>
      <w:r w:rsidR="002F0188" w:rsidRPr="003C773B">
        <w:rPr>
          <w:rFonts w:ascii="Calibri" w:hAnsi="Calibri" w:cs="Calibri"/>
          <w:color w:val="000000" w:themeColor="text1"/>
        </w:rPr>
        <w:lastRenderedPageBreak/>
        <w:t xml:space="preserve">enhance a child’s focus, improve self-regulation, and increase physical coordination, all of which contribute to a </w:t>
      </w:r>
      <w:r w:rsidRPr="003C773B">
        <w:rPr>
          <w:rFonts w:ascii="Calibri" w:hAnsi="Calibri" w:cs="Calibri"/>
          <w:color w:val="000000" w:themeColor="text1"/>
        </w:rPr>
        <w:t>child’s</w:t>
      </w:r>
      <w:r w:rsidR="002F0188" w:rsidRPr="003C773B">
        <w:rPr>
          <w:rFonts w:ascii="Calibri" w:hAnsi="Calibri" w:cs="Calibri"/>
          <w:color w:val="000000" w:themeColor="text1"/>
        </w:rPr>
        <w:t xml:space="preserve"> </w:t>
      </w:r>
      <w:r w:rsidRPr="003C773B">
        <w:rPr>
          <w:rFonts w:ascii="Calibri" w:hAnsi="Calibri" w:cs="Calibri"/>
          <w:color w:val="000000" w:themeColor="text1"/>
        </w:rPr>
        <w:t>level of participation</w:t>
      </w:r>
      <w:r w:rsidR="002F0188" w:rsidRPr="003C773B">
        <w:rPr>
          <w:rFonts w:ascii="Calibri" w:hAnsi="Calibri" w:cs="Calibri"/>
          <w:color w:val="000000" w:themeColor="text1"/>
        </w:rPr>
        <w:t xml:space="preserve"> in academic tasks</w:t>
      </w:r>
      <w:r w:rsidRPr="003C773B">
        <w:rPr>
          <w:rFonts w:ascii="Calibri" w:hAnsi="Calibri" w:cs="Calibri"/>
          <w:color w:val="000000" w:themeColor="text1"/>
        </w:rPr>
        <w:t xml:space="preserve"> and</w:t>
      </w:r>
      <w:r w:rsidR="002F0188" w:rsidRPr="003C773B">
        <w:rPr>
          <w:rFonts w:ascii="Calibri" w:hAnsi="Calibri" w:cs="Calibri"/>
          <w:color w:val="000000" w:themeColor="text1"/>
        </w:rPr>
        <w:t xml:space="preserve"> activities effectively (Children Choice Therapy, 2023). The rationale for selecting sensory circuits as an intervention for Child X is rooted in his challenges related to hypermobility and difficulty remaining still, both of which impact his concentration and participation in class. Due to his hypermobility, Child X experiences instability in his muscles and joints, which affects his posture and makes it harder for him to stay focused for extended periods. Sensory circuits, with their combination of movement-based activities and sensory input, provide a targeted intervention designed to regulate his body and nervous system, helping him improve his focus and concentration. By integrating these activities into his daily routine, Child X may find greater ease in managing his sensory needs and participating more effectively in classroom learning.</w:t>
      </w:r>
    </w:p>
    <w:p w14:paraId="4E551D1D" w14:textId="7128C3B1" w:rsidR="00C07628" w:rsidRPr="003C773B" w:rsidRDefault="00C07628" w:rsidP="00C07628">
      <w:pPr>
        <w:rPr>
          <w:rFonts w:ascii="Calibri" w:hAnsi="Calibri" w:cs="Calibri"/>
          <w:b/>
          <w:bCs/>
          <w:color w:val="000000" w:themeColor="text1"/>
          <w:u w:val="single"/>
        </w:rPr>
      </w:pPr>
      <w:r w:rsidRPr="003C773B">
        <w:rPr>
          <w:rFonts w:ascii="Calibri" w:hAnsi="Calibri" w:cs="Calibri"/>
          <w:b/>
          <w:bCs/>
          <w:color w:val="000000" w:themeColor="text1"/>
          <w:u w:val="single"/>
        </w:rPr>
        <w:t>Main body</w:t>
      </w:r>
    </w:p>
    <w:p w14:paraId="17F2F2CF" w14:textId="52BE82B7" w:rsidR="00725357" w:rsidRPr="003C773B" w:rsidRDefault="002F0188" w:rsidP="00F3069F">
      <w:pPr>
        <w:spacing w:line="360" w:lineRule="auto"/>
        <w:rPr>
          <w:rFonts w:ascii="Calibri" w:hAnsi="Calibri" w:cs="Calibri"/>
          <w:color w:val="000000" w:themeColor="text1"/>
        </w:rPr>
      </w:pPr>
      <w:r w:rsidRPr="003C773B">
        <w:rPr>
          <w:rFonts w:ascii="Calibri" w:hAnsi="Calibri" w:cs="Calibri"/>
          <w:color w:val="000000" w:themeColor="text1"/>
        </w:rPr>
        <w:t>Jean Ayres developed the Sensory Integration Theory, which serves as the foundation for many sensory-based interventions, such as sensory circuits. Jean Ayres agrees and proposes that children experiencing sensory processing challenges can benefit from organi</w:t>
      </w:r>
      <w:r w:rsidR="00F1106B" w:rsidRPr="003C773B">
        <w:rPr>
          <w:rFonts w:ascii="Calibri" w:hAnsi="Calibri" w:cs="Calibri"/>
          <w:color w:val="000000" w:themeColor="text1"/>
        </w:rPr>
        <w:t>s</w:t>
      </w:r>
      <w:r w:rsidRPr="003C773B">
        <w:rPr>
          <w:rFonts w:ascii="Calibri" w:hAnsi="Calibri" w:cs="Calibri"/>
          <w:color w:val="000000" w:themeColor="text1"/>
        </w:rPr>
        <w:t>ed sensory activities, like those found in sensory circuits, to better manage sensory input. Engaging in activities that promote sensory integration—such as swinging, jumping, or balancing—helps children achieve improved emotional and social stability Ayres (2005). Multiple studies have supported the use of sensory interventions, including sensory circuits,</w:t>
      </w:r>
      <w:r w:rsidR="00F1106B" w:rsidRPr="003C773B">
        <w:rPr>
          <w:rFonts w:ascii="Calibri" w:hAnsi="Calibri" w:cs="Calibri"/>
          <w:color w:val="000000" w:themeColor="text1"/>
        </w:rPr>
        <w:t xml:space="preserve"> specifically for children diagnosed with an autism spectrum disorder (ASD)</w:t>
      </w:r>
      <w:r w:rsidRPr="003C773B">
        <w:rPr>
          <w:rFonts w:ascii="Calibri" w:hAnsi="Calibri" w:cs="Calibri"/>
          <w:color w:val="000000" w:themeColor="text1"/>
        </w:rPr>
        <w:t xml:space="preserve">. For instance, research has shown that sensory-based interventions can help reduce anxiety, enhance focus, and promote social interactions (Grandin, 2009; Rogers et al., 2012). </w:t>
      </w:r>
      <w:r w:rsidR="00725357" w:rsidRPr="003C773B">
        <w:rPr>
          <w:rFonts w:ascii="Calibri" w:hAnsi="Calibri" w:cs="Calibri"/>
          <w:color w:val="000000" w:themeColor="text1"/>
        </w:rPr>
        <w:t xml:space="preserve">Lucy Jane Miller supports the use of sensory circuits as an intervention, highlighting their effectiveness in assisting children with sensory processing disorders. Through her research, Miller stresses the importance of sensory integration therapy, which includes structured activities designed to help children process and organise sensory input. She advocates for sensory-based interventions, such as sensory circuits, to aid in improving self-regulation, attention, and behavioural responses. These interventions provide controlled sensory experiences that help children manage sensory overload, increase focus, and enhance motor coordination. Miller’s </w:t>
      </w:r>
      <w:r w:rsidR="00725357" w:rsidRPr="003C773B">
        <w:rPr>
          <w:rFonts w:ascii="Calibri" w:hAnsi="Calibri" w:cs="Calibri"/>
          <w:color w:val="000000" w:themeColor="text1"/>
        </w:rPr>
        <w:lastRenderedPageBreak/>
        <w:t>work emphasises that such interventions can enable children to develop essential skills for better functioning in everyday activities and educational environments (Miller, 2009).</w:t>
      </w:r>
    </w:p>
    <w:p w14:paraId="4AC22E02" w14:textId="50C5A29D" w:rsidR="00725357" w:rsidRPr="003C773B" w:rsidRDefault="002F0188" w:rsidP="00F3069F">
      <w:pPr>
        <w:spacing w:line="360" w:lineRule="auto"/>
        <w:rPr>
          <w:rFonts w:ascii="Calibri" w:hAnsi="Calibri" w:cs="Calibri"/>
          <w:color w:val="000000" w:themeColor="text1"/>
        </w:rPr>
      </w:pPr>
      <w:r w:rsidRPr="003C773B">
        <w:rPr>
          <w:rFonts w:ascii="Calibri" w:hAnsi="Calibri" w:cs="Calibri"/>
          <w:color w:val="000000" w:themeColor="text1"/>
        </w:rPr>
        <w:t>However, Andy Clark, a well-known philosopher and cognitive scientist, disagrees with traditional views of sensory circuits, which treat them as isolated systems inside the brain. He rejects the idea that the brain processes sensory information in a fixed, closed way. Instead, Clark believes that cognition involves a dynamic interaction between the brain, body, and environment, which he calls embodied cognition. In his view, sensory circuits are not just passive receivers of information; they actively predict, act, and interpret the world. Clark argues that external tools and resources play a key role in shaping how we think, challenging the idea that sensory processing happens only within the brain’s internal structures (Clark, 2013).</w:t>
      </w:r>
      <w:r w:rsidR="00725357" w:rsidRPr="003C773B">
        <w:rPr>
          <w:rFonts w:ascii="Calibri" w:hAnsi="Calibri" w:cs="Calibri"/>
          <w:color w:val="000000" w:themeColor="text1"/>
        </w:rPr>
        <w:t xml:space="preserve"> </w:t>
      </w:r>
    </w:p>
    <w:p w14:paraId="6774D468" w14:textId="3D5A9376" w:rsidR="002F0188" w:rsidRPr="003C773B" w:rsidRDefault="002F0188" w:rsidP="00F3069F">
      <w:pPr>
        <w:spacing w:line="360" w:lineRule="auto"/>
        <w:rPr>
          <w:rFonts w:ascii="Calibri" w:hAnsi="Calibri" w:cs="Calibri"/>
          <w:color w:val="000000" w:themeColor="text1"/>
        </w:rPr>
      </w:pPr>
      <w:r w:rsidRPr="003C773B">
        <w:rPr>
          <w:rFonts w:ascii="Calibri" w:hAnsi="Calibri" w:cs="Calibri"/>
          <w:color w:val="000000" w:themeColor="text1"/>
        </w:rPr>
        <w:t>Sensory circuits, through their consistent and structured sensory activities, assist children with autism in regulating emotions, minimising sensory overload, and improving their social functioning. Sensory circuits are identified as a valuable strategy for supporting the emotional and sensory needs of vulnerable students, particularly in fostering their engagement and overall well-being. As outlined by Estyn, these circuits involve a series of structured physical activities that assist pupils in managing their emotions, improving concentration, and addressing sensory challenges. Through activities like movement and balance exercises, sensory circuits enable students to regulate themselves, alleviating anxiety and preparing them for classroom tasks. When incorporated into the school routine, sensory circuits are part of a comprehensive approach to personalized well-being support, ensuring that children with sensory processing difficulties can engage fully in their education. This method not only aids in emotional regulation but also improves attendance and participation, helping to overcome common learning barriers faced by pupils with conditions like ADHD or hypermobility (Estyn, 2024).</w:t>
      </w:r>
    </w:p>
    <w:p w14:paraId="660D326A" w14:textId="77777777" w:rsidR="003C773B" w:rsidRDefault="00C07628" w:rsidP="00F3069F">
      <w:pPr>
        <w:spacing w:line="360" w:lineRule="auto"/>
        <w:rPr>
          <w:rFonts w:ascii="Calibri" w:hAnsi="Calibri" w:cs="Calibri"/>
          <w:color w:val="000000" w:themeColor="text1"/>
        </w:rPr>
      </w:pPr>
      <w:r w:rsidRPr="003C773B">
        <w:rPr>
          <w:rFonts w:ascii="Calibri" w:hAnsi="Calibri" w:cs="Calibri"/>
          <w:color w:val="000000" w:themeColor="text1"/>
        </w:rPr>
        <w:t xml:space="preserve">Children’s development spans several key physical, social, emotional, and cognitive </w:t>
      </w:r>
      <w:r w:rsidR="000540F8" w:rsidRPr="003C773B">
        <w:rPr>
          <w:rFonts w:ascii="Calibri" w:hAnsi="Calibri" w:cs="Calibri"/>
          <w:color w:val="000000" w:themeColor="text1"/>
        </w:rPr>
        <w:t>domain</w:t>
      </w:r>
      <w:r w:rsidRPr="003C773B">
        <w:rPr>
          <w:rFonts w:ascii="Calibri" w:hAnsi="Calibri" w:cs="Calibri"/>
          <w:color w:val="000000" w:themeColor="text1"/>
        </w:rPr>
        <w:t xml:space="preserve">s. For this pupil, the primary focus is on physical development and concentration, both of which are integral to their learning and overall well-being. </w:t>
      </w:r>
      <w:r w:rsidR="00E4661B" w:rsidRPr="003C773B">
        <w:rPr>
          <w:rFonts w:ascii="Calibri" w:hAnsi="Calibri" w:cs="Calibri"/>
          <w:color w:val="000000" w:themeColor="text1"/>
        </w:rPr>
        <w:t xml:space="preserve">Emotional development is another crucial aspect supported by sensory circuits. According to Daniel Goleman’s theory of emotional intelligence, self-regulation is key to a child’s </w:t>
      </w:r>
      <w:r w:rsidR="00F1106B" w:rsidRPr="003C773B">
        <w:rPr>
          <w:rFonts w:ascii="Calibri" w:hAnsi="Calibri" w:cs="Calibri"/>
          <w:color w:val="000000" w:themeColor="text1"/>
        </w:rPr>
        <w:t>capability</w:t>
      </w:r>
      <w:r w:rsidR="00E4661B" w:rsidRPr="003C773B">
        <w:rPr>
          <w:rFonts w:ascii="Calibri" w:hAnsi="Calibri" w:cs="Calibri"/>
          <w:color w:val="000000" w:themeColor="text1"/>
        </w:rPr>
        <w:t xml:space="preserve"> to manage emotions and </w:t>
      </w:r>
      <w:r w:rsidR="00F1106B" w:rsidRPr="003C773B">
        <w:rPr>
          <w:rFonts w:ascii="Calibri" w:hAnsi="Calibri" w:cs="Calibri"/>
          <w:color w:val="000000" w:themeColor="text1"/>
        </w:rPr>
        <w:t xml:space="preserve">engage </w:t>
      </w:r>
      <w:r w:rsidR="00E4661B" w:rsidRPr="003C773B">
        <w:rPr>
          <w:rFonts w:ascii="Calibri" w:hAnsi="Calibri" w:cs="Calibri"/>
          <w:color w:val="000000" w:themeColor="text1"/>
        </w:rPr>
        <w:t xml:space="preserve">successfully </w:t>
      </w:r>
      <w:r w:rsidR="00F1106B" w:rsidRPr="003C773B">
        <w:rPr>
          <w:rFonts w:ascii="Calibri" w:hAnsi="Calibri" w:cs="Calibri"/>
          <w:color w:val="000000" w:themeColor="text1"/>
        </w:rPr>
        <w:t>among side</w:t>
      </w:r>
      <w:r w:rsidR="00E4661B" w:rsidRPr="003C773B">
        <w:rPr>
          <w:rFonts w:ascii="Calibri" w:hAnsi="Calibri" w:cs="Calibri"/>
          <w:color w:val="000000" w:themeColor="text1"/>
        </w:rPr>
        <w:t xml:space="preserve"> peers and adults (Goleman, 1995). Sensory circuits </w:t>
      </w:r>
      <w:r w:rsidR="00E4661B" w:rsidRPr="003C773B">
        <w:rPr>
          <w:rFonts w:ascii="Calibri" w:hAnsi="Calibri" w:cs="Calibri"/>
          <w:color w:val="000000" w:themeColor="text1"/>
        </w:rPr>
        <w:lastRenderedPageBreak/>
        <w:t>provide a</w:t>
      </w:r>
      <w:r w:rsidR="00F1106B" w:rsidRPr="003C773B">
        <w:rPr>
          <w:rFonts w:ascii="Calibri" w:hAnsi="Calibri" w:cs="Calibri"/>
          <w:color w:val="000000" w:themeColor="text1"/>
        </w:rPr>
        <w:t xml:space="preserve"> chance for children to participate in </w:t>
      </w:r>
      <w:r w:rsidR="00E4661B" w:rsidRPr="003C773B">
        <w:rPr>
          <w:rFonts w:ascii="Calibri" w:hAnsi="Calibri" w:cs="Calibri"/>
          <w:color w:val="000000" w:themeColor="text1"/>
        </w:rPr>
        <w:t xml:space="preserve">calming or stimulating </w:t>
      </w:r>
      <w:r w:rsidR="00F1106B" w:rsidRPr="003C773B">
        <w:rPr>
          <w:rFonts w:ascii="Calibri" w:hAnsi="Calibri" w:cs="Calibri"/>
          <w:color w:val="000000" w:themeColor="text1"/>
        </w:rPr>
        <w:t xml:space="preserve">exercises </w:t>
      </w:r>
      <w:r w:rsidR="00E4661B" w:rsidRPr="003C773B">
        <w:rPr>
          <w:rFonts w:ascii="Calibri" w:hAnsi="Calibri" w:cs="Calibri"/>
          <w:color w:val="000000" w:themeColor="text1"/>
        </w:rPr>
        <w:t>that help them regulate their emotions before returning to classroom tasks. This regulation is especially important for children with hypermobility, as their need for physical activity can affect emotional stability (Miller, 2010).</w:t>
      </w:r>
    </w:p>
    <w:p w14:paraId="78C50176" w14:textId="77777777" w:rsidR="003C773B" w:rsidRDefault="00E4661B" w:rsidP="00F3069F">
      <w:pPr>
        <w:spacing w:line="360" w:lineRule="auto"/>
        <w:rPr>
          <w:rFonts w:ascii="Calibri" w:hAnsi="Calibri" w:cs="Calibri"/>
          <w:color w:val="000000" w:themeColor="text1"/>
        </w:rPr>
      </w:pPr>
      <w:r w:rsidRPr="003C773B">
        <w:rPr>
          <w:rFonts w:ascii="Calibri" w:hAnsi="Calibri" w:cs="Calibri"/>
          <w:color w:val="000000" w:themeColor="text1"/>
        </w:rPr>
        <w:t xml:space="preserve"> Additionally, sensory circuits can help improve social interactions by teaching children how to manage their emotional responses to challenges. </w:t>
      </w:r>
      <w:r w:rsidR="00C07628" w:rsidRPr="003C773B">
        <w:rPr>
          <w:rFonts w:ascii="Calibri" w:hAnsi="Calibri" w:cs="Calibri"/>
          <w:color w:val="000000" w:themeColor="text1"/>
        </w:rPr>
        <w:t xml:space="preserve">Learning theories offer valuable insights into how interventions like sensory circuits can support development in these areas. Lev Vygotsky's Sociocultural Theory is particularly relevant to this intervention, as it highlights the significance of social interaction and guided participation in learning. Vygotsky proposed that cognitive development is shaped by the social environment, with learning facilitated through interactions with more knowledgeable individuals. In this context, the pupil's teacher or support assistant would play a vital role in guiding the pupil through sensory activities that enhance focus and self-regulation. </w:t>
      </w:r>
      <w:r w:rsidR="00F1106B" w:rsidRPr="003C773B">
        <w:rPr>
          <w:rFonts w:ascii="Calibri" w:hAnsi="Calibri" w:cs="Calibri"/>
          <w:color w:val="000000" w:themeColor="text1"/>
        </w:rPr>
        <w:t xml:space="preserve">The Zone of Proximal Development (ZPD), as described by Vygotsky, suggests that </w:t>
      </w:r>
      <w:r w:rsidR="00C07628" w:rsidRPr="003C773B">
        <w:rPr>
          <w:rFonts w:ascii="Calibri" w:hAnsi="Calibri" w:cs="Calibri"/>
          <w:color w:val="000000" w:themeColor="text1"/>
        </w:rPr>
        <w:t xml:space="preserve">tasks </w:t>
      </w:r>
      <w:r w:rsidR="00F1106B" w:rsidRPr="003C773B">
        <w:rPr>
          <w:rFonts w:ascii="Calibri" w:hAnsi="Calibri" w:cs="Calibri"/>
          <w:color w:val="000000" w:themeColor="text1"/>
        </w:rPr>
        <w:t xml:space="preserve">must </w:t>
      </w:r>
      <w:r w:rsidR="00C07628" w:rsidRPr="003C773B">
        <w:rPr>
          <w:rFonts w:ascii="Calibri" w:hAnsi="Calibri" w:cs="Calibri"/>
          <w:color w:val="000000" w:themeColor="text1"/>
        </w:rPr>
        <w:t>be within the learner's capabilities but should also stretch their skills with appropriate support</w:t>
      </w:r>
      <w:r w:rsidRPr="003C773B">
        <w:rPr>
          <w:rFonts w:ascii="Calibri" w:hAnsi="Calibri" w:cs="Calibri"/>
          <w:color w:val="000000" w:themeColor="text1"/>
        </w:rPr>
        <w:t xml:space="preserve"> (Vygotsky, 1978).</w:t>
      </w:r>
    </w:p>
    <w:p w14:paraId="192AD512" w14:textId="77777777" w:rsidR="003C773B" w:rsidRDefault="00E4661B" w:rsidP="00F3069F">
      <w:pPr>
        <w:spacing w:line="360" w:lineRule="auto"/>
        <w:rPr>
          <w:rFonts w:ascii="Calibri" w:hAnsi="Calibri" w:cs="Calibri"/>
          <w:color w:val="000000" w:themeColor="text1"/>
        </w:rPr>
      </w:pPr>
      <w:r w:rsidRPr="003C773B">
        <w:rPr>
          <w:rFonts w:ascii="Calibri" w:hAnsi="Calibri" w:cs="Calibri"/>
          <w:color w:val="000000" w:themeColor="text1"/>
        </w:rPr>
        <w:t xml:space="preserve"> </w:t>
      </w:r>
      <w:r w:rsidR="00C07628" w:rsidRPr="003C773B">
        <w:rPr>
          <w:rFonts w:ascii="Calibri" w:hAnsi="Calibri" w:cs="Calibri"/>
          <w:color w:val="000000" w:themeColor="text1"/>
        </w:rPr>
        <w:t xml:space="preserve">The sensory circuit could provide opportunities for the pupil to engage in physical activities that challenge their coordination and balance while still being achievable with guidance. Jean Piaget’s Cognitive Development Theory also plays a significant role in understanding this intervention. Piaget emphasized the importance of hands-on experiences for learning, asserting </w:t>
      </w:r>
      <w:r w:rsidR="00F1106B" w:rsidRPr="003C773B">
        <w:rPr>
          <w:rFonts w:ascii="Calibri" w:hAnsi="Calibri" w:cs="Calibri"/>
          <w:color w:val="000000" w:themeColor="text1"/>
        </w:rPr>
        <w:t xml:space="preserve">that children shape their understanding of the world by </w:t>
      </w:r>
      <w:r w:rsidR="00C07628" w:rsidRPr="003C773B">
        <w:rPr>
          <w:rFonts w:ascii="Calibri" w:hAnsi="Calibri" w:cs="Calibri"/>
          <w:color w:val="000000" w:themeColor="text1"/>
        </w:rPr>
        <w:t>active interaction with</w:t>
      </w:r>
      <w:r w:rsidR="00F1106B" w:rsidRPr="003C773B">
        <w:rPr>
          <w:rFonts w:ascii="Calibri" w:hAnsi="Calibri" w:cs="Calibri"/>
          <w:color w:val="000000" w:themeColor="text1"/>
        </w:rPr>
        <w:t>in</w:t>
      </w:r>
      <w:r w:rsidR="00C07628" w:rsidRPr="003C773B">
        <w:rPr>
          <w:rFonts w:ascii="Calibri" w:hAnsi="Calibri" w:cs="Calibri"/>
          <w:color w:val="000000" w:themeColor="text1"/>
        </w:rPr>
        <w:t xml:space="preserve"> their environment</w:t>
      </w:r>
      <w:r w:rsidRPr="003C773B">
        <w:rPr>
          <w:rFonts w:ascii="Calibri" w:hAnsi="Calibri" w:cs="Calibri"/>
          <w:color w:val="000000" w:themeColor="text1"/>
        </w:rPr>
        <w:t xml:space="preserve">. According to Piaget’s theory of cognitive development, physical activity plays an important role in children’s </w:t>
      </w:r>
      <w:r w:rsidR="00F1106B" w:rsidRPr="003C773B">
        <w:rPr>
          <w:rFonts w:ascii="Calibri" w:hAnsi="Calibri" w:cs="Calibri"/>
          <w:color w:val="000000" w:themeColor="text1"/>
        </w:rPr>
        <w:t xml:space="preserve">formation of knowledge through their involvement with the </w:t>
      </w:r>
      <w:r w:rsidRPr="003C773B">
        <w:rPr>
          <w:rFonts w:ascii="Calibri" w:hAnsi="Calibri" w:cs="Calibri"/>
          <w:color w:val="000000" w:themeColor="text1"/>
        </w:rPr>
        <w:t xml:space="preserve">environment (Piaget, 1952). For children with hypermobility, engaging in activities that promote balance, coordination, and strength can help build the physical foundations needed for sustained attention in the classroom. Sensory circuits, by integrating activities that support physical movement and proprioception, can directly improve physical functioning and, as a result, enhance </w:t>
      </w:r>
      <w:r w:rsidR="00F1106B" w:rsidRPr="003C773B">
        <w:rPr>
          <w:rFonts w:ascii="Calibri" w:hAnsi="Calibri" w:cs="Calibri"/>
          <w:color w:val="000000" w:themeColor="text1"/>
        </w:rPr>
        <w:t xml:space="preserve">the child's potential to </w:t>
      </w:r>
      <w:r w:rsidRPr="003C773B">
        <w:rPr>
          <w:rFonts w:ascii="Calibri" w:hAnsi="Calibri" w:cs="Calibri"/>
          <w:color w:val="000000" w:themeColor="text1"/>
        </w:rPr>
        <w:t>remain engaged in classroom learning (Miller, 2006</w:t>
      </w:r>
      <w:r w:rsidR="00F1106B" w:rsidRPr="003C773B">
        <w:rPr>
          <w:rFonts w:ascii="Calibri" w:hAnsi="Calibri" w:cs="Calibri"/>
          <w:color w:val="000000" w:themeColor="text1"/>
        </w:rPr>
        <w:t>)</w:t>
      </w:r>
      <w:r w:rsidR="003C773B">
        <w:rPr>
          <w:rFonts w:ascii="Calibri" w:hAnsi="Calibri" w:cs="Calibri"/>
          <w:color w:val="000000" w:themeColor="text1"/>
        </w:rPr>
        <w:t xml:space="preserve">. </w:t>
      </w:r>
    </w:p>
    <w:p w14:paraId="39CAFE5F" w14:textId="1440E8AC" w:rsidR="002F0188" w:rsidRPr="003C773B" w:rsidRDefault="00F1106B" w:rsidP="00F3069F">
      <w:pPr>
        <w:spacing w:line="360" w:lineRule="auto"/>
        <w:rPr>
          <w:rFonts w:ascii="Calibri" w:hAnsi="Calibri" w:cs="Calibri"/>
          <w:color w:val="000000" w:themeColor="text1"/>
        </w:rPr>
      </w:pPr>
      <w:r w:rsidRPr="003C773B">
        <w:rPr>
          <w:rFonts w:ascii="Calibri" w:hAnsi="Calibri" w:cs="Calibri"/>
          <w:color w:val="000000" w:themeColor="text1"/>
        </w:rPr>
        <w:t xml:space="preserve">The Sensory Integration Theory by Jean Ayres </w:t>
      </w:r>
      <w:r w:rsidR="00C07628" w:rsidRPr="003C773B">
        <w:rPr>
          <w:rFonts w:ascii="Calibri" w:hAnsi="Calibri" w:cs="Calibri"/>
          <w:color w:val="000000" w:themeColor="text1"/>
        </w:rPr>
        <w:t>directly links to the sensory circuit intervention. Ayres recogni</w:t>
      </w:r>
      <w:r w:rsidR="00E4661B" w:rsidRPr="003C773B">
        <w:rPr>
          <w:rFonts w:ascii="Calibri" w:hAnsi="Calibri" w:cs="Calibri"/>
          <w:color w:val="000000" w:themeColor="text1"/>
        </w:rPr>
        <w:t>s</w:t>
      </w:r>
      <w:r w:rsidR="00C07628" w:rsidRPr="003C773B">
        <w:rPr>
          <w:rFonts w:ascii="Calibri" w:hAnsi="Calibri" w:cs="Calibri"/>
          <w:color w:val="000000" w:themeColor="text1"/>
        </w:rPr>
        <w:t>ed the importance of sensory experiences for developing the</w:t>
      </w:r>
      <w:r w:rsidRPr="003C773B">
        <w:rPr>
          <w:rFonts w:ascii="Calibri" w:hAnsi="Calibri" w:cs="Calibri"/>
          <w:color w:val="000000" w:themeColor="text1"/>
        </w:rPr>
        <w:t xml:space="preserve"> cap</w:t>
      </w:r>
      <w:r w:rsidR="00C07628" w:rsidRPr="003C773B">
        <w:rPr>
          <w:rFonts w:ascii="Calibri" w:hAnsi="Calibri" w:cs="Calibri"/>
          <w:color w:val="000000" w:themeColor="text1"/>
        </w:rPr>
        <w:t xml:space="preserve">ability to process and respond to sensory </w:t>
      </w:r>
      <w:r w:rsidRPr="003C773B">
        <w:rPr>
          <w:rFonts w:ascii="Calibri" w:hAnsi="Calibri" w:cs="Calibri"/>
          <w:color w:val="000000" w:themeColor="text1"/>
        </w:rPr>
        <w:t>stimuli</w:t>
      </w:r>
      <w:r w:rsidR="00E4661B" w:rsidRPr="003C773B">
        <w:rPr>
          <w:rFonts w:ascii="Calibri" w:hAnsi="Calibri" w:cs="Calibri"/>
          <w:color w:val="000000" w:themeColor="text1"/>
        </w:rPr>
        <w:t>. C</w:t>
      </w:r>
      <w:r w:rsidR="00C07628" w:rsidRPr="003C773B">
        <w:rPr>
          <w:rFonts w:ascii="Calibri" w:hAnsi="Calibri" w:cs="Calibri"/>
          <w:color w:val="000000" w:themeColor="text1"/>
        </w:rPr>
        <w:t xml:space="preserve">hildren with sensory processing </w:t>
      </w:r>
      <w:r w:rsidR="00C07628" w:rsidRPr="003C773B">
        <w:rPr>
          <w:rFonts w:ascii="Calibri" w:hAnsi="Calibri" w:cs="Calibri"/>
          <w:color w:val="000000" w:themeColor="text1"/>
        </w:rPr>
        <w:lastRenderedPageBreak/>
        <w:t>difficulties, such as pupils with hypermobility, often face challenges with attention and regulation. The sensory circuit aims to provide structured sensory input, assisting the pupil in integrating sensory information more effectively, thereby supporting focus and engagement in classroom activities</w:t>
      </w:r>
      <w:r w:rsidR="003C773B">
        <w:rPr>
          <w:rFonts w:ascii="Calibri" w:hAnsi="Calibri" w:cs="Calibri"/>
          <w:color w:val="000000" w:themeColor="text1"/>
        </w:rPr>
        <w:t xml:space="preserve"> </w:t>
      </w:r>
      <w:r w:rsidR="003C773B" w:rsidRPr="003C773B">
        <w:rPr>
          <w:rFonts w:ascii="Calibri" w:hAnsi="Calibri" w:cs="Calibri"/>
          <w:color w:val="000000" w:themeColor="text1"/>
        </w:rPr>
        <w:t>(Ayres, 2005)</w:t>
      </w:r>
      <w:r w:rsidR="003C773B">
        <w:rPr>
          <w:rFonts w:ascii="Calibri" w:hAnsi="Calibri" w:cs="Calibri"/>
          <w:color w:val="000000" w:themeColor="text1"/>
        </w:rPr>
        <w:t>.</w:t>
      </w:r>
    </w:p>
    <w:p w14:paraId="692AF2CF" w14:textId="5FA7B41C" w:rsidR="002F0188" w:rsidRPr="003C773B" w:rsidRDefault="002F0188" w:rsidP="00F3069F">
      <w:pPr>
        <w:spacing w:line="360" w:lineRule="auto"/>
        <w:rPr>
          <w:rFonts w:ascii="Calibri" w:hAnsi="Calibri" w:cs="Calibri"/>
          <w:color w:val="000000" w:themeColor="text1"/>
        </w:rPr>
      </w:pPr>
      <w:r w:rsidRPr="003C773B">
        <w:rPr>
          <w:rFonts w:ascii="Calibri" w:hAnsi="Calibri" w:cs="Calibri"/>
          <w:color w:val="000000" w:themeColor="text1"/>
        </w:rPr>
        <w:t>Sensory circuits target social and emotional development in children by helping them regulate sensory input, which improves emotional regulation, enhances self-awareness, and promotes positive social interactions through increased emotional resilience and self-control. Sensory circuits are systematically structured interventions designed to support children in regulating sensory input, a critical aspect of their emotional and psychological development. These circuits typically consist of a sequence of activities that engage various sensory modalities, such as swinging, jumping, and balancing, all of which provide controlled sensory stimulation. For children who experience difficulties in processing sensory information, these activities are particularly beneficial, as they facilitate the organization and management of sensory stimuli. In doing so, sensory circuits help mitigate the risk of sensory overload, a condition that, if unaddressed, can result in emotional dysregulation and difficulties in behavioural management (Ayres, 2005). Participation in sensory circuits has been shown to enhance emotional regulation in children. Calming activities, such as deep pressure techniques or slow, rhythmic movements, are particularly effective in alleviating anxiety, fostering a sense of safety, and promoting emotional stability. Conversely, more stimulating tasks, such as jumping or running, provide necessary sensory input to maintain alertness and focus, thereby fostering emotional balance and resilience (Grandin, 2009). Furthermore, sensory circuits contribute to the development of self-regulation skills. By engaging in sensory tasks tailored to their individual sensory needs, children gain positive experiences that enhance their emotional resilience. This process enables them to manage stress more effectively, cope with overwhelming emotions, and engage more successfully in social interactions. Consequently, sensory circuits not only assist children in regulating sensory input but also play a significant role in their broader emotional and social development by equipping them with essential coping strategies for managing emotional challenges (Miller et al., 2007).</w:t>
      </w:r>
    </w:p>
    <w:p w14:paraId="1175C73E" w14:textId="379E2076" w:rsidR="002F0188" w:rsidRPr="003C773B" w:rsidRDefault="002F0188" w:rsidP="00F3069F">
      <w:pPr>
        <w:spacing w:line="360" w:lineRule="auto"/>
        <w:rPr>
          <w:rFonts w:ascii="Calibri" w:hAnsi="Calibri" w:cs="Calibri"/>
          <w:color w:val="000000" w:themeColor="text1"/>
        </w:rPr>
      </w:pPr>
      <w:r w:rsidRPr="003C773B">
        <w:rPr>
          <w:rFonts w:ascii="Calibri" w:hAnsi="Calibri" w:cs="Calibri"/>
          <w:color w:val="000000" w:themeColor="text1"/>
        </w:rPr>
        <w:t xml:space="preserve">Sensory circuits target social development in children by enhancing emotional regulation, improving focus, and providing structured opportunities for children to develop essential </w:t>
      </w:r>
      <w:r w:rsidRPr="003C773B">
        <w:rPr>
          <w:rFonts w:ascii="Calibri" w:hAnsi="Calibri" w:cs="Calibri"/>
          <w:color w:val="000000" w:themeColor="text1"/>
        </w:rPr>
        <w:lastRenderedPageBreak/>
        <w:t>social skills such as turn-taking, conflict resolution, and effective communication with peers. Sensory circuits are structured, carefully designed interventions aimed at helping children regulate their sensory input, which plays a crucial role in supporting various aspects of their social development. These circuits typically consist of a series of physical activities, such as jumping, balancing, and swinging, which are intended to provide essential sensory stimulation. For children experiencing sensory processing difficulties, these types of activities offer opportunities for sensory input regulation, helping them better manage emotional responses and, ultimately, enhancing their ability to engage with peers and participate in social interactions (Higginson, 2018). By offering a predictable and structured sensory experience, sensory circuits help children build a foundation for improved emotional and social well-being. Through regular participation in sensory circuits, children can develop important self-regulation skills that are essential for positive social interactions. For example, calming activities, such as deep pressure techniques or slow, rhythmic movements, are particularly effective at reducing levels of anxiety and providing the necessary emotional support, enabling children to interact more effectively with others in social contexts (Reynolds &amp; Lane, 2018). In contrast, more alerting activities like jumping, running, or spinning help to enhance a child’s focus and energy levels, which enables them to engage more actively in group settings and social situations. Moreover, sensory circuits are integral in fostering emotional stability and confidence, two key components necessary for success in social environments. As children develop greater self-regulation through these activities, they become more capable of expressing their emotions in appropriate ways, engaging in turn-taking, and managing social conflicts with their peers (</w:t>
      </w:r>
      <w:proofErr w:type="spellStart"/>
      <w:r w:rsidRPr="003C773B">
        <w:rPr>
          <w:rFonts w:ascii="Calibri" w:hAnsi="Calibri" w:cs="Calibri"/>
          <w:color w:val="000000" w:themeColor="text1"/>
        </w:rPr>
        <w:t>Tomchek</w:t>
      </w:r>
      <w:proofErr w:type="spellEnd"/>
      <w:r w:rsidRPr="003C773B">
        <w:rPr>
          <w:rFonts w:ascii="Calibri" w:hAnsi="Calibri" w:cs="Calibri"/>
          <w:color w:val="000000" w:themeColor="text1"/>
        </w:rPr>
        <w:t xml:space="preserve"> &amp; Dunn, 2017). This improved emotional control, and social awareness ultimately lead to more positive peer relationships, as well as an enhanced ability to participate in group activities and cooperative play. By providing the tools to manage sensory overload and better regulate their emotional responses, sensory circuits create a strong foundation for positive social development and long-lasting peer interactions.</w:t>
      </w:r>
    </w:p>
    <w:p w14:paraId="206BFD3B" w14:textId="1482CE3A" w:rsidR="00C07628" w:rsidRPr="003C773B" w:rsidRDefault="00C07628" w:rsidP="00F3069F">
      <w:pPr>
        <w:spacing w:line="360" w:lineRule="auto"/>
        <w:rPr>
          <w:rFonts w:ascii="Calibri" w:hAnsi="Calibri" w:cs="Calibri"/>
          <w:color w:val="000000" w:themeColor="text1"/>
        </w:rPr>
      </w:pPr>
      <w:r w:rsidRPr="003C773B">
        <w:rPr>
          <w:rFonts w:ascii="Calibri" w:hAnsi="Calibri" w:cs="Calibri"/>
          <w:color w:val="000000" w:themeColor="text1"/>
        </w:rPr>
        <w:t xml:space="preserve">The successful implementation of a sensory circuit relies on the coordinated efforts of several key individuals within the educational environment. The teacher holds primary responsibility for integrating the sensory circuit into the pupil’s daily routine, ensuring it fits within the class schedule without disrupting core learning activities. The teacher must also </w:t>
      </w:r>
      <w:r w:rsidRPr="003C773B">
        <w:rPr>
          <w:rFonts w:ascii="Calibri" w:hAnsi="Calibri" w:cs="Calibri"/>
          <w:color w:val="000000" w:themeColor="text1"/>
        </w:rPr>
        <w:lastRenderedPageBreak/>
        <w:t>support the pupil throughout the exercises, offering guidance and encouragement to ensure effective participation. Additionally, the teacher is responsible for monitoring the pupil’s responses to the sensory activities and adjusting them as needed to meet the pupil’s requirements. A teaching assistant also plays a crucial role by guiding the pupil through the activities, ensuring they are performed correctly and safely</w:t>
      </w:r>
      <w:r w:rsidR="00E4661B" w:rsidRPr="003C773B">
        <w:rPr>
          <w:rFonts w:ascii="Calibri" w:hAnsi="Calibri" w:cs="Calibri"/>
          <w:color w:val="000000" w:themeColor="text1"/>
        </w:rPr>
        <w:t xml:space="preserve">. </w:t>
      </w:r>
    </w:p>
    <w:p w14:paraId="3445CACE" w14:textId="77777777" w:rsidR="003C773B" w:rsidRPr="003C773B" w:rsidRDefault="00C07628" w:rsidP="00F3069F">
      <w:pPr>
        <w:spacing w:line="360" w:lineRule="auto"/>
        <w:rPr>
          <w:rFonts w:ascii="Calibri" w:hAnsi="Calibri" w:cs="Calibri"/>
          <w:color w:val="000000" w:themeColor="text1"/>
        </w:rPr>
      </w:pPr>
      <w:r w:rsidRPr="003C773B">
        <w:rPr>
          <w:rFonts w:ascii="Calibri" w:hAnsi="Calibri" w:cs="Calibri"/>
          <w:color w:val="000000" w:themeColor="text1"/>
        </w:rPr>
        <w:t>The strengths of sensory circuit interventions lie in their ability to suppo</w:t>
      </w:r>
      <w:r w:rsidR="00F1106B" w:rsidRPr="003C773B">
        <w:rPr>
          <w:rFonts w:ascii="Calibri" w:hAnsi="Calibri" w:cs="Calibri"/>
          <w:color w:val="000000" w:themeColor="text1"/>
        </w:rPr>
        <w:t>rt</w:t>
      </w:r>
      <w:r w:rsidRPr="003C773B">
        <w:rPr>
          <w:rFonts w:ascii="Calibri" w:hAnsi="Calibri" w:cs="Calibri"/>
          <w:color w:val="000000" w:themeColor="text1"/>
        </w:rPr>
        <w:t xml:space="preserve"> both the physical and emotional regulation of children. These circuits address the sensory processing needs of children, particularly those with conditions such as hypermobility, by providing a structured set of activities that help regulate sensory input. This regulation, in turn, has positive effects on concentration, attention, and self-regulation, which are essential for successful engagement in classroom activities. Sensory circuits are also versatile and </w:t>
      </w:r>
      <w:r w:rsidR="00F1106B" w:rsidRPr="003C773B">
        <w:rPr>
          <w:rFonts w:ascii="Calibri" w:hAnsi="Calibri" w:cs="Calibri"/>
          <w:color w:val="000000" w:themeColor="text1"/>
        </w:rPr>
        <w:t>can be tailored</w:t>
      </w:r>
      <w:r w:rsidRPr="003C773B">
        <w:rPr>
          <w:rFonts w:ascii="Calibri" w:hAnsi="Calibri" w:cs="Calibri"/>
          <w:color w:val="000000" w:themeColor="text1"/>
        </w:rPr>
        <w:t xml:space="preserve"> to</w:t>
      </w:r>
      <w:r w:rsidR="00F1106B" w:rsidRPr="003C773B">
        <w:rPr>
          <w:rFonts w:ascii="Calibri" w:hAnsi="Calibri" w:cs="Calibri"/>
          <w:color w:val="000000" w:themeColor="text1"/>
        </w:rPr>
        <w:t xml:space="preserve"> cater to </w:t>
      </w:r>
      <w:r w:rsidRPr="003C773B">
        <w:rPr>
          <w:rFonts w:ascii="Calibri" w:hAnsi="Calibri" w:cs="Calibri"/>
          <w:color w:val="000000" w:themeColor="text1"/>
        </w:rPr>
        <w:t>the specific needs of individual pupils, ensuring a personalised approach to learning and development. They offer a holistic model of support, addressing the physical, emotional, and cognitive needs of children simultaneously</w:t>
      </w:r>
      <w:r w:rsidR="00E4661B" w:rsidRPr="003C773B">
        <w:rPr>
          <w:rFonts w:ascii="Calibri" w:hAnsi="Calibri" w:cs="Calibri"/>
          <w:color w:val="000000" w:themeColor="text1"/>
        </w:rPr>
        <w:t xml:space="preserve"> (Sensory Surroundings Limited, n.d.). </w:t>
      </w:r>
    </w:p>
    <w:p w14:paraId="58DA0D4D" w14:textId="65FCF4BC" w:rsidR="00C07628" w:rsidRPr="003C773B" w:rsidRDefault="00C07628" w:rsidP="00F3069F">
      <w:pPr>
        <w:spacing w:line="360" w:lineRule="auto"/>
        <w:rPr>
          <w:rFonts w:ascii="Calibri" w:hAnsi="Calibri" w:cs="Calibri"/>
          <w:color w:val="000000" w:themeColor="text1"/>
        </w:rPr>
      </w:pPr>
      <w:r w:rsidRPr="003C773B">
        <w:rPr>
          <w:rFonts w:ascii="Calibri" w:hAnsi="Calibri" w:cs="Calibri"/>
          <w:color w:val="000000" w:themeColor="text1"/>
        </w:rPr>
        <w:t>However, the implementation of sensory circuits does present some challenges. One of the primary concerns is the availability of resources. Sensory circuits often require specialized equipment such as wobble chairs, trampolines, or swings, which may not be readily available in all educational settings. The cost of purchasing such equipment could be a barrier, particularly for schools with limited budgets. Furthermore, schools may face logistical challenges in finding the space and time to accommodate these activities. Time constraints also present a potential obstacle to the implementation of sensory circuits. Incorporating sensory circuit activities into a busy school day can be challenging, particularly when academic pressures require a strict focus on curriculum delivery. Finding time to allow students to engage in sensory circuits, without disrupting academic lessons, may be difficult, particularly in schools with limited staff or tight schedules. Additionally, there may be challenges related to the pupil’s willingness or ability to engage with the sensory circuit activities. Some children may feel self-conscious or reluctant to participate in the activities, particularly if they involve movement that they perceive as unusual or different from their peers. Other children may struggle with the physical demands of the activities, such as those that require balance or coordination, which could result in frustration or disengagement.</w:t>
      </w:r>
    </w:p>
    <w:p w14:paraId="205A0D1D" w14:textId="77777777" w:rsidR="004935BD" w:rsidRPr="003C773B" w:rsidRDefault="004935BD" w:rsidP="00F3069F">
      <w:pPr>
        <w:spacing w:line="360" w:lineRule="auto"/>
        <w:rPr>
          <w:rFonts w:ascii="Calibri" w:hAnsi="Calibri" w:cs="Calibri"/>
          <w:color w:val="000000" w:themeColor="text1"/>
        </w:rPr>
      </w:pPr>
      <w:r w:rsidRPr="003C773B">
        <w:rPr>
          <w:rFonts w:ascii="Calibri" w:hAnsi="Calibri" w:cs="Calibri"/>
          <w:color w:val="000000" w:themeColor="text1"/>
        </w:rPr>
        <w:lastRenderedPageBreak/>
        <w:t xml:space="preserve">The Education Endowment Foundation (EEF) highlights that teaching assistant (TA) interventions can lead to moderate improvements, typically adding around four months of progress. However, the success of these interventions largely depends on how TAs are utilised. Interventions that focus on small groups or individuals tend to be more effective than general classroom assistance. Proper training for TAs to deliver focused, short-term interventions is a cost-efficient method to enhance student outcomes. For these interventions to work effectively, they require careful planning, targeted support, and ensuring that TAs’ roles complement, rather than substitute, teacher involvement (Education Endowment Foundation, 2021).  </w:t>
      </w:r>
    </w:p>
    <w:p w14:paraId="180AB047" w14:textId="6445770C" w:rsidR="00E4661B" w:rsidRPr="003C773B" w:rsidRDefault="00E4661B" w:rsidP="00F3069F">
      <w:pPr>
        <w:spacing w:line="360" w:lineRule="auto"/>
        <w:rPr>
          <w:rFonts w:ascii="Calibri" w:hAnsi="Calibri" w:cs="Calibri"/>
          <w:b/>
          <w:bCs/>
          <w:color w:val="000000" w:themeColor="text1"/>
          <w:u w:val="single"/>
        </w:rPr>
      </w:pPr>
      <w:r w:rsidRPr="003C773B">
        <w:rPr>
          <w:rFonts w:ascii="Calibri" w:hAnsi="Calibri" w:cs="Calibri"/>
          <w:b/>
          <w:bCs/>
          <w:color w:val="000000" w:themeColor="text1"/>
          <w:u w:val="single"/>
        </w:rPr>
        <w:t xml:space="preserve">Conclusion </w:t>
      </w:r>
    </w:p>
    <w:p w14:paraId="28AC4031" w14:textId="77777777" w:rsidR="00AE2414" w:rsidRDefault="00E4661B" w:rsidP="00AE2414">
      <w:pPr>
        <w:spacing w:line="360" w:lineRule="auto"/>
        <w:rPr>
          <w:rFonts w:ascii="Calibri" w:hAnsi="Calibri" w:cs="Calibri"/>
          <w:color w:val="000000" w:themeColor="text1"/>
        </w:rPr>
      </w:pPr>
      <w:r w:rsidRPr="003C773B">
        <w:rPr>
          <w:rFonts w:ascii="Calibri" w:hAnsi="Calibri" w:cs="Calibri"/>
          <w:color w:val="000000" w:themeColor="text1"/>
        </w:rPr>
        <w:t xml:space="preserve">In conclusion, sensory circuits represent a promising intervention for </w:t>
      </w:r>
      <w:r w:rsidR="00F1106B" w:rsidRPr="003C773B">
        <w:rPr>
          <w:rFonts w:ascii="Calibri" w:hAnsi="Calibri" w:cs="Calibri"/>
          <w:color w:val="000000" w:themeColor="text1"/>
        </w:rPr>
        <w:t xml:space="preserve">the cognitive </w:t>
      </w:r>
      <w:r w:rsidR="00725357" w:rsidRPr="003C773B">
        <w:rPr>
          <w:rFonts w:ascii="Calibri" w:hAnsi="Calibri" w:cs="Calibri"/>
          <w:color w:val="000000" w:themeColor="text1"/>
        </w:rPr>
        <w:t>as well</w:t>
      </w:r>
      <w:r w:rsidR="00F1106B" w:rsidRPr="003C773B">
        <w:rPr>
          <w:rFonts w:ascii="Calibri" w:hAnsi="Calibri" w:cs="Calibri"/>
          <w:color w:val="000000" w:themeColor="text1"/>
        </w:rPr>
        <w:t xml:space="preserve"> </w:t>
      </w:r>
      <w:r w:rsidR="00725357" w:rsidRPr="003C773B">
        <w:rPr>
          <w:rFonts w:ascii="Calibri" w:hAnsi="Calibri" w:cs="Calibri"/>
          <w:color w:val="000000" w:themeColor="text1"/>
        </w:rPr>
        <w:t xml:space="preserve">as </w:t>
      </w:r>
      <w:r w:rsidR="00F1106B" w:rsidRPr="003C773B">
        <w:rPr>
          <w:rFonts w:ascii="Calibri" w:hAnsi="Calibri" w:cs="Calibri"/>
          <w:color w:val="000000" w:themeColor="text1"/>
        </w:rPr>
        <w:t xml:space="preserve">developmental progress of children with </w:t>
      </w:r>
      <w:r w:rsidRPr="003C773B">
        <w:rPr>
          <w:rFonts w:ascii="Calibri" w:hAnsi="Calibri" w:cs="Calibri"/>
          <w:color w:val="000000" w:themeColor="text1"/>
        </w:rPr>
        <w:t xml:space="preserve">sensory challenges, such as the nine-year-old pupil with hypermobility discussed in this assignment. Sensory circuits have the potential to help children improve their concentration, self-regulation, and physical coordination, which can lead to better engagement in the classroom. The intervention is grounded in theories of learning and development, particularly those related to sensory integration and self-regulation. While the intervention has clear strengths, such as its ability to support a range of sensory needs, it also presents certain challenges, including time constraints and resource limitations. The involvement of multiple stakeholders, including teachers, support assistants, and parents, is crucial for the success of the intervention. </w:t>
      </w:r>
      <w:r w:rsidR="000540F8" w:rsidRPr="003C773B">
        <w:rPr>
          <w:rFonts w:ascii="Calibri" w:hAnsi="Calibri" w:cs="Calibri"/>
          <w:color w:val="000000" w:themeColor="text1"/>
        </w:rPr>
        <w:t>Providing further staff training</w:t>
      </w:r>
      <w:r w:rsidRPr="003C773B">
        <w:rPr>
          <w:rFonts w:ascii="Calibri" w:hAnsi="Calibri" w:cs="Calibri"/>
          <w:color w:val="000000" w:themeColor="text1"/>
        </w:rPr>
        <w:t xml:space="preserve"> may also be necessary to ensure that sensory circuits are implemented effectively. Looking forward, it would be beneficial to explore the possibility of rolling out sensory circuit interventions across the whole school, particularly for pupils who demonstrate similar sensory processing needs. Involving parents in the process could also enhance the effectiveness of the intervention, as consistency across home and school environments is key to achieving lasting improvements. Further training and professional development for staff would also be necessary to ensure that sensory circuits are implemented effectively and adapted to meet the diverse needs of pupils. Ultimately, the success of sensory circuits depends on continuous evaluation and adaptation to the specific needs of each pupil. By considering these factors, sensory circuits can become a valuable tool in supporting children’s learning and development.</w:t>
      </w:r>
    </w:p>
    <w:p w14:paraId="43A2719D" w14:textId="7D6F0F56" w:rsidR="00C07628" w:rsidRPr="00AE2414" w:rsidRDefault="00C07628" w:rsidP="00AE2414">
      <w:pPr>
        <w:spacing w:line="360" w:lineRule="auto"/>
        <w:rPr>
          <w:rFonts w:ascii="Calibri" w:hAnsi="Calibri" w:cs="Calibri"/>
          <w:color w:val="000000" w:themeColor="text1"/>
        </w:rPr>
      </w:pPr>
      <w:r w:rsidRPr="003C773B">
        <w:rPr>
          <w:rFonts w:ascii="Calibri" w:hAnsi="Calibri" w:cs="Calibri"/>
          <w:b/>
          <w:bCs/>
          <w:color w:val="000000" w:themeColor="text1"/>
          <w:u w:val="single"/>
        </w:rPr>
        <w:lastRenderedPageBreak/>
        <w:t>References</w:t>
      </w:r>
      <w:r w:rsidRPr="003C773B">
        <w:rPr>
          <w:rFonts w:ascii="Calibri" w:hAnsi="Calibri" w:cs="Calibri"/>
          <w:b/>
          <w:bCs/>
          <w:color w:val="000000" w:themeColor="text1"/>
        </w:rPr>
        <w:t xml:space="preserve"> </w:t>
      </w:r>
    </w:p>
    <w:p w14:paraId="6697BB2C" w14:textId="53CC8093" w:rsidR="004935BD" w:rsidRPr="00315634" w:rsidRDefault="004935BD" w:rsidP="00315634">
      <w:pPr>
        <w:pStyle w:val="NormalWeb"/>
        <w:numPr>
          <w:ilvl w:val="0"/>
          <w:numId w:val="1"/>
        </w:numPr>
        <w:shd w:val="clear" w:color="auto" w:fill="FFFFFF"/>
        <w:spacing w:line="360" w:lineRule="auto"/>
        <w:rPr>
          <w:rFonts w:ascii="Calibri" w:hAnsi="Calibri" w:cs="Calibri"/>
          <w:color w:val="000000"/>
        </w:rPr>
      </w:pPr>
      <w:r w:rsidRPr="00315634">
        <w:rPr>
          <w:rFonts w:ascii="Calibri" w:hAnsi="Calibri" w:cs="Calibri"/>
          <w:color w:val="000000"/>
        </w:rPr>
        <w:t>‌</w:t>
      </w:r>
      <w:r w:rsidRPr="00315634">
        <w:rPr>
          <w:rFonts w:ascii="Calibri" w:hAnsi="Calibri" w:cs="Calibri"/>
          <w:color w:val="000000" w:themeColor="text1"/>
        </w:rPr>
        <w:t xml:space="preserve">Ayres, J., Robbins, J., </w:t>
      </w:r>
      <w:proofErr w:type="spellStart"/>
      <w:r w:rsidRPr="00315634">
        <w:rPr>
          <w:rFonts w:ascii="Calibri" w:hAnsi="Calibri" w:cs="Calibri"/>
          <w:color w:val="000000" w:themeColor="text1"/>
        </w:rPr>
        <w:t>Mcatee</w:t>
      </w:r>
      <w:proofErr w:type="spellEnd"/>
      <w:r w:rsidRPr="00315634">
        <w:rPr>
          <w:rFonts w:ascii="Calibri" w:hAnsi="Calibri" w:cs="Calibri"/>
          <w:color w:val="000000" w:themeColor="text1"/>
        </w:rPr>
        <w:t xml:space="preserve">, S. and </w:t>
      </w:r>
      <w:proofErr w:type="spellStart"/>
      <w:r w:rsidRPr="00315634">
        <w:rPr>
          <w:rFonts w:ascii="Calibri" w:hAnsi="Calibri" w:cs="Calibri"/>
          <w:color w:val="000000" w:themeColor="text1"/>
        </w:rPr>
        <w:t>Pediatric</w:t>
      </w:r>
      <w:proofErr w:type="spellEnd"/>
      <w:r w:rsidRPr="00315634">
        <w:rPr>
          <w:rFonts w:ascii="Calibri" w:hAnsi="Calibri" w:cs="Calibri"/>
          <w:color w:val="000000" w:themeColor="text1"/>
        </w:rPr>
        <w:t xml:space="preserve"> Therapy Network (2005).</w:t>
      </w:r>
      <w:r w:rsidRPr="00315634">
        <w:rPr>
          <w:rStyle w:val="apple-converted-space"/>
          <w:rFonts w:ascii="Calibri" w:eastAsiaTheme="majorEastAsia" w:hAnsi="Calibri" w:cs="Calibri"/>
          <w:color w:val="000000" w:themeColor="text1"/>
        </w:rPr>
        <w:t> </w:t>
      </w:r>
      <w:r w:rsidRPr="00315634">
        <w:rPr>
          <w:rFonts w:ascii="Calibri" w:hAnsi="Calibri" w:cs="Calibri"/>
          <w:color w:val="000000" w:themeColor="text1"/>
        </w:rPr>
        <w:t>Sensory integration and the child: understanding hidden sensory challenges. Los Angeles, CA: Western Psychological Services</w:t>
      </w:r>
    </w:p>
    <w:p w14:paraId="65F46937" w14:textId="77777777" w:rsidR="004935BD" w:rsidRPr="00315634" w:rsidRDefault="004935BD" w:rsidP="00315634">
      <w:pPr>
        <w:pStyle w:val="NormalWeb"/>
        <w:numPr>
          <w:ilvl w:val="0"/>
          <w:numId w:val="1"/>
        </w:numPr>
        <w:shd w:val="clear" w:color="auto" w:fill="FFFFFF"/>
        <w:spacing w:before="0" w:beforeAutospacing="0" w:after="0" w:afterAutospacing="0" w:line="360" w:lineRule="auto"/>
        <w:rPr>
          <w:rFonts w:ascii="Calibri" w:hAnsi="Calibri" w:cs="Calibri"/>
          <w:color w:val="000000" w:themeColor="text1"/>
        </w:rPr>
      </w:pPr>
      <w:r w:rsidRPr="00315634">
        <w:rPr>
          <w:rFonts w:ascii="Calibri" w:hAnsi="Calibri" w:cs="Calibri"/>
          <w:color w:val="000000" w:themeColor="text1"/>
        </w:rPr>
        <w:t>Children’s Choice Therapy. (2023).</w:t>
      </w:r>
      <w:r w:rsidRPr="00315634">
        <w:rPr>
          <w:rStyle w:val="apple-converted-space"/>
          <w:rFonts w:ascii="Calibri" w:eastAsiaTheme="majorEastAsia" w:hAnsi="Calibri" w:cs="Calibri"/>
          <w:color w:val="000000" w:themeColor="text1"/>
        </w:rPr>
        <w:t> </w:t>
      </w:r>
      <w:r w:rsidRPr="00315634">
        <w:rPr>
          <w:rFonts w:ascii="Calibri" w:hAnsi="Calibri" w:cs="Calibri"/>
          <w:color w:val="000000" w:themeColor="text1"/>
        </w:rPr>
        <w:t xml:space="preserve">Sensory Circuits – Children’s Choice Therapy. [online] Available at: </w:t>
      </w:r>
      <w:hyperlink r:id="rId8" w:history="1">
        <w:r w:rsidRPr="00315634">
          <w:rPr>
            <w:rStyle w:val="Hyperlink"/>
            <w:rFonts w:ascii="Calibri" w:hAnsi="Calibri" w:cs="Calibri"/>
            <w:color w:val="000000" w:themeColor="text1"/>
          </w:rPr>
          <w:t>https://childrenschoicetherapy.co.uk/sensory-circuits/</w:t>
        </w:r>
      </w:hyperlink>
      <w:r w:rsidRPr="00315634">
        <w:rPr>
          <w:rFonts w:ascii="Calibri" w:hAnsi="Calibri" w:cs="Calibri"/>
          <w:color w:val="000000" w:themeColor="text1"/>
        </w:rPr>
        <w:t xml:space="preserve">. </w:t>
      </w:r>
    </w:p>
    <w:p w14:paraId="6C7541D6" w14:textId="3144230B" w:rsidR="004935BD" w:rsidRPr="00315634" w:rsidRDefault="004935BD" w:rsidP="00315634">
      <w:pPr>
        <w:pStyle w:val="NormalWeb"/>
        <w:numPr>
          <w:ilvl w:val="0"/>
          <w:numId w:val="1"/>
        </w:numPr>
        <w:shd w:val="clear" w:color="auto" w:fill="FFFFFF"/>
        <w:spacing w:before="0" w:beforeAutospacing="0" w:after="0" w:afterAutospacing="0" w:line="360" w:lineRule="auto"/>
        <w:rPr>
          <w:rFonts w:ascii="Calibri" w:hAnsi="Calibri" w:cs="Calibri"/>
          <w:color w:val="000000" w:themeColor="text1"/>
        </w:rPr>
      </w:pPr>
      <w:r w:rsidRPr="00315634">
        <w:rPr>
          <w:rFonts w:ascii="Calibri" w:hAnsi="Calibri" w:cs="Calibri"/>
          <w:color w:val="000000" w:themeColor="text1"/>
        </w:rPr>
        <w:t>Clark, A. (2013). Whatever next? Predictive brains, situated agents, and the future of cognitive science.</w:t>
      </w:r>
      <w:r w:rsidRPr="00315634">
        <w:rPr>
          <w:rStyle w:val="apple-converted-space"/>
          <w:rFonts w:ascii="Calibri" w:eastAsiaTheme="majorEastAsia" w:hAnsi="Calibri" w:cs="Calibri"/>
          <w:color w:val="000000" w:themeColor="text1"/>
        </w:rPr>
        <w:t> </w:t>
      </w:r>
      <w:r w:rsidR="00315634" w:rsidRPr="00315634">
        <w:rPr>
          <w:rFonts w:ascii="Calibri" w:hAnsi="Calibri" w:cs="Calibri"/>
          <w:color w:val="000000" w:themeColor="text1"/>
        </w:rPr>
        <w:t>Behavioural</w:t>
      </w:r>
      <w:r w:rsidRPr="00315634">
        <w:rPr>
          <w:rFonts w:ascii="Calibri" w:hAnsi="Calibri" w:cs="Calibri"/>
          <w:color w:val="000000" w:themeColor="text1"/>
        </w:rPr>
        <w:t xml:space="preserve"> and Brain Sciences, 36(3), pp.181–204. </w:t>
      </w:r>
      <w:proofErr w:type="spellStart"/>
      <w:r w:rsidRPr="00315634">
        <w:rPr>
          <w:rFonts w:ascii="Calibri" w:hAnsi="Calibri" w:cs="Calibri"/>
          <w:color w:val="000000" w:themeColor="text1"/>
        </w:rPr>
        <w:t>doi</w:t>
      </w:r>
      <w:proofErr w:type="spellEnd"/>
      <w:r w:rsidRPr="00315634">
        <w:rPr>
          <w:rFonts w:ascii="Calibri" w:hAnsi="Calibri" w:cs="Calibri"/>
          <w:color w:val="000000" w:themeColor="text1"/>
        </w:rPr>
        <w:t xml:space="preserve">: </w:t>
      </w:r>
      <w:hyperlink r:id="rId9" w:history="1">
        <w:r w:rsidRPr="00315634">
          <w:rPr>
            <w:rStyle w:val="Hyperlink"/>
            <w:rFonts w:ascii="Calibri" w:hAnsi="Calibri" w:cs="Calibri"/>
          </w:rPr>
          <w:t>https://doi.org/10.1017/s0140525x12000477</w:t>
        </w:r>
      </w:hyperlink>
      <w:r w:rsidRPr="00315634">
        <w:rPr>
          <w:rFonts w:ascii="Calibri" w:hAnsi="Calibri" w:cs="Calibri"/>
          <w:color w:val="000000" w:themeColor="text1"/>
        </w:rPr>
        <w:t xml:space="preserve"> </w:t>
      </w:r>
    </w:p>
    <w:p w14:paraId="696BAD4B" w14:textId="77777777" w:rsidR="004935BD" w:rsidRPr="00315634" w:rsidRDefault="004935BD" w:rsidP="00315634">
      <w:pPr>
        <w:pStyle w:val="NormalWeb"/>
        <w:numPr>
          <w:ilvl w:val="0"/>
          <w:numId w:val="1"/>
        </w:numPr>
        <w:shd w:val="clear" w:color="auto" w:fill="FFFFFF"/>
        <w:spacing w:before="0" w:beforeAutospacing="0" w:after="0" w:afterAutospacing="0" w:line="360" w:lineRule="auto"/>
        <w:rPr>
          <w:rFonts w:ascii="Calibri" w:hAnsi="Calibri" w:cs="Calibri"/>
          <w:color w:val="000000"/>
        </w:rPr>
      </w:pPr>
      <w:r w:rsidRPr="00315634">
        <w:rPr>
          <w:rFonts w:ascii="Calibri" w:hAnsi="Calibri" w:cs="Calibri"/>
          <w:color w:val="000000"/>
        </w:rPr>
        <w:t>Education Endowment Foundation (2021).</w:t>
      </w:r>
      <w:r w:rsidRPr="00315634">
        <w:rPr>
          <w:rStyle w:val="apple-converted-space"/>
          <w:rFonts w:ascii="Calibri" w:eastAsiaTheme="majorEastAsia" w:hAnsi="Calibri" w:cs="Calibri"/>
          <w:color w:val="000000"/>
        </w:rPr>
        <w:t> </w:t>
      </w:r>
      <w:r w:rsidRPr="00315634">
        <w:rPr>
          <w:rFonts w:ascii="Calibri" w:hAnsi="Calibri" w:cs="Calibri"/>
          <w:color w:val="000000"/>
        </w:rPr>
        <w:t xml:space="preserve">Teaching Assistant Interventions. [online] EEF. Available at: </w:t>
      </w:r>
      <w:hyperlink r:id="rId10" w:history="1">
        <w:r w:rsidRPr="00315634">
          <w:rPr>
            <w:rStyle w:val="Hyperlink"/>
            <w:rFonts w:ascii="Calibri" w:hAnsi="Calibri" w:cs="Calibri"/>
          </w:rPr>
          <w:t>https://educationendowmentfoundation.org.uk/education-evidence/teaching-learning-toolkit/teaching-assistant-interventions</w:t>
        </w:r>
      </w:hyperlink>
      <w:r w:rsidRPr="00315634">
        <w:rPr>
          <w:rFonts w:ascii="Calibri" w:hAnsi="Calibri" w:cs="Calibri"/>
          <w:color w:val="000000"/>
        </w:rPr>
        <w:t xml:space="preserve"> .</w:t>
      </w:r>
    </w:p>
    <w:p w14:paraId="62E40E81" w14:textId="77777777" w:rsidR="004935BD" w:rsidRPr="00315634" w:rsidRDefault="004935BD" w:rsidP="00315634">
      <w:pPr>
        <w:pStyle w:val="NormalWeb"/>
        <w:numPr>
          <w:ilvl w:val="0"/>
          <w:numId w:val="1"/>
        </w:numPr>
        <w:shd w:val="clear" w:color="auto" w:fill="FFFFFF"/>
        <w:spacing w:before="0" w:beforeAutospacing="0" w:after="0" w:afterAutospacing="0" w:line="360" w:lineRule="auto"/>
        <w:rPr>
          <w:rFonts w:ascii="Calibri" w:hAnsi="Calibri" w:cs="Calibri"/>
          <w:color w:val="000000" w:themeColor="text1"/>
        </w:rPr>
      </w:pPr>
      <w:r w:rsidRPr="00315634">
        <w:rPr>
          <w:rFonts w:ascii="Calibri" w:hAnsi="Calibri" w:cs="Calibri"/>
          <w:color w:val="000000" w:themeColor="text1"/>
        </w:rPr>
        <w:t>Estyn. (2024).</w:t>
      </w:r>
      <w:r w:rsidRPr="00315634">
        <w:rPr>
          <w:rStyle w:val="apple-converted-space"/>
          <w:rFonts w:ascii="Calibri" w:eastAsiaTheme="majorEastAsia" w:hAnsi="Calibri" w:cs="Calibri"/>
          <w:color w:val="000000" w:themeColor="text1"/>
        </w:rPr>
        <w:t> </w:t>
      </w:r>
      <w:r w:rsidRPr="00315634">
        <w:rPr>
          <w:rFonts w:ascii="Calibri" w:hAnsi="Calibri" w:cs="Calibri"/>
          <w:color w:val="000000" w:themeColor="text1"/>
        </w:rPr>
        <w:t xml:space="preserve">Raising the attendance of vulnerable pupils through highly effective individual well-being support - Estyn. [online] Available at: </w:t>
      </w:r>
      <w:hyperlink r:id="rId11" w:history="1">
        <w:r w:rsidRPr="00315634">
          <w:rPr>
            <w:rStyle w:val="Hyperlink"/>
            <w:rFonts w:ascii="Calibri" w:hAnsi="Calibri" w:cs="Calibri"/>
            <w:color w:val="000000" w:themeColor="text1"/>
          </w:rPr>
          <w:t>https://estyn.gov.wales/improvement-resources/raising-the-attendance-of-vulnerable-pupils-through-highly-effective-individual-well-being-support/</w:t>
        </w:r>
      </w:hyperlink>
      <w:r w:rsidRPr="00315634">
        <w:rPr>
          <w:rFonts w:ascii="Calibri" w:hAnsi="Calibri" w:cs="Calibri"/>
          <w:color w:val="000000" w:themeColor="text1"/>
        </w:rPr>
        <w:t xml:space="preserve">  [Accessed 11 Mar. 2025].  </w:t>
      </w:r>
    </w:p>
    <w:p w14:paraId="620D5928" w14:textId="77777777" w:rsidR="004935BD" w:rsidRPr="00315634" w:rsidRDefault="004935BD" w:rsidP="00315634">
      <w:pPr>
        <w:pStyle w:val="NormalWeb"/>
        <w:numPr>
          <w:ilvl w:val="0"/>
          <w:numId w:val="1"/>
        </w:numPr>
        <w:shd w:val="clear" w:color="auto" w:fill="FFFFFF"/>
        <w:spacing w:before="0" w:beforeAutospacing="0" w:after="0" w:afterAutospacing="0" w:line="360" w:lineRule="auto"/>
        <w:rPr>
          <w:rFonts w:ascii="Calibri" w:hAnsi="Calibri" w:cs="Calibri"/>
          <w:color w:val="000000" w:themeColor="text1"/>
        </w:rPr>
      </w:pPr>
      <w:r w:rsidRPr="00315634">
        <w:rPr>
          <w:rFonts w:ascii="Calibri" w:hAnsi="Calibri" w:cs="Calibri"/>
          <w:color w:val="000000" w:themeColor="text1"/>
        </w:rPr>
        <w:t>Goleman, D. (1995).</w:t>
      </w:r>
      <w:r w:rsidRPr="00315634">
        <w:rPr>
          <w:rStyle w:val="apple-converted-space"/>
          <w:rFonts w:ascii="Calibri" w:eastAsiaTheme="majorEastAsia" w:hAnsi="Calibri" w:cs="Calibri"/>
          <w:color w:val="000000" w:themeColor="text1"/>
        </w:rPr>
        <w:t> </w:t>
      </w:r>
      <w:r w:rsidRPr="00315634">
        <w:rPr>
          <w:rFonts w:ascii="Calibri" w:hAnsi="Calibri" w:cs="Calibri"/>
          <w:color w:val="000000" w:themeColor="text1"/>
        </w:rPr>
        <w:t>Emotional Intelligence: Why It Can Matter More than IQ. Bantam.</w:t>
      </w:r>
    </w:p>
    <w:p w14:paraId="35223BC2" w14:textId="77777777" w:rsidR="004935BD" w:rsidRPr="00315634" w:rsidRDefault="004935BD" w:rsidP="00315634">
      <w:pPr>
        <w:pStyle w:val="NormalWeb"/>
        <w:numPr>
          <w:ilvl w:val="0"/>
          <w:numId w:val="1"/>
        </w:numPr>
        <w:shd w:val="clear" w:color="auto" w:fill="FFFFFF"/>
        <w:spacing w:before="0" w:beforeAutospacing="0" w:after="0" w:afterAutospacing="0" w:line="360" w:lineRule="auto"/>
        <w:rPr>
          <w:rFonts w:ascii="Calibri" w:hAnsi="Calibri" w:cs="Calibri"/>
          <w:color w:val="000000"/>
        </w:rPr>
      </w:pPr>
      <w:r w:rsidRPr="00315634">
        <w:rPr>
          <w:rFonts w:ascii="Calibri" w:hAnsi="Calibri" w:cs="Calibri"/>
          <w:color w:val="000000"/>
        </w:rPr>
        <w:t>Miller, L. (2009). Perspectives on Sensory Processing disorder: a Call for Translational Research.</w:t>
      </w:r>
      <w:r w:rsidRPr="00315634">
        <w:rPr>
          <w:rStyle w:val="apple-converted-space"/>
          <w:rFonts w:ascii="Calibri" w:eastAsiaTheme="majorEastAsia" w:hAnsi="Calibri" w:cs="Calibri"/>
          <w:color w:val="000000"/>
        </w:rPr>
        <w:t> </w:t>
      </w:r>
      <w:r w:rsidRPr="00315634">
        <w:rPr>
          <w:rFonts w:ascii="Calibri" w:hAnsi="Calibri" w:cs="Calibri"/>
          <w:color w:val="000000"/>
        </w:rPr>
        <w:t xml:space="preserve">Frontiers in Integrative Neuroscience, 3(22). </w:t>
      </w:r>
      <w:proofErr w:type="spellStart"/>
      <w:r w:rsidRPr="00315634">
        <w:rPr>
          <w:rFonts w:ascii="Calibri" w:hAnsi="Calibri" w:cs="Calibri"/>
          <w:color w:val="000000"/>
        </w:rPr>
        <w:t>doi</w:t>
      </w:r>
      <w:proofErr w:type="spellEnd"/>
      <w:r w:rsidRPr="00315634">
        <w:rPr>
          <w:rFonts w:ascii="Calibri" w:hAnsi="Calibri" w:cs="Calibri"/>
          <w:color w:val="000000"/>
        </w:rPr>
        <w:t xml:space="preserve">: </w:t>
      </w:r>
      <w:hyperlink r:id="rId12" w:history="1">
        <w:r w:rsidRPr="00315634">
          <w:rPr>
            <w:rStyle w:val="Hyperlink"/>
            <w:rFonts w:ascii="Calibri" w:hAnsi="Calibri" w:cs="Calibri"/>
          </w:rPr>
          <w:t>https://doi.org/10.3389/neuro.07.022.2009</w:t>
        </w:r>
      </w:hyperlink>
      <w:r w:rsidRPr="00315634">
        <w:rPr>
          <w:rFonts w:ascii="Calibri" w:hAnsi="Calibri" w:cs="Calibri"/>
          <w:color w:val="000000"/>
        </w:rPr>
        <w:t xml:space="preserve"> </w:t>
      </w:r>
    </w:p>
    <w:p w14:paraId="7D5B4E59" w14:textId="77777777" w:rsidR="004935BD" w:rsidRPr="00315634" w:rsidRDefault="004935BD" w:rsidP="00315634">
      <w:pPr>
        <w:pStyle w:val="NormalWeb"/>
        <w:numPr>
          <w:ilvl w:val="0"/>
          <w:numId w:val="1"/>
        </w:numPr>
        <w:shd w:val="clear" w:color="auto" w:fill="FFFFFF"/>
        <w:spacing w:before="0" w:beforeAutospacing="0" w:after="0" w:afterAutospacing="0" w:line="360" w:lineRule="auto"/>
        <w:rPr>
          <w:rFonts w:ascii="Calibri" w:hAnsi="Calibri" w:cs="Calibri"/>
          <w:color w:val="000000" w:themeColor="text1"/>
        </w:rPr>
      </w:pPr>
      <w:r w:rsidRPr="00315634">
        <w:rPr>
          <w:rFonts w:ascii="Calibri" w:hAnsi="Calibri" w:cs="Calibri"/>
          <w:color w:val="000000" w:themeColor="text1"/>
        </w:rPr>
        <w:t>Miller, L. J. (2006). Sensory Processing Disorder: Implications for the Classroom. Journal of Educational Psychology, 28(1), 87-102.</w:t>
      </w:r>
    </w:p>
    <w:p w14:paraId="32D9BA79" w14:textId="77777777" w:rsidR="004935BD" w:rsidRPr="00315634" w:rsidRDefault="004935BD" w:rsidP="00315634">
      <w:pPr>
        <w:pStyle w:val="NormalWeb"/>
        <w:numPr>
          <w:ilvl w:val="0"/>
          <w:numId w:val="1"/>
        </w:numPr>
        <w:shd w:val="clear" w:color="auto" w:fill="FFFFFF"/>
        <w:spacing w:before="0" w:beforeAutospacing="0" w:after="0" w:afterAutospacing="0" w:line="360" w:lineRule="auto"/>
        <w:rPr>
          <w:rFonts w:ascii="Calibri" w:hAnsi="Calibri" w:cs="Calibri"/>
          <w:color w:val="000000" w:themeColor="text1"/>
        </w:rPr>
      </w:pPr>
      <w:r w:rsidRPr="00315634">
        <w:rPr>
          <w:rFonts w:ascii="Calibri" w:hAnsi="Calibri" w:cs="Calibri"/>
          <w:color w:val="000000" w:themeColor="text1"/>
        </w:rPr>
        <w:t>Miller, L.J., Anzalone, M.E., Lane, S.J., Cermak, S.A. and Osten, E.T. (2007). Concept Evolution in Sensory Integration: A Proposed Nosology for Diagnosis.</w:t>
      </w:r>
      <w:r w:rsidRPr="00315634">
        <w:rPr>
          <w:rStyle w:val="apple-converted-space"/>
          <w:rFonts w:ascii="Calibri" w:eastAsiaTheme="majorEastAsia" w:hAnsi="Calibri" w:cs="Calibri"/>
          <w:color w:val="000000" w:themeColor="text1"/>
        </w:rPr>
        <w:t> </w:t>
      </w:r>
      <w:r w:rsidRPr="00315634">
        <w:rPr>
          <w:rFonts w:ascii="Calibri" w:hAnsi="Calibri" w:cs="Calibri"/>
          <w:color w:val="000000" w:themeColor="text1"/>
        </w:rPr>
        <w:t xml:space="preserve">American Journal of Occupational Therapy, 61(2), pp.135–140. </w:t>
      </w:r>
      <w:proofErr w:type="spellStart"/>
      <w:proofErr w:type="gramStart"/>
      <w:r w:rsidRPr="00315634">
        <w:rPr>
          <w:rFonts w:ascii="Calibri" w:hAnsi="Calibri" w:cs="Calibri"/>
          <w:color w:val="000000" w:themeColor="text1"/>
        </w:rPr>
        <w:t>doi</w:t>
      </w:r>
      <w:proofErr w:type="spellEnd"/>
      <w:r w:rsidRPr="00315634">
        <w:rPr>
          <w:rFonts w:ascii="Calibri" w:hAnsi="Calibri" w:cs="Calibri"/>
          <w:color w:val="000000" w:themeColor="text1"/>
        </w:rPr>
        <w:t>:.</w:t>
      </w:r>
      <w:proofErr w:type="gramEnd"/>
      <w:r w:rsidRPr="00315634">
        <w:rPr>
          <w:rFonts w:ascii="Calibri" w:hAnsi="Calibri" w:cs="Calibri"/>
          <w:color w:val="000000" w:themeColor="text1"/>
        </w:rPr>
        <w:t xml:space="preserve">  </w:t>
      </w:r>
    </w:p>
    <w:p w14:paraId="65D37D76" w14:textId="77777777" w:rsidR="004935BD" w:rsidRPr="00315634" w:rsidRDefault="004935BD" w:rsidP="00315634">
      <w:pPr>
        <w:pStyle w:val="NormalWeb"/>
        <w:numPr>
          <w:ilvl w:val="0"/>
          <w:numId w:val="1"/>
        </w:numPr>
        <w:shd w:val="clear" w:color="auto" w:fill="FFFFFF"/>
        <w:spacing w:before="0" w:beforeAutospacing="0" w:after="0" w:afterAutospacing="0" w:line="360" w:lineRule="auto"/>
        <w:rPr>
          <w:rFonts w:ascii="Calibri" w:hAnsi="Calibri" w:cs="Calibri"/>
          <w:color w:val="000000" w:themeColor="text1"/>
        </w:rPr>
      </w:pPr>
      <w:r w:rsidRPr="00315634">
        <w:rPr>
          <w:rFonts w:ascii="Calibri" w:hAnsi="Calibri" w:cs="Calibri"/>
          <w:color w:val="000000" w:themeColor="text1"/>
        </w:rPr>
        <w:t>Piaget, J. (1952).</w:t>
      </w:r>
      <w:r w:rsidRPr="00315634">
        <w:rPr>
          <w:rStyle w:val="apple-converted-space"/>
          <w:rFonts w:ascii="Calibri" w:eastAsiaTheme="majorEastAsia" w:hAnsi="Calibri" w:cs="Calibri"/>
          <w:color w:val="000000" w:themeColor="text1"/>
        </w:rPr>
        <w:t> </w:t>
      </w:r>
      <w:r w:rsidRPr="00315634">
        <w:rPr>
          <w:rFonts w:ascii="Calibri" w:hAnsi="Calibri" w:cs="Calibri"/>
          <w:color w:val="000000" w:themeColor="text1"/>
        </w:rPr>
        <w:t>The Origin of Intelligence in the Child. International Universities Press.</w:t>
      </w:r>
    </w:p>
    <w:p w14:paraId="7D80F8F9" w14:textId="77777777" w:rsidR="004935BD" w:rsidRPr="00315634" w:rsidRDefault="004935BD" w:rsidP="00315634">
      <w:pPr>
        <w:pStyle w:val="NormalWeb"/>
        <w:numPr>
          <w:ilvl w:val="0"/>
          <w:numId w:val="1"/>
        </w:numPr>
        <w:shd w:val="clear" w:color="auto" w:fill="FFFFFF"/>
        <w:spacing w:before="0" w:beforeAutospacing="0" w:after="0" w:afterAutospacing="0" w:line="360" w:lineRule="auto"/>
        <w:rPr>
          <w:rFonts w:ascii="Calibri" w:hAnsi="Calibri" w:cs="Calibri"/>
          <w:color w:val="000000" w:themeColor="text1"/>
        </w:rPr>
      </w:pPr>
      <w:r w:rsidRPr="00315634">
        <w:rPr>
          <w:rFonts w:ascii="Calibri" w:hAnsi="Calibri" w:cs="Calibri"/>
          <w:color w:val="000000" w:themeColor="text1"/>
        </w:rPr>
        <w:lastRenderedPageBreak/>
        <w:t>Sensory Surroundings Limited. (n.d.).</w:t>
      </w:r>
      <w:r w:rsidRPr="00315634">
        <w:rPr>
          <w:rStyle w:val="apple-converted-space"/>
          <w:rFonts w:ascii="Calibri" w:eastAsiaTheme="majorEastAsia" w:hAnsi="Calibri" w:cs="Calibri"/>
          <w:color w:val="000000" w:themeColor="text1"/>
        </w:rPr>
        <w:t> </w:t>
      </w:r>
      <w:r w:rsidRPr="00315634">
        <w:rPr>
          <w:rFonts w:ascii="Calibri" w:hAnsi="Calibri" w:cs="Calibri"/>
          <w:color w:val="000000" w:themeColor="text1"/>
        </w:rPr>
        <w:t xml:space="preserve">Five benefits of sensory circuits for children. [online] Available at: </w:t>
      </w:r>
      <w:hyperlink r:id="rId13" w:history="1">
        <w:r w:rsidRPr="00315634">
          <w:rPr>
            <w:rStyle w:val="Hyperlink"/>
            <w:rFonts w:ascii="Calibri" w:hAnsi="Calibri" w:cs="Calibri"/>
            <w:color w:val="000000" w:themeColor="text1"/>
          </w:rPr>
          <w:t>http</w:t>
        </w:r>
        <w:r w:rsidRPr="00315634">
          <w:rPr>
            <w:rStyle w:val="Hyperlink"/>
            <w:rFonts w:ascii="Calibri" w:hAnsi="Calibri" w:cs="Calibri"/>
            <w:color w:val="000000" w:themeColor="text1"/>
          </w:rPr>
          <w:t>s</w:t>
        </w:r>
        <w:r w:rsidRPr="00315634">
          <w:rPr>
            <w:rStyle w:val="Hyperlink"/>
            <w:rFonts w:ascii="Calibri" w:hAnsi="Calibri" w:cs="Calibri"/>
            <w:color w:val="000000" w:themeColor="text1"/>
          </w:rPr>
          <w:t>://sensorysurroundings.co.uk/blogs/news/five-benefits-of-sensory-circuits-for-children</w:t>
        </w:r>
      </w:hyperlink>
      <w:r w:rsidRPr="00315634">
        <w:rPr>
          <w:rFonts w:ascii="Calibri" w:hAnsi="Calibri" w:cs="Calibri"/>
          <w:color w:val="000000" w:themeColor="text1"/>
        </w:rPr>
        <w:t xml:space="preserve">. </w:t>
      </w:r>
    </w:p>
    <w:p w14:paraId="57DC51E1" w14:textId="77777777" w:rsidR="004935BD" w:rsidRPr="00315634" w:rsidRDefault="004935BD" w:rsidP="00315634">
      <w:pPr>
        <w:pStyle w:val="NormalWeb"/>
        <w:numPr>
          <w:ilvl w:val="0"/>
          <w:numId w:val="1"/>
        </w:numPr>
        <w:shd w:val="clear" w:color="auto" w:fill="FFFFFF"/>
        <w:spacing w:before="0" w:beforeAutospacing="0" w:after="0" w:afterAutospacing="0" w:line="360" w:lineRule="auto"/>
        <w:rPr>
          <w:rFonts w:ascii="Calibri" w:hAnsi="Calibri" w:cs="Calibri"/>
          <w:color w:val="000000" w:themeColor="text1"/>
        </w:rPr>
      </w:pPr>
      <w:r w:rsidRPr="00315634">
        <w:rPr>
          <w:rFonts w:ascii="Calibri" w:hAnsi="Calibri" w:cs="Calibri"/>
          <w:color w:val="000000" w:themeColor="text1"/>
        </w:rPr>
        <w:t>Vygotsky, L. (1978).</w:t>
      </w:r>
      <w:r w:rsidRPr="00315634">
        <w:rPr>
          <w:rStyle w:val="apple-converted-space"/>
          <w:rFonts w:ascii="Calibri" w:eastAsiaTheme="majorEastAsia" w:hAnsi="Calibri" w:cs="Calibri"/>
          <w:color w:val="000000" w:themeColor="text1"/>
        </w:rPr>
        <w:t> </w:t>
      </w:r>
      <w:r w:rsidRPr="00315634">
        <w:rPr>
          <w:rFonts w:ascii="Calibri" w:hAnsi="Calibri" w:cs="Calibri"/>
          <w:color w:val="000000" w:themeColor="text1"/>
        </w:rPr>
        <w:t>Mind in Society: The Development of Higher Psychological Processes. Cambridge: Harvard University Press.</w:t>
      </w:r>
    </w:p>
    <w:p w14:paraId="36A7D5FC" w14:textId="77777777" w:rsidR="004935BD" w:rsidRDefault="004935BD" w:rsidP="000C1B19">
      <w:pPr>
        <w:pStyle w:val="NormalWeb"/>
        <w:shd w:val="clear" w:color="auto" w:fill="FFFFFF"/>
        <w:spacing w:before="0" w:beforeAutospacing="0" w:after="0" w:afterAutospacing="0" w:line="360" w:lineRule="atLeast"/>
        <w:ind w:left="720"/>
        <w:rPr>
          <w:rFonts w:ascii="Calibri" w:hAnsi="Calibri" w:cs="Calibri"/>
          <w:color w:val="000000"/>
          <w:sz w:val="27"/>
          <w:szCs w:val="27"/>
        </w:rPr>
      </w:pPr>
    </w:p>
    <w:p w14:paraId="56197B3E" w14:textId="77777777" w:rsidR="000C1B19" w:rsidRDefault="000C1B19" w:rsidP="00647802">
      <w:pPr>
        <w:pStyle w:val="NormalWeb"/>
        <w:shd w:val="clear" w:color="auto" w:fill="FFFFFF"/>
        <w:spacing w:before="0" w:beforeAutospacing="0" w:after="0" w:afterAutospacing="0" w:line="360" w:lineRule="atLeast"/>
        <w:ind w:left="720"/>
        <w:rPr>
          <w:rFonts w:ascii="Calibri" w:hAnsi="Calibri" w:cs="Calibri"/>
          <w:color w:val="000000"/>
        </w:rPr>
      </w:pPr>
    </w:p>
    <w:p w14:paraId="6DFD3E09" w14:textId="77777777" w:rsidR="000C1B19" w:rsidRDefault="000C1B19" w:rsidP="00647802">
      <w:pPr>
        <w:pStyle w:val="NormalWeb"/>
        <w:shd w:val="clear" w:color="auto" w:fill="FFFFFF"/>
        <w:spacing w:before="0" w:beforeAutospacing="0" w:after="0" w:afterAutospacing="0" w:line="360" w:lineRule="atLeast"/>
        <w:ind w:left="720"/>
        <w:rPr>
          <w:rFonts w:ascii="Calibri" w:hAnsi="Calibri" w:cs="Calibri"/>
          <w:color w:val="000000"/>
        </w:rPr>
      </w:pPr>
    </w:p>
    <w:p w14:paraId="3E2C51AF" w14:textId="77777777" w:rsidR="003C773B" w:rsidRDefault="003C773B" w:rsidP="00647802">
      <w:pPr>
        <w:pStyle w:val="NormalWeb"/>
        <w:shd w:val="clear" w:color="auto" w:fill="FFFFFF"/>
        <w:spacing w:before="0" w:beforeAutospacing="0" w:after="0" w:afterAutospacing="0" w:line="360" w:lineRule="atLeast"/>
        <w:ind w:left="720"/>
        <w:rPr>
          <w:rFonts w:ascii="Calibri" w:hAnsi="Calibri" w:cs="Calibri"/>
          <w:color w:val="000000" w:themeColor="text1"/>
        </w:rPr>
      </w:pPr>
    </w:p>
    <w:p w14:paraId="3C79F706" w14:textId="77777777" w:rsidR="003C773B" w:rsidRDefault="003C773B" w:rsidP="00647802">
      <w:pPr>
        <w:pStyle w:val="NormalWeb"/>
        <w:shd w:val="clear" w:color="auto" w:fill="FFFFFF"/>
        <w:spacing w:before="0" w:beforeAutospacing="0" w:after="0" w:afterAutospacing="0" w:line="360" w:lineRule="atLeast"/>
        <w:ind w:left="720"/>
        <w:rPr>
          <w:rFonts w:ascii="Calibri" w:hAnsi="Calibri" w:cs="Calibri"/>
          <w:color w:val="000000" w:themeColor="text1"/>
        </w:rPr>
      </w:pPr>
    </w:p>
    <w:p w14:paraId="22B30BB4" w14:textId="45467EC4" w:rsidR="00E4661B" w:rsidRPr="00647802" w:rsidRDefault="00647802" w:rsidP="00647802">
      <w:pPr>
        <w:pStyle w:val="NormalWeb"/>
        <w:shd w:val="clear" w:color="auto" w:fill="FFFFFF"/>
        <w:spacing w:before="0" w:beforeAutospacing="0" w:after="0" w:afterAutospacing="0" w:line="360" w:lineRule="atLeast"/>
        <w:ind w:left="720"/>
        <w:rPr>
          <w:rFonts w:ascii="Calibri" w:hAnsi="Calibri" w:cs="Calibri"/>
          <w:color w:val="000000" w:themeColor="text1"/>
        </w:rPr>
      </w:pPr>
      <w:r>
        <w:rPr>
          <w:rFonts w:ascii="Calibri" w:hAnsi="Calibri" w:cs="Calibri"/>
          <w:color w:val="000000" w:themeColor="text1"/>
        </w:rPr>
        <w:t>Appendix A</w:t>
      </w:r>
    </w:p>
    <w:p w14:paraId="327C67E3" w14:textId="73A9AA11" w:rsidR="002F0188" w:rsidRDefault="00647802" w:rsidP="002F0188">
      <w:pPr>
        <w:pStyle w:val="NormalWeb"/>
        <w:shd w:val="clear" w:color="auto" w:fill="FFFFFF"/>
        <w:ind w:left="720"/>
        <w:rPr>
          <w:rFonts w:ascii="Calibri" w:hAnsi="Calibri" w:cs="Calibri"/>
          <w:color w:val="000000"/>
        </w:rPr>
      </w:pPr>
      <w:r>
        <w:rPr>
          <w:rFonts w:ascii="Calibri" w:hAnsi="Calibri" w:cs="Calibri"/>
          <w:noProof/>
          <w:color w:val="000000" w:themeColor="text1"/>
          <w14:ligatures w14:val="standardContextual"/>
        </w:rPr>
        <w:lastRenderedPageBreak/>
        <w:drawing>
          <wp:anchor distT="0" distB="0" distL="114300" distR="114300" simplePos="0" relativeHeight="251658240" behindDoc="0" locked="0" layoutInCell="1" allowOverlap="1" wp14:anchorId="00B1E54E" wp14:editId="0C8FCB4E">
            <wp:simplePos x="0" y="0"/>
            <wp:positionH relativeFrom="column">
              <wp:posOffset>391307</wp:posOffset>
            </wp:positionH>
            <wp:positionV relativeFrom="paragraph">
              <wp:posOffset>394397</wp:posOffset>
            </wp:positionV>
            <wp:extent cx="5416062" cy="7576723"/>
            <wp:effectExtent l="0" t="0" r="0" b="5715"/>
            <wp:wrapSquare wrapText="bothSides"/>
            <wp:docPr id="16196406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640687" name="Picture 1" descr="A screenshot of a computer&#10;&#10;AI-generated content may be incorrect."/>
                    <pic:cNvPicPr/>
                  </pic:nvPicPr>
                  <pic:blipFill rotWithShape="1">
                    <a:blip r:embed="rId14">
                      <a:extLst>
                        <a:ext uri="{28A0092B-C50C-407E-A947-70E740481C1C}">
                          <a14:useLocalDpi xmlns:a14="http://schemas.microsoft.com/office/drawing/2010/main" val="0"/>
                        </a:ext>
                      </a:extLst>
                    </a:blip>
                    <a:srcRect l="41375" t="17394" r="25659" b="8817"/>
                    <a:stretch/>
                  </pic:blipFill>
                  <pic:spPr bwMode="auto">
                    <a:xfrm>
                      <a:off x="0" y="0"/>
                      <a:ext cx="5416062" cy="757672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87CF25" w14:textId="77777777" w:rsidR="00C07628" w:rsidRPr="00C07628" w:rsidRDefault="00C07628" w:rsidP="002F0188">
      <w:pPr>
        <w:pStyle w:val="ListParagraph"/>
        <w:rPr>
          <w:rFonts w:ascii="Calibri" w:hAnsi="Calibri" w:cs="Calibri"/>
        </w:rPr>
      </w:pPr>
    </w:p>
    <w:p w14:paraId="30996C58" w14:textId="77777777" w:rsidR="002F0188" w:rsidRDefault="002F0188" w:rsidP="0000375B">
      <w:pPr>
        <w:rPr>
          <w:b/>
          <w:bCs/>
        </w:rPr>
      </w:pPr>
    </w:p>
    <w:p w14:paraId="3729DB03" w14:textId="77777777" w:rsidR="0000375B" w:rsidRPr="0000375B" w:rsidRDefault="0000375B" w:rsidP="0000375B"/>
    <w:p w14:paraId="00FCD18B" w14:textId="77777777" w:rsidR="000C541C" w:rsidRDefault="000C541C" w:rsidP="00DD5969">
      <w:pPr>
        <w:rPr>
          <w:sz w:val="16"/>
          <w:szCs w:val="16"/>
        </w:rPr>
      </w:pPr>
    </w:p>
    <w:p w14:paraId="6EA9A853" w14:textId="77777777" w:rsidR="0000375B" w:rsidRDefault="0000375B" w:rsidP="00DD5969">
      <w:pPr>
        <w:rPr>
          <w:sz w:val="16"/>
          <w:szCs w:val="16"/>
        </w:rPr>
      </w:pPr>
    </w:p>
    <w:p w14:paraId="32F37250" w14:textId="77777777" w:rsidR="0000375B" w:rsidRPr="00B103B9" w:rsidRDefault="0000375B" w:rsidP="00DD5969">
      <w:pPr>
        <w:rPr>
          <w:sz w:val="16"/>
          <w:szCs w:val="16"/>
        </w:rPr>
      </w:pPr>
    </w:p>
    <w:sectPr w:rsidR="0000375B" w:rsidRPr="00B103B9">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F8A05" w14:textId="77777777" w:rsidR="00891826" w:rsidRDefault="00891826" w:rsidP="00313FFB">
      <w:pPr>
        <w:spacing w:after="0" w:line="240" w:lineRule="auto"/>
      </w:pPr>
      <w:r>
        <w:separator/>
      </w:r>
    </w:p>
  </w:endnote>
  <w:endnote w:type="continuationSeparator" w:id="0">
    <w:p w14:paraId="2299D933" w14:textId="77777777" w:rsidR="00891826" w:rsidRDefault="00891826" w:rsidP="00313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6AEC8" w14:textId="77777777" w:rsidR="00891826" w:rsidRDefault="00891826" w:rsidP="00313FFB">
      <w:pPr>
        <w:spacing w:after="0" w:line="240" w:lineRule="auto"/>
      </w:pPr>
      <w:r>
        <w:separator/>
      </w:r>
    </w:p>
  </w:footnote>
  <w:footnote w:type="continuationSeparator" w:id="0">
    <w:p w14:paraId="40FBCD22" w14:textId="77777777" w:rsidR="00891826" w:rsidRDefault="00891826" w:rsidP="00313F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2E92C" w14:textId="5DD0E05C" w:rsidR="00313FFB" w:rsidRDefault="00313FFB">
    <w:pPr>
      <w:pStyle w:val="Header"/>
    </w:pPr>
    <w:r>
      <w:t>Sophie Rockey (2208704)</w:t>
    </w:r>
  </w:p>
  <w:p w14:paraId="74BEBD61" w14:textId="77777777" w:rsidR="00313FFB" w:rsidRDefault="00313F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D1241"/>
    <w:multiLevelType w:val="hybridMultilevel"/>
    <w:tmpl w:val="E99A52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EC482E"/>
    <w:multiLevelType w:val="hybridMultilevel"/>
    <w:tmpl w:val="FA8A1D2E"/>
    <w:lvl w:ilvl="0" w:tplc="C5106A40">
      <w:start w:val="1"/>
      <w:numFmt w:val="decimal"/>
      <w:lvlText w:val="%1."/>
      <w:lvlJc w:val="left"/>
      <w:pPr>
        <w:ind w:left="720" w:hanging="360"/>
      </w:pPr>
      <w:rPr>
        <w:rFonts w:ascii="Calibri" w:eastAsia="Times New Roman" w:hAnsi="Calibr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535B60"/>
    <w:multiLevelType w:val="hybridMultilevel"/>
    <w:tmpl w:val="8960A7A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504F3CF4"/>
    <w:multiLevelType w:val="hybridMultilevel"/>
    <w:tmpl w:val="60261A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212A8C"/>
    <w:multiLevelType w:val="hybridMultilevel"/>
    <w:tmpl w:val="11764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8009826">
    <w:abstractNumId w:val="1"/>
  </w:num>
  <w:num w:numId="2" w16cid:durableId="446781514">
    <w:abstractNumId w:val="4"/>
  </w:num>
  <w:num w:numId="3" w16cid:durableId="1469514793">
    <w:abstractNumId w:val="2"/>
  </w:num>
  <w:num w:numId="4" w16cid:durableId="2126384123">
    <w:abstractNumId w:val="3"/>
  </w:num>
  <w:num w:numId="5" w16cid:durableId="713584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540F8"/>
    <w:rsid w:val="00061BBC"/>
    <w:rsid w:val="00063ADC"/>
    <w:rsid w:val="000971A7"/>
    <w:rsid w:val="000A2E17"/>
    <w:rsid w:val="000A470F"/>
    <w:rsid w:val="000B3452"/>
    <w:rsid w:val="000C144A"/>
    <w:rsid w:val="000C1B19"/>
    <w:rsid w:val="000C541C"/>
    <w:rsid w:val="000C68CB"/>
    <w:rsid w:val="000D5B34"/>
    <w:rsid w:val="0010406A"/>
    <w:rsid w:val="001118FB"/>
    <w:rsid w:val="00115538"/>
    <w:rsid w:val="00135DD1"/>
    <w:rsid w:val="00145DE2"/>
    <w:rsid w:val="001819DF"/>
    <w:rsid w:val="001A2046"/>
    <w:rsid w:val="001B086C"/>
    <w:rsid w:val="001C6E70"/>
    <w:rsid w:val="00262DC1"/>
    <w:rsid w:val="002C05B1"/>
    <w:rsid w:val="002F0188"/>
    <w:rsid w:val="002F243A"/>
    <w:rsid w:val="00301906"/>
    <w:rsid w:val="00302BB1"/>
    <w:rsid w:val="00304C2F"/>
    <w:rsid w:val="003104A0"/>
    <w:rsid w:val="00313FFB"/>
    <w:rsid w:val="00315634"/>
    <w:rsid w:val="003341DF"/>
    <w:rsid w:val="00347EA1"/>
    <w:rsid w:val="00382546"/>
    <w:rsid w:val="003A709B"/>
    <w:rsid w:val="003C773B"/>
    <w:rsid w:val="003D223A"/>
    <w:rsid w:val="00417AB6"/>
    <w:rsid w:val="00467936"/>
    <w:rsid w:val="004935BD"/>
    <w:rsid w:val="00495A73"/>
    <w:rsid w:val="004B09BF"/>
    <w:rsid w:val="004D474C"/>
    <w:rsid w:val="00536CFB"/>
    <w:rsid w:val="00543F5E"/>
    <w:rsid w:val="00584970"/>
    <w:rsid w:val="005A11A6"/>
    <w:rsid w:val="005B783A"/>
    <w:rsid w:val="005F42D0"/>
    <w:rsid w:val="005F7C42"/>
    <w:rsid w:val="00622B38"/>
    <w:rsid w:val="0062310A"/>
    <w:rsid w:val="00647802"/>
    <w:rsid w:val="00664B16"/>
    <w:rsid w:val="006B52C3"/>
    <w:rsid w:val="007203C3"/>
    <w:rsid w:val="00725357"/>
    <w:rsid w:val="007352C0"/>
    <w:rsid w:val="00743752"/>
    <w:rsid w:val="007B3E76"/>
    <w:rsid w:val="007D3AE1"/>
    <w:rsid w:val="007E01E0"/>
    <w:rsid w:val="00803155"/>
    <w:rsid w:val="00840BEE"/>
    <w:rsid w:val="00851EDB"/>
    <w:rsid w:val="00891826"/>
    <w:rsid w:val="008F1086"/>
    <w:rsid w:val="009060A0"/>
    <w:rsid w:val="0091355A"/>
    <w:rsid w:val="00917008"/>
    <w:rsid w:val="00935B8D"/>
    <w:rsid w:val="009B164A"/>
    <w:rsid w:val="00A23D6E"/>
    <w:rsid w:val="00AD7313"/>
    <w:rsid w:val="00AE2414"/>
    <w:rsid w:val="00AE2AA9"/>
    <w:rsid w:val="00AE3307"/>
    <w:rsid w:val="00B028A8"/>
    <w:rsid w:val="00B103B9"/>
    <w:rsid w:val="00B51B61"/>
    <w:rsid w:val="00B724BB"/>
    <w:rsid w:val="00BE2A35"/>
    <w:rsid w:val="00BE3554"/>
    <w:rsid w:val="00C07628"/>
    <w:rsid w:val="00C129B8"/>
    <w:rsid w:val="00C24461"/>
    <w:rsid w:val="00C2550A"/>
    <w:rsid w:val="00C4699D"/>
    <w:rsid w:val="00C96A1B"/>
    <w:rsid w:val="00CF32AC"/>
    <w:rsid w:val="00D24ADF"/>
    <w:rsid w:val="00D26517"/>
    <w:rsid w:val="00DC55F3"/>
    <w:rsid w:val="00DD5969"/>
    <w:rsid w:val="00E10797"/>
    <w:rsid w:val="00E243A8"/>
    <w:rsid w:val="00E4661B"/>
    <w:rsid w:val="00E6747C"/>
    <w:rsid w:val="00EA0B9A"/>
    <w:rsid w:val="00EA15D1"/>
    <w:rsid w:val="00EA6220"/>
    <w:rsid w:val="00EC1771"/>
    <w:rsid w:val="00F1106B"/>
    <w:rsid w:val="00F3069F"/>
    <w:rsid w:val="00F8083F"/>
    <w:rsid w:val="00F808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0762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C07628"/>
  </w:style>
  <w:style w:type="character" w:styleId="Hyperlink">
    <w:name w:val="Hyperlink"/>
    <w:basedOn w:val="DefaultParagraphFont"/>
    <w:uiPriority w:val="99"/>
    <w:unhideWhenUsed/>
    <w:rsid w:val="00E4661B"/>
    <w:rPr>
      <w:color w:val="467886" w:themeColor="hyperlink"/>
      <w:u w:val="single"/>
    </w:rPr>
  </w:style>
  <w:style w:type="character" w:styleId="UnresolvedMention">
    <w:name w:val="Unresolved Mention"/>
    <w:basedOn w:val="DefaultParagraphFont"/>
    <w:uiPriority w:val="99"/>
    <w:semiHidden/>
    <w:unhideWhenUsed/>
    <w:rsid w:val="00E4661B"/>
    <w:rPr>
      <w:color w:val="605E5C"/>
      <w:shd w:val="clear" w:color="auto" w:fill="E1DFDD"/>
    </w:rPr>
  </w:style>
  <w:style w:type="paragraph" w:styleId="Header">
    <w:name w:val="header"/>
    <w:basedOn w:val="Normal"/>
    <w:link w:val="HeaderChar"/>
    <w:uiPriority w:val="99"/>
    <w:unhideWhenUsed/>
    <w:rsid w:val="00313F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FFB"/>
  </w:style>
  <w:style w:type="paragraph" w:styleId="Footer">
    <w:name w:val="footer"/>
    <w:basedOn w:val="Normal"/>
    <w:link w:val="FooterChar"/>
    <w:uiPriority w:val="99"/>
    <w:unhideWhenUsed/>
    <w:rsid w:val="00313F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FFB"/>
  </w:style>
  <w:style w:type="character" w:styleId="FollowedHyperlink">
    <w:name w:val="FollowedHyperlink"/>
    <w:basedOn w:val="DefaultParagraphFont"/>
    <w:uiPriority w:val="99"/>
    <w:semiHidden/>
    <w:unhideWhenUsed/>
    <w:rsid w:val="0031563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7888">
      <w:bodyDiv w:val="1"/>
      <w:marLeft w:val="0"/>
      <w:marRight w:val="0"/>
      <w:marTop w:val="0"/>
      <w:marBottom w:val="0"/>
      <w:divBdr>
        <w:top w:val="none" w:sz="0" w:space="0" w:color="auto"/>
        <w:left w:val="none" w:sz="0" w:space="0" w:color="auto"/>
        <w:bottom w:val="none" w:sz="0" w:space="0" w:color="auto"/>
        <w:right w:val="none" w:sz="0" w:space="0" w:color="auto"/>
      </w:divBdr>
    </w:div>
    <w:div w:id="148254085">
      <w:bodyDiv w:val="1"/>
      <w:marLeft w:val="0"/>
      <w:marRight w:val="0"/>
      <w:marTop w:val="0"/>
      <w:marBottom w:val="0"/>
      <w:divBdr>
        <w:top w:val="none" w:sz="0" w:space="0" w:color="auto"/>
        <w:left w:val="none" w:sz="0" w:space="0" w:color="auto"/>
        <w:bottom w:val="none" w:sz="0" w:space="0" w:color="auto"/>
        <w:right w:val="none" w:sz="0" w:space="0" w:color="auto"/>
      </w:divBdr>
    </w:div>
    <w:div w:id="179125337">
      <w:bodyDiv w:val="1"/>
      <w:marLeft w:val="0"/>
      <w:marRight w:val="0"/>
      <w:marTop w:val="0"/>
      <w:marBottom w:val="0"/>
      <w:divBdr>
        <w:top w:val="none" w:sz="0" w:space="0" w:color="auto"/>
        <w:left w:val="none" w:sz="0" w:space="0" w:color="auto"/>
        <w:bottom w:val="none" w:sz="0" w:space="0" w:color="auto"/>
        <w:right w:val="none" w:sz="0" w:space="0" w:color="auto"/>
      </w:divBdr>
    </w:div>
    <w:div w:id="235868842">
      <w:bodyDiv w:val="1"/>
      <w:marLeft w:val="0"/>
      <w:marRight w:val="0"/>
      <w:marTop w:val="0"/>
      <w:marBottom w:val="0"/>
      <w:divBdr>
        <w:top w:val="none" w:sz="0" w:space="0" w:color="auto"/>
        <w:left w:val="none" w:sz="0" w:space="0" w:color="auto"/>
        <w:bottom w:val="none" w:sz="0" w:space="0" w:color="auto"/>
        <w:right w:val="none" w:sz="0" w:space="0" w:color="auto"/>
      </w:divBdr>
    </w:div>
    <w:div w:id="289946463">
      <w:bodyDiv w:val="1"/>
      <w:marLeft w:val="0"/>
      <w:marRight w:val="0"/>
      <w:marTop w:val="0"/>
      <w:marBottom w:val="0"/>
      <w:divBdr>
        <w:top w:val="none" w:sz="0" w:space="0" w:color="auto"/>
        <w:left w:val="none" w:sz="0" w:space="0" w:color="auto"/>
        <w:bottom w:val="none" w:sz="0" w:space="0" w:color="auto"/>
        <w:right w:val="none" w:sz="0" w:space="0" w:color="auto"/>
      </w:divBdr>
    </w:div>
    <w:div w:id="325669898">
      <w:bodyDiv w:val="1"/>
      <w:marLeft w:val="0"/>
      <w:marRight w:val="0"/>
      <w:marTop w:val="0"/>
      <w:marBottom w:val="0"/>
      <w:divBdr>
        <w:top w:val="none" w:sz="0" w:space="0" w:color="auto"/>
        <w:left w:val="none" w:sz="0" w:space="0" w:color="auto"/>
        <w:bottom w:val="none" w:sz="0" w:space="0" w:color="auto"/>
        <w:right w:val="none" w:sz="0" w:space="0" w:color="auto"/>
      </w:divBdr>
    </w:div>
    <w:div w:id="361056186">
      <w:bodyDiv w:val="1"/>
      <w:marLeft w:val="0"/>
      <w:marRight w:val="0"/>
      <w:marTop w:val="0"/>
      <w:marBottom w:val="0"/>
      <w:divBdr>
        <w:top w:val="none" w:sz="0" w:space="0" w:color="auto"/>
        <w:left w:val="none" w:sz="0" w:space="0" w:color="auto"/>
        <w:bottom w:val="none" w:sz="0" w:space="0" w:color="auto"/>
        <w:right w:val="none" w:sz="0" w:space="0" w:color="auto"/>
      </w:divBdr>
    </w:div>
    <w:div w:id="452401911">
      <w:bodyDiv w:val="1"/>
      <w:marLeft w:val="0"/>
      <w:marRight w:val="0"/>
      <w:marTop w:val="0"/>
      <w:marBottom w:val="0"/>
      <w:divBdr>
        <w:top w:val="none" w:sz="0" w:space="0" w:color="auto"/>
        <w:left w:val="none" w:sz="0" w:space="0" w:color="auto"/>
        <w:bottom w:val="none" w:sz="0" w:space="0" w:color="auto"/>
        <w:right w:val="none" w:sz="0" w:space="0" w:color="auto"/>
      </w:divBdr>
    </w:div>
    <w:div w:id="471823857">
      <w:bodyDiv w:val="1"/>
      <w:marLeft w:val="0"/>
      <w:marRight w:val="0"/>
      <w:marTop w:val="0"/>
      <w:marBottom w:val="0"/>
      <w:divBdr>
        <w:top w:val="none" w:sz="0" w:space="0" w:color="auto"/>
        <w:left w:val="none" w:sz="0" w:space="0" w:color="auto"/>
        <w:bottom w:val="none" w:sz="0" w:space="0" w:color="auto"/>
        <w:right w:val="none" w:sz="0" w:space="0" w:color="auto"/>
      </w:divBdr>
    </w:div>
    <w:div w:id="502428834">
      <w:bodyDiv w:val="1"/>
      <w:marLeft w:val="0"/>
      <w:marRight w:val="0"/>
      <w:marTop w:val="0"/>
      <w:marBottom w:val="0"/>
      <w:divBdr>
        <w:top w:val="none" w:sz="0" w:space="0" w:color="auto"/>
        <w:left w:val="none" w:sz="0" w:space="0" w:color="auto"/>
        <w:bottom w:val="none" w:sz="0" w:space="0" w:color="auto"/>
        <w:right w:val="none" w:sz="0" w:space="0" w:color="auto"/>
      </w:divBdr>
    </w:div>
    <w:div w:id="582420528">
      <w:bodyDiv w:val="1"/>
      <w:marLeft w:val="0"/>
      <w:marRight w:val="0"/>
      <w:marTop w:val="0"/>
      <w:marBottom w:val="0"/>
      <w:divBdr>
        <w:top w:val="none" w:sz="0" w:space="0" w:color="auto"/>
        <w:left w:val="none" w:sz="0" w:space="0" w:color="auto"/>
        <w:bottom w:val="none" w:sz="0" w:space="0" w:color="auto"/>
        <w:right w:val="none" w:sz="0" w:space="0" w:color="auto"/>
      </w:divBdr>
    </w:div>
    <w:div w:id="599340904">
      <w:bodyDiv w:val="1"/>
      <w:marLeft w:val="0"/>
      <w:marRight w:val="0"/>
      <w:marTop w:val="0"/>
      <w:marBottom w:val="0"/>
      <w:divBdr>
        <w:top w:val="none" w:sz="0" w:space="0" w:color="auto"/>
        <w:left w:val="none" w:sz="0" w:space="0" w:color="auto"/>
        <w:bottom w:val="none" w:sz="0" w:space="0" w:color="auto"/>
        <w:right w:val="none" w:sz="0" w:space="0" w:color="auto"/>
      </w:divBdr>
    </w:div>
    <w:div w:id="694383075">
      <w:bodyDiv w:val="1"/>
      <w:marLeft w:val="0"/>
      <w:marRight w:val="0"/>
      <w:marTop w:val="0"/>
      <w:marBottom w:val="0"/>
      <w:divBdr>
        <w:top w:val="none" w:sz="0" w:space="0" w:color="auto"/>
        <w:left w:val="none" w:sz="0" w:space="0" w:color="auto"/>
        <w:bottom w:val="none" w:sz="0" w:space="0" w:color="auto"/>
        <w:right w:val="none" w:sz="0" w:space="0" w:color="auto"/>
      </w:divBdr>
    </w:div>
    <w:div w:id="749695149">
      <w:bodyDiv w:val="1"/>
      <w:marLeft w:val="0"/>
      <w:marRight w:val="0"/>
      <w:marTop w:val="0"/>
      <w:marBottom w:val="0"/>
      <w:divBdr>
        <w:top w:val="none" w:sz="0" w:space="0" w:color="auto"/>
        <w:left w:val="none" w:sz="0" w:space="0" w:color="auto"/>
        <w:bottom w:val="none" w:sz="0" w:space="0" w:color="auto"/>
        <w:right w:val="none" w:sz="0" w:space="0" w:color="auto"/>
      </w:divBdr>
    </w:div>
    <w:div w:id="896164012">
      <w:bodyDiv w:val="1"/>
      <w:marLeft w:val="0"/>
      <w:marRight w:val="0"/>
      <w:marTop w:val="0"/>
      <w:marBottom w:val="0"/>
      <w:divBdr>
        <w:top w:val="none" w:sz="0" w:space="0" w:color="auto"/>
        <w:left w:val="none" w:sz="0" w:space="0" w:color="auto"/>
        <w:bottom w:val="none" w:sz="0" w:space="0" w:color="auto"/>
        <w:right w:val="none" w:sz="0" w:space="0" w:color="auto"/>
      </w:divBdr>
    </w:div>
    <w:div w:id="912277920">
      <w:bodyDiv w:val="1"/>
      <w:marLeft w:val="0"/>
      <w:marRight w:val="0"/>
      <w:marTop w:val="0"/>
      <w:marBottom w:val="0"/>
      <w:divBdr>
        <w:top w:val="none" w:sz="0" w:space="0" w:color="auto"/>
        <w:left w:val="none" w:sz="0" w:space="0" w:color="auto"/>
        <w:bottom w:val="none" w:sz="0" w:space="0" w:color="auto"/>
        <w:right w:val="none" w:sz="0" w:space="0" w:color="auto"/>
      </w:divBdr>
    </w:div>
    <w:div w:id="915212392">
      <w:bodyDiv w:val="1"/>
      <w:marLeft w:val="0"/>
      <w:marRight w:val="0"/>
      <w:marTop w:val="0"/>
      <w:marBottom w:val="0"/>
      <w:divBdr>
        <w:top w:val="none" w:sz="0" w:space="0" w:color="auto"/>
        <w:left w:val="none" w:sz="0" w:space="0" w:color="auto"/>
        <w:bottom w:val="none" w:sz="0" w:space="0" w:color="auto"/>
        <w:right w:val="none" w:sz="0" w:space="0" w:color="auto"/>
      </w:divBdr>
    </w:div>
    <w:div w:id="1023550789">
      <w:bodyDiv w:val="1"/>
      <w:marLeft w:val="0"/>
      <w:marRight w:val="0"/>
      <w:marTop w:val="0"/>
      <w:marBottom w:val="0"/>
      <w:divBdr>
        <w:top w:val="none" w:sz="0" w:space="0" w:color="auto"/>
        <w:left w:val="none" w:sz="0" w:space="0" w:color="auto"/>
        <w:bottom w:val="none" w:sz="0" w:space="0" w:color="auto"/>
        <w:right w:val="none" w:sz="0" w:space="0" w:color="auto"/>
      </w:divBdr>
    </w:div>
    <w:div w:id="1170481989">
      <w:bodyDiv w:val="1"/>
      <w:marLeft w:val="0"/>
      <w:marRight w:val="0"/>
      <w:marTop w:val="0"/>
      <w:marBottom w:val="0"/>
      <w:divBdr>
        <w:top w:val="none" w:sz="0" w:space="0" w:color="auto"/>
        <w:left w:val="none" w:sz="0" w:space="0" w:color="auto"/>
        <w:bottom w:val="none" w:sz="0" w:space="0" w:color="auto"/>
        <w:right w:val="none" w:sz="0" w:space="0" w:color="auto"/>
      </w:divBdr>
    </w:div>
    <w:div w:id="1191334502">
      <w:bodyDiv w:val="1"/>
      <w:marLeft w:val="0"/>
      <w:marRight w:val="0"/>
      <w:marTop w:val="0"/>
      <w:marBottom w:val="0"/>
      <w:divBdr>
        <w:top w:val="none" w:sz="0" w:space="0" w:color="auto"/>
        <w:left w:val="none" w:sz="0" w:space="0" w:color="auto"/>
        <w:bottom w:val="none" w:sz="0" w:space="0" w:color="auto"/>
        <w:right w:val="none" w:sz="0" w:space="0" w:color="auto"/>
      </w:divBdr>
    </w:div>
    <w:div w:id="1231887589">
      <w:bodyDiv w:val="1"/>
      <w:marLeft w:val="0"/>
      <w:marRight w:val="0"/>
      <w:marTop w:val="0"/>
      <w:marBottom w:val="0"/>
      <w:divBdr>
        <w:top w:val="none" w:sz="0" w:space="0" w:color="auto"/>
        <w:left w:val="none" w:sz="0" w:space="0" w:color="auto"/>
        <w:bottom w:val="none" w:sz="0" w:space="0" w:color="auto"/>
        <w:right w:val="none" w:sz="0" w:space="0" w:color="auto"/>
      </w:divBdr>
    </w:div>
    <w:div w:id="1435130255">
      <w:bodyDiv w:val="1"/>
      <w:marLeft w:val="0"/>
      <w:marRight w:val="0"/>
      <w:marTop w:val="0"/>
      <w:marBottom w:val="0"/>
      <w:divBdr>
        <w:top w:val="none" w:sz="0" w:space="0" w:color="auto"/>
        <w:left w:val="none" w:sz="0" w:space="0" w:color="auto"/>
        <w:bottom w:val="none" w:sz="0" w:space="0" w:color="auto"/>
        <w:right w:val="none" w:sz="0" w:space="0" w:color="auto"/>
      </w:divBdr>
    </w:div>
    <w:div w:id="1487673653">
      <w:bodyDiv w:val="1"/>
      <w:marLeft w:val="0"/>
      <w:marRight w:val="0"/>
      <w:marTop w:val="0"/>
      <w:marBottom w:val="0"/>
      <w:divBdr>
        <w:top w:val="none" w:sz="0" w:space="0" w:color="auto"/>
        <w:left w:val="none" w:sz="0" w:space="0" w:color="auto"/>
        <w:bottom w:val="none" w:sz="0" w:space="0" w:color="auto"/>
        <w:right w:val="none" w:sz="0" w:space="0" w:color="auto"/>
      </w:divBdr>
    </w:div>
    <w:div w:id="1893272133">
      <w:bodyDiv w:val="1"/>
      <w:marLeft w:val="0"/>
      <w:marRight w:val="0"/>
      <w:marTop w:val="0"/>
      <w:marBottom w:val="0"/>
      <w:divBdr>
        <w:top w:val="none" w:sz="0" w:space="0" w:color="auto"/>
        <w:left w:val="none" w:sz="0" w:space="0" w:color="auto"/>
        <w:bottom w:val="none" w:sz="0" w:space="0" w:color="auto"/>
        <w:right w:val="none" w:sz="0" w:space="0" w:color="auto"/>
      </w:divBdr>
    </w:div>
    <w:div w:id="1929802068">
      <w:bodyDiv w:val="1"/>
      <w:marLeft w:val="0"/>
      <w:marRight w:val="0"/>
      <w:marTop w:val="0"/>
      <w:marBottom w:val="0"/>
      <w:divBdr>
        <w:top w:val="none" w:sz="0" w:space="0" w:color="auto"/>
        <w:left w:val="none" w:sz="0" w:space="0" w:color="auto"/>
        <w:bottom w:val="none" w:sz="0" w:space="0" w:color="auto"/>
        <w:right w:val="none" w:sz="0" w:space="0" w:color="auto"/>
      </w:divBdr>
    </w:div>
    <w:div w:id="1942758914">
      <w:bodyDiv w:val="1"/>
      <w:marLeft w:val="0"/>
      <w:marRight w:val="0"/>
      <w:marTop w:val="0"/>
      <w:marBottom w:val="0"/>
      <w:divBdr>
        <w:top w:val="none" w:sz="0" w:space="0" w:color="auto"/>
        <w:left w:val="none" w:sz="0" w:space="0" w:color="auto"/>
        <w:bottom w:val="none" w:sz="0" w:space="0" w:color="auto"/>
        <w:right w:val="none" w:sz="0" w:space="0" w:color="auto"/>
      </w:divBdr>
    </w:div>
    <w:div w:id="1958019761">
      <w:bodyDiv w:val="1"/>
      <w:marLeft w:val="0"/>
      <w:marRight w:val="0"/>
      <w:marTop w:val="0"/>
      <w:marBottom w:val="0"/>
      <w:divBdr>
        <w:top w:val="none" w:sz="0" w:space="0" w:color="auto"/>
        <w:left w:val="none" w:sz="0" w:space="0" w:color="auto"/>
        <w:bottom w:val="none" w:sz="0" w:space="0" w:color="auto"/>
        <w:right w:val="none" w:sz="0" w:space="0" w:color="auto"/>
      </w:divBdr>
    </w:div>
    <w:div w:id="2010524762">
      <w:bodyDiv w:val="1"/>
      <w:marLeft w:val="0"/>
      <w:marRight w:val="0"/>
      <w:marTop w:val="0"/>
      <w:marBottom w:val="0"/>
      <w:divBdr>
        <w:top w:val="none" w:sz="0" w:space="0" w:color="auto"/>
        <w:left w:val="none" w:sz="0" w:space="0" w:color="auto"/>
        <w:bottom w:val="none" w:sz="0" w:space="0" w:color="auto"/>
        <w:right w:val="none" w:sz="0" w:space="0" w:color="auto"/>
      </w:divBdr>
    </w:div>
    <w:div w:id="201329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ldrenschoicetherapy.co.uk/sensory-circuits/" TargetMode="External"/><Relationship Id="rId13" Type="http://schemas.openxmlformats.org/officeDocument/2006/relationships/hyperlink" Target="https://sensorysurroundings.co.uk/blogs/news/five-benefits-of-sensory-circuits-for-childre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3389/neuro.07.022.2009"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styn.gov.wales/improvement-resources/raising-the-attendance-of-vulnerable-pupils-through-highly-effective-individual-well-being-support/"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ducationendowmentfoundation.org.uk/education-evidence/teaching-learning-toolkit/teaching-assistant-interventions" TargetMode="External"/><Relationship Id="rId4" Type="http://schemas.openxmlformats.org/officeDocument/2006/relationships/webSettings" Target="webSettings.xml"/><Relationship Id="rId9" Type="http://schemas.openxmlformats.org/officeDocument/2006/relationships/hyperlink" Target="https://doi.org/10.1017/s0140525x12000477"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15</Pages>
  <Words>3781</Words>
  <Characters>21552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Sophie Rockey (2208704)</cp:lastModifiedBy>
  <cp:revision>20</cp:revision>
  <dcterms:created xsi:type="dcterms:W3CDTF">2025-03-10T18:56:00Z</dcterms:created>
  <dcterms:modified xsi:type="dcterms:W3CDTF">2025-03-13T15:17:00Z</dcterms:modified>
</cp:coreProperties>
</file>