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5F6000" w14:textId="77777777" w:rsidR="006247A0" w:rsidRPr="003261C2" w:rsidRDefault="006247A0" w:rsidP="006247A0">
      <w:pPr>
        <w:spacing w:after="0" w:line="480" w:lineRule="auto"/>
        <w:rPr>
          <w:rFonts w:cstheme="minorHAnsi"/>
          <w:b/>
          <w:bCs/>
          <w:sz w:val="24"/>
          <w:szCs w:val="24"/>
          <w:lang w:val="en-GB"/>
        </w:rPr>
      </w:pPr>
      <w:r w:rsidRPr="003261C2">
        <w:rPr>
          <w:rFonts w:cstheme="minorHAnsi"/>
          <w:b/>
          <w:bCs/>
          <w:sz w:val="24"/>
          <w:szCs w:val="24"/>
          <w:lang w:val="en-GB"/>
        </w:rPr>
        <w:t>Answer 1:</w:t>
      </w:r>
    </w:p>
    <w:p w14:paraId="7CF280E4" w14:textId="77777777" w:rsidR="006247A0" w:rsidRPr="003261C2" w:rsidRDefault="006247A0" w:rsidP="006247A0">
      <w:pPr>
        <w:spacing w:line="480" w:lineRule="auto"/>
        <w:rPr>
          <w:rFonts w:cstheme="minorHAnsi"/>
          <w:b/>
          <w:bCs/>
          <w:sz w:val="24"/>
          <w:szCs w:val="24"/>
          <w:lang w:val="en-GB"/>
        </w:rPr>
      </w:pPr>
      <w:r w:rsidRPr="003261C2">
        <w:rPr>
          <w:rFonts w:cstheme="minorHAnsi"/>
          <w:b/>
          <w:bCs/>
          <w:sz w:val="24"/>
          <w:szCs w:val="24"/>
          <w:lang w:val="en-GB"/>
        </w:rPr>
        <w:t>Critically examine the significance of the concept of the relevant market in the context of competition law.</w:t>
      </w:r>
    </w:p>
    <w:p w14:paraId="7E47A110" w14:textId="77777777" w:rsidR="006247A0" w:rsidRPr="003261C2" w:rsidRDefault="006247A0" w:rsidP="006247A0">
      <w:pPr>
        <w:spacing w:line="480" w:lineRule="auto"/>
        <w:rPr>
          <w:rFonts w:cstheme="minorHAnsi"/>
          <w:sz w:val="24"/>
          <w:szCs w:val="24"/>
        </w:rPr>
      </w:pPr>
      <w:r w:rsidRPr="003261C2">
        <w:rPr>
          <w:rFonts w:cstheme="minorHAnsi"/>
          <w:sz w:val="24"/>
          <w:szCs w:val="24"/>
        </w:rPr>
        <w:t>“</w:t>
      </w:r>
      <w:r w:rsidRPr="003261C2">
        <w:rPr>
          <w:rFonts w:cstheme="minorHAnsi"/>
          <w:i/>
          <w:iCs/>
          <w:sz w:val="24"/>
          <w:szCs w:val="24"/>
        </w:rPr>
        <w:t>Competition is the relationship between a number of undertakings which sell goods or services of the same kind at the same time to an identifiable group of customers</w:t>
      </w:r>
      <w:r w:rsidRPr="003261C2">
        <w:rPr>
          <w:rFonts w:cstheme="minorHAnsi"/>
          <w:sz w:val="24"/>
          <w:szCs w:val="24"/>
        </w:rPr>
        <w:t>.” (Goyder). The most prominent purpose behind introducing competition law was to ensure healthy competition and “</w:t>
      </w:r>
      <w:r w:rsidRPr="003261C2">
        <w:rPr>
          <w:rFonts w:cstheme="minorHAnsi"/>
          <w:i/>
          <w:iCs/>
          <w:sz w:val="24"/>
          <w:szCs w:val="24"/>
        </w:rPr>
        <w:t>to promote fair competition on equal terms</w:t>
      </w:r>
      <w:r w:rsidRPr="003261C2">
        <w:rPr>
          <w:rFonts w:cstheme="minorHAnsi"/>
          <w:sz w:val="24"/>
          <w:szCs w:val="24"/>
        </w:rPr>
        <w:t>” (Hildebrand). Some the main elements in respect of competition law include relevant market, dominant position, and market share amongst others. These will be assessed and evaluated below.</w:t>
      </w:r>
    </w:p>
    <w:p w14:paraId="1CFAD4EE"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There are various reasons behind the concept of relevant market being so significant in the context of competition law. For starters, the idea of relevant market comes into play </w:t>
      </w:r>
      <w:proofErr w:type="gramStart"/>
      <w:r w:rsidRPr="003261C2">
        <w:rPr>
          <w:rFonts w:cstheme="minorHAnsi"/>
          <w:sz w:val="24"/>
          <w:szCs w:val="24"/>
        </w:rPr>
        <w:t>in regard to</w:t>
      </w:r>
      <w:proofErr w:type="gramEnd"/>
      <w:r w:rsidRPr="003261C2">
        <w:rPr>
          <w:rFonts w:cstheme="minorHAnsi"/>
          <w:sz w:val="24"/>
          <w:szCs w:val="24"/>
        </w:rPr>
        <w:t xml:space="preserve"> the Article 101 and Article 102 of the Treaty of the Functioning of the European Union (hereinafter referred as TFEU). The importance given to the concept at hand can be found in the following words written by the Commission in its Notice in the year 1997:</w:t>
      </w:r>
    </w:p>
    <w:p w14:paraId="5DC77A83" w14:textId="77777777" w:rsidR="006247A0" w:rsidRPr="003261C2" w:rsidRDefault="006247A0" w:rsidP="006247A0">
      <w:pPr>
        <w:spacing w:line="480" w:lineRule="auto"/>
        <w:rPr>
          <w:rFonts w:cstheme="minorHAnsi"/>
          <w:i/>
          <w:sz w:val="24"/>
          <w:szCs w:val="24"/>
        </w:rPr>
      </w:pPr>
      <w:r w:rsidRPr="003261C2">
        <w:rPr>
          <w:rFonts w:cstheme="minorHAnsi"/>
          <w:i/>
          <w:sz w:val="24"/>
          <w:szCs w:val="24"/>
        </w:rPr>
        <w:t xml:space="preserve">“The concept of relevant market is closely related to the objectives pursued under Community competition policy. A dominant position is such that a firm or group of firms would be </w:t>
      </w:r>
      <w:proofErr w:type="gramStart"/>
      <w:r w:rsidRPr="003261C2">
        <w:rPr>
          <w:rFonts w:cstheme="minorHAnsi"/>
          <w:i/>
          <w:sz w:val="24"/>
          <w:szCs w:val="24"/>
        </w:rPr>
        <w:t>in a position</w:t>
      </w:r>
      <w:proofErr w:type="gramEnd"/>
      <w:r w:rsidRPr="003261C2">
        <w:rPr>
          <w:rFonts w:cstheme="minorHAnsi"/>
          <w:i/>
          <w:sz w:val="24"/>
          <w:szCs w:val="24"/>
        </w:rPr>
        <w:t xml:space="preserve"> to behave to an appreciable extent independently of its competitors, customers and ultimately of its consumers. Such a position would usually arise when a firm or group of firms accounted for a large share of the supply in any given market, provided that other factors analyzed in the assessment (such as entry barriers, customers' capacity to react, etc.) point in the same direction.”</w:t>
      </w:r>
    </w:p>
    <w:p w14:paraId="48B3DB71"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Article 101 of the TFEU states that </w:t>
      </w:r>
      <w:proofErr w:type="gramStart"/>
      <w:r w:rsidRPr="003261C2">
        <w:rPr>
          <w:rFonts w:cstheme="minorHAnsi"/>
          <w:sz w:val="24"/>
          <w:szCs w:val="24"/>
        </w:rPr>
        <w:t>any and all</w:t>
      </w:r>
      <w:proofErr w:type="gramEnd"/>
      <w:r w:rsidRPr="003261C2">
        <w:rPr>
          <w:rFonts w:cstheme="minorHAnsi"/>
          <w:sz w:val="24"/>
          <w:szCs w:val="24"/>
        </w:rPr>
        <w:t xml:space="preserve"> agreements that have the object of preventing, restricting, or distorting the competition within the internal market (to a certain </w:t>
      </w:r>
      <w:r w:rsidRPr="003261C2">
        <w:rPr>
          <w:rFonts w:cstheme="minorHAnsi"/>
          <w:sz w:val="24"/>
          <w:szCs w:val="24"/>
        </w:rPr>
        <w:lastRenderedPageBreak/>
        <w:t xml:space="preserve">extent) are considered void, unless one of the exemptions applies. </w:t>
      </w:r>
      <w:proofErr w:type="gramStart"/>
      <w:r w:rsidRPr="003261C2">
        <w:rPr>
          <w:rFonts w:cstheme="minorHAnsi"/>
          <w:sz w:val="24"/>
          <w:szCs w:val="24"/>
        </w:rPr>
        <w:t>Whereas,</w:t>
      </w:r>
      <w:proofErr w:type="gramEnd"/>
      <w:r w:rsidRPr="003261C2">
        <w:rPr>
          <w:rFonts w:cstheme="minorHAnsi"/>
          <w:sz w:val="24"/>
          <w:szCs w:val="24"/>
        </w:rPr>
        <w:t xml:space="preserve"> Article 102 of the TFEU states punishments for the undertakings that abuse their position in the market, for example, any and all abuse of power is prohibited by an undertaking which is in a dominant position in the internal market – abuse of power that may affect the trade between the member states. </w:t>
      </w:r>
    </w:p>
    <w:p w14:paraId="36F64E73" w14:textId="77777777" w:rsidR="006247A0" w:rsidRPr="003261C2" w:rsidRDefault="006247A0" w:rsidP="006247A0">
      <w:pPr>
        <w:spacing w:line="480" w:lineRule="auto"/>
        <w:rPr>
          <w:rFonts w:cstheme="minorHAnsi"/>
          <w:i/>
          <w:iCs/>
          <w:sz w:val="24"/>
          <w:szCs w:val="24"/>
        </w:rPr>
      </w:pPr>
      <w:r w:rsidRPr="003261C2">
        <w:rPr>
          <w:rFonts w:cstheme="minorHAnsi"/>
          <w:sz w:val="24"/>
          <w:szCs w:val="24"/>
        </w:rPr>
        <w:t xml:space="preserve">The starting point of any analysis viz-a-viz competition is the definition of the relevant market. Defining a relevant market acts as an instrument to identify the boundaries of competition amongst the undertakings (Robertson, 2019).  By defining the relevant market, the Commission </w:t>
      </w:r>
      <w:proofErr w:type="gramStart"/>
      <w:r w:rsidRPr="003261C2">
        <w:rPr>
          <w:rFonts w:cstheme="minorHAnsi"/>
          <w:sz w:val="24"/>
          <w:szCs w:val="24"/>
        </w:rPr>
        <w:t>is able to</w:t>
      </w:r>
      <w:proofErr w:type="gramEnd"/>
      <w:r w:rsidRPr="003261C2">
        <w:rPr>
          <w:rFonts w:cstheme="minorHAnsi"/>
          <w:sz w:val="24"/>
          <w:szCs w:val="24"/>
        </w:rPr>
        <w:t xml:space="preserve"> establish a framework to apply the principles of competition policy in. By defining the relevant market, the Commission clarifies the competitive constraints that are applicable on the undertakings (Robertson, 2020). </w:t>
      </w:r>
      <w:proofErr w:type="gramStart"/>
      <w:r w:rsidRPr="003261C2">
        <w:rPr>
          <w:rFonts w:cstheme="minorHAnsi"/>
          <w:sz w:val="24"/>
          <w:szCs w:val="24"/>
        </w:rPr>
        <w:t>In regard to</w:t>
      </w:r>
      <w:proofErr w:type="gramEnd"/>
      <w:r w:rsidRPr="003261C2">
        <w:rPr>
          <w:rFonts w:cstheme="minorHAnsi"/>
          <w:sz w:val="24"/>
          <w:szCs w:val="24"/>
        </w:rPr>
        <w:t xml:space="preserve"> Article 102, the concept of relevant market is also used to calculate an undertaking’s share of the market, making it possible to assess whether an undertaking is in a dominant position or not (</w:t>
      </w:r>
      <w:proofErr w:type="spellStart"/>
      <w:r w:rsidRPr="003261C2">
        <w:rPr>
          <w:rFonts w:cstheme="minorHAnsi"/>
          <w:sz w:val="24"/>
          <w:szCs w:val="24"/>
        </w:rPr>
        <w:t>Werden</w:t>
      </w:r>
      <w:proofErr w:type="spellEnd"/>
      <w:r w:rsidRPr="003261C2">
        <w:rPr>
          <w:rFonts w:cstheme="minorHAnsi"/>
          <w:sz w:val="24"/>
          <w:szCs w:val="24"/>
        </w:rPr>
        <w:t xml:space="preserve">, 2014). To simplify and to understand Article 102, </w:t>
      </w:r>
      <w:r w:rsidRPr="003261C2">
        <w:rPr>
          <w:rFonts w:cstheme="minorHAnsi"/>
          <w:i/>
          <w:iCs/>
          <w:sz w:val="24"/>
          <w:szCs w:val="24"/>
        </w:rPr>
        <w:t>United Brands Case</w:t>
      </w:r>
      <w:r w:rsidRPr="003261C2">
        <w:rPr>
          <w:rFonts w:cstheme="minorHAnsi"/>
          <w:sz w:val="24"/>
          <w:szCs w:val="24"/>
        </w:rPr>
        <w:t xml:space="preserve"> defined dominant position as, “</w:t>
      </w:r>
      <w:r w:rsidRPr="003261C2">
        <w:rPr>
          <w:rFonts w:cstheme="minorHAnsi"/>
          <w:i/>
          <w:iCs/>
          <w:sz w:val="24"/>
          <w:szCs w:val="24"/>
        </w:rPr>
        <w:t>position of economic strength enjoyed by an undertaking which enables it to prevent effective competition being maintained on the relevant market by giving it the power to behave to an appreciable extent independently of its competitors, customers, and ultimately, of its consumers.”</w:t>
      </w:r>
    </w:p>
    <w:p w14:paraId="222C67CC"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As per the principles of competition law, prior to deciding whether any company has significant market power to ascertain the need for governmental intervention, the SSINP test is used; the test is of small but significant and non-transitory increase in price – the said test is used for the purposes of defining the relevant market in a manner that is consistent. The test aims at identifying the smallest market in which a hypothetical monopolist may be </w:t>
      </w:r>
      <w:r w:rsidRPr="003261C2">
        <w:rPr>
          <w:rFonts w:cstheme="minorHAnsi"/>
          <w:sz w:val="24"/>
          <w:szCs w:val="24"/>
        </w:rPr>
        <w:lastRenderedPageBreak/>
        <w:t xml:space="preserve">able to impose a </w:t>
      </w:r>
      <w:r w:rsidRPr="003261C2">
        <w:rPr>
          <w:rFonts w:cstheme="minorHAnsi"/>
          <w:i/>
          <w:sz w:val="24"/>
          <w:szCs w:val="24"/>
        </w:rPr>
        <w:t xml:space="preserve">small but significant non-transitory increase in price; </w:t>
      </w:r>
      <w:r w:rsidRPr="003261C2">
        <w:rPr>
          <w:rFonts w:cstheme="minorHAnsi"/>
          <w:sz w:val="24"/>
          <w:szCs w:val="24"/>
        </w:rPr>
        <w:t>typically, the same is defined as a price increase of 5% for a minimum of a year (Massey, 2004).</w:t>
      </w:r>
    </w:p>
    <w:p w14:paraId="1C96C4AB"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In relation to evaluating the dominant position of an undertaking under Article 102, courts </w:t>
      </w:r>
      <w:proofErr w:type="gramStart"/>
      <w:r w:rsidRPr="003261C2">
        <w:rPr>
          <w:rFonts w:cstheme="minorHAnsi"/>
          <w:sz w:val="24"/>
          <w:szCs w:val="24"/>
        </w:rPr>
        <w:t>take into account</w:t>
      </w:r>
      <w:proofErr w:type="gramEnd"/>
      <w:r w:rsidRPr="003261C2">
        <w:rPr>
          <w:rFonts w:cstheme="minorHAnsi"/>
          <w:sz w:val="24"/>
          <w:szCs w:val="24"/>
        </w:rPr>
        <w:t xml:space="preserve"> the position of economic strength that the undertaking enjoys, putting it in a position to prevent effective competition in the relevant market. Hence, to ascertain whether an undertaking is in a dominant position, the court </w:t>
      </w:r>
      <w:proofErr w:type="gramStart"/>
      <w:r w:rsidRPr="003261C2">
        <w:rPr>
          <w:rFonts w:cstheme="minorHAnsi"/>
          <w:sz w:val="24"/>
          <w:szCs w:val="24"/>
        </w:rPr>
        <w:t>takes into account</w:t>
      </w:r>
      <w:proofErr w:type="gramEnd"/>
      <w:r w:rsidRPr="003261C2">
        <w:rPr>
          <w:rFonts w:cstheme="minorHAnsi"/>
          <w:sz w:val="24"/>
          <w:szCs w:val="24"/>
        </w:rPr>
        <w:t xml:space="preserve"> factors such as market share, relevant market and geographic element. </w:t>
      </w:r>
    </w:p>
    <w:p w14:paraId="5F039981"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For market share, as seen in the case of </w:t>
      </w:r>
      <w:r w:rsidRPr="003261C2">
        <w:rPr>
          <w:rFonts w:cstheme="minorHAnsi"/>
          <w:i/>
          <w:iCs/>
          <w:sz w:val="24"/>
          <w:szCs w:val="24"/>
        </w:rPr>
        <w:t xml:space="preserve">AKZO </w:t>
      </w:r>
      <w:proofErr w:type="spellStart"/>
      <w:r w:rsidRPr="003261C2">
        <w:rPr>
          <w:rFonts w:cstheme="minorHAnsi"/>
          <w:i/>
          <w:iCs/>
          <w:sz w:val="24"/>
          <w:szCs w:val="24"/>
        </w:rPr>
        <w:t>Chemie</w:t>
      </w:r>
      <w:proofErr w:type="spellEnd"/>
      <w:r w:rsidRPr="003261C2">
        <w:rPr>
          <w:rFonts w:cstheme="minorHAnsi"/>
          <w:i/>
          <w:iCs/>
          <w:sz w:val="24"/>
          <w:szCs w:val="24"/>
        </w:rPr>
        <w:t xml:space="preserve"> v Commission</w:t>
      </w:r>
      <w:r w:rsidRPr="003261C2">
        <w:rPr>
          <w:rFonts w:cstheme="minorHAnsi"/>
          <w:sz w:val="24"/>
          <w:szCs w:val="24"/>
        </w:rPr>
        <w:t xml:space="preserve">, a company with a market share of more than 50% is seen as being in a dominant position. However, other relevant factors are also </w:t>
      </w:r>
      <w:proofErr w:type="gramStart"/>
      <w:r w:rsidRPr="003261C2">
        <w:rPr>
          <w:rFonts w:cstheme="minorHAnsi"/>
          <w:sz w:val="24"/>
          <w:szCs w:val="24"/>
        </w:rPr>
        <w:t>taken into account</w:t>
      </w:r>
      <w:proofErr w:type="gramEnd"/>
      <w:r w:rsidRPr="003261C2">
        <w:rPr>
          <w:rFonts w:cstheme="minorHAnsi"/>
          <w:sz w:val="24"/>
          <w:szCs w:val="24"/>
        </w:rPr>
        <w:t>, such as the fact that the courts also consider the time duration for which the undertaking has held the dominant market share (</w:t>
      </w:r>
      <w:r w:rsidRPr="003261C2">
        <w:rPr>
          <w:rFonts w:cstheme="minorHAnsi"/>
          <w:i/>
          <w:iCs/>
          <w:sz w:val="24"/>
          <w:szCs w:val="24"/>
        </w:rPr>
        <w:t>Hoffman-La Roche v AG</w:t>
      </w:r>
      <w:r w:rsidRPr="003261C2">
        <w:rPr>
          <w:rFonts w:cstheme="minorHAnsi"/>
          <w:sz w:val="24"/>
          <w:szCs w:val="24"/>
        </w:rPr>
        <w:t xml:space="preserve">). At times, the courts regard undertakings to be in a dominant position even when they do not have the market share of more than 50%; such as in the case of </w:t>
      </w:r>
      <w:r w:rsidRPr="003261C2">
        <w:rPr>
          <w:rFonts w:cstheme="minorHAnsi"/>
          <w:i/>
          <w:iCs/>
          <w:sz w:val="24"/>
          <w:szCs w:val="24"/>
        </w:rPr>
        <w:t>British Airways</w:t>
      </w:r>
      <w:r w:rsidRPr="003261C2">
        <w:rPr>
          <w:rFonts w:cstheme="minorHAnsi"/>
          <w:sz w:val="24"/>
          <w:szCs w:val="24"/>
        </w:rPr>
        <w:t>, the undertaking only held market share of 39.7%, the courts still considered it to be dominant as the next closest rival only possesses 5.5% of the market share (</w:t>
      </w:r>
      <w:r w:rsidRPr="003261C2">
        <w:rPr>
          <w:rFonts w:cstheme="minorHAnsi"/>
          <w:i/>
          <w:iCs/>
          <w:sz w:val="24"/>
          <w:szCs w:val="24"/>
        </w:rPr>
        <w:t>British Airways v Commission 2007).</w:t>
      </w:r>
      <w:r w:rsidRPr="003261C2">
        <w:rPr>
          <w:rFonts w:cstheme="minorHAnsi"/>
          <w:sz w:val="24"/>
          <w:szCs w:val="24"/>
        </w:rPr>
        <w:t xml:space="preserve"> Next, relevant market will be assessed. The notion of a relevant market is two-folds, relevant product market and geographic market. The former, put simply, a relevant product market consists of </w:t>
      </w:r>
      <w:proofErr w:type="gramStart"/>
      <w:r w:rsidRPr="003261C2">
        <w:rPr>
          <w:rFonts w:cstheme="minorHAnsi"/>
          <w:sz w:val="24"/>
          <w:szCs w:val="24"/>
        </w:rPr>
        <w:t>any and all</w:t>
      </w:r>
      <w:proofErr w:type="gramEnd"/>
      <w:r w:rsidRPr="003261C2">
        <w:rPr>
          <w:rFonts w:cstheme="minorHAnsi"/>
          <w:sz w:val="24"/>
          <w:szCs w:val="24"/>
        </w:rPr>
        <w:t xml:space="preserve"> products and services that can be termed as alternative, substitutable, or interchangeable on the basis of their price, characteristics, and usage (concurrences); this can be seen in the case of </w:t>
      </w:r>
      <w:r w:rsidRPr="003261C2">
        <w:rPr>
          <w:rFonts w:cstheme="minorHAnsi"/>
          <w:i/>
          <w:iCs/>
          <w:sz w:val="24"/>
          <w:szCs w:val="24"/>
        </w:rPr>
        <w:t>United Brands Company and United Brands Continental BV v Commission</w:t>
      </w:r>
      <w:r w:rsidRPr="003261C2">
        <w:rPr>
          <w:rFonts w:cstheme="minorHAnsi"/>
          <w:sz w:val="24"/>
          <w:szCs w:val="24"/>
        </w:rPr>
        <w:t xml:space="preserve">. It was held in the said case that the bananas were not substitutes for other fruits as they had novel characteristics and there was no cross-elasticity of demand. The second fold is that of geographic market. The </w:t>
      </w:r>
      <w:r w:rsidRPr="003261C2">
        <w:rPr>
          <w:rFonts w:cstheme="minorHAnsi"/>
          <w:sz w:val="24"/>
          <w:szCs w:val="24"/>
        </w:rPr>
        <w:lastRenderedPageBreak/>
        <w:t xml:space="preserve">Commission defines the relevant geographic market in terms of the geographical area where the undertakings involved are conducting their operations relating to the supply and demand of their product/services (European Economic Commission, 1997). The Court of Justice defined, in the case of </w:t>
      </w:r>
      <w:r w:rsidRPr="003261C2">
        <w:rPr>
          <w:rFonts w:cstheme="minorHAnsi"/>
          <w:i/>
          <w:iCs/>
          <w:sz w:val="24"/>
          <w:szCs w:val="24"/>
        </w:rPr>
        <w:t>United Brands</w:t>
      </w:r>
      <w:r w:rsidRPr="003261C2">
        <w:rPr>
          <w:rFonts w:cstheme="minorHAnsi"/>
          <w:sz w:val="24"/>
          <w:szCs w:val="24"/>
        </w:rPr>
        <w:t xml:space="preserve">, the geographic market as an area where the objective conditions are the same for all undertakings. </w:t>
      </w:r>
    </w:p>
    <w:p w14:paraId="2824CB59"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Apart from the fact that the concept of relevant market is very important for the assessment of dominant position of an undertaking under Article 102, and for the Commission to ascertain competition constraints as mentioned in the Notice of 1997; the said concept is just as important for the purposes of the interpretation and applicability of Article 101. </w:t>
      </w:r>
    </w:p>
    <w:p w14:paraId="2699D4E0"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For Article 101, the concept of relevant market has gained importance in the recent times. The reliance on the exemptions of Article 101 requires the courts to assess the relevant markets that the involved undertakings operate in. Moreover, for the undertakings to use the block exemption </w:t>
      </w:r>
      <w:proofErr w:type="gramStart"/>
      <w:r w:rsidRPr="003261C2">
        <w:rPr>
          <w:rFonts w:cstheme="minorHAnsi"/>
          <w:sz w:val="24"/>
          <w:szCs w:val="24"/>
        </w:rPr>
        <w:t>on the basis of</w:t>
      </w:r>
      <w:proofErr w:type="gramEnd"/>
      <w:r w:rsidRPr="003261C2">
        <w:rPr>
          <w:rFonts w:cstheme="minorHAnsi"/>
          <w:sz w:val="24"/>
          <w:szCs w:val="24"/>
        </w:rPr>
        <w:t xml:space="preserve"> the de minimis rule (safe havens), the courts need to assess the market share of the undertakings involved (that is, for the undertakings to benefit from the said exemption, they need to hold a market share of not more than 30%); in order to assess the market share, the concept of relevant market comes into play the same way it operates under the Article 102 (</w:t>
      </w:r>
      <w:proofErr w:type="spellStart"/>
      <w:r w:rsidRPr="003261C2">
        <w:rPr>
          <w:rFonts w:cstheme="minorHAnsi"/>
          <w:sz w:val="24"/>
          <w:szCs w:val="24"/>
        </w:rPr>
        <w:t>Dunnes</w:t>
      </w:r>
      <w:proofErr w:type="spellEnd"/>
      <w:r w:rsidRPr="003261C2">
        <w:rPr>
          <w:rFonts w:cstheme="minorHAnsi"/>
          <w:sz w:val="24"/>
          <w:szCs w:val="24"/>
        </w:rPr>
        <w:t xml:space="preserve">, 2020). </w:t>
      </w:r>
    </w:p>
    <w:p w14:paraId="76884A0C"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Therefore, upon critical examination of the concept of the relevant market in the context of competition law, it is concluded that the said concept is crucial for the interpretation, application, and successful operation of Article 101 and 102 of the TFEU – both of which are vital </w:t>
      </w:r>
      <w:proofErr w:type="gramStart"/>
      <w:r w:rsidRPr="003261C2">
        <w:rPr>
          <w:rFonts w:cstheme="minorHAnsi"/>
          <w:sz w:val="24"/>
          <w:szCs w:val="24"/>
        </w:rPr>
        <w:t>in regards to</w:t>
      </w:r>
      <w:proofErr w:type="gramEnd"/>
      <w:r w:rsidRPr="003261C2">
        <w:rPr>
          <w:rFonts w:cstheme="minorHAnsi"/>
          <w:sz w:val="24"/>
          <w:szCs w:val="24"/>
        </w:rPr>
        <w:t xml:space="preserve"> the competition law. While some argue that the Court of Justice should amend the manner the said concept is used, it is nevertheless, evident that the said concept </w:t>
      </w:r>
      <w:r w:rsidRPr="003261C2">
        <w:rPr>
          <w:rFonts w:cstheme="minorHAnsi"/>
          <w:sz w:val="24"/>
          <w:szCs w:val="24"/>
        </w:rPr>
        <w:lastRenderedPageBreak/>
        <w:t>suffices to achieve the objectives that it is designed to achieve. “</w:t>
      </w:r>
      <w:r w:rsidRPr="003261C2">
        <w:rPr>
          <w:rFonts w:cstheme="minorHAnsi"/>
          <w:i/>
          <w:iCs/>
          <w:sz w:val="24"/>
          <w:szCs w:val="24"/>
        </w:rPr>
        <w:t>Our fundamental aim is to ensure that the EU's powers to intervene against monopoly abuses are applied consistently and effectively, not only by the Commission but also by national competition agencies and courts throughout the EU which also now apply EU competition law.”</w:t>
      </w:r>
      <w:r w:rsidRPr="003261C2">
        <w:rPr>
          <w:rFonts w:cstheme="minorHAnsi"/>
          <w:sz w:val="24"/>
          <w:szCs w:val="24"/>
        </w:rPr>
        <w:t xml:space="preserve"> (Commissioner </w:t>
      </w:r>
      <w:proofErr w:type="spellStart"/>
      <w:r w:rsidRPr="003261C2">
        <w:rPr>
          <w:rFonts w:cstheme="minorHAnsi"/>
          <w:sz w:val="24"/>
          <w:szCs w:val="24"/>
        </w:rPr>
        <w:t>Neelie</w:t>
      </w:r>
      <w:proofErr w:type="spellEnd"/>
      <w:r w:rsidRPr="003261C2">
        <w:rPr>
          <w:rFonts w:cstheme="minorHAnsi"/>
          <w:sz w:val="24"/>
          <w:szCs w:val="24"/>
        </w:rPr>
        <w:t xml:space="preserve"> </w:t>
      </w:r>
      <w:proofErr w:type="spellStart"/>
      <w:r w:rsidRPr="003261C2">
        <w:rPr>
          <w:rFonts w:cstheme="minorHAnsi"/>
          <w:sz w:val="24"/>
          <w:szCs w:val="24"/>
        </w:rPr>
        <w:t>Kroes</w:t>
      </w:r>
      <w:proofErr w:type="spellEnd"/>
      <w:r w:rsidRPr="003261C2">
        <w:rPr>
          <w:rFonts w:cstheme="minorHAnsi"/>
          <w:sz w:val="24"/>
          <w:szCs w:val="24"/>
        </w:rPr>
        <w:t>)</w:t>
      </w:r>
    </w:p>
    <w:p w14:paraId="658DA2CC" w14:textId="77777777"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Bibliography:</w:t>
      </w:r>
    </w:p>
    <w:p w14:paraId="05AB5071" w14:textId="77777777"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Primary sources:</w:t>
      </w:r>
    </w:p>
    <w:p w14:paraId="1839BAD9" w14:textId="77777777"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Cases:</w:t>
      </w:r>
    </w:p>
    <w:p w14:paraId="79C1C85B" w14:textId="77777777" w:rsidR="006247A0" w:rsidRPr="003261C2" w:rsidRDefault="006247A0" w:rsidP="006247A0">
      <w:pPr>
        <w:pStyle w:val="ListParagraph"/>
        <w:numPr>
          <w:ilvl w:val="0"/>
          <w:numId w:val="1"/>
        </w:numPr>
        <w:spacing w:line="480" w:lineRule="auto"/>
        <w:rPr>
          <w:rFonts w:cstheme="minorHAnsi"/>
          <w:color w:val="000000" w:themeColor="text1"/>
          <w:sz w:val="24"/>
          <w:szCs w:val="24"/>
        </w:rPr>
      </w:pPr>
      <w:r w:rsidRPr="003261C2">
        <w:rPr>
          <w:rFonts w:cstheme="minorHAnsi"/>
          <w:color w:val="000000" w:themeColor="text1"/>
          <w:sz w:val="24"/>
          <w:szCs w:val="24"/>
          <w:shd w:val="clear" w:color="auto" w:fill="FFFFFF"/>
        </w:rPr>
        <w:t xml:space="preserve">Case C-27/76 United Brands Company and United Brands </w:t>
      </w:r>
      <w:proofErr w:type="spellStart"/>
      <w:r w:rsidRPr="003261C2">
        <w:rPr>
          <w:rFonts w:cstheme="minorHAnsi"/>
          <w:color w:val="000000" w:themeColor="text1"/>
          <w:sz w:val="24"/>
          <w:szCs w:val="24"/>
          <w:shd w:val="clear" w:color="auto" w:fill="FFFFFF"/>
        </w:rPr>
        <w:t>Continentaal</w:t>
      </w:r>
      <w:proofErr w:type="spellEnd"/>
      <w:r w:rsidRPr="003261C2">
        <w:rPr>
          <w:rFonts w:cstheme="minorHAnsi"/>
          <w:color w:val="000000" w:themeColor="text1"/>
          <w:sz w:val="24"/>
          <w:szCs w:val="24"/>
          <w:shd w:val="clear" w:color="auto" w:fill="FFFFFF"/>
        </w:rPr>
        <w:t xml:space="preserve"> BV v Commission of the European Communities [1978] ECR. 207.</w:t>
      </w:r>
    </w:p>
    <w:p w14:paraId="1A304DBC" w14:textId="77777777" w:rsidR="006247A0" w:rsidRPr="003261C2" w:rsidRDefault="006247A0" w:rsidP="006247A0">
      <w:pPr>
        <w:pStyle w:val="ListParagraph"/>
        <w:numPr>
          <w:ilvl w:val="0"/>
          <w:numId w:val="1"/>
        </w:numPr>
        <w:spacing w:line="480" w:lineRule="auto"/>
        <w:rPr>
          <w:rFonts w:cstheme="minorHAnsi"/>
          <w:color w:val="000000" w:themeColor="text1"/>
          <w:sz w:val="24"/>
          <w:szCs w:val="24"/>
        </w:rPr>
      </w:pPr>
      <w:r w:rsidRPr="003261C2">
        <w:rPr>
          <w:rFonts w:cstheme="minorHAnsi"/>
          <w:color w:val="000000" w:themeColor="text1"/>
          <w:sz w:val="24"/>
          <w:szCs w:val="24"/>
          <w:shd w:val="clear" w:color="auto" w:fill="FFFFFF"/>
        </w:rPr>
        <w:t xml:space="preserve">Case C-62/86 AKZO </w:t>
      </w:r>
      <w:proofErr w:type="spellStart"/>
      <w:r w:rsidRPr="003261C2">
        <w:rPr>
          <w:rFonts w:cstheme="minorHAnsi"/>
          <w:color w:val="000000" w:themeColor="text1"/>
          <w:sz w:val="24"/>
          <w:szCs w:val="24"/>
          <w:shd w:val="clear" w:color="auto" w:fill="FFFFFF"/>
        </w:rPr>
        <w:t>Chemie</w:t>
      </w:r>
      <w:proofErr w:type="spellEnd"/>
      <w:r w:rsidRPr="003261C2">
        <w:rPr>
          <w:rFonts w:cstheme="minorHAnsi"/>
          <w:color w:val="000000" w:themeColor="text1"/>
          <w:sz w:val="24"/>
          <w:szCs w:val="24"/>
          <w:shd w:val="clear" w:color="auto" w:fill="FFFFFF"/>
        </w:rPr>
        <w:t xml:space="preserve"> BV v Commission of the European Communities [1991] ECR 1-3359.</w:t>
      </w:r>
    </w:p>
    <w:p w14:paraId="4A22F6BE" w14:textId="77777777" w:rsidR="006247A0" w:rsidRPr="003261C2" w:rsidRDefault="006247A0" w:rsidP="006247A0">
      <w:pPr>
        <w:pStyle w:val="ListParagraph"/>
        <w:numPr>
          <w:ilvl w:val="0"/>
          <w:numId w:val="1"/>
        </w:numPr>
        <w:spacing w:line="480" w:lineRule="auto"/>
        <w:rPr>
          <w:rFonts w:cstheme="minorHAnsi"/>
          <w:color w:val="000000" w:themeColor="text1"/>
          <w:sz w:val="24"/>
          <w:szCs w:val="24"/>
        </w:rPr>
      </w:pPr>
      <w:r w:rsidRPr="003261C2">
        <w:rPr>
          <w:rFonts w:cstheme="minorHAnsi"/>
          <w:color w:val="000000" w:themeColor="text1"/>
          <w:sz w:val="24"/>
          <w:szCs w:val="24"/>
          <w:shd w:val="clear" w:color="auto" w:fill="FFFFFF"/>
        </w:rPr>
        <w:t>Case C-85/76 Hoffmann-La Roche &amp; Co. AG v Commission of the European Communities [1979] ECR 461.</w:t>
      </w:r>
    </w:p>
    <w:p w14:paraId="3A60C1DF" w14:textId="77777777" w:rsidR="006247A0" w:rsidRPr="003261C2" w:rsidRDefault="006247A0" w:rsidP="006247A0">
      <w:pPr>
        <w:pStyle w:val="ListParagraph"/>
        <w:numPr>
          <w:ilvl w:val="0"/>
          <w:numId w:val="1"/>
        </w:numPr>
        <w:spacing w:line="480" w:lineRule="auto"/>
        <w:rPr>
          <w:rFonts w:cstheme="minorHAnsi"/>
          <w:color w:val="000000" w:themeColor="text1"/>
          <w:sz w:val="24"/>
          <w:szCs w:val="24"/>
        </w:rPr>
      </w:pPr>
      <w:r w:rsidRPr="003261C2">
        <w:rPr>
          <w:rFonts w:cstheme="minorHAnsi"/>
          <w:color w:val="000000" w:themeColor="text1"/>
          <w:sz w:val="24"/>
          <w:szCs w:val="24"/>
          <w:shd w:val="clear" w:color="auto" w:fill="FFFFFF"/>
        </w:rPr>
        <w:t>Case C-95/04 P British Airways plc v Commission of the European Communities [2007] ECR I-2331.</w:t>
      </w:r>
    </w:p>
    <w:p w14:paraId="2CFA629A" w14:textId="77777777" w:rsidR="006247A0" w:rsidRPr="003261C2" w:rsidRDefault="006247A0" w:rsidP="006247A0">
      <w:pPr>
        <w:spacing w:line="480" w:lineRule="auto"/>
        <w:ind w:left="360"/>
        <w:rPr>
          <w:rFonts w:cstheme="minorHAnsi"/>
          <w:color w:val="4472C4" w:themeColor="accent1"/>
          <w:sz w:val="24"/>
          <w:szCs w:val="24"/>
        </w:rPr>
      </w:pPr>
      <w:r w:rsidRPr="003261C2">
        <w:rPr>
          <w:rFonts w:cstheme="minorHAnsi"/>
          <w:color w:val="4472C4" w:themeColor="accent1"/>
          <w:sz w:val="24"/>
          <w:szCs w:val="24"/>
        </w:rPr>
        <w:t>Treaties:</w:t>
      </w:r>
    </w:p>
    <w:p w14:paraId="1CA57894" w14:textId="77777777" w:rsidR="006247A0" w:rsidRPr="003261C2" w:rsidRDefault="006247A0" w:rsidP="006247A0">
      <w:pPr>
        <w:pStyle w:val="ListParagraph"/>
        <w:numPr>
          <w:ilvl w:val="0"/>
          <w:numId w:val="1"/>
        </w:numPr>
        <w:spacing w:line="480" w:lineRule="auto"/>
        <w:rPr>
          <w:rFonts w:cstheme="minorHAnsi"/>
          <w:sz w:val="24"/>
          <w:szCs w:val="24"/>
        </w:rPr>
      </w:pPr>
      <w:r w:rsidRPr="003261C2">
        <w:rPr>
          <w:rFonts w:cstheme="minorHAnsi"/>
          <w:i/>
          <w:iCs/>
          <w:sz w:val="24"/>
          <w:szCs w:val="24"/>
        </w:rPr>
        <w:t>Treaty on the Functioning of the European Union</w:t>
      </w:r>
      <w:r w:rsidRPr="003261C2">
        <w:rPr>
          <w:rFonts w:cstheme="minorHAnsi"/>
          <w:sz w:val="24"/>
          <w:szCs w:val="24"/>
        </w:rPr>
        <w:t xml:space="preserve"> 1957</w:t>
      </w:r>
    </w:p>
    <w:p w14:paraId="130F75F3" w14:textId="77777777" w:rsidR="006247A0" w:rsidRPr="003261C2" w:rsidRDefault="006247A0" w:rsidP="006247A0">
      <w:pPr>
        <w:pStyle w:val="ListParagraph"/>
        <w:spacing w:line="480" w:lineRule="auto"/>
        <w:rPr>
          <w:rFonts w:cstheme="minorHAnsi"/>
          <w:color w:val="444444"/>
          <w:sz w:val="24"/>
          <w:szCs w:val="24"/>
          <w:shd w:val="clear" w:color="auto" w:fill="FFFFFF"/>
        </w:rPr>
      </w:pPr>
    </w:p>
    <w:p w14:paraId="532C96E3" w14:textId="77777777" w:rsidR="006247A0" w:rsidRPr="003261C2" w:rsidRDefault="006247A0" w:rsidP="006247A0">
      <w:pPr>
        <w:spacing w:line="480" w:lineRule="auto"/>
        <w:rPr>
          <w:rFonts w:cstheme="minorHAnsi"/>
          <w:color w:val="4472C4" w:themeColor="accent1"/>
          <w:sz w:val="24"/>
          <w:szCs w:val="24"/>
          <w:shd w:val="clear" w:color="auto" w:fill="FFFFFF"/>
        </w:rPr>
      </w:pPr>
      <w:r w:rsidRPr="003261C2">
        <w:rPr>
          <w:rFonts w:cstheme="minorHAnsi"/>
          <w:color w:val="4472C4" w:themeColor="accent1"/>
          <w:sz w:val="24"/>
          <w:szCs w:val="24"/>
          <w:shd w:val="clear" w:color="auto" w:fill="FFFFFF"/>
        </w:rPr>
        <w:t>Secondary Sources:</w:t>
      </w:r>
    </w:p>
    <w:p w14:paraId="70A5515D" w14:textId="77777777" w:rsidR="006247A0" w:rsidRPr="003261C2" w:rsidRDefault="006247A0" w:rsidP="006247A0">
      <w:pPr>
        <w:pStyle w:val="ListParagraph"/>
        <w:spacing w:line="480" w:lineRule="auto"/>
        <w:rPr>
          <w:rFonts w:cstheme="minorHAnsi"/>
          <w:color w:val="4472C4" w:themeColor="accent1"/>
          <w:sz w:val="24"/>
          <w:szCs w:val="24"/>
          <w:shd w:val="clear" w:color="auto" w:fill="FFFFFF"/>
        </w:rPr>
      </w:pPr>
      <w:r w:rsidRPr="003261C2">
        <w:rPr>
          <w:rFonts w:cstheme="minorHAnsi"/>
          <w:color w:val="4472C4" w:themeColor="accent1"/>
          <w:sz w:val="24"/>
          <w:szCs w:val="24"/>
          <w:shd w:val="clear" w:color="auto" w:fill="FFFFFF"/>
        </w:rPr>
        <w:t>Books:</w:t>
      </w:r>
    </w:p>
    <w:p w14:paraId="112F40E4" w14:textId="77777777" w:rsidR="006247A0" w:rsidRPr="003261C2" w:rsidRDefault="006247A0" w:rsidP="006247A0">
      <w:pPr>
        <w:pStyle w:val="ListParagraph"/>
        <w:numPr>
          <w:ilvl w:val="0"/>
          <w:numId w:val="1"/>
        </w:numPr>
        <w:spacing w:line="480" w:lineRule="auto"/>
        <w:rPr>
          <w:rFonts w:cstheme="minorHAnsi"/>
          <w:i/>
          <w:iCs/>
          <w:sz w:val="24"/>
          <w:szCs w:val="24"/>
        </w:rPr>
      </w:pPr>
      <w:r w:rsidRPr="003261C2">
        <w:rPr>
          <w:rFonts w:cstheme="minorHAnsi"/>
          <w:sz w:val="24"/>
          <w:szCs w:val="24"/>
        </w:rPr>
        <w:lastRenderedPageBreak/>
        <w:t>Bellamy, C., Roth, PM., and Child, G., (2001) ‘</w:t>
      </w:r>
      <w:r w:rsidRPr="003261C2">
        <w:rPr>
          <w:rFonts w:cstheme="minorHAnsi"/>
          <w:i/>
          <w:iCs/>
          <w:sz w:val="24"/>
          <w:szCs w:val="24"/>
        </w:rPr>
        <w:t xml:space="preserve">European community law of competition’, </w:t>
      </w:r>
      <w:r w:rsidRPr="003261C2">
        <w:rPr>
          <w:rFonts w:cstheme="minorHAnsi"/>
          <w:sz w:val="24"/>
          <w:szCs w:val="24"/>
        </w:rPr>
        <w:t xml:space="preserve">5th </w:t>
      </w:r>
      <w:proofErr w:type="spellStart"/>
      <w:r w:rsidRPr="003261C2">
        <w:rPr>
          <w:rFonts w:cstheme="minorHAnsi"/>
          <w:sz w:val="24"/>
          <w:szCs w:val="24"/>
        </w:rPr>
        <w:t>edn</w:t>
      </w:r>
      <w:proofErr w:type="spellEnd"/>
      <w:r w:rsidRPr="003261C2">
        <w:rPr>
          <w:rFonts w:cstheme="minorHAnsi"/>
          <w:sz w:val="24"/>
          <w:szCs w:val="24"/>
        </w:rPr>
        <w:t xml:space="preserve">, Sweet &amp; Maxwell. </w:t>
      </w:r>
    </w:p>
    <w:p w14:paraId="5CD93814" w14:textId="77777777" w:rsidR="006247A0" w:rsidRPr="003261C2" w:rsidRDefault="006247A0" w:rsidP="006247A0">
      <w:pPr>
        <w:pStyle w:val="ListParagraph"/>
        <w:numPr>
          <w:ilvl w:val="0"/>
          <w:numId w:val="1"/>
        </w:numPr>
        <w:spacing w:line="480" w:lineRule="auto"/>
        <w:rPr>
          <w:rFonts w:cstheme="minorHAnsi"/>
          <w:i/>
          <w:iCs/>
          <w:sz w:val="24"/>
          <w:szCs w:val="24"/>
        </w:rPr>
      </w:pPr>
      <w:r w:rsidRPr="003261C2">
        <w:rPr>
          <w:rFonts w:cstheme="minorHAnsi"/>
          <w:sz w:val="24"/>
          <w:szCs w:val="24"/>
        </w:rPr>
        <w:t>Goyder, D. G., (2003) ‘</w:t>
      </w:r>
      <w:r w:rsidRPr="003261C2">
        <w:rPr>
          <w:rFonts w:cstheme="minorHAnsi"/>
          <w:i/>
          <w:iCs/>
          <w:sz w:val="24"/>
          <w:szCs w:val="24"/>
        </w:rPr>
        <w:t>EC Competition Law’</w:t>
      </w:r>
      <w:r w:rsidRPr="003261C2">
        <w:rPr>
          <w:rFonts w:cstheme="minorHAnsi"/>
          <w:sz w:val="24"/>
          <w:szCs w:val="24"/>
        </w:rPr>
        <w:t xml:space="preserve">, Fourth </w:t>
      </w:r>
      <w:proofErr w:type="spellStart"/>
      <w:r w:rsidRPr="003261C2">
        <w:rPr>
          <w:rFonts w:cstheme="minorHAnsi"/>
          <w:sz w:val="24"/>
          <w:szCs w:val="24"/>
        </w:rPr>
        <w:t>edn</w:t>
      </w:r>
      <w:proofErr w:type="spellEnd"/>
      <w:r w:rsidRPr="003261C2">
        <w:rPr>
          <w:rFonts w:cstheme="minorHAnsi"/>
          <w:sz w:val="24"/>
          <w:szCs w:val="24"/>
        </w:rPr>
        <w:t xml:space="preserve">, p. 8, Oxford University Press. </w:t>
      </w:r>
    </w:p>
    <w:p w14:paraId="14493B86" w14:textId="77777777" w:rsidR="006247A0" w:rsidRPr="003261C2" w:rsidRDefault="006247A0" w:rsidP="006247A0">
      <w:pPr>
        <w:pStyle w:val="ListParagraph"/>
        <w:numPr>
          <w:ilvl w:val="0"/>
          <w:numId w:val="1"/>
        </w:numPr>
        <w:spacing w:line="480" w:lineRule="auto"/>
        <w:rPr>
          <w:rFonts w:cstheme="minorHAnsi"/>
          <w:i/>
          <w:iCs/>
          <w:sz w:val="24"/>
          <w:szCs w:val="24"/>
        </w:rPr>
      </w:pPr>
      <w:r w:rsidRPr="003261C2">
        <w:rPr>
          <w:rFonts w:cstheme="minorHAnsi"/>
          <w:sz w:val="24"/>
          <w:szCs w:val="24"/>
        </w:rPr>
        <w:t xml:space="preserve">Hildebrand. D, The Role of Economic Analysis in the EC Competition Rules, Second edition, 2002, p. 41. </w:t>
      </w:r>
    </w:p>
    <w:p w14:paraId="587D3881" w14:textId="77777777" w:rsidR="006247A0" w:rsidRPr="003261C2" w:rsidRDefault="006247A0" w:rsidP="006247A0">
      <w:pPr>
        <w:pStyle w:val="ListParagraph"/>
        <w:numPr>
          <w:ilvl w:val="0"/>
          <w:numId w:val="1"/>
        </w:numPr>
        <w:spacing w:line="480" w:lineRule="auto"/>
        <w:rPr>
          <w:rFonts w:cstheme="minorHAnsi"/>
          <w:i/>
          <w:iCs/>
          <w:sz w:val="24"/>
          <w:szCs w:val="24"/>
        </w:rPr>
      </w:pPr>
      <w:proofErr w:type="spellStart"/>
      <w:r w:rsidRPr="003261C2">
        <w:rPr>
          <w:rFonts w:cstheme="minorHAnsi"/>
          <w:sz w:val="24"/>
          <w:szCs w:val="24"/>
        </w:rPr>
        <w:t>Horspool</w:t>
      </w:r>
      <w:proofErr w:type="spellEnd"/>
      <w:r w:rsidRPr="003261C2">
        <w:rPr>
          <w:rFonts w:cstheme="minorHAnsi"/>
          <w:sz w:val="24"/>
          <w:szCs w:val="24"/>
        </w:rPr>
        <w:t>, M., Humphreys, M., and Wells-Greco, Michael (2016), ‘</w:t>
      </w:r>
      <w:r w:rsidRPr="003261C2">
        <w:rPr>
          <w:rFonts w:cstheme="minorHAnsi"/>
          <w:i/>
          <w:iCs/>
          <w:sz w:val="24"/>
          <w:szCs w:val="24"/>
        </w:rPr>
        <w:t xml:space="preserve">European Union Law’ </w:t>
      </w:r>
      <w:r w:rsidRPr="003261C2">
        <w:rPr>
          <w:rFonts w:cstheme="minorHAnsi"/>
          <w:sz w:val="24"/>
          <w:szCs w:val="24"/>
        </w:rPr>
        <w:t xml:space="preserve">9th </w:t>
      </w:r>
      <w:proofErr w:type="spellStart"/>
      <w:r w:rsidRPr="003261C2">
        <w:rPr>
          <w:rFonts w:cstheme="minorHAnsi"/>
          <w:sz w:val="24"/>
          <w:szCs w:val="24"/>
        </w:rPr>
        <w:t>edn</w:t>
      </w:r>
      <w:proofErr w:type="spellEnd"/>
      <w:r w:rsidRPr="003261C2">
        <w:rPr>
          <w:rFonts w:cstheme="minorHAnsi"/>
          <w:sz w:val="24"/>
          <w:szCs w:val="24"/>
        </w:rPr>
        <w:t xml:space="preserve">, Oxford University Press. </w:t>
      </w:r>
    </w:p>
    <w:p w14:paraId="56ED88E0" w14:textId="77777777" w:rsidR="006247A0" w:rsidRPr="003261C2" w:rsidRDefault="006247A0" w:rsidP="006247A0">
      <w:pPr>
        <w:pStyle w:val="ListParagraph"/>
        <w:numPr>
          <w:ilvl w:val="0"/>
          <w:numId w:val="1"/>
        </w:numPr>
        <w:spacing w:line="480" w:lineRule="auto"/>
        <w:rPr>
          <w:rFonts w:cstheme="minorHAnsi"/>
          <w:i/>
          <w:iCs/>
          <w:sz w:val="24"/>
          <w:szCs w:val="24"/>
        </w:rPr>
      </w:pPr>
      <w:r w:rsidRPr="003261C2">
        <w:rPr>
          <w:rFonts w:cstheme="minorHAnsi"/>
          <w:sz w:val="24"/>
          <w:szCs w:val="24"/>
        </w:rPr>
        <w:t xml:space="preserve">Jones, A., </w:t>
      </w:r>
      <w:proofErr w:type="spellStart"/>
      <w:r w:rsidRPr="003261C2">
        <w:rPr>
          <w:rFonts w:cstheme="minorHAnsi"/>
          <w:sz w:val="24"/>
          <w:szCs w:val="24"/>
        </w:rPr>
        <w:t>Sufrin</w:t>
      </w:r>
      <w:proofErr w:type="spellEnd"/>
      <w:r w:rsidRPr="003261C2">
        <w:rPr>
          <w:rFonts w:cstheme="minorHAnsi"/>
          <w:sz w:val="24"/>
          <w:szCs w:val="24"/>
        </w:rPr>
        <w:t>, B., and Dunne. N, (2019) ‘</w:t>
      </w:r>
      <w:r w:rsidRPr="003261C2">
        <w:rPr>
          <w:rFonts w:cstheme="minorHAnsi"/>
          <w:i/>
          <w:iCs/>
          <w:sz w:val="24"/>
          <w:szCs w:val="24"/>
        </w:rPr>
        <w:t xml:space="preserve">EC Competition Law, Texts Cases and Material’ </w:t>
      </w:r>
      <w:r w:rsidRPr="003261C2">
        <w:rPr>
          <w:rFonts w:cstheme="minorHAnsi"/>
          <w:sz w:val="24"/>
          <w:szCs w:val="24"/>
        </w:rPr>
        <w:t>7</w:t>
      </w:r>
      <w:r w:rsidRPr="003261C2">
        <w:rPr>
          <w:rFonts w:cstheme="minorHAnsi"/>
          <w:sz w:val="24"/>
          <w:szCs w:val="24"/>
          <w:vertAlign w:val="superscript"/>
        </w:rPr>
        <w:t>th</w:t>
      </w:r>
      <w:r w:rsidRPr="003261C2">
        <w:rPr>
          <w:rFonts w:cstheme="minorHAnsi"/>
          <w:sz w:val="24"/>
          <w:szCs w:val="24"/>
        </w:rPr>
        <w:t xml:space="preserve"> </w:t>
      </w:r>
      <w:proofErr w:type="spellStart"/>
      <w:r w:rsidRPr="003261C2">
        <w:rPr>
          <w:rFonts w:cstheme="minorHAnsi"/>
          <w:sz w:val="24"/>
          <w:szCs w:val="24"/>
        </w:rPr>
        <w:t>Edn</w:t>
      </w:r>
      <w:proofErr w:type="spellEnd"/>
      <w:r w:rsidRPr="003261C2">
        <w:rPr>
          <w:rFonts w:cstheme="minorHAnsi"/>
          <w:sz w:val="24"/>
          <w:szCs w:val="24"/>
        </w:rPr>
        <w:t xml:space="preserve">, Oxford University Press. </w:t>
      </w:r>
    </w:p>
    <w:p w14:paraId="71A8D54F" w14:textId="77777777" w:rsidR="006247A0" w:rsidRPr="003261C2" w:rsidRDefault="006247A0" w:rsidP="006247A0">
      <w:pPr>
        <w:pStyle w:val="ListParagraph"/>
        <w:numPr>
          <w:ilvl w:val="0"/>
          <w:numId w:val="1"/>
        </w:numPr>
        <w:spacing w:line="480" w:lineRule="auto"/>
        <w:rPr>
          <w:rFonts w:cstheme="minorHAnsi"/>
          <w:i/>
          <w:iCs/>
          <w:sz w:val="24"/>
          <w:szCs w:val="24"/>
        </w:rPr>
      </w:pPr>
      <w:r w:rsidRPr="003261C2">
        <w:rPr>
          <w:rFonts w:cstheme="minorHAnsi"/>
          <w:sz w:val="24"/>
          <w:szCs w:val="24"/>
        </w:rPr>
        <w:t>Simon, B., and Mike, W., (2007) ‘</w:t>
      </w:r>
      <w:r w:rsidRPr="003261C2">
        <w:rPr>
          <w:rFonts w:cstheme="minorHAnsi"/>
          <w:i/>
          <w:iCs/>
          <w:sz w:val="24"/>
          <w:szCs w:val="24"/>
        </w:rPr>
        <w:t>The Economics of EC Competition Law: Concepts, Application and Measurement’</w:t>
      </w:r>
      <w:r w:rsidRPr="003261C2">
        <w:rPr>
          <w:rFonts w:cstheme="minorHAnsi"/>
          <w:sz w:val="24"/>
          <w:szCs w:val="24"/>
        </w:rPr>
        <w:t>, 3</w:t>
      </w:r>
      <w:r w:rsidRPr="003261C2">
        <w:rPr>
          <w:rFonts w:cstheme="minorHAnsi"/>
          <w:sz w:val="24"/>
          <w:szCs w:val="24"/>
          <w:vertAlign w:val="superscript"/>
        </w:rPr>
        <w:t>rd</w:t>
      </w:r>
      <w:r w:rsidRPr="003261C2">
        <w:rPr>
          <w:rFonts w:cstheme="minorHAnsi"/>
          <w:sz w:val="24"/>
          <w:szCs w:val="24"/>
        </w:rPr>
        <w:t xml:space="preserve"> </w:t>
      </w:r>
      <w:proofErr w:type="spellStart"/>
      <w:r w:rsidRPr="003261C2">
        <w:rPr>
          <w:rFonts w:cstheme="minorHAnsi"/>
          <w:sz w:val="24"/>
          <w:szCs w:val="24"/>
        </w:rPr>
        <w:t>edn</w:t>
      </w:r>
      <w:proofErr w:type="spellEnd"/>
      <w:r w:rsidRPr="003261C2">
        <w:rPr>
          <w:rFonts w:cstheme="minorHAnsi"/>
          <w:sz w:val="24"/>
          <w:szCs w:val="24"/>
        </w:rPr>
        <w:t xml:space="preserve">, p. 11, Sweet &amp; Maxwell. </w:t>
      </w:r>
    </w:p>
    <w:p w14:paraId="750C3307" w14:textId="77777777"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Journal Articles:</w:t>
      </w:r>
    </w:p>
    <w:p w14:paraId="700E9325" w14:textId="77777777" w:rsidR="006247A0" w:rsidRPr="003261C2" w:rsidRDefault="006247A0" w:rsidP="006247A0">
      <w:pPr>
        <w:pStyle w:val="ListParagraph"/>
        <w:numPr>
          <w:ilvl w:val="0"/>
          <w:numId w:val="1"/>
        </w:numPr>
        <w:spacing w:line="480" w:lineRule="auto"/>
        <w:rPr>
          <w:rFonts w:cstheme="minorHAnsi"/>
          <w:i/>
          <w:iCs/>
          <w:sz w:val="24"/>
          <w:szCs w:val="24"/>
        </w:rPr>
      </w:pPr>
      <w:r w:rsidRPr="003261C2">
        <w:rPr>
          <w:rFonts w:cstheme="minorHAnsi"/>
          <w:sz w:val="24"/>
          <w:szCs w:val="24"/>
        </w:rPr>
        <w:t>Dunne, N., (2002) ‘Public Interest and EU Competition Law’</w:t>
      </w:r>
    </w:p>
    <w:p w14:paraId="7A2FD92A" w14:textId="77777777" w:rsidR="006247A0" w:rsidRPr="003261C2" w:rsidRDefault="006247A0" w:rsidP="006247A0">
      <w:pPr>
        <w:pStyle w:val="ListParagraph"/>
        <w:numPr>
          <w:ilvl w:val="0"/>
          <w:numId w:val="1"/>
        </w:numPr>
        <w:spacing w:line="480" w:lineRule="auto"/>
        <w:rPr>
          <w:rFonts w:cstheme="minorHAnsi"/>
          <w:i/>
          <w:iCs/>
          <w:sz w:val="24"/>
          <w:szCs w:val="24"/>
        </w:rPr>
      </w:pPr>
      <w:r w:rsidRPr="003261C2">
        <w:rPr>
          <w:rFonts w:cstheme="minorHAnsi"/>
          <w:sz w:val="24"/>
          <w:szCs w:val="24"/>
        </w:rPr>
        <w:t>European Economic Commission 1997,</w:t>
      </w:r>
      <w:r w:rsidRPr="003261C2">
        <w:rPr>
          <w:rFonts w:cstheme="minorHAnsi"/>
          <w:i/>
          <w:iCs/>
          <w:sz w:val="24"/>
          <w:szCs w:val="24"/>
        </w:rPr>
        <w:t xml:space="preserve"> </w:t>
      </w:r>
      <w:r w:rsidRPr="003261C2">
        <w:rPr>
          <w:rFonts w:cstheme="minorHAnsi"/>
          <w:sz w:val="24"/>
          <w:szCs w:val="24"/>
        </w:rPr>
        <w:t>“On the definition of relevant market for the purposes of Community competition law</w:t>
      </w:r>
      <w:r w:rsidRPr="003261C2">
        <w:rPr>
          <w:rFonts w:cstheme="minorHAnsi"/>
          <w:i/>
          <w:iCs/>
          <w:sz w:val="24"/>
          <w:szCs w:val="24"/>
        </w:rPr>
        <w:t xml:space="preserve">” </w:t>
      </w:r>
      <w:r w:rsidRPr="003261C2">
        <w:rPr>
          <w:rFonts w:cstheme="minorHAnsi"/>
          <w:sz w:val="24"/>
          <w:szCs w:val="24"/>
        </w:rPr>
        <w:t xml:space="preserve">Office Journal </w:t>
      </w:r>
      <w:r w:rsidRPr="003261C2">
        <w:rPr>
          <w:rFonts w:cstheme="minorHAnsi"/>
          <w:color w:val="000000"/>
          <w:sz w:val="24"/>
          <w:szCs w:val="24"/>
          <w:shd w:val="clear" w:color="auto" w:fill="FFFFFF"/>
        </w:rPr>
        <w:t xml:space="preserve">(97/C 372/03). </w:t>
      </w:r>
    </w:p>
    <w:p w14:paraId="18AB21A9" w14:textId="77777777" w:rsidR="006247A0" w:rsidRPr="003261C2" w:rsidRDefault="006247A0" w:rsidP="006247A0">
      <w:pPr>
        <w:pStyle w:val="Bibliography"/>
        <w:numPr>
          <w:ilvl w:val="0"/>
          <w:numId w:val="1"/>
        </w:numPr>
        <w:spacing w:line="480" w:lineRule="auto"/>
        <w:rPr>
          <w:rFonts w:cstheme="minorHAnsi"/>
          <w:noProof/>
          <w:sz w:val="24"/>
          <w:szCs w:val="24"/>
        </w:rPr>
      </w:pPr>
      <w:r w:rsidRPr="003261C2">
        <w:rPr>
          <w:rFonts w:cstheme="minorHAnsi"/>
          <w:noProof/>
          <w:sz w:val="24"/>
          <w:szCs w:val="24"/>
        </w:rPr>
        <w:t xml:space="preserve">Robertson, V. H. S. E., 2019. The relevant market in competition law: a legal concept. </w:t>
      </w:r>
      <w:r w:rsidRPr="003261C2">
        <w:rPr>
          <w:rFonts w:cstheme="minorHAnsi"/>
          <w:i/>
          <w:iCs/>
          <w:noProof/>
          <w:sz w:val="24"/>
          <w:szCs w:val="24"/>
        </w:rPr>
        <w:t xml:space="preserve">Journal of Antitrust Enforcement, </w:t>
      </w:r>
      <w:r w:rsidRPr="003261C2">
        <w:rPr>
          <w:rFonts w:cstheme="minorHAnsi"/>
          <w:noProof/>
          <w:sz w:val="24"/>
          <w:szCs w:val="24"/>
        </w:rPr>
        <w:t>Volume 7(Issue 2), p. Pages 158–176.</w:t>
      </w:r>
    </w:p>
    <w:p w14:paraId="78371E8B" w14:textId="77777777" w:rsidR="006247A0" w:rsidRPr="003261C2" w:rsidRDefault="006247A0" w:rsidP="006247A0">
      <w:pPr>
        <w:pStyle w:val="ListParagraph"/>
        <w:numPr>
          <w:ilvl w:val="0"/>
          <w:numId w:val="1"/>
        </w:numPr>
        <w:spacing w:line="480" w:lineRule="auto"/>
        <w:rPr>
          <w:rFonts w:cstheme="minorHAnsi"/>
          <w:i/>
          <w:iCs/>
          <w:sz w:val="24"/>
          <w:szCs w:val="24"/>
        </w:rPr>
      </w:pPr>
      <w:r w:rsidRPr="003261C2">
        <w:rPr>
          <w:rFonts w:cstheme="minorHAnsi"/>
          <w:noProof/>
          <w:sz w:val="24"/>
          <w:szCs w:val="24"/>
        </w:rPr>
        <w:t>Robertson, V., 2020 ‘Competition Law’s Innovation Factor’</w:t>
      </w:r>
      <w:r w:rsidRPr="003261C2">
        <w:rPr>
          <w:rFonts w:cstheme="minorHAnsi"/>
          <w:i/>
          <w:iCs/>
          <w:noProof/>
          <w:sz w:val="24"/>
          <w:szCs w:val="24"/>
        </w:rPr>
        <w:t xml:space="preserve">, </w:t>
      </w:r>
      <w:r w:rsidRPr="003261C2">
        <w:rPr>
          <w:rFonts w:cstheme="minorHAnsi"/>
          <w:noProof/>
          <w:sz w:val="24"/>
          <w:szCs w:val="24"/>
        </w:rPr>
        <w:t>p.14.</w:t>
      </w:r>
    </w:p>
    <w:p w14:paraId="759BA5A4" w14:textId="77777777" w:rsidR="006247A0" w:rsidRPr="003261C2" w:rsidRDefault="006247A0" w:rsidP="006247A0">
      <w:pPr>
        <w:pStyle w:val="Bibliography"/>
        <w:numPr>
          <w:ilvl w:val="0"/>
          <w:numId w:val="1"/>
        </w:numPr>
        <w:spacing w:line="480" w:lineRule="auto"/>
        <w:rPr>
          <w:rFonts w:cstheme="minorHAnsi"/>
          <w:i/>
          <w:iCs/>
          <w:noProof/>
          <w:sz w:val="24"/>
          <w:szCs w:val="24"/>
        </w:rPr>
      </w:pPr>
      <w:r w:rsidRPr="003261C2">
        <w:rPr>
          <w:rFonts w:cstheme="minorHAnsi"/>
          <w:noProof/>
          <w:sz w:val="24"/>
          <w:szCs w:val="24"/>
        </w:rPr>
        <w:t xml:space="preserve">Werden, G. J., 2014. The Relevant Market: Possible and Productive. </w:t>
      </w:r>
      <w:r w:rsidRPr="003261C2">
        <w:rPr>
          <w:rFonts w:cstheme="minorHAnsi"/>
          <w:i/>
          <w:iCs/>
          <w:noProof/>
          <w:sz w:val="24"/>
          <w:szCs w:val="24"/>
        </w:rPr>
        <w:t>Antitrust Law Journal Online.</w:t>
      </w:r>
    </w:p>
    <w:p w14:paraId="6F2E7B30" w14:textId="77777777"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Online:</w:t>
      </w:r>
    </w:p>
    <w:p w14:paraId="6538CEF4" w14:textId="77777777" w:rsidR="006247A0" w:rsidRPr="003261C2" w:rsidRDefault="006247A0" w:rsidP="006247A0">
      <w:pPr>
        <w:pStyle w:val="Bibliography"/>
        <w:numPr>
          <w:ilvl w:val="0"/>
          <w:numId w:val="1"/>
        </w:numPr>
        <w:spacing w:line="480" w:lineRule="auto"/>
        <w:rPr>
          <w:rFonts w:cstheme="minorHAnsi"/>
          <w:noProof/>
          <w:sz w:val="24"/>
          <w:szCs w:val="24"/>
        </w:rPr>
      </w:pPr>
      <w:r w:rsidRPr="003261C2">
        <w:rPr>
          <w:rFonts w:cstheme="minorHAnsi"/>
          <w:noProof/>
          <w:sz w:val="24"/>
          <w:szCs w:val="24"/>
        </w:rPr>
        <w:lastRenderedPageBreak/>
        <w:t xml:space="preserve">concurrences, n.d.. </w:t>
      </w:r>
      <w:r w:rsidRPr="003261C2">
        <w:rPr>
          <w:rFonts w:cstheme="minorHAnsi"/>
          <w:i/>
          <w:iCs/>
          <w:noProof/>
          <w:sz w:val="24"/>
          <w:szCs w:val="24"/>
        </w:rPr>
        <w:t xml:space="preserve">Relevant Market. </w:t>
      </w:r>
      <w:r w:rsidRPr="003261C2">
        <w:rPr>
          <w:rFonts w:cstheme="minorHAnsi"/>
          <w:noProof/>
          <w:sz w:val="24"/>
          <w:szCs w:val="24"/>
        </w:rPr>
        <w:t xml:space="preserve">[Online] </w:t>
      </w:r>
      <w:r w:rsidRPr="003261C2">
        <w:rPr>
          <w:rFonts w:cstheme="minorHAnsi"/>
          <w:noProof/>
          <w:sz w:val="24"/>
          <w:szCs w:val="24"/>
        </w:rPr>
        <w:br/>
        <w:t xml:space="preserve">Available at: </w:t>
      </w:r>
      <w:r w:rsidRPr="003261C2">
        <w:rPr>
          <w:rFonts w:cstheme="minorHAnsi"/>
          <w:noProof/>
          <w:sz w:val="24"/>
          <w:szCs w:val="24"/>
          <w:u w:val="single"/>
        </w:rPr>
        <w:t>https://www.concurrences.com/en/dictionary/Relevant-market</w:t>
      </w:r>
    </w:p>
    <w:p w14:paraId="4F6863D8" w14:textId="77777777" w:rsidR="006247A0" w:rsidRPr="003261C2" w:rsidRDefault="006247A0" w:rsidP="006247A0">
      <w:pPr>
        <w:pStyle w:val="ListParagraph"/>
        <w:spacing w:line="480" w:lineRule="auto"/>
        <w:rPr>
          <w:rFonts w:cstheme="minorHAnsi"/>
          <w:sz w:val="24"/>
          <w:szCs w:val="24"/>
        </w:rPr>
      </w:pPr>
    </w:p>
    <w:p w14:paraId="72CB4350" w14:textId="77777777" w:rsidR="006247A0" w:rsidRPr="003261C2" w:rsidRDefault="006247A0" w:rsidP="006247A0">
      <w:pPr>
        <w:spacing w:line="480" w:lineRule="auto"/>
        <w:rPr>
          <w:rFonts w:cstheme="minorHAnsi"/>
          <w:i/>
          <w:iCs/>
          <w:sz w:val="24"/>
          <w:szCs w:val="24"/>
        </w:rPr>
      </w:pPr>
    </w:p>
    <w:p w14:paraId="7AE238D6" w14:textId="77777777" w:rsidR="006247A0" w:rsidRPr="003261C2" w:rsidRDefault="006247A0" w:rsidP="006247A0">
      <w:pPr>
        <w:spacing w:line="480" w:lineRule="auto"/>
        <w:rPr>
          <w:rFonts w:cstheme="minorHAnsi"/>
          <w:sz w:val="24"/>
          <w:szCs w:val="24"/>
        </w:rPr>
      </w:pPr>
    </w:p>
    <w:p w14:paraId="53AB75C8" w14:textId="77777777" w:rsidR="006247A0" w:rsidRPr="003261C2" w:rsidRDefault="006247A0" w:rsidP="006247A0">
      <w:pPr>
        <w:spacing w:line="480" w:lineRule="auto"/>
        <w:rPr>
          <w:rFonts w:cstheme="minorHAnsi"/>
          <w:b/>
          <w:bCs/>
          <w:sz w:val="24"/>
          <w:szCs w:val="24"/>
          <w:lang w:val="en-GB"/>
        </w:rPr>
      </w:pPr>
      <w:r w:rsidRPr="003261C2">
        <w:rPr>
          <w:rFonts w:cstheme="minorHAnsi"/>
          <w:b/>
          <w:bCs/>
          <w:sz w:val="24"/>
          <w:szCs w:val="24"/>
          <w:lang w:val="en-GB"/>
        </w:rPr>
        <w:t>Answer 2:</w:t>
      </w:r>
    </w:p>
    <w:p w14:paraId="73D26639" w14:textId="77777777" w:rsidR="006247A0" w:rsidRPr="003261C2" w:rsidRDefault="006247A0" w:rsidP="006247A0">
      <w:pPr>
        <w:spacing w:line="480" w:lineRule="auto"/>
        <w:rPr>
          <w:rFonts w:cstheme="minorHAnsi"/>
          <w:b/>
          <w:bCs/>
          <w:sz w:val="24"/>
          <w:szCs w:val="24"/>
          <w:lang w:val="en-GB"/>
        </w:rPr>
      </w:pPr>
      <w:r w:rsidRPr="003261C2">
        <w:rPr>
          <w:rFonts w:cstheme="minorHAnsi"/>
          <w:b/>
          <w:bCs/>
          <w:sz w:val="24"/>
          <w:szCs w:val="24"/>
          <w:lang w:val="en-GB"/>
        </w:rPr>
        <w:t xml:space="preserve">Advice Mary, </w:t>
      </w:r>
      <w:proofErr w:type="gramStart"/>
      <w:r w:rsidRPr="003261C2">
        <w:rPr>
          <w:rFonts w:cstheme="minorHAnsi"/>
          <w:b/>
          <w:bCs/>
          <w:sz w:val="24"/>
          <w:szCs w:val="24"/>
          <w:lang w:val="en-GB"/>
        </w:rPr>
        <w:t>Nadine</w:t>
      </w:r>
      <w:proofErr w:type="gramEnd"/>
      <w:r w:rsidRPr="003261C2">
        <w:rPr>
          <w:rFonts w:cstheme="minorHAnsi"/>
          <w:b/>
          <w:bCs/>
          <w:sz w:val="24"/>
          <w:szCs w:val="24"/>
          <w:lang w:val="en-GB"/>
        </w:rPr>
        <w:t xml:space="preserve"> and Oscar as to their rights under EU law in relation to the situation set out above.</w:t>
      </w:r>
    </w:p>
    <w:p w14:paraId="69A8A07A"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The case at hand revolves around the topic of Free Movement of Persons under the European Union law. The notion of free movement of persons is a compulsory element of an internal market. The idea of free movement of persons is based on the notion of an integrated EU market; because </w:t>
      </w:r>
      <w:proofErr w:type="gramStart"/>
      <w:r w:rsidRPr="003261C2">
        <w:rPr>
          <w:rFonts w:cstheme="minorHAnsi"/>
          <w:sz w:val="24"/>
          <w:szCs w:val="24"/>
        </w:rPr>
        <w:t>in order to</w:t>
      </w:r>
      <w:proofErr w:type="gramEnd"/>
      <w:r w:rsidRPr="003261C2">
        <w:rPr>
          <w:rFonts w:cstheme="minorHAnsi"/>
          <w:sz w:val="24"/>
          <w:szCs w:val="24"/>
        </w:rPr>
        <w:t xml:space="preserve"> achieve a market in which goods can move freely, it is compulsory that the people are able to move freely as well. The free movement of persons is divided into three main categories; workers (Article 45 of the TFEU), self-employed people and companies registered in another member state (Article 49 of the TFEU), as well as people and companies that provide services in another member state (Article 56 of the TFEU). As the European Union grew and evolved from just an economic unit into a much bigger entity, the Court of Justice started interpreting the free movement articles more expansively (</w:t>
      </w:r>
      <w:proofErr w:type="spellStart"/>
      <w:r w:rsidRPr="003261C2">
        <w:rPr>
          <w:rFonts w:cstheme="minorHAnsi"/>
          <w:sz w:val="24"/>
          <w:szCs w:val="24"/>
        </w:rPr>
        <w:t>Horspool</w:t>
      </w:r>
      <w:proofErr w:type="spellEnd"/>
      <w:r w:rsidRPr="003261C2">
        <w:rPr>
          <w:rFonts w:cstheme="minorHAnsi"/>
          <w:sz w:val="24"/>
          <w:szCs w:val="24"/>
        </w:rPr>
        <w:t xml:space="preserve">, Humphreys and Well-G). The importance given to the free movement articles became more prominent when the Council Directive 2004/38/EC was enacted to protect the rights and interests of the citizens of the Union and the rights </w:t>
      </w:r>
      <w:r w:rsidRPr="003261C2">
        <w:rPr>
          <w:rFonts w:cstheme="minorHAnsi"/>
          <w:sz w:val="24"/>
          <w:szCs w:val="24"/>
        </w:rPr>
        <w:lastRenderedPageBreak/>
        <w:t>and interests of their family members; the said Directive gave the rights to the EU citizens and their families to freely move and reside anywhere within the boundaries of the union.</w:t>
      </w:r>
    </w:p>
    <w:p w14:paraId="05214742" w14:textId="77777777" w:rsidR="006247A0" w:rsidRPr="003261C2" w:rsidRDefault="006247A0" w:rsidP="006247A0">
      <w:pPr>
        <w:spacing w:line="480" w:lineRule="auto"/>
        <w:rPr>
          <w:rFonts w:cstheme="minorHAnsi"/>
          <w:sz w:val="24"/>
          <w:szCs w:val="24"/>
        </w:rPr>
      </w:pPr>
      <w:proofErr w:type="gramStart"/>
      <w:r w:rsidRPr="003261C2">
        <w:rPr>
          <w:rFonts w:cstheme="minorHAnsi"/>
          <w:sz w:val="24"/>
          <w:szCs w:val="24"/>
        </w:rPr>
        <w:t>Referring back</w:t>
      </w:r>
      <w:proofErr w:type="gramEnd"/>
      <w:r w:rsidRPr="003261C2">
        <w:rPr>
          <w:rFonts w:cstheme="minorHAnsi"/>
          <w:sz w:val="24"/>
          <w:szCs w:val="24"/>
        </w:rPr>
        <w:t xml:space="preserve"> to the case facts, since Mary, Nadine, and Oscar are all EU citizens, their case falls under the ambit of Article 20, Article 9, 24, 2, 3, 6, and 7 of the TFEU. As per the Article 20 of the TFEU, “</w:t>
      </w:r>
      <w:r w:rsidRPr="003261C2">
        <w:rPr>
          <w:rFonts w:cstheme="minorHAnsi"/>
          <w:i/>
          <w:sz w:val="24"/>
          <w:szCs w:val="24"/>
        </w:rPr>
        <w:t xml:space="preserve">Every person holding the nationality of a Member State shall be a citizen of the Union. Citizenship of the Union shall be additional to and not replace national citizenship.” </w:t>
      </w:r>
      <w:r w:rsidRPr="003261C2">
        <w:rPr>
          <w:rFonts w:cstheme="minorHAnsi"/>
          <w:sz w:val="24"/>
          <w:szCs w:val="24"/>
        </w:rPr>
        <w:t xml:space="preserve">Since Mary and Oscar are Irish citizen, and Nadine is French, they are all EU citizens under Article 20; the same can be seen in the case of </w:t>
      </w:r>
      <w:proofErr w:type="spellStart"/>
      <w:r w:rsidRPr="003261C2">
        <w:rPr>
          <w:rFonts w:cstheme="minorHAnsi"/>
          <w:i/>
          <w:iCs/>
          <w:sz w:val="24"/>
          <w:szCs w:val="24"/>
        </w:rPr>
        <w:t>Micheletti</w:t>
      </w:r>
      <w:proofErr w:type="spellEnd"/>
      <w:r w:rsidRPr="003261C2">
        <w:rPr>
          <w:rFonts w:cstheme="minorHAnsi"/>
          <w:i/>
          <w:iCs/>
          <w:sz w:val="24"/>
          <w:szCs w:val="24"/>
        </w:rPr>
        <w:t>.</w:t>
      </w:r>
      <w:r w:rsidRPr="003261C2">
        <w:rPr>
          <w:rFonts w:cstheme="minorHAnsi"/>
          <w:sz w:val="24"/>
          <w:szCs w:val="24"/>
        </w:rPr>
        <w:t xml:space="preserve">  </w:t>
      </w:r>
    </w:p>
    <w:p w14:paraId="68B767C5" w14:textId="77777777" w:rsidR="006247A0" w:rsidRPr="003261C2" w:rsidRDefault="006247A0" w:rsidP="006247A0">
      <w:pPr>
        <w:spacing w:line="480" w:lineRule="auto"/>
        <w:rPr>
          <w:rFonts w:cstheme="minorHAnsi"/>
          <w:sz w:val="24"/>
          <w:szCs w:val="24"/>
        </w:rPr>
      </w:pPr>
      <w:proofErr w:type="gramStart"/>
      <w:r w:rsidRPr="003261C2">
        <w:rPr>
          <w:rFonts w:cstheme="minorHAnsi"/>
          <w:sz w:val="24"/>
          <w:szCs w:val="24"/>
        </w:rPr>
        <w:t>In order for</w:t>
      </w:r>
      <w:proofErr w:type="gramEnd"/>
      <w:r w:rsidRPr="003261C2">
        <w:rPr>
          <w:rFonts w:cstheme="minorHAnsi"/>
          <w:sz w:val="24"/>
          <w:szCs w:val="24"/>
        </w:rPr>
        <w:t xml:space="preserve"> Mary to be able to reside anywhere as per her needs, she would need to represent herself as a worker under Article 45 of the TFEU (Craig &amp; </w:t>
      </w:r>
      <w:proofErr w:type="spellStart"/>
      <w:r w:rsidRPr="003261C2">
        <w:rPr>
          <w:rFonts w:cstheme="minorHAnsi"/>
          <w:sz w:val="24"/>
          <w:szCs w:val="24"/>
        </w:rPr>
        <w:t>Burca</w:t>
      </w:r>
      <w:proofErr w:type="spellEnd"/>
      <w:r w:rsidRPr="003261C2">
        <w:rPr>
          <w:rFonts w:cstheme="minorHAnsi"/>
          <w:sz w:val="24"/>
          <w:szCs w:val="24"/>
        </w:rPr>
        <w:t xml:space="preserve">), or as a student which will allow her to stay in Netherlands for 3 months under Article 6. However, if Mary would want to reside for more than 3 months, then it is vital that she can prove that she is self-sufficient and that she would not resort to public funds – as per Article 7. If not, then Mary would have to show her status as employed or self-employed (Article 7) for Mary to stay for more than 3 months, such is seen in the case of </w:t>
      </w:r>
      <w:proofErr w:type="spellStart"/>
      <w:r w:rsidRPr="003261C2">
        <w:rPr>
          <w:rFonts w:cstheme="minorHAnsi"/>
          <w:i/>
          <w:iCs/>
          <w:sz w:val="24"/>
          <w:szCs w:val="24"/>
        </w:rPr>
        <w:t>Antonissen</w:t>
      </w:r>
      <w:proofErr w:type="spellEnd"/>
      <w:r w:rsidRPr="003261C2">
        <w:rPr>
          <w:rFonts w:cstheme="minorHAnsi"/>
          <w:sz w:val="24"/>
          <w:szCs w:val="24"/>
        </w:rPr>
        <w:t xml:space="preserve">. Courts tend to provide a reasonable </w:t>
      </w:r>
      <w:proofErr w:type="gramStart"/>
      <w:r w:rsidRPr="003261C2">
        <w:rPr>
          <w:rFonts w:cstheme="minorHAnsi"/>
          <w:sz w:val="24"/>
          <w:szCs w:val="24"/>
        </w:rPr>
        <w:t>time period</w:t>
      </w:r>
      <w:proofErr w:type="gramEnd"/>
      <w:r w:rsidRPr="003261C2">
        <w:rPr>
          <w:rFonts w:cstheme="minorHAnsi"/>
          <w:sz w:val="24"/>
          <w:szCs w:val="24"/>
        </w:rPr>
        <w:t xml:space="preserve"> to EU citizens to migrate to another member state to look for work. The reasonable </w:t>
      </w:r>
      <w:proofErr w:type="gramStart"/>
      <w:r w:rsidRPr="003261C2">
        <w:rPr>
          <w:rFonts w:cstheme="minorHAnsi"/>
          <w:sz w:val="24"/>
          <w:szCs w:val="24"/>
        </w:rPr>
        <w:t>time period</w:t>
      </w:r>
      <w:proofErr w:type="gramEnd"/>
      <w:r w:rsidRPr="003261C2">
        <w:rPr>
          <w:rFonts w:cstheme="minorHAnsi"/>
          <w:sz w:val="24"/>
          <w:szCs w:val="24"/>
        </w:rPr>
        <w:t xml:space="preserve"> for Mary can vary from 3 months to 6 months. Also, as per Article 14(4)(b) of the Directive 2004/38, the expiry of the reasonable time period does not mean that the </w:t>
      </w:r>
      <w:proofErr w:type="gramStart"/>
      <w:r w:rsidRPr="003261C2">
        <w:rPr>
          <w:rFonts w:cstheme="minorHAnsi"/>
          <w:sz w:val="24"/>
          <w:szCs w:val="24"/>
        </w:rPr>
        <w:t>job-seekers</w:t>
      </w:r>
      <w:proofErr w:type="gramEnd"/>
      <w:r w:rsidRPr="003261C2">
        <w:rPr>
          <w:rFonts w:cstheme="minorHAnsi"/>
          <w:sz w:val="24"/>
          <w:szCs w:val="24"/>
        </w:rPr>
        <w:t xml:space="preserve"> who are unable to find employment should be sent back to their national states; in fact, if it can be proven that they are still in search for job and they do have a genuine chance of finding work, then the time period can be extended. Therefore, Mary can go to Netherlands as a </w:t>
      </w:r>
      <w:proofErr w:type="gramStart"/>
      <w:r w:rsidRPr="003261C2">
        <w:rPr>
          <w:rFonts w:cstheme="minorHAnsi"/>
          <w:sz w:val="24"/>
          <w:szCs w:val="24"/>
        </w:rPr>
        <w:t>job-seeker</w:t>
      </w:r>
      <w:proofErr w:type="gramEnd"/>
      <w:r w:rsidRPr="003261C2">
        <w:rPr>
          <w:rFonts w:cstheme="minorHAnsi"/>
          <w:sz w:val="24"/>
          <w:szCs w:val="24"/>
        </w:rPr>
        <w:t>.</w:t>
      </w:r>
    </w:p>
    <w:p w14:paraId="5F14E4A1" w14:textId="77777777" w:rsidR="006247A0" w:rsidRPr="003261C2" w:rsidRDefault="006247A0" w:rsidP="006247A0">
      <w:pPr>
        <w:spacing w:line="480" w:lineRule="auto"/>
        <w:rPr>
          <w:rFonts w:cstheme="minorHAnsi"/>
          <w:sz w:val="24"/>
          <w:szCs w:val="24"/>
        </w:rPr>
      </w:pPr>
      <w:r w:rsidRPr="003261C2">
        <w:rPr>
          <w:rFonts w:cstheme="minorHAnsi"/>
          <w:sz w:val="24"/>
          <w:szCs w:val="24"/>
        </w:rPr>
        <w:lastRenderedPageBreak/>
        <w:t xml:space="preserve">However, since Mary wants to study in Dutch University, once she goes to Netherlands, she can become a full-time student as far as she can establish a connection between her course of study and line of work; doing the same does not render the status of the immigrant as any other than that of the </w:t>
      </w:r>
      <w:proofErr w:type="gramStart"/>
      <w:r w:rsidRPr="003261C2">
        <w:rPr>
          <w:rFonts w:cstheme="minorHAnsi"/>
          <w:sz w:val="24"/>
          <w:szCs w:val="24"/>
        </w:rPr>
        <w:t>job-seeker</w:t>
      </w:r>
      <w:proofErr w:type="gramEnd"/>
      <w:r w:rsidRPr="003261C2">
        <w:rPr>
          <w:rFonts w:cstheme="minorHAnsi"/>
          <w:sz w:val="24"/>
          <w:szCs w:val="24"/>
        </w:rPr>
        <w:t xml:space="preserve">. The same can be seen in the case of </w:t>
      </w:r>
      <w:r w:rsidRPr="003261C2">
        <w:rPr>
          <w:rFonts w:cstheme="minorHAnsi"/>
          <w:i/>
          <w:iCs/>
          <w:sz w:val="24"/>
          <w:szCs w:val="24"/>
        </w:rPr>
        <w:t xml:space="preserve">Sylvie Lair v. </w:t>
      </w:r>
      <w:proofErr w:type="spellStart"/>
      <w:r w:rsidRPr="003261C2">
        <w:rPr>
          <w:rFonts w:cstheme="minorHAnsi"/>
          <w:i/>
          <w:iCs/>
          <w:sz w:val="24"/>
          <w:szCs w:val="24"/>
        </w:rPr>
        <w:t>Universitat</w:t>
      </w:r>
      <w:proofErr w:type="spellEnd"/>
      <w:r w:rsidRPr="003261C2">
        <w:rPr>
          <w:rFonts w:cstheme="minorHAnsi"/>
          <w:i/>
          <w:iCs/>
          <w:sz w:val="24"/>
          <w:szCs w:val="24"/>
        </w:rPr>
        <w:t xml:space="preserve"> Hannover. </w:t>
      </w:r>
      <w:r w:rsidRPr="003261C2">
        <w:rPr>
          <w:rFonts w:cstheme="minorHAnsi"/>
          <w:sz w:val="24"/>
          <w:szCs w:val="24"/>
        </w:rPr>
        <w:t xml:space="preserve">Mary would not be entitled to benefit from her boyfriend being a citizen of Netherlands because she does not fall under the list of family members that are covered under the Directive 2004/38 (Meehan). At the same time, Mary can also claim that the said policy is a discriminatory measure as it distinctly applies for the immigrants – as seen in the case of </w:t>
      </w:r>
      <w:proofErr w:type="spellStart"/>
      <w:r w:rsidRPr="003261C2">
        <w:rPr>
          <w:rFonts w:cstheme="minorHAnsi"/>
          <w:i/>
          <w:sz w:val="24"/>
          <w:szCs w:val="24"/>
        </w:rPr>
        <w:t>Grzelczyk</w:t>
      </w:r>
      <w:proofErr w:type="spellEnd"/>
      <w:r w:rsidRPr="003261C2">
        <w:rPr>
          <w:rFonts w:cstheme="minorHAnsi"/>
          <w:sz w:val="24"/>
          <w:szCs w:val="24"/>
        </w:rPr>
        <w:t>.</w:t>
      </w:r>
    </w:p>
    <w:p w14:paraId="3F93DC30"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Assuming that Mary is able to reach Netherlands as a </w:t>
      </w:r>
      <w:proofErr w:type="gramStart"/>
      <w:r w:rsidRPr="003261C2">
        <w:rPr>
          <w:rFonts w:cstheme="minorHAnsi"/>
          <w:sz w:val="24"/>
          <w:szCs w:val="24"/>
        </w:rPr>
        <w:t>job-seeker</w:t>
      </w:r>
      <w:proofErr w:type="gramEnd"/>
      <w:r w:rsidRPr="003261C2">
        <w:rPr>
          <w:rFonts w:cstheme="minorHAnsi"/>
          <w:sz w:val="24"/>
          <w:szCs w:val="24"/>
        </w:rPr>
        <w:t xml:space="preserve">, who then successfully enrolls into a fulltime student at the Dutch University; can Mary take benefit from the social benefits that are granted to Netherland citizen students, or would Mary not be entitled to the benefit of paying university’s fee at 1 year arrear in instalments? The answer to this question is in negative, Mary would not be entitled to the same social benefits as the citizen of the host country </w:t>
      </w:r>
      <w:proofErr w:type="gramStart"/>
      <w:r w:rsidRPr="003261C2">
        <w:rPr>
          <w:rFonts w:cstheme="minorHAnsi"/>
          <w:sz w:val="24"/>
          <w:szCs w:val="24"/>
        </w:rPr>
        <w:t>in regards to</w:t>
      </w:r>
      <w:proofErr w:type="gramEnd"/>
      <w:r w:rsidRPr="003261C2">
        <w:rPr>
          <w:rFonts w:cstheme="minorHAnsi"/>
          <w:sz w:val="24"/>
          <w:szCs w:val="24"/>
        </w:rPr>
        <w:t xml:space="preserve"> the right to education, as to enroll into a course, there is a requirement to prove that one has sufficient resources to complete the course. Also, if Mary remains in Netherlands for more than 3 months and less than 5 years and she also remains economically inactive, then it is a requirement that she has sufficient resources of her own – this is done to ensure that EU citizens do not move from one member state to another solely to abuse the social benefits of other; the same was seen in the case of </w:t>
      </w:r>
      <w:proofErr w:type="spellStart"/>
      <w:r w:rsidRPr="003261C2">
        <w:rPr>
          <w:rFonts w:cstheme="minorHAnsi"/>
          <w:i/>
          <w:iCs/>
          <w:sz w:val="24"/>
          <w:szCs w:val="24"/>
        </w:rPr>
        <w:t>Alimanovic</w:t>
      </w:r>
      <w:proofErr w:type="spellEnd"/>
      <w:r w:rsidRPr="003261C2">
        <w:rPr>
          <w:rFonts w:cstheme="minorHAnsi"/>
          <w:i/>
          <w:iCs/>
          <w:sz w:val="24"/>
          <w:szCs w:val="24"/>
        </w:rPr>
        <w:t>.</w:t>
      </w:r>
      <w:r w:rsidRPr="003261C2">
        <w:rPr>
          <w:rFonts w:cstheme="minorHAnsi"/>
          <w:sz w:val="24"/>
          <w:szCs w:val="24"/>
        </w:rPr>
        <w:t xml:space="preserve">  Therefore, if Mary seeks social benefits to pay the fee in 1 year in arrears, </w:t>
      </w:r>
      <w:proofErr w:type="gramStart"/>
      <w:r w:rsidRPr="003261C2">
        <w:rPr>
          <w:rFonts w:cstheme="minorHAnsi"/>
          <w:sz w:val="24"/>
          <w:szCs w:val="24"/>
        </w:rPr>
        <w:t>should will</w:t>
      </w:r>
      <w:proofErr w:type="gramEnd"/>
      <w:r w:rsidRPr="003261C2">
        <w:rPr>
          <w:rFonts w:cstheme="minorHAnsi"/>
          <w:sz w:val="24"/>
          <w:szCs w:val="24"/>
        </w:rPr>
        <w:t xml:space="preserve"> be denied on the basis of the requirement of sufficient resources – the same can be seen in the case of </w:t>
      </w:r>
      <w:r w:rsidRPr="003261C2">
        <w:rPr>
          <w:rFonts w:cstheme="minorHAnsi"/>
          <w:i/>
          <w:iCs/>
          <w:sz w:val="24"/>
          <w:szCs w:val="24"/>
        </w:rPr>
        <w:t>Rudy</w:t>
      </w:r>
      <w:r w:rsidRPr="003261C2">
        <w:rPr>
          <w:rFonts w:cstheme="minorHAnsi"/>
          <w:sz w:val="24"/>
          <w:szCs w:val="24"/>
        </w:rPr>
        <w:t xml:space="preserve"> </w:t>
      </w:r>
      <w:proofErr w:type="spellStart"/>
      <w:r w:rsidRPr="003261C2">
        <w:rPr>
          <w:rFonts w:cstheme="minorHAnsi"/>
          <w:i/>
          <w:iCs/>
          <w:sz w:val="24"/>
          <w:szCs w:val="24"/>
        </w:rPr>
        <w:t>Grzelczyk</w:t>
      </w:r>
      <w:proofErr w:type="spellEnd"/>
      <w:r w:rsidRPr="003261C2">
        <w:rPr>
          <w:rFonts w:cstheme="minorHAnsi"/>
          <w:i/>
          <w:iCs/>
          <w:sz w:val="24"/>
          <w:szCs w:val="24"/>
        </w:rPr>
        <w:t xml:space="preserve"> v. Centre Public</w:t>
      </w:r>
      <w:r w:rsidRPr="003261C2">
        <w:rPr>
          <w:rFonts w:cstheme="minorHAnsi"/>
          <w:sz w:val="24"/>
          <w:szCs w:val="24"/>
        </w:rPr>
        <w:t xml:space="preserve"> which attracted Article 7(1)(c) of the Directive 2004/38. </w:t>
      </w:r>
    </w:p>
    <w:p w14:paraId="26730644" w14:textId="77777777" w:rsidR="006247A0" w:rsidRPr="003261C2" w:rsidRDefault="006247A0" w:rsidP="006247A0">
      <w:pPr>
        <w:spacing w:line="480" w:lineRule="auto"/>
        <w:rPr>
          <w:rFonts w:cstheme="minorHAnsi"/>
          <w:sz w:val="24"/>
          <w:szCs w:val="24"/>
        </w:rPr>
      </w:pPr>
      <w:proofErr w:type="gramStart"/>
      <w:r w:rsidRPr="003261C2">
        <w:rPr>
          <w:rFonts w:cstheme="minorHAnsi"/>
          <w:sz w:val="24"/>
          <w:szCs w:val="24"/>
        </w:rPr>
        <w:lastRenderedPageBreak/>
        <w:t>In regards to</w:t>
      </w:r>
      <w:proofErr w:type="gramEnd"/>
      <w:r w:rsidRPr="003261C2">
        <w:rPr>
          <w:rFonts w:cstheme="minorHAnsi"/>
          <w:sz w:val="24"/>
          <w:szCs w:val="24"/>
        </w:rPr>
        <w:t xml:space="preserve"> Mary’s aunt, Article 3(2)(a) of the Directive 2004/38 do not does not automatically give her a right to move freely on the sole grounds that Mary is able to move to Netherlands. However, as per Article 2(2), the aunt may be allowed to move along with Mary because her health conditions strictly require personal care by Mary. After completion of a mandatory investigation in the said matter, Mary’s aunt will be able to join her as well.</w:t>
      </w:r>
    </w:p>
    <w:p w14:paraId="25C4169A"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In regards Oscar, he will be able to join if his mother </w:t>
      </w:r>
      <w:proofErr w:type="gramStart"/>
      <w:r w:rsidRPr="003261C2">
        <w:rPr>
          <w:rFonts w:cstheme="minorHAnsi"/>
          <w:sz w:val="24"/>
          <w:szCs w:val="24"/>
        </w:rPr>
        <w:t>is allowed to</w:t>
      </w:r>
      <w:proofErr w:type="gramEnd"/>
      <w:r w:rsidRPr="003261C2">
        <w:rPr>
          <w:rFonts w:cstheme="minorHAnsi"/>
          <w:sz w:val="24"/>
          <w:szCs w:val="24"/>
        </w:rPr>
        <w:t xml:space="preserve"> accompany Mary; as he is a direct descendent of Nadine and he is under the age of 21; these are the only two requirements which are to be met under the list provided in Directive 2004/38 for him to be entitled to the right to install himself with the migrant. However, the Court takes a comprehensive analysis </w:t>
      </w:r>
      <w:proofErr w:type="gramStart"/>
      <w:r w:rsidRPr="003261C2">
        <w:rPr>
          <w:rFonts w:cstheme="minorHAnsi"/>
          <w:sz w:val="24"/>
          <w:szCs w:val="24"/>
        </w:rPr>
        <w:t>in regards to</w:t>
      </w:r>
      <w:proofErr w:type="gramEnd"/>
      <w:r w:rsidRPr="003261C2">
        <w:rPr>
          <w:rFonts w:cstheme="minorHAnsi"/>
          <w:sz w:val="24"/>
          <w:szCs w:val="24"/>
        </w:rPr>
        <w:t xml:space="preserve"> this as per Article 27, as it is vital to infringe the right to free movement in EU that the person poses a genuine and sufficiently serious threat presently. The fact that Oscar has a criminal record does not make him a serious present and genuine threat. Therefore, for the Netherlands government to prohibit Oscar from moving in, they would need more than previous criminal records; a threat that Oscar currently poses to the national safety or security should be present. In my view, and as per the case facts, such is not the case, which is why Oscar will also be able to move to Netherlands under the notion of free movement of persons.</w:t>
      </w:r>
    </w:p>
    <w:p w14:paraId="6EA3D8C0" w14:textId="77777777" w:rsidR="006247A0" w:rsidRPr="003261C2" w:rsidRDefault="006247A0" w:rsidP="006247A0">
      <w:pPr>
        <w:spacing w:line="480" w:lineRule="auto"/>
        <w:rPr>
          <w:rFonts w:cstheme="minorHAnsi"/>
          <w:sz w:val="24"/>
          <w:szCs w:val="24"/>
        </w:rPr>
      </w:pPr>
      <w:r w:rsidRPr="003261C2">
        <w:rPr>
          <w:rFonts w:cstheme="minorHAnsi"/>
          <w:sz w:val="24"/>
          <w:szCs w:val="24"/>
        </w:rPr>
        <w:t xml:space="preserve">Having said that, the Netherlands government can choose to reject the immigration of Mary, Nadine, and Oscar on the basis of three reasons under Article </w:t>
      </w:r>
      <w:proofErr w:type="gramStart"/>
      <w:r w:rsidRPr="003261C2">
        <w:rPr>
          <w:rFonts w:cstheme="minorHAnsi"/>
          <w:sz w:val="24"/>
          <w:szCs w:val="24"/>
        </w:rPr>
        <w:t>45(3);</w:t>
      </w:r>
      <w:proofErr w:type="gramEnd"/>
      <w:r w:rsidRPr="003261C2">
        <w:rPr>
          <w:rFonts w:cstheme="minorHAnsi"/>
          <w:sz w:val="24"/>
          <w:szCs w:val="24"/>
        </w:rPr>
        <w:t xml:space="preserve"> public health, public security, or public policy. If the government of Netherlands find the past record of Oscar to be a threat to public security, or any past records of the three parties to be a threat to public health, security, or policy, then the entry can be lawfully denied and the </w:t>
      </w:r>
      <w:r w:rsidRPr="003261C2">
        <w:rPr>
          <w:rFonts w:cstheme="minorHAnsi"/>
          <w:sz w:val="24"/>
          <w:szCs w:val="24"/>
        </w:rPr>
        <w:lastRenderedPageBreak/>
        <w:t xml:space="preserve">derogation from Article 45 will be in line with the Article 45(3) of the TFEU – as seen in the case of </w:t>
      </w:r>
      <w:r w:rsidRPr="003261C2">
        <w:rPr>
          <w:rFonts w:cstheme="minorHAnsi"/>
          <w:i/>
          <w:iCs/>
          <w:sz w:val="24"/>
          <w:szCs w:val="24"/>
        </w:rPr>
        <w:t xml:space="preserve">Van </w:t>
      </w:r>
      <w:proofErr w:type="spellStart"/>
      <w:r w:rsidRPr="003261C2">
        <w:rPr>
          <w:rFonts w:cstheme="minorHAnsi"/>
          <w:i/>
          <w:iCs/>
          <w:sz w:val="24"/>
          <w:szCs w:val="24"/>
        </w:rPr>
        <w:t>Duyn</w:t>
      </w:r>
      <w:proofErr w:type="spellEnd"/>
      <w:r w:rsidRPr="003261C2">
        <w:rPr>
          <w:rFonts w:cstheme="minorHAnsi"/>
          <w:i/>
          <w:iCs/>
          <w:sz w:val="24"/>
          <w:szCs w:val="24"/>
        </w:rPr>
        <w:t xml:space="preserve"> v Home Office</w:t>
      </w:r>
      <w:r w:rsidRPr="003261C2">
        <w:rPr>
          <w:rFonts w:cstheme="minorHAnsi"/>
          <w:sz w:val="24"/>
          <w:szCs w:val="24"/>
        </w:rPr>
        <w:t xml:space="preserve">. </w:t>
      </w:r>
    </w:p>
    <w:p w14:paraId="14EBEB02" w14:textId="77777777" w:rsidR="006247A0" w:rsidRDefault="006247A0" w:rsidP="006247A0">
      <w:pPr>
        <w:spacing w:line="480" w:lineRule="auto"/>
        <w:rPr>
          <w:rFonts w:cstheme="minorHAnsi"/>
          <w:color w:val="4472C4" w:themeColor="accent1"/>
          <w:sz w:val="24"/>
          <w:szCs w:val="24"/>
        </w:rPr>
      </w:pPr>
    </w:p>
    <w:p w14:paraId="1EBF308B" w14:textId="1C5F73D8"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Bibliography:</w:t>
      </w:r>
    </w:p>
    <w:p w14:paraId="27B60277" w14:textId="77777777"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Primary Sources:</w:t>
      </w:r>
    </w:p>
    <w:p w14:paraId="0C894B07" w14:textId="77777777" w:rsidR="006247A0" w:rsidRPr="003261C2" w:rsidRDefault="006247A0" w:rsidP="006247A0">
      <w:pPr>
        <w:spacing w:line="480" w:lineRule="auto"/>
        <w:rPr>
          <w:rFonts w:cstheme="minorHAnsi"/>
          <w:sz w:val="24"/>
          <w:szCs w:val="24"/>
        </w:rPr>
      </w:pPr>
      <w:r w:rsidRPr="003261C2">
        <w:rPr>
          <w:rFonts w:cstheme="minorHAnsi"/>
          <w:color w:val="4472C4" w:themeColor="accent1"/>
          <w:sz w:val="24"/>
          <w:szCs w:val="24"/>
        </w:rPr>
        <w:t>Cases:</w:t>
      </w:r>
      <w:r w:rsidRPr="003261C2">
        <w:rPr>
          <w:rFonts w:cstheme="minorHAnsi"/>
          <w:sz w:val="24"/>
          <w:szCs w:val="24"/>
        </w:rPr>
        <w:t xml:space="preserve"> </w:t>
      </w:r>
    </w:p>
    <w:p w14:paraId="0A0FFD13" w14:textId="77777777" w:rsidR="006247A0" w:rsidRPr="003261C2" w:rsidRDefault="006247A0" w:rsidP="006247A0">
      <w:pPr>
        <w:pStyle w:val="ListParagraph"/>
        <w:numPr>
          <w:ilvl w:val="0"/>
          <w:numId w:val="1"/>
        </w:numPr>
        <w:spacing w:line="480" w:lineRule="auto"/>
        <w:rPr>
          <w:rFonts w:cstheme="minorHAnsi"/>
          <w:color w:val="000000" w:themeColor="text1"/>
          <w:sz w:val="24"/>
          <w:szCs w:val="24"/>
        </w:rPr>
      </w:pPr>
      <w:r w:rsidRPr="003261C2">
        <w:rPr>
          <w:rFonts w:cstheme="minorHAnsi"/>
          <w:color w:val="000000" w:themeColor="text1"/>
          <w:sz w:val="24"/>
          <w:szCs w:val="24"/>
        </w:rPr>
        <w:t xml:space="preserve">Case 39/86 Sylvie Lair v. Universität Hannover (University of. Hanover) [1988] E.C.R. 3161. </w:t>
      </w:r>
    </w:p>
    <w:p w14:paraId="226C77DA" w14:textId="77777777" w:rsidR="006247A0" w:rsidRPr="003261C2" w:rsidRDefault="006247A0" w:rsidP="006247A0">
      <w:pPr>
        <w:pStyle w:val="ListParagraph"/>
        <w:numPr>
          <w:ilvl w:val="0"/>
          <w:numId w:val="1"/>
        </w:numPr>
        <w:spacing w:line="480" w:lineRule="auto"/>
        <w:rPr>
          <w:rFonts w:cstheme="minorHAnsi"/>
          <w:color w:val="000000" w:themeColor="text1"/>
          <w:sz w:val="24"/>
          <w:szCs w:val="24"/>
        </w:rPr>
      </w:pPr>
      <w:r w:rsidRPr="003261C2">
        <w:rPr>
          <w:rFonts w:cstheme="minorHAnsi"/>
          <w:color w:val="000000" w:themeColor="text1"/>
          <w:sz w:val="24"/>
          <w:szCs w:val="24"/>
          <w:shd w:val="clear" w:color="auto" w:fill="FFFFFF"/>
        </w:rPr>
        <w:t xml:space="preserve"> Case C-184/99 Rudy </w:t>
      </w:r>
      <w:proofErr w:type="spellStart"/>
      <w:r w:rsidRPr="003261C2">
        <w:rPr>
          <w:rFonts w:cstheme="minorHAnsi"/>
          <w:color w:val="000000" w:themeColor="text1"/>
          <w:sz w:val="24"/>
          <w:szCs w:val="24"/>
          <w:shd w:val="clear" w:color="auto" w:fill="FFFFFF"/>
        </w:rPr>
        <w:t>Grzelczyk</w:t>
      </w:r>
      <w:proofErr w:type="spellEnd"/>
      <w:r w:rsidRPr="003261C2">
        <w:rPr>
          <w:rFonts w:cstheme="minorHAnsi"/>
          <w:color w:val="000000" w:themeColor="text1"/>
          <w:sz w:val="24"/>
          <w:szCs w:val="24"/>
          <w:shd w:val="clear" w:color="auto" w:fill="FFFFFF"/>
        </w:rPr>
        <w:t xml:space="preserve"> v Centre public </w:t>
      </w:r>
      <w:proofErr w:type="spellStart"/>
      <w:r w:rsidRPr="003261C2">
        <w:rPr>
          <w:rFonts w:cstheme="minorHAnsi"/>
          <w:color w:val="000000" w:themeColor="text1"/>
          <w:sz w:val="24"/>
          <w:szCs w:val="24"/>
          <w:shd w:val="clear" w:color="auto" w:fill="FFFFFF"/>
        </w:rPr>
        <w:t>d'aide</w:t>
      </w:r>
      <w:proofErr w:type="spellEnd"/>
      <w:r w:rsidRPr="003261C2">
        <w:rPr>
          <w:rFonts w:cstheme="minorHAnsi"/>
          <w:color w:val="000000" w:themeColor="text1"/>
          <w:sz w:val="24"/>
          <w:szCs w:val="24"/>
          <w:shd w:val="clear" w:color="auto" w:fill="FFFFFF"/>
        </w:rPr>
        <w:t xml:space="preserve"> </w:t>
      </w:r>
      <w:proofErr w:type="spellStart"/>
      <w:r w:rsidRPr="003261C2">
        <w:rPr>
          <w:rFonts w:cstheme="minorHAnsi"/>
          <w:color w:val="000000" w:themeColor="text1"/>
          <w:sz w:val="24"/>
          <w:szCs w:val="24"/>
          <w:shd w:val="clear" w:color="auto" w:fill="FFFFFF"/>
        </w:rPr>
        <w:t>sociale</w:t>
      </w:r>
      <w:proofErr w:type="spellEnd"/>
      <w:r w:rsidRPr="003261C2">
        <w:rPr>
          <w:rFonts w:cstheme="minorHAnsi"/>
          <w:color w:val="000000" w:themeColor="text1"/>
          <w:sz w:val="24"/>
          <w:szCs w:val="24"/>
          <w:shd w:val="clear" w:color="auto" w:fill="FFFFFF"/>
        </w:rPr>
        <w:t xml:space="preserve"> </w:t>
      </w:r>
      <w:proofErr w:type="spellStart"/>
      <w:r w:rsidRPr="003261C2">
        <w:rPr>
          <w:rFonts w:cstheme="minorHAnsi"/>
          <w:color w:val="000000" w:themeColor="text1"/>
          <w:sz w:val="24"/>
          <w:szCs w:val="24"/>
          <w:shd w:val="clear" w:color="auto" w:fill="FFFFFF"/>
        </w:rPr>
        <w:t>d'Ottignies</w:t>
      </w:r>
      <w:proofErr w:type="spellEnd"/>
      <w:r w:rsidRPr="003261C2">
        <w:rPr>
          <w:rFonts w:cstheme="minorHAnsi"/>
          <w:color w:val="000000" w:themeColor="text1"/>
          <w:sz w:val="24"/>
          <w:szCs w:val="24"/>
          <w:shd w:val="clear" w:color="auto" w:fill="FFFFFF"/>
        </w:rPr>
        <w:t xml:space="preserve">-Louvain-la-. </w:t>
      </w:r>
      <w:proofErr w:type="spellStart"/>
      <w:r w:rsidRPr="003261C2">
        <w:rPr>
          <w:rFonts w:cstheme="minorHAnsi"/>
          <w:color w:val="000000" w:themeColor="text1"/>
          <w:sz w:val="24"/>
          <w:szCs w:val="24"/>
          <w:shd w:val="clear" w:color="auto" w:fill="FFFFFF"/>
        </w:rPr>
        <w:t>Neuveand</w:t>
      </w:r>
      <w:proofErr w:type="spellEnd"/>
      <w:r w:rsidRPr="003261C2">
        <w:rPr>
          <w:rFonts w:cstheme="minorHAnsi"/>
          <w:color w:val="000000" w:themeColor="text1"/>
          <w:sz w:val="24"/>
          <w:szCs w:val="24"/>
          <w:shd w:val="clear" w:color="auto" w:fill="FFFFFF"/>
        </w:rPr>
        <w:t xml:space="preserve"> [2001] ECR I-06193.</w:t>
      </w:r>
    </w:p>
    <w:p w14:paraId="363EB7A5" w14:textId="77777777" w:rsidR="006247A0" w:rsidRPr="003261C2" w:rsidRDefault="006247A0" w:rsidP="006247A0">
      <w:pPr>
        <w:pStyle w:val="NormalWeb"/>
        <w:numPr>
          <w:ilvl w:val="0"/>
          <w:numId w:val="1"/>
        </w:numPr>
        <w:shd w:val="clear" w:color="auto" w:fill="FFFFFF"/>
        <w:spacing w:before="0" w:beforeAutospacing="0" w:after="75" w:afterAutospacing="0" w:line="480" w:lineRule="auto"/>
        <w:rPr>
          <w:rStyle w:val="Emphasis"/>
          <w:rFonts w:asciiTheme="minorHAnsi" w:hAnsiTheme="minorHAnsi" w:cstheme="minorHAnsi"/>
          <w:i w:val="0"/>
          <w:iCs w:val="0"/>
          <w:color w:val="000000" w:themeColor="text1"/>
        </w:rPr>
      </w:pPr>
      <w:r w:rsidRPr="003261C2">
        <w:rPr>
          <w:rFonts w:asciiTheme="minorHAnsi" w:hAnsiTheme="minorHAnsi" w:cstheme="minorHAnsi"/>
          <w:color w:val="000000" w:themeColor="text1"/>
        </w:rPr>
        <w:t xml:space="preserve">Case C-292/89 The Queen v Immigration Appeal Tribunal, ex </w:t>
      </w:r>
      <w:proofErr w:type="spellStart"/>
      <w:r w:rsidRPr="003261C2">
        <w:rPr>
          <w:rFonts w:asciiTheme="minorHAnsi" w:hAnsiTheme="minorHAnsi" w:cstheme="minorHAnsi"/>
          <w:color w:val="000000" w:themeColor="text1"/>
        </w:rPr>
        <w:t>parte</w:t>
      </w:r>
      <w:proofErr w:type="spellEnd"/>
      <w:r w:rsidRPr="003261C2">
        <w:rPr>
          <w:rFonts w:asciiTheme="minorHAnsi" w:hAnsiTheme="minorHAnsi" w:cstheme="minorHAnsi"/>
          <w:color w:val="000000" w:themeColor="text1"/>
        </w:rPr>
        <w:t xml:space="preserve"> </w:t>
      </w:r>
      <w:proofErr w:type="spellStart"/>
      <w:r w:rsidRPr="003261C2">
        <w:rPr>
          <w:rFonts w:asciiTheme="minorHAnsi" w:hAnsiTheme="minorHAnsi" w:cstheme="minorHAnsi"/>
          <w:color w:val="000000" w:themeColor="text1"/>
        </w:rPr>
        <w:t>Gustaff</w:t>
      </w:r>
      <w:proofErr w:type="spellEnd"/>
      <w:r w:rsidRPr="003261C2">
        <w:rPr>
          <w:rFonts w:asciiTheme="minorHAnsi" w:hAnsiTheme="minorHAnsi" w:cstheme="minorHAnsi"/>
          <w:color w:val="000000" w:themeColor="text1"/>
        </w:rPr>
        <w:t xml:space="preserve"> Desiderius </w:t>
      </w:r>
      <w:proofErr w:type="spellStart"/>
      <w:r w:rsidRPr="003261C2">
        <w:rPr>
          <w:rFonts w:asciiTheme="minorHAnsi" w:hAnsiTheme="minorHAnsi" w:cstheme="minorHAnsi"/>
          <w:color w:val="000000" w:themeColor="text1"/>
        </w:rPr>
        <w:t>Antonissen</w:t>
      </w:r>
      <w:proofErr w:type="spellEnd"/>
      <w:r w:rsidRPr="003261C2">
        <w:rPr>
          <w:rFonts w:asciiTheme="minorHAnsi" w:hAnsiTheme="minorHAnsi" w:cstheme="minorHAnsi"/>
          <w:color w:val="000000" w:themeColor="text1"/>
        </w:rPr>
        <w:t xml:space="preserve"> [1991] ECR </w:t>
      </w:r>
      <w:r w:rsidRPr="003261C2">
        <w:rPr>
          <w:rStyle w:val="Emphasis"/>
          <w:rFonts w:asciiTheme="minorHAnsi" w:hAnsiTheme="minorHAnsi" w:cstheme="minorHAnsi"/>
          <w:color w:val="000000" w:themeColor="text1"/>
        </w:rPr>
        <w:t>I-00745.</w:t>
      </w:r>
    </w:p>
    <w:p w14:paraId="1F17F96E" w14:textId="77777777" w:rsidR="006247A0" w:rsidRPr="003261C2" w:rsidRDefault="006247A0" w:rsidP="006247A0">
      <w:pPr>
        <w:pStyle w:val="ListParagraph"/>
        <w:numPr>
          <w:ilvl w:val="0"/>
          <w:numId w:val="1"/>
        </w:numPr>
        <w:spacing w:line="480" w:lineRule="auto"/>
        <w:rPr>
          <w:rFonts w:cstheme="minorHAnsi"/>
          <w:color w:val="000000" w:themeColor="text1"/>
          <w:sz w:val="24"/>
          <w:szCs w:val="24"/>
        </w:rPr>
      </w:pPr>
      <w:r w:rsidRPr="003261C2">
        <w:rPr>
          <w:rFonts w:cstheme="minorHAnsi"/>
          <w:color w:val="000000" w:themeColor="text1"/>
          <w:sz w:val="24"/>
          <w:szCs w:val="24"/>
          <w:shd w:val="clear" w:color="auto" w:fill="FFFFFF"/>
        </w:rPr>
        <w:t xml:space="preserve">Case C-369/90 Mario Vicente </w:t>
      </w:r>
      <w:proofErr w:type="spellStart"/>
      <w:r w:rsidRPr="003261C2">
        <w:rPr>
          <w:rFonts w:cstheme="minorHAnsi"/>
          <w:color w:val="000000" w:themeColor="text1"/>
          <w:sz w:val="24"/>
          <w:szCs w:val="24"/>
          <w:shd w:val="clear" w:color="auto" w:fill="FFFFFF"/>
        </w:rPr>
        <w:t>Micheletti</w:t>
      </w:r>
      <w:proofErr w:type="spellEnd"/>
      <w:r w:rsidRPr="003261C2">
        <w:rPr>
          <w:rFonts w:cstheme="minorHAnsi"/>
          <w:color w:val="000000" w:themeColor="text1"/>
          <w:sz w:val="24"/>
          <w:szCs w:val="24"/>
          <w:shd w:val="clear" w:color="auto" w:fill="FFFFFF"/>
        </w:rPr>
        <w:t xml:space="preserve"> and others v </w:t>
      </w:r>
      <w:proofErr w:type="spellStart"/>
      <w:r w:rsidRPr="003261C2">
        <w:rPr>
          <w:rFonts w:cstheme="minorHAnsi"/>
          <w:color w:val="000000" w:themeColor="text1"/>
          <w:sz w:val="24"/>
          <w:szCs w:val="24"/>
          <w:shd w:val="clear" w:color="auto" w:fill="FFFFFF"/>
        </w:rPr>
        <w:t>Delegación</w:t>
      </w:r>
      <w:proofErr w:type="spellEnd"/>
      <w:r w:rsidRPr="003261C2">
        <w:rPr>
          <w:rFonts w:cstheme="minorHAnsi"/>
          <w:color w:val="000000" w:themeColor="text1"/>
          <w:sz w:val="24"/>
          <w:szCs w:val="24"/>
          <w:shd w:val="clear" w:color="auto" w:fill="FFFFFF"/>
        </w:rPr>
        <w:t xml:space="preserve"> del </w:t>
      </w:r>
      <w:proofErr w:type="spellStart"/>
      <w:r w:rsidRPr="003261C2">
        <w:rPr>
          <w:rFonts w:cstheme="minorHAnsi"/>
          <w:color w:val="000000" w:themeColor="text1"/>
          <w:sz w:val="24"/>
          <w:szCs w:val="24"/>
          <w:shd w:val="clear" w:color="auto" w:fill="FFFFFF"/>
        </w:rPr>
        <w:t>Gobierno</w:t>
      </w:r>
      <w:proofErr w:type="spellEnd"/>
      <w:r w:rsidRPr="003261C2">
        <w:rPr>
          <w:rFonts w:cstheme="minorHAnsi"/>
          <w:color w:val="000000" w:themeColor="text1"/>
          <w:sz w:val="24"/>
          <w:szCs w:val="24"/>
          <w:shd w:val="clear" w:color="auto" w:fill="FFFFFF"/>
        </w:rPr>
        <w:t xml:space="preserve"> </w:t>
      </w:r>
      <w:proofErr w:type="spellStart"/>
      <w:r w:rsidRPr="003261C2">
        <w:rPr>
          <w:rFonts w:cstheme="minorHAnsi"/>
          <w:color w:val="000000" w:themeColor="text1"/>
          <w:sz w:val="24"/>
          <w:szCs w:val="24"/>
          <w:shd w:val="clear" w:color="auto" w:fill="FFFFFF"/>
        </w:rPr>
        <w:t>en</w:t>
      </w:r>
      <w:proofErr w:type="spellEnd"/>
      <w:r w:rsidRPr="003261C2">
        <w:rPr>
          <w:rFonts w:cstheme="minorHAnsi"/>
          <w:color w:val="000000" w:themeColor="text1"/>
          <w:sz w:val="24"/>
          <w:szCs w:val="24"/>
          <w:shd w:val="clear" w:color="auto" w:fill="FFFFFF"/>
        </w:rPr>
        <w:t xml:space="preserve"> Cantabria [1992] ECR I-4239.</w:t>
      </w:r>
    </w:p>
    <w:p w14:paraId="75C8A52F" w14:textId="77777777" w:rsidR="006247A0" w:rsidRPr="003261C2" w:rsidRDefault="006247A0" w:rsidP="006247A0">
      <w:pPr>
        <w:pStyle w:val="ListParagraph"/>
        <w:numPr>
          <w:ilvl w:val="0"/>
          <w:numId w:val="1"/>
        </w:numPr>
        <w:spacing w:line="480" w:lineRule="auto"/>
        <w:rPr>
          <w:rFonts w:cstheme="minorHAnsi"/>
          <w:color w:val="000000" w:themeColor="text1"/>
          <w:sz w:val="24"/>
          <w:szCs w:val="24"/>
        </w:rPr>
      </w:pPr>
      <w:r w:rsidRPr="003261C2">
        <w:rPr>
          <w:rFonts w:cstheme="minorHAnsi"/>
          <w:color w:val="000000" w:themeColor="text1"/>
          <w:sz w:val="24"/>
          <w:szCs w:val="24"/>
        </w:rPr>
        <w:t xml:space="preserve">Case C-41/74 Van </w:t>
      </w:r>
      <w:proofErr w:type="spellStart"/>
      <w:r w:rsidRPr="003261C2">
        <w:rPr>
          <w:rFonts w:cstheme="minorHAnsi"/>
          <w:color w:val="000000" w:themeColor="text1"/>
          <w:sz w:val="24"/>
          <w:szCs w:val="24"/>
        </w:rPr>
        <w:t>Duyn</w:t>
      </w:r>
      <w:proofErr w:type="spellEnd"/>
      <w:r w:rsidRPr="003261C2">
        <w:rPr>
          <w:rFonts w:cstheme="minorHAnsi"/>
          <w:color w:val="000000" w:themeColor="text1"/>
          <w:sz w:val="24"/>
          <w:szCs w:val="24"/>
        </w:rPr>
        <w:t xml:space="preserve"> v Home Office [1975] ECR 1337.</w:t>
      </w:r>
    </w:p>
    <w:p w14:paraId="2D75ED11" w14:textId="77777777" w:rsidR="006247A0" w:rsidRPr="003261C2" w:rsidRDefault="006247A0" w:rsidP="006247A0">
      <w:pPr>
        <w:pStyle w:val="ListParagraph"/>
        <w:numPr>
          <w:ilvl w:val="0"/>
          <w:numId w:val="1"/>
        </w:numPr>
        <w:spacing w:line="480" w:lineRule="auto"/>
        <w:rPr>
          <w:rFonts w:cstheme="minorHAnsi"/>
          <w:color w:val="000000" w:themeColor="text1"/>
          <w:sz w:val="24"/>
          <w:szCs w:val="24"/>
        </w:rPr>
      </w:pPr>
      <w:r w:rsidRPr="003261C2">
        <w:rPr>
          <w:rFonts w:cstheme="minorHAnsi"/>
          <w:color w:val="000000" w:themeColor="text1"/>
          <w:sz w:val="24"/>
          <w:szCs w:val="24"/>
          <w:shd w:val="clear" w:color="auto" w:fill="FFFFFF"/>
        </w:rPr>
        <w:t xml:space="preserve">Case C-67/14 </w:t>
      </w:r>
      <w:proofErr w:type="spellStart"/>
      <w:r w:rsidRPr="003261C2">
        <w:rPr>
          <w:rFonts w:cstheme="minorHAnsi"/>
          <w:color w:val="000000" w:themeColor="text1"/>
          <w:sz w:val="24"/>
          <w:szCs w:val="24"/>
          <w:shd w:val="clear" w:color="auto" w:fill="FFFFFF"/>
        </w:rPr>
        <w:t>Jobcenter</w:t>
      </w:r>
      <w:proofErr w:type="spellEnd"/>
      <w:r w:rsidRPr="003261C2">
        <w:rPr>
          <w:rFonts w:cstheme="minorHAnsi"/>
          <w:color w:val="000000" w:themeColor="text1"/>
          <w:sz w:val="24"/>
          <w:szCs w:val="24"/>
          <w:shd w:val="clear" w:color="auto" w:fill="FFFFFF"/>
        </w:rPr>
        <w:t xml:space="preserve"> Berlin </w:t>
      </w:r>
      <w:proofErr w:type="spellStart"/>
      <w:r w:rsidRPr="003261C2">
        <w:rPr>
          <w:rFonts w:cstheme="minorHAnsi"/>
          <w:color w:val="000000" w:themeColor="text1"/>
          <w:sz w:val="24"/>
          <w:szCs w:val="24"/>
          <w:shd w:val="clear" w:color="auto" w:fill="FFFFFF"/>
        </w:rPr>
        <w:t>Neukölln</w:t>
      </w:r>
      <w:proofErr w:type="spellEnd"/>
      <w:r w:rsidRPr="003261C2">
        <w:rPr>
          <w:rFonts w:cstheme="minorHAnsi"/>
          <w:color w:val="000000" w:themeColor="text1"/>
          <w:sz w:val="24"/>
          <w:szCs w:val="24"/>
          <w:shd w:val="clear" w:color="auto" w:fill="FFFFFF"/>
        </w:rPr>
        <w:t xml:space="preserve"> v </w:t>
      </w:r>
      <w:proofErr w:type="spellStart"/>
      <w:r w:rsidRPr="003261C2">
        <w:rPr>
          <w:rFonts w:cstheme="minorHAnsi"/>
          <w:color w:val="000000" w:themeColor="text1"/>
          <w:sz w:val="24"/>
          <w:szCs w:val="24"/>
          <w:shd w:val="clear" w:color="auto" w:fill="FFFFFF"/>
        </w:rPr>
        <w:t>Nazifa</w:t>
      </w:r>
      <w:proofErr w:type="spellEnd"/>
      <w:r w:rsidRPr="003261C2">
        <w:rPr>
          <w:rFonts w:cstheme="minorHAnsi"/>
          <w:color w:val="000000" w:themeColor="text1"/>
          <w:sz w:val="24"/>
          <w:szCs w:val="24"/>
          <w:shd w:val="clear" w:color="auto" w:fill="FFFFFF"/>
        </w:rPr>
        <w:t xml:space="preserve"> </w:t>
      </w:r>
      <w:proofErr w:type="spellStart"/>
      <w:r w:rsidRPr="003261C2">
        <w:rPr>
          <w:rFonts w:cstheme="minorHAnsi"/>
          <w:color w:val="000000" w:themeColor="text1"/>
          <w:sz w:val="24"/>
          <w:szCs w:val="24"/>
          <w:shd w:val="clear" w:color="auto" w:fill="FFFFFF"/>
        </w:rPr>
        <w:t>Alimanovic</w:t>
      </w:r>
      <w:proofErr w:type="spellEnd"/>
      <w:r w:rsidRPr="003261C2">
        <w:rPr>
          <w:rFonts w:cstheme="minorHAnsi"/>
          <w:color w:val="000000" w:themeColor="text1"/>
          <w:sz w:val="24"/>
          <w:szCs w:val="24"/>
          <w:shd w:val="clear" w:color="auto" w:fill="FFFFFF"/>
        </w:rPr>
        <w:t xml:space="preserve"> and Others [1994] ECR I-1853.</w:t>
      </w:r>
    </w:p>
    <w:p w14:paraId="20147BB8" w14:textId="77777777" w:rsidR="006247A0" w:rsidRPr="003261C2" w:rsidRDefault="006247A0" w:rsidP="006247A0">
      <w:pPr>
        <w:pStyle w:val="NormalWeb"/>
        <w:shd w:val="clear" w:color="auto" w:fill="FFFFFF"/>
        <w:spacing w:before="0" w:beforeAutospacing="0" w:after="75" w:afterAutospacing="0" w:line="480" w:lineRule="auto"/>
        <w:ind w:left="360"/>
        <w:rPr>
          <w:rFonts w:asciiTheme="minorHAnsi" w:hAnsiTheme="minorHAnsi" w:cstheme="minorHAnsi"/>
          <w:color w:val="444444"/>
        </w:rPr>
      </w:pPr>
    </w:p>
    <w:p w14:paraId="4CDB13D1" w14:textId="77777777" w:rsidR="006247A0" w:rsidRPr="003261C2" w:rsidRDefault="006247A0" w:rsidP="006247A0">
      <w:pPr>
        <w:pStyle w:val="NormalWeb"/>
        <w:shd w:val="clear" w:color="auto" w:fill="FFFFFF"/>
        <w:spacing w:before="0" w:beforeAutospacing="0" w:after="75" w:afterAutospacing="0" w:line="480" w:lineRule="auto"/>
        <w:ind w:left="360"/>
        <w:rPr>
          <w:rFonts w:asciiTheme="minorHAnsi" w:hAnsiTheme="minorHAnsi" w:cstheme="minorHAnsi"/>
          <w:color w:val="4472C4" w:themeColor="accent1"/>
        </w:rPr>
      </w:pPr>
      <w:r w:rsidRPr="003261C2">
        <w:rPr>
          <w:rFonts w:asciiTheme="minorHAnsi" w:hAnsiTheme="minorHAnsi" w:cstheme="minorHAnsi"/>
          <w:color w:val="4472C4" w:themeColor="accent1"/>
        </w:rPr>
        <w:t>Treaties:</w:t>
      </w:r>
    </w:p>
    <w:p w14:paraId="0B9407D4" w14:textId="77777777" w:rsidR="006247A0" w:rsidRPr="003261C2" w:rsidRDefault="006247A0" w:rsidP="006247A0">
      <w:pPr>
        <w:pStyle w:val="Bibliography"/>
        <w:numPr>
          <w:ilvl w:val="0"/>
          <w:numId w:val="1"/>
        </w:numPr>
        <w:spacing w:line="480" w:lineRule="auto"/>
        <w:rPr>
          <w:rFonts w:cstheme="minorHAnsi"/>
          <w:noProof/>
          <w:sz w:val="24"/>
          <w:szCs w:val="24"/>
        </w:rPr>
      </w:pPr>
      <w:r w:rsidRPr="003261C2">
        <w:rPr>
          <w:rFonts w:cstheme="minorHAnsi"/>
          <w:noProof/>
          <w:sz w:val="24"/>
          <w:szCs w:val="24"/>
        </w:rPr>
        <w:t xml:space="preserve">eur-lex.europa.eu, n..d.. </w:t>
      </w:r>
      <w:r w:rsidRPr="003261C2">
        <w:rPr>
          <w:rFonts w:cstheme="minorHAnsi"/>
          <w:i/>
          <w:iCs/>
          <w:noProof/>
          <w:sz w:val="24"/>
          <w:szCs w:val="24"/>
        </w:rPr>
        <w:t xml:space="preserve">Article 49 (ex Article 43 TEC). </w:t>
      </w:r>
      <w:r w:rsidRPr="003261C2">
        <w:rPr>
          <w:rFonts w:cstheme="minorHAnsi"/>
          <w:noProof/>
          <w:sz w:val="24"/>
          <w:szCs w:val="24"/>
        </w:rPr>
        <w:t xml:space="preserve">[Online] </w:t>
      </w:r>
      <w:r w:rsidRPr="003261C2">
        <w:rPr>
          <w:rFonts w:cstheme="minorHAnsi"/>
          <w:noProof/>
          <w:sz w:val="24"/>
          <w:szCs w:val="24"/>
        </w:rPr>
        <w:br/>
        <w:t xml:space="preserve">Available at: </w:t>
      </w:r>
      <w:r w:rsidRPr="003261C2">
        <w:rPr>
          <w:rFonts w:cstheme="minorHAnsi"/>
          <w:noProof/>
          <w:sz w:val="24"/>
          <w:szCs w:val="24"/>
          <w:u w:val="single"/>
        </w:rPr>
        <w:t>https://eur-lex.europa.eu/legal-content/EN/TXT/?uri=CELEX%3A12008E049</w:t>
      </w:r>
    </w:p>
    <w:p w14:paraId="48FD0DC2" w14:textId="77777777" w:rsidR="006247A0" w:rsidRPr="003261C2" w:rsidRDefault="006247A0" w:rsidP="006247A0">
      <w:pPr>
        <w:pStyle w:val="Bibliography"/>
        <w:numPr>
          <w:ilvl w:val="0"/>
          <w:numId w:val="1"/>
        </w:numPr>
        <w:spacing w:line="480" w:lineRule="auto"/>
        <w:rPr>
          <w:rFonts w:cstheme="minorHAnsi"/>
          <w:noProof/>
          <w:sz w:val="24"/>
          <w:szCs w:val="24"/>
        </w:rPr>
      </w:pPr>
      <w:r w:rsidRPr="003261C2">
        <w:rPr>
          <w:rFonts w:cstheme="minorHAnsi"/>
          <w:noProof/>
          <w:sz w:val="24"/>
          <w:szCs w:val="24"/>
        </w:rPr>
        <w:lastRenderedPageBreak/>
        <w:t xml:space="preserve">eur-lex.europa.eu, n.d.. </w:t>
      </w:r>
      <w:r w:rsidRPr="003261C2">
        <w:rPr>
          <w:rFonts w:cstheme="minorHAnsi"/>
          <w:i/>
          <w:iCs/>
          <w:noProof/>
          <w:sz w:val="24"/>
          <w:szCs w:val="24"/>
        </w:rPr>
        <w:t xml:space="preserve">Article 102 (ex Article 82 TEC). </w:t>
      </w:r>
      <w:r w:rsidRPr="003261C2">
        <w:rPr>
          <w:rFonts w:cstheme="minorHAnsi"/>
          <w:noProof/>
          <w:sz w:val="24"/>
          <w:szCs w:val="24"/>
        </w:rPr>
        <w:t xml:space="preserve">[Online] </w:t>
      </w:r>
      <w:r w:rsidRPr="003261C2">
        <w:rPr>
          <w:rFonts w:cstheme="minorHAnsi"/>
          <w:noProof/>
          <w:sz w:val="24"/>
          <w:szCs w:val="24"/>
        </w:rPr>
        <w:br/>
        <w:t xml:space="preserve">Available at: </w:t>
      </w:r>
      <w:r w:rsidRPr="003261C2">
        <w:rPr>
          <w:rFonts w:cstheme="minorHAnsi"/>
          <w:noProof/>
          <w:sz w:val="24"/>
          <w:szCs w:val="24"/>
          <w:u w:val="single"/>
        </w:rPr>
        <w:t>https://eur-lex.europa.eu/LexUriServ/LexUriServ.do?uri=CELEX:12008E102:EN:HTML</w:t>
      </w:r>
    </w:p>
    <w:p w14:paraId="2F0598BB" w14:textId="77777777" w:rsidR="006247A0" w:rsidRPr="003261C2" w:rsidRDefault="006247A0" w:rsidP="006247A0">
      <w:pPr>
        <w:pStyle w:val="Bibliography"/>
        <w:numPr>
          <w:ilvl w:val="0"/>
          <w:numId w:val="1"/>
        </w:numPr>
        <w:spacing w:line="480" w:lineRule="auto"/>
        <w:rPr>
          <w:rFonts w:cstheme="minorHAnsi"/>
          <w:noProof/>
          <w:sz w:val="24"/>
          <w:szCs w:val="24"/>
        </w:rPr>
      </w:pPr>
      <w:r w:rsidRPr="003261C2">
        <w:rPr>
          <w:rFonts w:cstheme="minorHAnsi"/>
          <w:noProof/>
          <w:sz w:val="24"/>
          <w:szCs w:val="24"/>
        </w:rPr>
        <w:t xml:space="preserve">eur-lex.europa.eu, n.d.. </w:t>
      </w:r>
      <w:r w:rsidRPr="003261C2">
        <w:rPr>
          <w:rFonts w:cstheme="minorHAnsi"/>
          <w:i/>
          <w:iCs/>
          <w:noProof/>
          <w:sz w:val="24"/>
          <w:szCs w:val="24"/>
        </w:rPr>
        <w:t xml:space="preserve">Article 20 (ex Article 17 TEC). </w:t>
      </w:r>
      <w:r w:rsidRPr="003261C2">
        <w:rPr>
          <w:rFonts w:cstheme="minorHAnsi"/>
          <w:noProof/>
          <w:sz w:val="24"/>
          <w:szCs w:val="24"/>
        </w:rPr>
        <w:t xml:space="preserve">[Online] </w:t>
      </w:r>
      <w:r w:rsidRPr="003261C2">
        <w:rPr>
          <w:rFonts w:cstheme="minorHAnsi"/>
          <w:noProof/>
          <w:sz w:val="24"/>
          <w:szCs w:val="24"/>
        </w:rPr>
        <w:br/>
        <w:t xml:space="preserve">Available at: </w:t>
      </w:r>
      <w:r w:rsidRPr="003261C2">
        <w:rPr>
          <w:rFonts w:cstheme="minorHAnsi"/>
          <w:noProof/>
          <w:sz w:val="24"/>
          <w:szCs w:val="24"/>
          <w:u w:val="single"/>
        </w:rPr>
        <w:t>https://eur-lex.europa.eu/legal-content/EN/TXT/?uri=CELEX%3A12016E020</w:t>
      </w:r>
    </w:p>
    <w:p w14:paraId="04C0FBD4" w14:textId="77777777" w:rsidR="006247A0" w:rsidRPr="003261C2" w:rsidRDefault="006247A0" w:rsidP="006247A0">
      <w:pPr>
        <w:pStyle w:val="Bibliography"/>
        <w:numPr>
          <w:ilvl w:val="0"/>
          <w:numId w:val="1"/>
        </w:numPr>
        <w:spacing w:line="480" w:lineRule="auto"/>
        <w:rPr>
          <w:rFonts w:cstheme="minorHAnsi"/>
          <w:noProof/>
          <w:sz w:val="24"/>
          <w:szCs w:val="24"/>
        </w:rPr>
      </w:pPr>
      <w:r w:rsidRPr="003261C2">
        <w:rPr>
          <w:rFonts w:cstheme="minorHAnsi"/>
          <w:noProof/>
          <w:sz w:val="24"/>
          <w:szCs w:val="24"/>
        </w:rPr>
        <w:t xml:space="preserve">eur-lex.europa.eu, n.d.. </w:t>
      </w:r>
      <w:r w:rsidRPr="003261C2">
        <w:rPr>
          <w:rFonts w:cstheme="minorHAnsi"/>
          <w:i/>
          <w:iCs/>
          <w:noProof/>
          <w:sz w:val="24"/>
          <w:szCs w:val="24"/>
        </w:rPr>
        <w:t xml:space="preserve">Article 45 (ex Article 39 TEC). </w:t>
      </w:r>
      <w:r w:rsidRPr="003261C2">
        <w:rPr>
          <w:rFonts w:cstheme="minorHAnsi"/>
          <w:noProof/>
          <w:sz w:val="24"/>
          <w:szCs w:val="24"/>
        </w:rPr>
        <w:t xml:space="preserve">[Online] </w:t>
      </w:r>
      <w:r w:rsidRPr="003261C2">
        <w:rPr>
          <w:rFonts w:cstheme="minorHAnsi"/>
          <w:noProof/>
          <w:sz w:val="24"/>
          <w:szCs w:val="24"/>
        </w:rPr>
        <w:br/>
        <w:t xml:space="preserve">Available at: </w:t>
      </w:r>
      <w:r w:rsidRPr="003261C2">
        <w:rPr>
          <w:rFonts w:cstheme="minorHAnsi"/>
          <w:noProof/>
          <w:sz w:val="24"/>
          <w:szCs w:val="24"/>
          <w:u w:val="single"/>
        </w:rPr>
        <w:t>https://eur-lex.europa.eu/LexUriServ/LexUriServ.do?uri=CELEX:12008E045:en:HTML</w:t>
      </w:r>
    </w:p>
    <w:p w14:paraId="7A89A8D6" w14:textId="77777777" w:rsidR="006247A0" w:rsidRPr="003261C2" w:rsidRDefault="006247A0" w:rsidP="006247A0">
      <w:pPr>
        <w:pStyle w:val="Bibliography"/>
        <w:numPr>
          <w:ilvl w:val="0"/>
          <w:numId w:val="1"/>
        </w:numPr>
        <w:spacing w:line="480" w:lineRule="auto"/>
        <w:rPr>
          <w:rFonts w:cstheme="minorHAnsi"/>
          <w:noProof/>
          <w:sz w:val="24"/>
          <w:szCs w:val="24"/>
          <w:u w:val="single"/>
        </w:rPr>
      </w:pPr>
      <w:r w:rsidRPr="003261C2">
        <w:rPr>
          <w:rFonts w:cstheme="minorHAnsi"/>
          <w:noProof/>
          <w:sz w:val="24"/>
          <w:szCs w:val="24"/>
        </w:rPr>
        <w:t xml:space="preserve">eur-lex.europa.eu, n.d.. </w:t>
      </w:r>
      <w:r w:rsidRPr="003261C2">
        <w:rPr>
          <w:rFonts w:cstheme="minorHAnsi"/>
          <w:i/>
          <w:iCs/>
          <w:noProof/>
          <w:sz w:val="24"/>
          <w:szCs w:val="24"/>
        </w:rPr>
        <w:t xml:space="preserve">Article 56 (ex Article 49 TEC). </w:t>
      </w:r>
      <w:r w:rsidRPr="003261C2">
        <w:rPr>
          <w:rFonts w:cstheme="minorHAnsi"/>
          <w:noProof/>
          <w:sz w:val="24"/>
          <w:szCs w:val="24"/>
        </w:rPr>
        <w:t xml:space="preserve">[Online] </w:t>
      </w:r>
      <w:r w:rsidRPr="003261C2">
        <w:rPr>
          <w:rFonts w:cstheme="minorHAnsi"/>
          <w:noProof/>
          <w:sz w:val="24"/>
          <w:szCs w:val="24"/>
        </w:rPr>
        <w:br/>
        <w:t xml:space="preserve">Available at: </w:t>
      </w:r>
      <w:hyperlink r:id="rId5" w:history="1">
        <w:r w:rsidRPr="003261C2">
          <w:rPr>
            <w:rStyle w:val="Hyperlink"/>
            <w:rFonts w:cstheme="minorHAnsi"/>
            <w:noProof/>
            <w:sz w:val="24"/>
            <w:szCs w:val="24"/>
          </w:rPr>
          <w:t>https://eur-lex.europa.eu/LexUriServ/LexUriServ.do?uri=CELEX:12008E056:en:HTML</w:t>
        </w:r>
      </w:hyperlink>
    </w:p>
    <w:p w14:paraId="0E1F1C1F" w14:textId="77777777"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Secondary Sources:</w:t>
      </w:r>
    </w:p>
    <w:p w14:paraId="5A8686D6" w14:textId="77777777"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Books:</w:t>
      </w:r>
    </w:p>
    <w:p w14:paraId="75EF94B5" w14:textId="77777777" w:rsidR="006247A0" w:rsidRPr="003261C2" w:rsidRDefault="006247A0" w:rsidP="006247A0">
      <w:pPr>
        <w:pStyle w:val="ListParagraph"/>
        <w:numPr>
          <w:ilvl w:val="0"/>
          <w:numId w:val="1"/>
        </w:numPr>
        <w:spacing w:line="480" w:lineRule="auto"/>
        <w:rPr>
          <w:rFonts w:cstheme="minorHAnsi"/>
          <w:sz w:val="24"/>
          <w:szCs w:val="24"/>
        </w:rPr>
      </w:pPr>
      <w:r w:rsidRPr="003261C2">
        <w:rPr>
          <w:rFonts w:cstheme="minorHAnsi"/>
          <w:sz w:val="24"/>
          <w:szCs w:val="24"/>
        </w:rPr>
        <w:t>Chalmers, D., Davies, G., and Monti, G., (2019) ‘</w:t>
      </w:r>
      <w:r w:rsidRPr="003261C2">
        <w:rPr>
          <w:rFonts w:cstheme="minorHAnsi"/>
          <w:i/>
          <w:iCs/>
          <w:sz w:val="24"/>
          <w:szCs w:val="24"/>
        </w:rPr>
        <w:t>European Union Law’</w:t>
      </w:r>
      <w:r w:rsidRPr="003261C2">
        <w:rPr>
          <w:rFonts w:cstheme="minorHAnsi"/>
          <w:sz w:val="24"/>
          <w:szCs w:val="24"/>
        </w:rPr>
        <w:t xml:space="preserve"> 4</w:t>
      </w:r>
      <w:r w:rsidRPr="003261C2">
        <w:rPr>
          <w:rFonts w:cstheme="minorHAnsi"/>
          <w:sz w:val="24"/>
          <w:szCs w:val="24"/>
          <w:vertAlign w:val="superscript"/>
        </w:rPr>
        <w:t>th</w:t>
      </w:r>
      <w:r w:rsidRPr="003261C2">
        <w:rPr>
          <w:rFonts w:cstheme="minorHAnsi"/>
          <w:sz w:val="24"/>
          <w:szCs w:val="24"/>
        </w:rPr>
        <w:t xml:space="preserve"> </w:t>
      </w:r>
      <w:proofErr w:type="spellStart"/>
      <w:r w:rsidRPr="003261C2">
        <w:rPr>
          <w:rFonts w:cstheme="minorHAnsi"/>
          <w:sz w:val="24"/>
          <w:szCs w:val="24"/>
        </w:rPr>
        <w:t>Edn</w:t>
      </w:r>
      <w:proofErr w:type="spellEnd"/>
      <w:r w:rsidRPr="003261C2">
        <w:rPr>
          <w:rFonts w:cstheme="minorHAnsi"/>
          <w:sz w:val="24"/>
          <w:szCs w:val="24"/>
        </w:rPr>
        <w:t xml:space="preserve">, Cambridge University Press. </w:t>
      </w:r>
    </w:p>
    <w:p w14:paraId="0328E336" w14:textId="77777777" w:rsidR="006247A0" w:rsidRPr="003261C2" w:rsidRDefault="006247A0" w:rsidP="006247A0">
      <w:pPr>
        <w:pStyle w:val="ListParagraph"/>
        <w:numPr>
          <w:ilvl w:val="0"/>
          <w:numId w:val="1"/>
        </w:numPr>
        <w:spacing w:line="480" w:lineRule="auto"/>
        <w:rPr>
          <w:rFonts w:cstheme="minorHAnsi"/>
          <w:sz w:val="24"/>
          <w:szCs w:val="24"/>
        </w:rPr>
      </w:pPr>
      <w:r w:rsidRPr="003261C2">
        <w:rPr>
          <w:rFonts w:cstheme="minorHAnsi"/>
          <w:sz w:val="24"/>
          <w:szCs w:val="24"/>
        </w:rPr>
        <w:t xml:space="preserve">Craig, P., and </w:t>
      </w:r>
      <w:proofErr w:type="spellStart"/>
      <w:r w:rsidRPr="003261C2">
        <w:rPr>
          <w:rFonts w:cstheme="minorHAnsi"/>
          <w:sz w:val="24"/>
          <w:szCs w:val="24"/>
        </w:rPr>
        <w:t>Burca</w:t>
      </w:r>
      <w:proofErr w:type="spellEnd"/>
      <w:r w:rsidRPr="003261C2">
        <w:rPr>
          <w:rFonts w:cstheme="minorHAnsi"/>
          <w:sz w:val="24"/>
          <w:szCs w:val="24"/>
        </w:rPr>
        <w:t>, G., (2020) ‘</w:t>
      </w:r>
      <w:r w:rsidRPr="003261C2">
        <w:rPr>
          <w:rFonts w:cstheme="minorHAnsi"/>
          <w:i/>
          <w:iCs/>
          <w:sz w:val="24"/>
          <w:szCs w:val="24"/>
        </w:rPr>
        <w:t>EU Law Text, Cases, and Materials’</w:t>
      </w:r>
      <w:r w:rsidRPr="003261C2">
        <w:rPr>
          <w:rFonts w:cstheme="minorHAnsi"/>
          <w:sz w:val="24"/>
          <w:szCs w:val="24"/>
        </w:rPr>
        <w:t xml:space="preserve"> 7</w:t>
      </w:r>
      <w:r w:rsidRPr="003261C2">
        <w:rPr>
          <w:rFonts w:cstheme="minorHAnsi"/>
          <w:sz w:val="24"/>
          <w:szCs w:val="24"/>
          <w:vertAlign w:val="superscript"/>
        </w:rPr>
        <w:t>th</w:t>
      </w:r>
      <w:r w:rsidRPr="003261C2">
        <w:rPr>
          <w:rFonts w:cstheme="minorHAnsi"/>
          <w:sz w:val="24"/>
          <w:szCs w:val="24"/>
        </w:rPr>
        <w:t xml:space="preserve"> </w:t>
      </w:r>
      <w:proofErr w:type="spellStart"/>
      <w:r w:rsidRPr="003261C2">
        <w:rPr>
          <w:rFonts w:cstheme="minorHAnsi"/>
          <w:sz w:val="24"/>
          <w:szCs w:val="24"/>
        </w:rPr>
        <w:t>Edn</w:t>
      </w:r>
      <w:proofErr w:type="spellEnd"/>
      <w:r w:rsidRPr="003261C2">
        <w:rPr>
          <w:rFonts w:cstheme="minorHAnsi"/>
          <w:sz w:val="24"/>
          <w:szCs w:val="24"/>
        </w:rPr>
        <w:t xml:space="preserve">, Oxford University Press. </w:t>
      </w:r>
    </w:p>
    <w:p w14:paraId="52A1410B" w14:textId="77777777" w:rsidR="006247A0" w:rsidRPr="003261C2" w:rsidRDefault="006247A0" w:rsidP="006247A0">
      <w:pPr>
        <w:pStyle w:val="ListParagraph"/>
        <w:numPr>
          <w:ilvl w:val="0"/>
          <w:numId w:val="1"/>
        </w:numPr>
        <w:spacing w:line="480" w:lineRule="auto"/>
        <w:rPr>
          <w:rFonts w:cstheme="minorHAnsi"/>
          <w:sz w:val="24"/>
          <w:szCs w:val="24"/>
        </w:rPr>
      </w:pPr>
      <w:proofErr w:type="spellStart"/>
      <w:r w:rsidRPr="003261C2">
        <w:rPr>
          <w:rFonts w:cstheme="minorHAnsi"/>
          <w:sz w:val="24"/>
          <w:szCs w:val="24"/>
        </w:rPr>
        <w:t>Horspool</w:t>
      </w:r>
      <w:proofErr w:type="spellEnd"/>
      <w:r w:rsidRPr="003261C2">
        <w:rPr>
          <w:rFonts w:cstheme="minorHAnsi"/>
          <w:sz w:val="24"/>
          <w:szCs w:val="24"/>
        </w:rPr>
        <w:t>, M., Humphreys, M., and Wells-Greco, Michael (2016), ‘</w:t>
      </w:r>
      <w:r w:rsidRPr="003261C2">
        <w:rPr>
          <w:rFonts w:cstheme="minorHAnsi"/>
          <w:i/>
          <w:iCs/>
          <w:sz w:val="24"/>
          <w:szCs w:val="24"/>
        </w:rPr>
        <w:t>European Union Law’</w:t>
      </w:r>
      <w:r w:rsidRPr="003261C2">
        <w:rPr>
          <w:rFonts w:cstheme="minorHAnsi"/>
          <w:sz w:val="24"/>
          <w:szCs w:val="24"/>
        </w:rPr>
        <w:t xml:space="preserve"> 9th </w:t>
      </w:r>
      <w:proofErr w:type="spellStart"/>
      <w:r w:rsidRPr="003261C2">
        <w:rPr>
          <w:rFonts w:cstheme="minorHAnsi"/>
          <w:sz w:val="24"/>
          <w:szCs w:val="24"/>
        </w:rPr>
        <w:t>edn</w:t>
      </w:r>
      <w:proofErr w:type="spellEnd"/>
      <w:r w:rsidRPr="003261C2">
        <w:rPr>
          <w:rFonts w:cstheme="minorHAnsi"/>
          <w:sz w:val="24"/>
          <w:szCs w:val="24"/>
        </w:rPr>
        <w:t xml:space="preserve">, Oxford University Press. </w:t>
      </w:r>
    </w:p>
    <w:p w14:paraId="0F492635" w14:textId="77777777" w:rsidR="006247A0" w:rsidRPr="003261C2" w:rsidRDefault="006247A0" w:rsidP="006247A0">
      <w:pPr>
        <w:spacing w:line="480" w:lineRule="auto"/>
        <w:rPr>
          <w:rFonts w:cstheme="minorHAnsi"/>
          <w:color w:val="4472C4" w:themeColor="accent1"/>
          <w:sz w:val="24"/>
          <w:szCs w:val="24"/>
        </w:rPr>
      </w:pPr>
      <w:r w:rsidRPr="003261C2">
        <w:rPr>
          <w:rFonts w:cstheme="minorHAnsi"/>
          <w:color w:val="4472C4" w:themeColor="accent1"/>
          <w:sz w:val="24"/>
          <w:szCs w:val="24"/>
        </w:rPr>
        <w:t>Article Journal</w:t>
      </w:r>
    </w:p>
    <w:p w14:paraId="044B7641" w14:textId="77777777" w:rsidR="006247A0" w:rsidRPr="003261C2" w:rsidRDefault="006247A0" w:rsidP="006247A0">
      <w:pPr>
        <w:pStyle w:val="ListParagraph"/>
        <w:numPr>
          <w:ilvl w:val="0"/>
          <w:numId w:val="1"/>
        </w:numPr>
        <w:spacing w:line="480" w:lineRule="auto"/>
        <w:rPr>
          <w:rFonts w:cstheme="minorHAnsi"/>
          <w:sz w:val="24"/>
          <w:szCs w:val="24"/>
        </w:rPr>
      </w:pPr>
      <w:r w:rsidRPr="003261C2">
        <w:rPr>
          <w:rFonts w:cstheme="minorHAnsi"/>
          <w:sz w:val="24"/>
          <w:szCs w:val="24"/>
        </w:rPr>
        <w:t>Meehan, E., (1993) ‘Citizenship and the European Community’.</w:t>
      </w:r>
    </w:p>
    <w:p w14:paraId="5E045B87" w14:textId="77777777" w:rsidR="006247A0" w:rsidRPr="003261C2" w:rsidRDefault="006247A0" w:rsidP="006247A0">
      <w:pPr>
        <w:pStyle w:val="ListParagraph"/>
        <w:numPr>
          <w:ilvl w:val="0"/>
          <w:numId w:val="1"/>
        </w:numPr>
        <w:spacing w:line="480" w:lineRule="auto"/>
        <w:rPr>
          <w:rFonts w:cstheme="minorHAnsi"/>
          <w:sz w:val="24"/>
          <w:szCs w:val="24"/>
        </w:rPr>
      </w:pPr>
      <w:proofErr w:type="spellStart"/>
      <w:r w:rsidRPr="003261C2">
        <w:rPr>
          <w:rFonts w:cstheme="minorHAnsi"/>
          <w:sz w:val="24"/>
          <w:szCs w:val="24"/>
        </w:rPr>
        <w:lastRenderedPageBreak/>
        <w:t>Weiler</w:t>
      </w:r>
      <w:proofErr w:type="spellEnd"/>
      <w:r w:rsidRPr="003261C2">
        <w:rPr>
          <w:rFonts w:cstheme="minorHAnsi"/>
          <w:sz w:val="24"/>
          <w:szCs w:val="24"/>
        </w:rPr>
        <w:t xml:space="preserve">, (1997) ‘To be a European citizen – Eros and </w:t>
      </w:r>
      <w:proofErr w:type="spellStart"/>
      <w:r w:rsidRPr="003261C2">
        <w:rPr>
          <w:rFonts w:cstheme="minorHAnsi"/>
          <w:sz w:val="24"/>
          <w:szCs w:val="24"/>
        </w:rPr>
        <w:t>civilisation</w:t>
      </w:r>
      <w:proofErr w:type="spellEnd"/>
      <w:r w:rsidRPr="003261C2">
        <w:rPr>
          <w:rFonts w:cstheme="minorHAnsi"/>
          <w:sz w:val="24"/>
          <w:szCs w:val="24"/>
        </w:rPr>
        <w:t xml:space="preserve">’, (1997) 4(4) European Law Journal 219; Journal of European Public Policy 495. </w:t>
      </w:r>
    </w:p>
    <w:p w14:paraId="6838218F" w14:textId="77777777" w:rsidR="006247A0" w:rsidRPr="003261C2" w:rsidRDefault="006247A0" w:rsidP="006247A0">
      <w:pPr>
        <w:pStyle w:val="ListParagraph"/>
        <w:numPr>
          <w:ilvl w:val="0"/>
          <w:numId w:val="1"/>
        </w:numPr>
        <w:spacing w:line="480" w:lineRule="auto"/>
        <w:rPr>
          <w:rFonts w:cstheme="minorHAnsi"/>
          <w:sz w:val="24"/>
          <w:szCs w:val="24"/>
        </w:rPr>
      </w:pPr>
      <w:proofErr w:type="spellStart"/>
      <w:r w:rsidRPr="003261C2">
        <w:rPr>
          <w:rFonts w:cstheme="minorHAnsi"/>
          <w:sz w:val="24"/>
          <w:szCs w:val="24"/>
        </w:rPr>
        <w:t>Weiler</w:t>
      </w:r>
      <w:proofErr w:type="spellEnd"/>
      <w:r w:rsidRPr="003261C2">
        <w:rPr>
          <w:rFonts w:cstheme="minorHAnsi"/>
          <w:sz w:val="24"/>
          <w:szCs w:val="24"/>
        </w:rPr>
        <w:t xml:space="preserve">, (1998) ‘European Citizenship – Identity and </w:t>
      </w:r>
      <w:proofErr w:type="spellStart"/>
      <w:r w:rsidRPr="003261C2">
        <w:rPr>
          <w:rFonts w:cstheme="minorHAnsi"/>
          <w:sz w:val="24"/>
          <w:szCs w:val="24"/>
        </w:rPr>
        <w:t>Differentity</w:t>
      </w:r>
      <w:proofErr w:type="spellEnd"/>
      <w:r w:rsidRPr="003261C2">
        <w:rPr>
          <w:rFonts w:cstheme="minorHAnsi"/>
          <w:sz w:val="24"/>
          <w:szCs w:val="24"/>
        </w:rPr>
        <w:t>’.</w:t>
      </w:r>
    </w:p>
    <w:p w14:paraId="4C6C4AC8" w14:textId="77777777" w:rsidR="006247A0" w:rsidRPr="003261C2" w:rsidRDefault="006247A0" w:rsidP="006247A0">
      <w:pPr>
        <w:pStyle w:val="NormalWeb"/>
        <w:shd w:val="clear" w:color="auto" w:fill="FFFFFF"/>
        <w:spacing w:before="0" w:beforeAutospacing="0" w:after="75" w:afterAutospacing="0" w:line="480" w:lineRule="auto"/>
        <w:ind w:left="360"/>
        <w:rPr>
          <w:rFonts w:asciiTheme="minorHAnsi" w:hAnsiTheme="minorHAnsi" w:cstheme="minorHAnsi"/>
          <w:color w:val="444444"/>
        </w:rPr>
      </w:pPr>
    </w:p>
    <w:p w14:paraId="717DC0B5" w14:textId="77777777" w:rsidR="006247A0" w:rsidRPr="003261C2" w:rsidRDefault="006247A0" w:rsidP="006247A0">
      <w:pPr>
        <w:spacing w:line="480" w:lineRule="auto"/>
        <w:rPr>
          <w:rFonts w:cstheme="minorHAnsi"/>
          <w:sz w:val="24"/>
          <w:szCs w:val="24"/>
        </w:rPr>
      </w:pPr>
    </w:p>
    <w:p w14:paraId="0056C8BC" w14:textId="77777777" w:rsidR="006247A0" w:rsidRPr="003261C2" w:rsidRDefault="006247A0" w:rsidP="006247A0">
      <w:pPr>
        <w:rPr>
          <w:rFonts w:cstheme="minorHAnsi"/>
          <w:sz w:val="24"/>
          <w:szCs w:val="24"/>
        </w:rPr>
      </w:pPr>
    </w:p>
    <w:p w14:paraId="123E7E1D" w14:textId="77777777" w:rsidR="00810F5A" w:rsidRDefault="00810F5A"/>
    <w:sectPr w:rsidR="00810F5A" w:rsidSect="007A5E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4E02E8"/>
    <w:multiLevelType w:val="hybridMultilevel"/>
    <w:tmpl w:val="72162130"/>
    <w:lvl w:ilvl="0" w:tplc="2000000F">
      <w:start w:val="1"/>
      <w:numFmt w:val="decimal"/>
      <w:lvlText w:val="%1."/>
      <w:lvlJc w:val="left"/>
      <w:pPr>
        <w:ind w:left="644"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7A0"/>
    <w:rsid w:val="006247A0"/>
    <w:rsid w:val="007A5E7E"/>
    <w:rsid w:val="00810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8DD53A"/>
  <w15:chartTrackingRefBased/>
  <w15:docId w15:val="{544F3ED7-F2E9-6A4A-9002-2145B235D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47A0"/>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7A0"/>
    <w:pPr>
      <w:ind w:left="720"/>
      <w:contextualSpacing/>
    </w:pPr>
  </w:style>
  <w:style w:type="paragraph" w:styleId="Bibliography">
    <w:name w:val="Bibliography"/>
    <w:basedOn w:val="Normal"/>
    <w:next w:val="Normal"/>
    <w:uiPriority w:val="37"/>
    <w:unhideWhenUsed/>
    <w:rsid w:val="006247A0"/>
  </w:style>
  <w:style w:type="paragraph" w:styleId="NormalWeb">
    <w:name w:val="Normal (Web)"/>
    <w:basedOn w:val="Normal"/>
    <w:uiPriority w:val="99"/>
    <w:unhideWhenUsed/>
    <w:rsid w:val="006247A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247A0"/>
    <w:rPr>
      <w:i/>
      <w:iCs/>
    </w:rPr>
  </w:style>
  <w:style w:type="character" w:styleId="Hyperlink">
    <w:name w:val="Hyperlink"/>
    <w:basedOn w:val="DefaultParagraphFont"/>
    <w:uiPriority w:val="99"/>
    <w:unhideWhenUsed/>
    <w:rsid w:val="006247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ur-lex.europa.eu/LexUriServ/LexUriServ.do?uri=CELEX:12008E056:en: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2901</Words>
  <Characters>16538</Characters>
  <Application>Microsoft Office Word</Application>
  <DocSecurity>0</DocSecurity>
  <Lines>137</Lines>
  <Paragraphs>38</Paragraphs>
  <ScaleCrop>false</ScaleCrop>
  <Company/>
  <LinksUpToDate>false</LinksUpToDate>
  <CharactersWithSpaces>19401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 miah</dc:creator>
  <cp:keywords/>
  <dc:description/>
  <cp:lastModifiedBy>zee miah</cp:lastModifiedBy>
  <cp:revision>1</cp:revision>
  <dcterms:created xsi:type="dcterms:W3CDTF">2021-05-06T15:44:00Z</dcterms:created>
  <dcterms:modified xsi:type="dcterms:W3CDTF">2021-05-06T15:45:00Z</dcterms:modified>
</cp:coreProperties>
</file>