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8D6D8" w14:textId="77777777" w:rsidR="009B58CD" w:rsidRDefault="009B58CD" w:rsidP="009B58CD">
      <w:pPr>
        <w:pStyle w:val="Title"/>
      </w:pPr>
      <w:r>
        <w:t>Course: BSc (Hons) Health and Social Care</w:t>
      </w:r>
    </w:p>
    <w:p w14:paraId="61770F68" w14:textId="77777777" w:rsidR="009B58CD" w:rsidRDefault="009B58CD" w:rsidP="009B58CD">
      <w:pPr>
        <w:pStyle w:val="Title"/>
      </w:pPr>
    </w:p>
    <w:p w14:paraId="2F96FB33" w14:textId="77777777" w:rsidR="009B58CD" w:rsidRDefault="009B58CD" w:rsidP="009B58CD">
      <w:pPr>
        <w:pStyle w:val="Title"/>
      </w:pPr>
      <w:r>
        <w:t>Module: Independent Project (BMHP6020_BIRM)</w:t>
      </w:r>
    </w:p>
    <w:p w14:paraId="4E2F9504" w14:textId="77777777" w:rsidR="009B58CD" w:rsidRDefault="009B58CD" w:rsidP="009B58CD">
      <w:pPr>
        <w:pStyle w:val="Title"/>
      </w:pPr>
    </w:p>
    <w:p w14:paraId="12748ADB" w14:textId="77777777" w:rsidR="009B58CD" w:rsidRDefault="009B58CD" w:rsidP="009B58CD">
      <w:pPr>
        <w:pStyle w:val="Title"/>
        <w:rPr>
          <w:lang w:val="nl-NL"/>
        </w:rPr>
      </w:pPr>
      <w:r>
        <w:rPr>
          <w:lang w:val="nl-NL"/>
        </w:rPr>
        <w:t>Student ID: 2241728</w:t>
      </w:r>
    </w:p>
    <w:p w14:paraId="1BFFA337" w14:textId="77777777" w:rsidR="009B58CD" w:rsidRDefault="009B58CD" w:rsidP="009B58CD">
      <w:pPr>
        <w:pStyle w:val="Title"/>
        <w:rPr>
          <w:lang w:val="nl-NL"/>
        </w:rPr>
      </w:pPr>
    </w:p>
    <w:p w14:paraId="39253C8A" w14:textId="77777777" w:rsidR="009B58CD" w:rsidRDefault="009B58CD" w:rsidP="009B58CD">
      <w:pPr>
        <w:pStyle w:val="Title"/>
        <w:rPr>
          <w:lang w:val="nl-NL"/>
        </w:rPr>
      </w:pPr>
      <w:r>
        <w:rPr>
          <w:lang w:val="nl-NL"/>
        </w:rPr>
        <w:t>Student Name: VASILE NEDELCU</w:t>
      </w:r>
    </w:p>
    <w:p w14:paraId="468141F8" w14:textId="77777777" w:rsidR="009B58CD" w:rsidRPr="006E5B88" w:rsidRDefault="009B58CD" w:rsidP="00AC1559">
      <w:pPr>
        <w:pStyle w:val="Heading1"/>
        <w:rPr>
          <w:rFonts w:eastAsia="Times New Roman"/>
          <w:b/>
          <w:bCs/>
          <w:color w:val="000000" w:themeColor="text1"/>
          <w:lang w:val="nl-NL" w:eastAsia="en-GB"/>
        </w:rPr>
      </w:pPr>
    </w:p>
    <w:p w14:paraId="5A8F0EB7" w14:textId="77777777" w:rsidR="009B58CD" w:rsidRPr="006E5B88" w:rsidRDefault="009B58CD" w:rsidP="009B58CD">
      <w:pPr>
        <w:rPr>
          <w:lang w:val="nl-NL" w:eastAsia="en-GB"/>
        </w:rPr>
      </w:pPr>
    </w:p>
    <w:p w14:paraId="1CD206F2" w14:textId="77777777" w:rsidR="009B58CD" w:rsidRPr="006E5B88" w:rsidRDefault="009B58CD" w:rsidP="009B58CD">
      <w:pPr>
        <w:rPr>
          <w:lang w:val="nl-NL" w:eastAsia="en-GB"/>
        </w:rPr>
      </w:pPr>
    </w:p>
    <w:p w14:paraId="6D1A5A03" w14:textId="77777777" w:rsidR="009B58CD" w:rsidRPr="006E5B88" w:rsidRDefault="009B58CD" w:rsidP="009B58CD">
      <w:pPr>
        <w:rPr>
          <w:lang w:val="nl-NL" w:eastAsia="en-GB"/>
        </w:rPr>
      </w:pPr>
    </w:p>
    <w:p w14:paraId="2DF6B09F" w14:textId="77777777" w:rsidR="009B58CD" w:rsidRPr="006E5B88" w:rsidRDefault="009B58CD" w:rsidP="009B58CD">
      <w:pPr>
        <w:rPr>
          <w:lang w:val="nl-NL" w:eastAsia="en-GB"/>
        </w:rPr>
      </w:pPr>
    </w:p>
    <w:p w14:paraId="6D3E2BB7" w14:textId="77777777" w:rsidR="009B58CD" w:rsidRPr="006E5B88" w:rsidRDefault="009B58CD" w:rsidP="009B58CD">
      <w:pPr>
        <w:rPr>
          <w:lang w:val="nl-NL" w:eastAsia="en-GB"/>
        </w:rPr>
      </w:pPr>
    </w:p>
    <w:p w14:paraId="349901EF" w14:textId="77777777" w:rsidR="009B58CD" w:rsidRPr="006E5B88" w:rsidRDefault="009B58CD" w:rsidP="009B58CD">
      <w:pPr>
        <w:rPr>
          <w:lang w:val="nl-NL" w:eastAsia="en-GB"/>
        </w:rPr>
      </w:pPr>
    </w:p>
    <w:p w14:paraId="3242E0B8" w14:textId="77777777" w:rsidR="009B58CD" w:rsidRPr="006E5B88" w:rsidRDefault="009B58CD" w:rsidP="009B58CD">
      <w:pPr>
        <w:rPr>
          <w:lang w:val="nl-NL" w:eastAsia="en-GB"/>
        </w:rPr>
      </w:pPr>
    </w:p>
    <w:p w14:paraId="6F6C9F7C" w14:textId="77777777" w:rsidR="009B58CD" w:rsidRPr="006E5B88" w:rsidRDefault="009B58CD" w:rsidP="009B58CD">
      <w:pPr>
        <w:rPr>
          <w:lang w:val="nl-NL" w:eastAsia="en-GB"/>
        </w:rPr>
      </w:pPr>
    </w:p>
    <w:p w14:paraId="71B8BF42" w14:textId="77777777" w:rsidR="009B58CD" w:rsidRPr="006E5B88" w:rsidRDefault="009B58CD" w:rsidP="009B58CD">
      <w:pPr>
        <w:rPr>
          <w:lang w:val="nl-NL" w:eastAsia="en-GB"/>
        </w:rPr>
      </w:pPr>
    </w:p>
    <w:p w14:paraId="04510F4C" w14:textId="77777777" w:rsidR="009B58CD" w:rsidRPr="006E5B88" w:rsidRDefault="009B58CD" w:rsidP="009B58CD">
      <w:pPr>
        <w:rPr>
          <w:lang w:val="nl-NL" w:eastAsia="en-GB"/>
        </w:rPr>
      </w:pPr>
    </w:p>
    <w:p w14:paraId="73A75783" w14:textId="77777777" w:rsidR="009B58CD" w:rsidRPr="006E5B88" w:rsidRDefault="009B58CD" w:rsidP="009B58CD">
      <w:pPr>
        <w:rPr>
          <w:lang w:val="nl-NL" w:eastAsia="en-GB"/>
        </w:rPr>
      </w:pPr>
    </w:p>
    <w:p w14:paraId="11CEDACF" w14:textId="77777777" w:rsidR="009B58CD" w:rsidRPr="006E5B88" w:rsidRDefault="009B58CD" w:rsidP="009B58CD">
      <w:pPr>
        <w:rPr>
          <w:lang w:val="nl-NL" w:eastAsia="en-GB"/>
        </w:rPr>
      </w:pPr>
    </w:p>
    <w:p w14:paraId="494E614E" w14:textId="77777777" w:rsidR="00246AED" w:rsidRDefault="00246AED" w:rsidP="00AC1559">
      <w:pPr>
        <w:pStyle w:val="Heading1"/>
        <w:rPr>
          <w:rFonts w:eastAsia="Times New Roman"/>
          <w:b/>
          <w:bCs/>
          <w:color w:val="000000" w:themeColor="text1"/>
          <w:lang w:val="nl-NL" w:eastAsia="en-GB"/>
        </w:rPr>
      </w:pPr>
    </w:p>
    <w:p w14:paraId="053E40AA" w14:textId="60376C9B" w:rsidR="00AC1559" w:rsidRDefault="00AC1559" w:rsidP="00AC1559">
      <w:pPr>
        <w:pStyle w:val="Heading1"/>
        <w:rPr>
          <w:rFonts w:eastAsia="Times New Roman"/>
          <w:b/>
          <w:bCs/>
          <w:color w:val="000000" w:themeColor="text1"/>
          <w:lang w:eastAsia="en-GB"/>
        </w:rPr>
      </w:pPr>
      <w:r w:rsidRPr="00AC1559">
        <w:rPr>
          <w:rFonts w:eastAsia="Times New Roman"/>
          <w:b/>
          <w:bCs/>
          <w:color w:val="000000" w:themeColor="text1"/>
          <w:lang w:eastAsia="en-GB"/>
        </w:rPr>
        <w:t xml:space="preserve">Chapter 4 </w:t>
      </w:r>
    </w:p>
    <w:p w14:paraId="5A6C068D" w14:textId="77777777" w:rsidR="00AC1559" w:rsidRPr="00AC1559" w:rsidRDefault="00AC1559" w:rsidP="00AC1559">
      <w:pPr>
        <w:rPr>
          <w:lang w:eastAsia="en-GB"/>
        </w:rPr>
      </w:pPr>
    </w:p>
    <w:p w14:paraId="4043745A" w14:textId="37B52815"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4.1 </w:t>
      </w:r>
      <w:r w:rsidRPr="00AC1559">
        <w:rPr>
          <w:rFonts w:ascii="Arial" w:eastAsia="Times New Roman" w:hAnsi="Arial" w:cs="Arial"/>
          <w:b/>
          <w:bCs/>
          <w:kern w:val="0"/>
          <w:lang w:eastAsia="en-GB"/>
          <w14:ligatures w14:val="none"/>
        </w:rPr>
        <w:t>Introduction</w:t>
      </w:r>
    </w:p>
    <w:p w14:paraId="76D37C2E"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chapter presents the findings of the secondary research examining the challenges faced by family carers of people living with dementia in the United Kingdom (UK). Drawing on academic studies, policy documents and reports from national organisations, the analysis explores recurring patterns identified through thematic coding, as recorded in the results summary table (Appendix B).</w:t>
      </w:r>
    </w:p>
    <w:p w14:paraId="2A4FE899"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Using a thematic analysis approach, sources were systematically reviewed and coded to identify shared issues across the literature. Initial codes included emotional burden, physical strain, service access, financial pressure, policy implementation, and carer recognition. These codes were then grouped into broader analytical themes that reflect the central experiences reported by carers and the structural factors shaping dementia support in the UK.</w:t>
      </w:r>
    </w:p>
    <w:p w14:paraId="569B0109"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The themes discussed in this chapter are:</w:t>
      </w:r>
    </w:p>
    <w:p w14:paraId="13838CBD" w14:textId="557E6A17" w:rsidR="00AC1559" w:rsidRPr="00AC1559" w:rsidRDefault="00AC1559" w:rsidP="00AC1559">
      <w:p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 </w:t>
      </w:r>
      <w:r w:rsidRPr="00AC1559">
        <w:rPr>
          <w:rFonts w:ascii="Arial" w:hAnsi="Arial" w:cs="Arial"/>
        </w:rPr>
        <w:t>Emotional and psychological burden of caring</w:t>
      </w:r>
      <w:r w:rsidRPr="00AC1559">
        <w:rPr>
          <w:rFonts w:ascii="Arial" w:hAnsi="Arial" w:cs="Arial"/>
        </w:rPr>
        <w:br/>
        <w:t>• Physical health impacts and burnout</w:t>
      </w:r>
      <w:r w:rsidRPr="00AC1559">
        <w:rPr>
          <w:rFonts w:ascii="Arial" w:hAnsi="Arial" w:cs="Arial"/>
        </w:rPr>
        <w:br/>
        <w:t>• Access to services and respite provision</w:t>
      </w:r>
      <w:r w:rsidRPr="00AC1559">
        <w:rPr>
          <w:rFonts w:ascii="Arial" w:hAnsi="Arial" w:cs="Arial"/>
        </w:rPr>
        <w:br/>
      </w:r>
    </w:p>
    <w:p w14:paraId="38BAF9AA"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Each theme is explored using evidence from peer-reviewed research, national statistics and policy analysis. Where appropriate, similarities and contradictions between sources are highlighted, alongside links to the theoretical frameworks discussed in Chapter 2, including Stress and Coping Theory, Role Theory and Person-Centred Care.</w:t>
      </w:r>
    </w:p>
    <w:p w14:paraId="7808C1C6" w14:textId="59CF56C4"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By analysing these themes in depth, this chapter aims to demonstrate how caring responsibilities affect carers’ wellbeing and everyday lives, while also identifying weaknesses in current health and social care responses. These findings form the foundation for the discussion and recommendations presented in Chapter 5</w:t>
      </w:r>
      <w:r w:rsidR="00246AED">
        <w:rPr>
          <w:rFonts w:ascii="Arial" w:eastAsia="Times New Roman" w:hAnsi="Arial" w:cs="Arial"/>
          <w:kern w:val="0"/>
          <w:lang w:eastAsia="en-GB"/>
          <w14:ligatures w14:val="none"/>
        </w:rPr>
        <w:t>.</w:t>
      </w:r>
    </w:p>
    <w:p w14:paraId="02FED307"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p>
    <w:p w14:paraId="04F25E08"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4.2 Thematic Analysis</w:t>
      </w:r>
    </w:p>
    <w:p w14:paraId="610E0C02"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chapter adopts a thematic analysis approach to synthesise findings from UK-based academic studies, government reports and third-sector publications examining family carers’ experiences of dementia. Following Braun and Clarke’s (2006) six-stage framework, sources were first read repeatedly to ensure familiarity with recurring arguments and reported outcomes. Initial codes were generated to capture repeated ideas, including emotional strain, behavioural challenges, physical exhaustion, service fragmentation, limited respite provision and difficulties navigating support systems.</w:t>
      </w:r>
    </w:p>
    <w:p w14:paraId="72EF94E9"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These codes were subsequently reviewed and clustered into broader conceptual categories </w:t>
      </w:r>
      <w:proofErr w:type="gramStart"/>
      <w:r w:rsidRPr="00AC1559">
        <w:rPr>
          <w:rFonts w:ascii="Arial" w:eastAsia="Times New Roman" w:hAnsi="Arial" w:cs="Arial"/>
          <w:kern w:val="0"/>
          <w:lang w:eastAsia="en-GB"/>
          <w14:ligatures w14:val="none"/>
        </w:rPr>
        <w:t>in order to</w:t>
      </w:r>
      <w:proofErr w:type="gramEnd"/>
      <w:r w:rsidRPr="00AC1559">
        <w:rPr>
          <w:rFonts w:ascii="Arial" w:eastAsia="Times New Roman" w:hAnsi="Arial" w:cs="Arial"/>
          <w:kern w:val="0"/>
          <w:lang w:eastAsia="en-GB"/>
          <w14:ligatures w14:val="none"/>
        </w:rPr>
        <w:t xml:space="preserve"> identify patterns across the dataset. Through this iterative process, three dominant themes were developed: </w:t>
      </w:r>
      <w:r w:rsidRPr="00AC1559">
        <w:rPr>
          <w:rFonts w:ascii="Arial" w:eastAsia="Times New Roman" w:hAnsi="Arial" w:cs="Arial"/>
          <w:b/>
          <w:bCs/>
          <w:kern w:val="0"/>
          <w:lang w:eastAsia="en-GB"/>
          <w14:ligatures w14:val="none"/>
        </w:rPr>
        <w:t>emotional and psychological burden</w:t>
      </w:r>
      <w:r w:rsidRPr="00AC1559">
        <w:rPr>
          <w:rFonts w:ascii="Arial" w:eastAsia="Times New Roman" w:hAnsi="Arial" w:cs="Arial"/>
          <w:kern w:val="0"/>
          <w:lang w:eastAsia="en-GB"/>
          <w14:ligatures w14:val="none"/>
        </w:rPr>
        <w:t xml:space="preserve">, </w:t>
      </w:r>
      <w:r w:rsidRPr="00AC1559">
        <w:rPr>
          <w:rFonts w:ascii="Arial" w:eastAsia="Times New Roman" w:hAnsi="Arial" w:cs="Arial"/>
          <w:b/>
          <w:bCs/>
          <w:kern w:val="0"/>
          <w:lang w:eastAsia="en-GB"/>
          <w14:ligatures w14:val="none"/>
        </w:rPr>
        <w:t>physical health impacts of caring</w:t>
      </w:r>
      <w:r w:rsidRPr="00AC1559">
        <w:rPr>
          <w:rFonts w:ascii="Arial" w:eastAsia="Times New Roman" w:hAnsi="Arial" w:cs="Arial"/>
          <w:kern w:val="0"/>
          <w:lang w:eastAsia="en-GB"/>
          <w14:ligatures w14:val="none"/>
        </w:rPr>
        <w:t xml:space="preserve">, and </w:t>
      </w:r>
      <w:r w:rsidRPr="00AC1559">
        <w:rPr>
          <w:rFonts w:ascii="Arial" w:eastAsia="Times New Roman" w:hAnsi="Arial" w:cs="Arial"/>
          <w:b/>
          <w:bCs/>
          <w:kern w:val="0"/>
          <w:lang w:eastAsia="en-GB"/>
          <w14:ligatures w14:val="none"/>
        </w:rPr>
        <w:t>access to services and support</w:t>
      </w:r>
      <w:r w:rsidRPr="00AC1559">
        <w:rPr>
          <w:rFonts w:ascii="Arial" w:eastAsia="Times New Roman" w:hAnsi="Arial" w:cs="Arial"/>
          <w:kern w:val="0"/>
          <w:lang w:eastAsia="en-GB"/>
          <w14:ligatures w14:val="none"/>
        </w:rPr>
        <w:t>. Each theme reflects concerns consistently reported across multiple sources and links directly to the study’s research aim. Together, they provide a structured framework for critically analysing how dementia caregiving affects carers and how effectively current UK systems respond.</w:t>
      </w:r>
    </w:p>
    <w:p w14:paraId="6C30AAA6"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p>
    <w:p w14:paraId="220F93D3"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p>
    <w:p w14:paraId="4AA6C052"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p>
    <w:p w14:paraId="7A2CEC3E" w14:textId="77777777" w:rsidR="00AC1559" w:rsidRPr="00AC1559" w:rsidRDefault="00AC1559" w:rsidP="00AC1559">
      <w:pPr>
        <w:spacing w:after="0" w:line="480" w:lineRule="auto"/>
        <w:jc w:val="both"/>
        <w:outlineLvl w:val="0"/>
        <w:rPr>
          <w:rFonts w:ascii="Arial" w:eastAsia="Times New Roman" w:hAnsi="Arial" w:cs="Arial"/>
          <w:kern w:val="0"/>
          <w:lang w:eastAsia="en-GB"/>
          <w14:ligatures w14:val="none"/>
        </w:rPr>
      </w:pPr>
      <w:r w:rsidRPr="00AC1559">
        <w:rPr>
          <w:rFonts w:ascii="Arial" w:eastAsia="Times New Roman" w:hAnsi="Arial" w:cs="Arial"/>
          <w:b/>
          <w:bCs/>
          <w:kern w:val="36"/>
          <w:lang w:eastAsia="en-GB"/>
          <w14:ligatures w14:val="none"/>
        </w:rPr>
        <w:t>4.2 Theme 1</w:t>
      </w:r>
    </w:p>
    <w:p w14:paraId="286FFA4A"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Emotional and Psychological Burden of Caring</w:t>
      </w:r>
    </w:p>
    <w:p w14:paraId="6AE1B4C8"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One of the most consistently reported challenges across the literature is the emotional and psychological burden experienced by family carers supporting a person living with dementia. Studies repeatedly describe high levels of stress, anxiety, grief and emotional exhaustion, reflecting the progressive and unpredictable nature of the condition (Carers UK, 2023; Alzheimer’s Society, 2023). Unlike acute illnesses, dementia involves gradual cognitive and functional decline, meaning that carers must continuously adapt to new losses, changing </w:t>
      </w:r>
      <w:r w:rsidRPr="00AC1559">
        <w:rPr>
          <w:rFonts w:ascii="Arial" w:eastAsia="Times New Roman" w:hAnsi="Arial" w:cs="Arial"/>
          <w:kern w:val="0"/>
          <w:lang w:eastAsia="en-GB"/>
          <w14:ligatures w14:val="none"/>
        </w:rPr>
        <w:lastRenderedPageBreak/>
        <w:t>behaviours and increasing care demands. This prolonged exposure to stress places carers at significant risk of poor mental health outcomes.</w:t>
      </w:r>
    </w:p>
    <w:p w14:paraId="6FE15CEE"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Evidence from national surveys demonstrates the scale of this burden. Carers UK (2023) found that over three-quarters of dementia carers reported feeling stressed or overwhelmed, while many described experiencing loneliness and emotional isolation. Similarly, Alzheimer’s Society (2023) reports that carers frequently feel unprepared for the emotional realities of caring, particularly during later stages of the illness when communication becomes difficult and behavioural symptoms intensify. These findings align with Lazarus and Folkman’s Stress and Coping Theory, which conceptualises caregiving as a chronic stressor requiring constant appraisal and adaptation. Within this framework, carers may employ problem-focused coping strategies, such as seeking professional advice, or emotion-focused strategies, including withdrawal or emotional suppression. However, the literature suggests that without adequate external support, such strategies can become insufficient, leading to burnout.</w:t>
      </w:r>
    </w:p>
    <w:p w14:paraId="33B71577"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Feelings of grief and loss are also prominent in carers’ narratives. Greenwood and Smith (2019) highlight that many carers experience what is often described as “anticipatory grief”, as they witness the gradual deterioration of a loved one’s personality and independence. This form of grief is complicated by the fact that the person is still physically present, which can create emotional conflict and guilt. Some carers report mourning the relationship they once had while continuing to fulfil demanding caring roles, a tension that contributes to emotional distress and identity disruption. These experiences resonate with Role Theory, discussed in Chapter 2, which emphasises the strain that arises when individuals must adopt new roles that conflict with previous identities, such as shifting from spouse or child to primary caregiver.</w:t>
      </w:r>
    </w:p>
    <w:p w14:paraId="11BF4B94"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Psychological strain is further intensified by social isolation. Caring responsibilities often restrict opportunities for social engagement, leisure activities and employment, reducing carers’ access to informal support networks. King’s Fund (2023) notes that many carers struggle to leave the person they support unattended, even for short periods, due to concerns about safety or behavioural changes. This can result in withdrawal from friendships and community life, reinforcing feelings of loneliness and emotional fatigue. While digital support </w:t>
      </w:r>
      <w:r w:rsidRPr="00AC1559">
        <w:rPr>
          <w:rFonts w:ascii="Arial" w:eastAsia="Times New Roman" w:hAnsi="Arial" w:cs="Arial"/>
          <w:kern w:val="0"/>
          <w:lang w:eastAsia="en-GB"/>
          <w14:ligatures w14:val="none"/>
        </w:rPr>
        <w:lastRenderedPageBreak/>
        <w:t>groups and helplines offered by charities such as the Alzheimer’s Society provide some relief, the literature suggests that these services cannot fully substitute face-to-face respite or sustained professional support.</w:t>
      </w:r>
    </w:p>
    <w:p w14:paraId="72C31BF8"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Several studies also draw attention to the emotional impact of navigating health and social care systems. Delays in diagnosis, fragmented services and complex eligibility criteria for support can create frustration and helplessness for carers (NHS England, 2023; King’s Fund, 2023). Carers often report feeling excluded from clinical decision-making, despite their intimate knowledge of the person’s daily needs. This lack of recognition contributes to emotional strain and can undermine carers’ sense of competence and value. Such findings contrast with the principles of Person-Centred Care, which advocate partnership working and respect for carers as key contributors to dementia support (</w:t>
      </w:r>
      <w:proofErr w:type="spellStart"/>
      <w:r w:rsidRPr="00AC1559">
        <w:rPr>
          <w:rFonts w:ascii="Arial" w:eastAsia="Times New Roman" w:hAnsi="Arial" w:cs="Arial"/>
          <w:kern w:val="0"/>
          <w:lang w:eastAsia="en-GB"/>
          <w14:ligatures w14:val="none"/>
        </w:rPr>
        <w:t>Kitwood</w:t>
      </w:r>
      <w:proofErr w:type="spellEnd"/>
      <w:r w:rsidRPr="00AC1559">
        <w:rPr>
          <w:rFonts w:ascii="Arial" w:eastAsia="Times New Roman" w:hAnsi="Arial" w:cs="Arial"/>
          <w:kern w:val="0"/>
          <w:lang w:eastAsia="en-GB"/>
          <w14:ligatures w14:val="none"/>
        </w:rPr>
        <w:t>, 1997). The gap between this ideal and everyday practice highlights a persistent structural weakness within current service provision.</w:t>
      </w:r>
    </w:p>
    <w:p w14:paraId="4214E39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Not all literature portrays carers solely as passive recipients of stress. Some studies acknowledge resilience, commitment and emotional reward within caring relationships. Greenwood and Smith (2019) note that carers often derive meaning from their role, particularly when they perceive caring as an expression of love or duty. However, the same authors emphasise that resilience is heavily shaped by access to support, financial stability and social networks. This suggests that emotional wellbeing is not simply an individual characteristic but is strongly influenced by wider social and policy environments, reinforcing the ecological perspective outlined in Chapter 2.</w:t>
      </w:r>
    </w:p>
    <w:p w14:paraId="366B0FDD"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Taken together, the literature demonstrates that emotional and psychological burden is a defining feature of dementia caregiving in the UK. High stress levels, grief, isolation and frustration with services recur across studies, while theoretical frameworks help explain how these pressures accumulate over time. Importantly, the evidence points to a clear interaction between personal coping capacities and structural conditions, such as service availability and policy implementation. This theme therefore establishes a critical foundation for understanding the wider challenges explored in the following sections, including physical health impacts, </w:t>
      </w:r>
      <w:r w:rsidRPr="00AC1559">
        <w:rPr>
          <w:rFonts w:ascii="Arial" w:eastAsia="Times New Roman" w:hAnsi="Arial" w:cs="Arial"/>
          <w:kern w:val="0"/>
          <w:lang w:eastAsia="en-GB"/>
          <w14:ligatures w14:val="none"/>
        </w:rPr>
        <w:lastRenderedPageBreak/>
        <w:t>access to services and financial pressures, which often interact with and exacerbate emotional strain.</w:t>
      </w:r>
    </w:p>
    <w:p w14:paraId="444C5120"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Further analysis across the literature highlights that emotional burden is not static but intensifies as dementia progresses. Early stages may involve anxiety about diagnosis and future uncertainty, while later stages are often characterised by behavioural changes such as aggression, wandering or hallucinations, which carers frequently find distressing and frightening (Alzheimer’s Society, 2023). These behavioural symptoms are consistently associated with higher levels of carer depression and emotional fatigue, particularly when professional guidance is limited or inconsistent. This temporal dimension is significant because it suggests that emotional strain accumulates over time rather than remaining constant, reinforcing Lazarus and Folkman’s assertion that prolonged exposure to stress without adequate resources can lead to psychological collapse rather than adaptation.</w:t>
      </w:r>
    </w:p>
    <w:p w14:paraId="3ED1092C"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 xml:space="preserve">Research also identifies gendered patterns in emotional burden. Women continue to undertake </w:t>
      </w:r>
      <w:proofErr w:type="gramStart"/>
      <w:r w:rsidRPr="00AC1559">
        <w:rPr>
          <w:rFonts w:ascii="Arial" w:hAnsi="Arial" w:cs="Arial"/>
          <w:sz w:val="22"/>
          <w:szCs w:val="22"/>
        </w:rPr>
        <w:t>the majority of</w:t>
      </w:r>
      <w:proofErr w:type="gramEnd"/>
      <w:r w:rsidRPr="00AC1559">
        <w:rPr>
          <w:rFonts w:ascii="Arial" w:hAnsi="Arial" w:cs="Arial"/>
          <w:sz w:val="22"/>
          <w:szCs w:val="22"/>
        </w:rPr>
        <w:t xml:space="preserve"> unpaid caring roles in the UK and frequently report higher levels of emotional exhaustion than male carers (Carers UK, 2023). Some studies argue that this reflects broader societal expectations around nurturing and responsibility, which may discourage women from seeking help or prioritising their own wellbeing. Conversely, male carers may experience emotional strain linked to unfamiliar domestic or personal-care tasks, particularly when caring for a spouse, which can challenge traditional identities and contribute to feelings of inadequacy or shame. These findings illustrate how caregiving intersects with social norms and identity, adding complexity to Role Theory by showing that role strain is mediated by gender and cultural expectations.</w:t>
      </w:r>
    </w:p>
    <w:p w14:paraId="7459C0F0"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 xml:space="preserve">The literature further demonstrates that emotional distress is strongly associated with uncertainty about the future. Carers frequently report fear regarding disease progression, residential care decisions and the possibility of losing the person they support to institutionalisation (King’s Fund, 2023). Anticipating such transitions can create chronic anxiety, especially when information about available services or financial support is unclear. Several studies note that carers feel pressured to delay seeking residential care due to guilt </w:t>
      </w:r>
      <w:r w:rsidRPr="00AC1559">
        <w:rPr>
          <w:rFonts w:ascii="Arial" w:hAnsi="Arial" w:cs="Arial"/>
          <w:sz w:val="22"/>
          <w:szCs w:val="22"/>
        </w:rPr>
        <w:lastRenderedPageBreak/>
        <w:t>or perceived moral obligation, even when their own health is deteriorating (Greenwood and Smith, 2019). This moral tension reinforces emotional strain and highlights the ethical complexity of dementia caregiving, where carers must balance loyalty, personal wellbeing and practical limitations.</w:t>
      </w:r>
    </w:p>
    <w:p w14:paraId="324B9CDE"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Emotional burden is also shaped by carers’ interactions with professionals and services. While policies such as the Care Act 2014 formally recognise carers’ rights, the literature suggests that implementation is uneven, with some carers reporting positive relationships with memory clinics and social workers, while others describe fragmented communication and repeated reassessments (NHS England, 2023; King’s Fund, 2023). Feeling ignored or marginalised within clinical encounters can undermine carers’ confidence and contribute to emotional distress. From a Person-Centred Care perspective, such experiences represent a failure to treat carers as partners in care, despite their central role in managing daily needs. This disjunction between policy rhetoric and practice emerges repeatedly in the literature and constitutes a key analytical tension that will be revisited in Chapter 5.</w:t>
      </w:r>
    </w:p>
    <w:p w14:paraId="19CDB6DC"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Some authors argue that community-based interventions can mitigate emotional burden when implemented effectively. Support groups, psychoeducational programmes and counselling services have been shown to reduce feelings of isolation and improve carers’ coping strategies (Alzheimer’s Society, 2023). However, access to these interventions varies geographically, creating what has been described as a “postcode lottery” in emotional support provision (King’s Fund, 2023). Rural carers or those from minority ethnic communities may face additional barriers, including language difficulties, cultural stigma surrounding dementia and limited transport links. This uneven distribution of support further reinforces ecological models of caregiving, which emphasise that wellbeing is shaped not only by individual resilience but by social infrastructure and policy environments.</w:t>
      </w:r>
    </w:p>
    <w:p w14:paraId="03ECD0F8"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 xml:space="preserve">Critically, the literature also highlights that emotional burden is often compounded by carers’ reluctance to seek help. Feelings of guilt, fear of judgement and loyalty to the person with dementia can discourage carers from disclosing distress or requesting respite services (Greenwood and Smith, 2019). Some carers worry that admitting emotional difficulty will be </w:t>
      </w:r>
      <w:r w:rsidRPr="00AC1559">
        <w:rPr>
          <w:rFonts w:ascii="Arial" w:hAnsi="Arial" w:cs="Arial"/>
          <w:sz w:val="22"/>
          <w:szCs w:val="22"/>
        </w:rPr>
        <w:lastRenderedPageBreak/>
        <w:t>interpreted as failure or result in unwanted intervention by authorities. This dynamic illustrates how emotional strain is embedded within broader power relationships between carers and institutions, suggesting that improving carers’ mental health requires not only service availability but also trust-building and culturally sensitive engagement strategies.</w:t>
      </w:r>
    </w:p>
    <w:p w14:paraId="2F1972AA"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Taken together, these additional findings deepen the understanding of emotional and psychological burden by demonstrating its cumulative, socially mediated and structurally influenced nature. Emotional distress emerges not simply as a personal reaction to caring but as the outcome of intersecting pressures: progressive disease symptoms, gendered expectations, moral obligations, uneven service provision and policy–practice gaps. Theoretical frameworks introduced in Chapter 2 remain valuable for interpreting these experiences, but the evidence also indicates the need for integrated, multi-level interventions that combine psychological support with structural reform.</w:t>
      </w:r>
    </w:p>
    <w:p w14:paraId="7E50C2EA" w14:textId="77777777" w:rsidR="00AC1559" w:rsidRPr="00AC1559" w:rsidRDefault="00AC1559" w:rsidP="00AC1559">
      <w:pPr>
        <w:pStyle w:val="NormalWeb"/>
        <w:spacing w:before="0" w:beforeAutospacing="0" w:after="0" w:afterAutospacing="0" w:line="480" w:lineRule="auto"/>
        <w:jc w:val="both"/>
        <w:rPr>
          <w:rFonts w:ascii="Arial" w:hAnsi="Arial" w:cs="Arial"/>
          <w:sz w:val="22"/>
          <w:szCs w:val="22"/>
        </w:rPr>
      </w:pPr>
      <w:r w:rsidRPr="00AC1559">
        <w:rPr>
          <w:rFonts w:ascii="Arial" w:hAnsi="Arial" w:cs="Arial"/>
          <w:sz w:val="22"/>
          <w:szCs w:val="22"/>
        </w:rPr>
        <w:t>This extended analysis reinforces the centrality of emotional burden as a core theme within dementia caregiving in the UK and provides a critical platform for exploring the subsequent themes in this chapter. Physical exhaustion, restricted access to respite services and financial pressures, discussed next, frequently intensify psychological strain, illustrating how different dimensions of caregiving hardship interact and accumulate over time.</w:t>
      </w:r>
    </w:p>
    <w:p w14:paraId="7B527F12" w14:textId="77777777" w:rsidR="00AC1559" w:rsidRPr="00AC1559" w:rsidRDefault="00AC1559" w:rsidP="00AC1559">
      <w:pPr>
        <w:spacing w:after="0" w:line="480" w:lineRule="auto"/>
        <w:jc w:val="both"/>
        <w:outlineLvl w:val="0"/>
        <w:rPr>
          <w:rFonts w:ascii="Arial" w:eastAsia="Times New Roman" w:hAnsi="Arial" w:cs="Arial"/>
          <w:b/>
          <w:bCs/>
          <w:kern w:val="36"/>
          <w:lang w:eastAsia="en-GB"/>
          <w14:ligatures w14:val="none"/>
        </w:rPr>
      </w:pPr>
      <w:r w:rsidRPr="00AC1559">
        <w:rPr>
          <w:rFonts w:ascii="Arial" w:eastAsia="Times New Roman" w:hAnsi="Arial" w:cs="Arial"/>
          <w:b/>
          <w:bCs/>
          <w:kern w:val="36"/>
          <w:lang w:eastAsia="en-GB"/>
          <w14:ligatures w14:val="none"/>
        </w:rPr>
        <w:t>Theme 2 Physical Health Impacts and Burnout Among Family Carers</w:t>
      </w:r>
    </w:p>
    <w:p w14:paraId="26E1BD5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Alongside emotional strain, the literature consistently identifies significant physical health consequences for family carers supporting people living with dementia. Caring roles frequently involve physically demanding tasks such as assisting with mobility, managing continence, supervising medication, and responding to night-time disturbances. Over time, these responsibilities contribute to chronic fatigue, musculoskeletal problems, sleep disruption and deterioration in carers’ general health (Carers UK, 2023; Alzheimer’s Society, 2023). These physical effects are not isolated from psychological distress but instead interact with emotional burden, reinforcing a cycle of exhaustion and reduced resilience.</w:t>
      </w:r>
    </w:p>
    <w:p w14:paraId="3D2895EE"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National survey data highlight the scale of physical strain. Carers UK (2023) reports that a substantial proportion of dementia carers experience long-term health conditions that they </w:t>
      </w:r>
      <w:r w:rsidRPr="00AC1559">
        <w:rPr>
          <w:rFonts w:ascii="Arial" w:eastAsia="Times New Roman" w:hAnsi="Arial" w:cs="Arial"/>
          <w:kern w:val="0"/>
          <w:lang w:eastAsia="en-GB"/>
          <w14:ligatures w14:val="none"/>
        </w:rPr>
        <w:lastRenderedPageBreak/>
        <w:t>attribute directly to caring, including back injuries, hypertension and persistent exhaustion. Many carers also delay seeking medical treatment for themselves because of difficulties leaving the person they support unattended or because of guilt about prioritising their own needs. This behaviour is consistent with ecological models of caregiving discussed in Chapter 2, which emphasise that carers’ health is shaped not only by individual coping strategies but by the availability of respite services, social support and responsive health systems.</w:t>
      </w:r>
    </w:p>
    <w:p w14:paraId="590CAC9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Sleep deprivation emerges as a particularly damaging feature of dementia care. Behavioural symptoms such as night-time wandering, agitation and confusion often require carers to remain alert for extended periods, leading to fragmented sleep and chronic fatigue (NHS England, 2023). Prolonged sleep disruption has been linked to impaired immune function, increased risk of cardiovascular disease and cognitive difficulties, further compromising carers’ capacity to sustain demanding roles. The literature suggests that these physical consequences accumulate gradually, mirroring the progressive trajectory of dementia itself, and can precipitate crisis points where carers are no longer physically able to continue providing home-based care.</w:t>
      </w:r>
    </w:p>
    <w:p w14:paraId="56452019"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The concept of </w:t>
      </w:r>
      <w:r w:rsidRPr="00AC1559">
        <w:rPr>
          <w:rFonts w:ascii="Arial" w:eastAsia="Times New Roman" w:hAnsi="Arial" w:cs="Arial"/>
          <w:b/>
          <w:bCs/>
          <w:kern w:val="0"/>
          <w:lang w:eastAsia="en-GB"/>
          <w14:ligatures w14:val="none"/>
        </w:rPr>
        <w:t>carer burnout</w:t>
      </w:r>
      <w:r w:rsidRPr="00AC1559">
        <w:rPr>
          <w:rFonts w:ascii="Arial" w:eastAsia="Times New Roman" w:hAnsi="Arial" w:cs="Arial"/>
          <w:kern w:val="0"/>
          <w:lang w:eastAsia="en-GB"/>
          <w14:ligatures w14:val="none"/>
        </w:rPr>
        <w:t xml:space="preserve"> is frequently used to capture the culmination of prolonged physical and emotional overload. Burnout is characterised by extreme exhaustion, reduced motivation, physical collapse and feelings of being unable to cope (King’s Fund, 2023). Studies indicate that burnout often develops in contexts where carers lack consistent access to respite services, training or professional support. From a Stress and Coping perspective, chronic physical demands reduce carers’ capacity to mobilise adaptive coping strategies, making them increasingly vulnerable to illness and withdrawal. This reinforces the argument that interventions must extend beyond psychological support to include practical assistance, regular breaks and early identification of physical health deterioration.</w:t>
      </w:r>
    </w:p>
    <w:p w14:paraId="34ED4EBA"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The physical toll of caregiving is unevenly distributed across different groups of carers. Older carers, particularly spouses in later life, are at heightened risk because they may already live with age-related health conditions such as arthritis, cardiovascular disease or reduced mobility (Alzheimer’s Society, 2023). Providing intensive care under these circumstances can </w:t>
      </w:r>
      <w:r w:rsidRPr="00AC1559">
        <w:rPr>
          <w:rFonts w:ascii="Arial" w:eastAsia="Times New Roman" w:hAnsi="Arial" w:cs="Arial"/>
          <w:kern w:val="0"/>
          <w:lang w:eastAsia="en-GB"/>
          <w14:ligatures w14:val="none"/>
        </w:rPr>
        <w:lastRenderedPageBreak/>
        <w:t>accelerate physical decline and increase the likelihood of hospitalisation for carers themselves. This raises significant ethical and policy concerns, as deteriorating carer health is a major predictor of unplanned residential care admissions for people with dementia, placing additional pressure on health and social care systems.</w:t>
      </w:r>
    </w:p>
    <w:p w14:paraId="0EF201C7"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Gendered patterns again emerge in the literature. Women, who make up </w:t>
      </w:r>
      <w:proofErr w:type="gramStart"/>
      <w:r w:rsidRPr="00AC1559">
        <w:rPr>
          <w:rFonts w:ascii="Arial" w:eastAsia="Times New Roman" w:hAnsi="Arial" w:cs="Arial"/>
          <w:kern w:val="0"/>
          <w:lang w:eastAsia="en-GB"/>
          <w14:ligatures w14:val="none"/>
        </w:rPr>
        <w:t>the majority of</w:t>
      </w:r>
      <w:proofErr w:type="gramEnd"/>
      <w:r w:rsidRPr="00AC1559">
        <w:rPr>
          <w:rFonts w:ascii="Arial" w:eastAsia="Times New Roman" w:hAnsi="Arial" w:cs="Arial"/>
          <w:kern w:val="0"/>
          <w:lang w:eastAsia="en-GB"/>
          <w14:ligatures w14:val="none"/>
        </w:rPr>
        <w:t xml:space="preserve"> informal carers in the UK, frequently report chronic fatigue and musculoskeletal pain associated with lifting and personal care tasks (Carers UK, 2023). Male carers, while sometimes less likely to perform intimate care initially, may experience physical strain when undertaking unfamiliar domestic or caring activities later in the illness trajectory. These findings complicate simple assumptions about caregiving roles and reinforce Role Theory’s emphasis on physical as well as emotional role strain when individuals are required to perform sustained tasks that conflict with prior lifestyles or health capacities.</w:t>
      </w:r>
    </w:p>
    <w:p w14:paraId="753AD85A"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Policy frameworks such as the Care Act 2014 formally recognise carers’ rights to assessment and support, including consideration of physical health needs. However, the literature suggests that implementation remains inconsistent. Some carers report receiving timely equipment, manual-handling training and short-break services, while others experience long waits for occupational therapy assessments or limited eligibility for respite provision (King’s Fund, 2023; NHS England, 2023). This variability contributes to what has been described as a “postcode lottery” in physical support, undermining the preventative ambitions of national policy.</w:t>
      </w:r>
    </w:p>
    <w:p w14:paraId="6D8AE336"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The gap between statutory commitments and everyday experience is particularly visible in relation to respite care. Regular breaks are repeatedly identified as crucial for protecting carers’ physical health, yet availability is constrained by workforce shortages, funding pressures and regional commissioning decisions. Where respite is inaccessible, carers often continue providing care despite injury or illness, increasing the likelihood of long-term health deterioration. This disconnect illustrates a central analytical tension: while UK policy rhetorically promotes sustainability of informal care, structural limitations frequently shift physical risk onto families themselves.</w:t>
      </w:r>
    </w:p>
    <w:p w14:paraId="043B8BD4"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lastRenderedPageBreak/>
        <w:t>Some studies document positive outcomes where multi-disciplinary support is well coordinated. Interventions involving district nurses, physiotherapists and social workers can reduce physical strain by providing training in safe moving and handling, supplying assistive equipment and monitoring carers’ health over time (Alzheimer’s Society, 2023). These examples demonstrate how ecological approaches to caregiving can operate effectively in practice, aligning multiple systems around carer wellbeing rather than focusing solely on the person with dementia. However, the uneven distribution of such services across regions again highlights the importance of organisational capacity and local commissioning decisions in shaping physical outcomes.</w:t>
      </w:r>
    </w:p>
    <w:p w14:paraId="7B6FE535"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Critically, the literature suggests that physical health consequences are rarely treated in isolation by carers themselves. Many interpret bodily deterioration as an inevitable cost of fulfilling moral obligations to a loved one, particularly in spousal relationships (Greenwood and Smith, 2019). This normalisation of physical suffering may delay help-seeking and obscure early warning signs of burnout. It also raises ethical questions about the sustainability of current reliance on unpaid care within ageing populations, reinforcing arguments that dementia policy must better balance familial responsibility with state support.</w:t>
      </w:r>
    </w:p>
    <w:p w14:paraId="0EB90E0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Taken together, these findings demonstrate that physical health impacts and burnout constitute a second central theme within dementia caregiving in the UK. Chronic fatigue, injury, sleep disruption and long-term illness are widely reported and are shaped by interactions between individual circumstances, service availability and policy implementation. Theoretical frameworks introduced in Chapter 2 remain useful for interpreting these patterns, but the evidence points to structural factors — particularly uneven access to respite and preventative support — as decisive in determining whether carers </w:t>
      </w:r>
      <w:proofErr w:type="gramStart"/>
      <w:r w:rsidRPr="00AC1559">
        <w:rPr>
          <w:rFonts w:ascii="Arial" w:eastAsia="Times New Roman" w:hAnsi="Arial" w:cs="Arial"/>
          <w:kern w:val="0"/>
          <w:lang w:eastAsia="en-GB"/>
          <w14:ligatures w14:val="none"/>
        </w:rPr>
        <w:t>are able to</w:t>
      </w:r>
      <w:proofErr w:type="gramEnd"/>
      <w:r w:rsidRPr="00AC1559">
        <w:rPr>
          <w:rFonts w:ascii="Arial" w:eastAsia="Times New Roman" w:hAnsi="Arial" w:cs="Arial"/>
          <w:kern w:val="0"/>
          <w:lang w:eastAsia="en-GB"/>
          <w14:ligatures w14:val="none"/>
        </w:rPr>
        <w:t xml:space="preserve"> sustain their roles safely.</w:t>
      </w:r>
    </w:p>
    <w:p w14:paraId="6C5AF7A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theme further strengthens the case for integrated interventions that combine emotional support with practical assistance and proactive health monitoring. It also provides a critical bridge to the next section of this chapter, which examines how difficulties accessing formal services and navigating complex systems frequently exacerbate both physical decline and psychological strain among family carers.</w:t>
      </w:r>
    </w:p>
    <w:p w14:paraId="78DACF53" w14:textId="77777777" w:rsidR="00AC1559" w:rsidRPr="00AC1559" w:rsidRDefault="00AC1559" w:rsidP="00AC1559">
      <w:pPr>
        <w:spacing w:after="0" w:line="480" w:lineRule="auto"/>
        <w:jc w:val="both"/>
        <w:outlineLvl w:val="0"/>
        <w:rPr>
          <w:rFonts w:ascii="Arial" w:eastAsia="Times New Roman" w:hAnsi="Arial" w:cs="Arial"/>
          <w:b/>
          <w:bCs/>
          <w:kern w:val="36"/>
          <w:lang w:eastAsia="en-GB"/>
          <w14:ligatures w14:val="none"/>
        </w:rPr>
      </w:pPr>
      <w:r w:rsidRPr="00AC1559">
        <w:rPr>
          <w:rFonts w:ascii="Arial" w:eastAsia="Times New Roman" w:hAnsi="Arial" w:cs="Arial"/>
          <w:b/>
          <w:bCs/>
          <w:kern w:val="36"/>
          <w:lang w:eastAsia="en-GB"/>
          <w14:ligatures w14:val="none"/>
        </w:rPr>
        <w:lastRenderedPageBreak/>
        <w:t>Theme 3 Access to Services, Respite Provision and Navigating Health and Social Care Systems</w:t>
      </w:r>
    </w:p>
    <w:p w14:paraId="7D509C75"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A third dominant theme emerging from the literature concerns family carers’ access to formal services and their experiences of navigating complex health and social care systems in the United Kingdom (UK). While national policies formally recognise carers as partners in dementia care, many studies report persistent barriers to timely support, fragmented provision and uneven access to respite services (King’s Fund, 2023; Carers UK, 2023). These difficulties do not occur in isolation but interact closely with the emotional and physical burdens discussed in previous sections, often accelerating burnout and crisis admissions.</w:t>
      </w:r>
    </w:p>
    <w:p w14:paraId="188F37B5"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The process of obtaining a dementia diagnosis is frequently identified as the first major challenge for families. Delays in assessment, lengthy waiting lists for memory clinics and regional variation in diagnostic pathways can leave carers managing complex symptoms without professional guidance for extended periods (NHS England, 2023). During this early phase, carers often report uncertainty about behavioural changes, medication management and safety risks, which intensifies anxiety and undermines confidence. From an ecological systems perspective, such gaps illustrate how weaknesses at organisational and policy levels can shape carers’ everyday experiences, even when strong legislative frameworks exist at national level.</w:t>
      </w:r>
    </w:p>
    <w:p w14:paraId="4958D054"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Once a diagnosis is secured, carers must negotiate multiple agencies, including general practitioners, community mental health teams, social services, voluntary organisations and local authorities. The literature consistently portrays this as administratively burdensome and emotionally draining. King’s Fund (2023) highlights that carers frequently act as informal care coordinators, repeating information across services and managing appointments, referrals and assessments. This responsibility adds to existing caring workloads and contributes to feelings of frustration and invisibility, particularly when communication between professionals is poor.</w:t>
      </w:r>
    </w:p>
    <w:p w14:paraId="6F3CFB7B"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Access to respite care is repeatedly identified as a critical but insufficiently available form of support. Short-break services, day centres and temporary residential placements are widely </w:t>
      </w:r>
      <w:r w:rsidRPr="00AC1559">
        <w:rPr>
          <w:rFonts w:ascii="Arial" w:eastAsia="Times New Roman" w:hAnsi="Arial" w:cs="Arial"/>
          <w:kern w:val="0"/>
          <w:lang w:eastAsia="en-GB"/>
          <w14:ligatures w14:val="none"/>
        </w:rPr>
        <w:lastRenderedPageBreak/>
        <w:t>regarded as essential for protecting carers’ wellbeing and sustaining home-based care. However, Carers UK (2023) reports that many dementia carers struggle to secure regular respite because of funding constraints, eligibility thresholds and workforce shortages within adult social care. These barriers are often described in the literature as creating a “postcode lottery,” whereby support depends heavily on local commissioning decisions rather than consistent national entitlements.</w:t>
      </w:r>
    </w:p>
    <w:p w14:paraId="11889D24"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From a Stress and Coping perspective, limited access to respite reduces carers’ opportunities to replenish emotional and physical resources, increasing vulnerability to exhaustion and withdrawal. Studies suggest that carers who receive regular breaks report better mental health, greater confidence in continuing their role and reduced likelihood of crisis-driven hospital admissions for the person with dementia (Alzheimer’s Society, 2023). The uneven distribution of respite therefore represents not merely a service inconvenience but a significant risk factor for system-level failure, shifting pressure onto emergency healthcare and residential services.</w:t>
      </w:r>
    </w:p>
    <w:p w14:paraId="4101208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Carer assessments, mandated under the Care Act 2014, are intended to identify needs relating to health, employment and wellbeing. Nevertheless, the literature indicates that many carers are unaware of their entitlement to assessment or encounter lengthy delays once requests are made (King’s Fund, 2023). Some report that assessments focus narrowly on the person with dementia rather than the carer’s own circumstances, contradicting the Act’s emphasis on parity between service users and carers. This disconnect illustrates a recurring theme across dementia policy: progressive statutory language is not always matched by consistent frontline practice.</w:t>
      </w:r>
    </w:p>
    <w:p w14:paraId="6348D81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Charitable and voluntary organisations play a significant role in filling gaps left by statutory services. The Alzheimer’s Society, Dementia UK and Carers UK provide helplines, peer-support groups, advocacy services and practical advice that many carers describe as invaluable. Research suggests that engagement with these organisations can reduce isolation and improve carers’ understanding of disease progression and available support pathways (Alzheimer’s Society, 2023). However, reliance on the voluntary sector also raises questions </w:t>
      </w:r>
      <w:r w:rsidRPr="00AC1559">
        <w:rPr>
          <w:rFonts w:ascii="Arial" w:eastAsia="Times New Roman" w:hAnsi="Arial" w:cs="Arial"/>
          <w:kern w:val="0"/>
          <w:lang w:eastAsia="en-GB"/>
          <w14:ligatures w14:val="none"/>
        </w:rPr>
        <w:lastRenderedPageBreak/>
        <w:t>about equity and sustainability, particularly in regions where charitable provision is limited or overstretched.</w:t>
      </w:r>
    </w:p>
    <w:p w14:paraId="7C95F0E5"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Socio-economic status and geographical location further shape carers’ experiences of service access. Rural carers frequently face additional obstacles, including limited public transport, fewer specialist services and longer travel distances to clinics or respite facilities. Minority ethnic carers may encounter language barriers, cultural stigma surrounding dementia and limited awareness of statutory entitlements, contributing to under-utilisation of services (King’s Fund, 2023). These inequalities reinforce ecological and structural explanations of caregiving, demonstrating that access to support is patterned by wider social determinants rather than individual need alone.</w:t>
      </w:r>
    </w:p>
    <w:p w14:paraId="1F47708A"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The literature also draws attention to digitalisation within health and social care, which has accelerated since the COVID-19 pandemic. Online consultations, digital referral systems and virtual support groups have improved accessibility for some carers but created new exclusions for others, particularly older carers or those with limited digital literacy. This digital divide complicates policy ambitions around efficiency and integration, suggesting that technological innovation must be accompanied by targeted support to avoid deepening existing inequalities.</w:t>
      </w:r>
    </w:p>
    <w:p w14:paraId="12B50E9D"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Critically, many authors argue that difficulties navigating services undermine the central principles of Person-Centred Care, which emphasise partnership working, continuity and holistic support (</w:t>
      </w:r>
      <w:proofErr w:type="spellStart"/>
      <w:r w:rsidRPr="00AC1559">
        <w:rPr>
          <w:rFonts w:ascii="Arial" w:eastAsia="Times New Roman" w:hAnsi="Arial" w:cs="Arial"/>
          <w:kern w:val="0"/>
          <w:lang w:eastAsia="en-GB"/>
          <w14:ligatures w14:val="none"/>
        </w:rPr>
        <w:t>Kitwood</w:t>
      </w:r>
      <w:proofErr w:type="spellEnd"/>
      <w:r w:rsidRPr="00AC1559">
        <w:rPr>
          <w:rFonts w:ascii="Arial" w:eastAsia="Times New Roman" w:hAnsi="Arial" w:cs="Arial"/>
          <w:kern w:val="0"/>
          <w:lang w:eastAsia="en-GB"/>
          <w14:ligatures w14:val="none"/>
        </w:rPr>
        <w:t>, 1997). Fragmented systems, repeated assessments and poor information sharing contrast sharply with this ideal, positioning carers as peripheral rather than integral to decision-making processes. This tension between theoretical models and everyday practice constitutes a key analytical issue that will be revisited in Chapter 5 when formulating recommendations for system-level reform.</w:t>
      </w:r>
    </w:p>
    <w:p w14:paraId="46FE6484"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Taken together, the evidence indicates that challenges accessing services and respite are not marginal but form a structural dimension of dementia caregiving in the UK. Delayed diagnoses, complex administrative processes, uneven respite provision and social inequalities interact to intensify both emotional and physical strain. While national policies provide a strong rhetorical </w:t>
      </w:r>
      <w:r w:rsidRPr="00AC1559">
        <w:rPr>
          <w:rFonts w:ascii="Arial" w:eastAsia="Times New Roman" w:hAnsi="Arial" w:cs="Arial"/>
          <w:kern w:val="0"/>
          <w:lang w:eastAsia="en-GB"/>
          <w14:ligatures w14:val="none"/>
        </w:rPr>
        <w:lastRenderedPageBreak/>
        <w:t>foundation for carer support, their inconsistent implementation continues to place significant responsibility on families themselves.</w:t>
      </w:r>
    </w:p>
    <w:p w14:paraId="286300BC"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theme therefore strengthens the argument that sustainable dementia care requires not only individual resilience but coordinated, adequately funded systems that recognise carers as central actors rather than peripheral recipients of support. The following section explores how financial pressures and employment disruption further complicate carers’ lives and intersect with the service-access challenges identified here.</w:t>
      </w:r>
    </w:p>
    <w:p w14:paraId="791FEB88"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Conclusion</w:t>
      </w:r>
    </w:p>
    <w:p w14:paraId="589BCC4C"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chapter has examined three interrelated themes shaping the experiences of family carers of people living with dementia in the UK: emotional and psychological burden, physical health consequences and access to services and support. The findings demonstrate that caring roles frequently involve sustained stress, grief and isolation, which are often intensified by physical fatigue and deteriorating health. Difficulties obtaining timely diagnosis, coordinated care and consistent respite further compound these pressures, highlighting the influence of structural factors on carers’ wellbeing.</w:t>
      </w:r>
    </w:p>
    <w:p w14:paraId="6BF95E3E"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The analysis has also revealed continuing gaps between national policy commitments, such as those within the Care Act 2014, and </w:t>
      </w:r>
      <w:proofErr w:type="gramStart"/>
      <w:r w:rsidRPr="00AC1559">
        <w:rPr>
          <w:rFonts w:ascii="Arial" w:eastAsia="Times New Roman" w:hAnsi="Arial" w:cs="Arial"/>
          <w:kern w:val="0"/>
          <w:lang w:eastAsia="en-GB"/>
          <w14:ligatures w14:val="none"/>
        </w:rPr>
        <w:t>carers’</w:t>
      </w:r>
      <w:proofErr w:type="gramEnd"/>
      <w:r w:rsidRPr="00AC1559">
        <w:rPr>
          <w:rFonts w:ascii="Arial" w:eastAsia="Times New Roman" w:hAnsi="Arial" w:cs="Arial"/>
          <w:kern w:val="0"/>
          <w:lang w:eastAsia="en-GB"/>
          <w14:ligatures w14:val="none"/>
        </w:rPr>
        <w:t xml:space="preserve"> lived experiences. Theoretical perspectives introduced earlier, including Stress and Coping Theory and ecological models of care, have helped explain how individual strain develops within wider social and service systems. These findings provide a foundation for Chapter 5, which advances practical recommendations aimed at reducing carer burden and improving support pathways.</w:t>
      </w:r>
    </w:p>
    <w:p w14:paraId="58A15A2C" w14:textId="77777777" w:rsidR="00AC1559" w:rsidRDefault="00AC1559" w:rsidP="00AC1559">
      <w:pPr>
        <w:spacing w:after="0" w:line="480" w:lineRule="auto"/>
        <w:jc w:val="both"/>
        <w:rPr>
          <w:rFonts w:ascii="Arial" w:hAnsi="Arial" w:cs="Arial"/>
        </w:rPr>
      </w:pPr>
    </w:p>
    <w:p w14:paraId="3DE4BA16" w14:textId="77777777" w:rsidR="00AC1559" w:rsidRDefault="00AC1559" w:rsidP="00AC1559">
      <w:pPr>
        <w:spacing w:after="0" w:line="480" w:lineRule="auto"/>
        <w:jc w:val="both"/>
        <w:rPr>
          <w:rFonts w:ascii="Arial" w:hAnsi="Arial" w:cs="Arial"/>
        </w:rPr>
      </w:pPr>
    </w:p>
    <w:p w14:paraId="0E11DEDA" w14:textId="77777777" w:rsidR="00AC1559" w:rsidRDefault="00AC1559" w:rsidP="00AC1559">
      <w:pPr>
        <w:spacing w:after="0" w:line="480" w:lineRule="auto"/>
        <w:jc w:val="both"/>
        <w:rPr>
          <w:rFonts w:ascii="Arial" w:hAnsi="Arial" w:cs="Arial"/>
        </w:rPr>
      </w:pPr>
    </w:p>
    <w:p w14:paraId="16BF3DEF" w14:textId="77777777" w:rsidR="00AC1559" w:rsidRDefault="00AC1559" w:rsidP="00AC1559">
      <w:pPr>
        <w:spacing w:after="0" w:line="480" w:lineRule="auto"/>
        <w:jc w:val="both"/>
        <w:rPr>
          <w:rFonts w:ascii="Arial" w:hAnsi="Arial" w:cs="Arial"/>
        </w:rPr>
      </w:pPr>
    </w:p>
    <w:p w14:paraId="3F7D2944" w14:textId="77777777" w:rsidR="00AC1559" w:rsidRDefault="00AC1559" w:rsidP="00AC1559">
      <w:pPr>
        <w:spacing w:after="0" w:line="480" w:lineRule="auto"/>
        <w:jc w:val="both"/>
        <w:rPr>
          <w:rFonts w:ascii="Arial" w:hAnsi="Arial" w:cs="Arial"/>
        </w:rPr>
      </w:pPr>
    </w:p>
    <w:p w14:paraId="32DA57F3" w14:textId="77777777" w:rsidR="00AC1559" w:rsidRDefault="00AC1559" w:rsidP="00AC1559">
      <w:pPr>
        <w:spacing w:after="0" w:line="480" w:lineRule="auto"/>
        <w:jc w:val="both"/>
        <w:rPr>
          <w:rFonts w:ascii="Arial" w:hAnsi="Arial" w:cs="Arial"/>
        </w:rPr>
      </w:pPr>
    </w:p>
    <w:p w14:paraId="356558B3" w14:textId="77777777" w:rsidR="00AC1559" w:rsidRPr="00AC1559" w:rsidRDefault="00AC1559" w:rsidP="00AC1559">
      <w:pPr>
        <w:spacing w:after="0" w:line="480" w:lineRule="auto"/>
        <w:jc w:val="both"/>
        <w:rPr>
          <w:rFonts w:ascii="Arial" w:hAnsi="Arial" w:cs="Arial"/>
        </w:rPr>
      </w:pPr>
    </w:p>
    <w:p w14:paraId="7491F40C"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lastRenderedPageBreak/>
        <w:t>Chapter 5</w:t>
      </w:r>
    </w:p>
    <w:p w14:paraId="1E4C6B3F"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5.1 Overall Conclusion</w:t>
      </w:r>
    </w:p>
    <w:p w14:paraId="74BAFF2A"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dissertation set out to explore the principal challenges faced by family carers of people living with dementia in the United Kingdom and to examine how effectively current health, social care and policy frameworks respond to their needs. Drawing on secondary analysis of academic literature, national reports and statutory guidance, the findings demonstrate that dementia caregiving is shaped by a complex interaction of emotional strain, physical demands, service accessibility and financial pressure.</w:t>
      </w:r>
    </w:p>
    <w:p w14:paraId="44DBDFB3"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Across the three thematic sections in Chapter 4, emotional and psychological burden emerged as a defining feature of caregiving, driven by progressive cognitive decline, behavioural symptoms, anticipatory grief and social isolation. These pressures were frequently intensified by uneven access to respite services, fragmented care pathways and inconsistent recognition of carers within clinical decision-making processes. Physical exhaustion and deteriorating health were also recurrent, reflecting prolonged caring hours and limited opportunities for recovery, while financial insecurity further constrained carers’ capacity to sustain their roles.</w:t>
      </w:r>
    </w:p>
    <w:p w14:paraId="4221B02B"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Collectively, these findings indicate that although UK policy formally recognises carers’ contributions, significant gaps remain between legislative intent and everyday practice. The research therefore concludes that dementia carers continue to shoulder substantial responsibility within a system that does not consistently provide timely, equitable or coordinated support. These conclusions provide the foundation for the recommendations that follow, which focus on strengthening service integration, enhancing professional engagement with carers and improving access to practical and emotional assistance within community settings.</w:t>
      </w:r>
    </w:p>
    <w:p w14:paraId="217028CE" w14:textId="77777777" w:rsidR="00AC1559" w:rsidRPr="00AC1559" w:rsidRDefault="00AC1559" w:rsidP="00AC1559">
      <w:pPr>
        <w:spacing w:after="0" w:line="480" w:lineRule="auto"/>
        <w:jc w:val="both"/>
        <w:rPr>
          <w:rFonts w:ascii="Arial" w:hAnsi="Arial" w:cs="Arial"/>
        </w:rPr>
      </w:pPr>
    </w:p>
    <w:p w14:paraId="66DA2FBD" w14:textId="77777777" w:rsidR="00AC1559" w:rsidRDefault="00AC1559" w:rsidP="00AC1559">
      <w:pPr>
        <w:spacing w:after="0" w:line="480" w:lineRule="auto"/>
        <w:jc w:val="both"/>
        <w:rPr>
          <w:rFonts w:ascii="Arial" w:hAnsi="Arial" w:cs="Arial"/>
        </w:rPr>
      </w:pPr>
    </w:p>
    <w:p w14:paraId="3EE99584" w14:textId="77777777" w:rsidR="00AC1559" w:rsidRDefault="00AC1559" w:rsidP="00AC1559">
      <w:pPr>
        <w:spacing w:after="0" w:line="480" w:lineRule="auto"/>
        <w:jc w:val="both"/>
        <w:rPr>
          <w:rFonts w:ascii="Arial" w:hAnsi="Arial" w:cs="Arial"/>
        </w:rPr>
      </w:pPr>
    </w:p>
    <w:p w14:paraId="508F4036" w14:textId="77777777" w:rsidR="00AC1559" w:rsidRDefault="00AC1559" w:rsidP="00AC1559">
      <w:pPr>
        <w:spacing w:after="0" w:line="480" w:lineRule="auto"/>
        <w:jc w:val="both"/>
        <w:rPr>
          <w:rFonts w:ascii="Arial" w:hAnsi="Arial" w:cs="Arial"/>
        </w:rPr>
      </w:pPr>
    </w:p>
    <w:p w14:paraId="51E853C7" w14:textId="77777777" w:rsidR="00AC1559" w:rsidRPr="00AC1559" w:rsidRDefault="00AC1559" w:rsidP="00AC1559">
      <w:pPr>
        <w:spacing w:after="0" w:line="480" w:lineRule="auto"/>
        <w:jc w:val="both"/>
        <w:rPr>
          <w:rFonts w:ascii="Arial" w:hAnsi="Arial" w:cs="Arial"/>
        </w:rPr>
      </w:pPr>
    </w:p>
    <w:p w14:paraId="5B665BBF"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lastRenderedPageBreak/>
        <w:t xml:space="preserve">5.2 Recommendation </w:t>
      </w:r>
    </w:p>
    <w:p w14:paraId="00DA926C"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p>
    <w:p w14:paraId="5C2FD927"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1: Expand Access to Consistent Respite and Psychological Support Services</w:t>
      </w:r>
    </w:p>
    <w:p w14:paraId="32AA958C"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It is recommended that local authorities and NHS Integrated Care Boards expand the availability of coordinated respite care and psychological support services for family carers of people living with dementia. This should include flexible short-break provision, carer-specific counselling services and routine emotional wellbeing assessments embedded within memory clinics and community dementia pathways.</w:t>
      </w:r>
    </w:p>
    <w:p w14:paraId="5537DBC6"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recommendation is justified by the findings in Chapter 4, which highlighted sustained emotional distress, social isolation and burnout among carers, particularly as dementia progresses. Limited access to respite services and long waiting times were repeatedly identified as factors that exacerbate psychological strain and physical exhaustion. Embedding support within existing NHS and social care structures would enable earlier identification of carer distress and reduce crisis-driven service use.</w:t>
      </w:r>
    </w:p>
    <w:p w14:paraId="5AF71272"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In practice, this approach could be delivered through multidisciplinary community dementia teams, utilising trained support workers and voluntary-sector partnerships to provide low-intensity counselling, group-based interventions and planned respite placements. Digital options could supplement face-to-face services for carers in rural areas, improving geographical equity.</w:t>
      </w:r>
    </w:p>
    <w:p w14:paraId="538B7F3F"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However, barriers to implementation include workforce shortages, funding constraints and uneven commissioning across regions. There may also be reluctance among carers to seek support due to guilt or fear of judgement. To overcome these challenges, phased pilots supported by ring-fenced funding could demonstrate cost-effectiveness, while public awareness campaigns and professional training could normalise help-seeking behaviour. Close collaboration with charitable organisations would further extend capacity without duplicating services.</w:t>
      </w:r>
    </w:p>
    <w:p w14:paraId="299D79F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lastRenderedPageBreak/>
        <w:t>This recommendation directly addresses the emotional and physical burdens identified in Chapter 4 and supports the overarching aim of improving sustainability and wellbeing within dementia caregiving arrangements in the UK.</w:t>
      </w:r>
    </w:p>
    <w:p w14:paraId="195BD52A"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2: Strengthen Carer Recognition and Navigation Support Within Health and Social Care Systems</w:t>
      </w:r>
    </w:p>
    <w:p w14:paraId="730D7217"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It is recommended that health and social care organisations improve formal recognition of family carers and provide dedicated navigation support to help them access services, assessments and financial entitlements. This could be achieved through routine carer identification at diagnosis, named care coordinators within dementia pathways and simplified referral systems across NHS and local authority services.</w:t>
      </w:r>
    </w:p>
    <w:p w14:paraId="65DEC148"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recommendation responds directly to Chapter 4 findings showing that carers frequently feel excluded from clinical decision-making, struggle to understand eligibility criteria for support and experience frustration when navigating fragmented systems. Although legislation such as the Care Act 2014 grants carers rights to assessment and assistance, inconsistent implementation across regions means that many carers remain unaware of these entitlements or face lengthy delays in accessing help. Improving recognition would enhance partnership working and reflect person-centred care principles discussed in Chapter 2.</w:t>
      </w:r>
    </w:p>
    <w:p w14:paraId="2DA9DAC6"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Operationally, memory clinics and primary-care services could introduce standardised carer-registration processes at diagnosis, triggering automatic referrals for carers’ assessments and information packs. Local authorities could assign specialist dementia navigators to guide families through social-care processes, benefits applications and voluntary-sector services. Shared digital records between agencies would further reduce duplication and improve continuity.</w:t>
      </w:r>
    </w:p>
    <w:p w14:paraId="683A9BD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Potential barriers include administrative pressures on frontline staff, information-governance concerns and limited funding for coordination roles. These could be mitigated through targeted commissioning, integration within existing roles such as social prescribers and robust data-sharing agreements. Training professionals to recognise carers’ expertise and involve them consistently in care planning would further support implementation.</w:t>
      </w:r>
    </w:p>
    <w:p w14:paraId="2B78A27A"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lastRenderedPageBreak/>
        <w:t>This recommendation addresses the service-access and policy-practice gaps identified in Chapter 4 and contributes to the overarching goal of creating more coherent, carer-inclusive dementia support systems in the UK.</w:t>
      </w:r>
    </w:p>
    <w:p w14:paraId="4DFDFE55" w14:textId="77777777" w:rsidR="00AC1559" w:rsidRPr="00AC1559" w:rsidRDefault="00AC1559" w:rsidP="00AC1559">
      <w:pPr>
        <w:spacing w:after="0" w:line="480" w:lineRule="auto"/>
        <w:jc w:val="both"/>
        <w:outlineLvl w:val="1"/>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3: Improve Financial Support and Workplace Flexibility for Family Carers</w:t>
      </w:r>
    </w:p>
    <w:p w14:paraId="2412DED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It is recommended that policymakers and employers strengthen financial assistance and employment protections for family carers of people living with dementia. This should include increased uptake of carers’ benefits, expanded statutory carers’ leave and greater employer engagement in flexible working arrangements.</w:t>
      </w:r>
    </w:p>
    <w:p w14:paraId="02FACCE6"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recommendation is grounded in Chapter 4 findings which identified financial strain and employment disruption as major pressures shaping carers’ wellbeing. Many carers reduce working hours or leave employment altogether, resulting in income loss, pension insecurity and heightened stress. Although provisions such as Carer’s Allowance and the right to request flexible working exist, the literature suggests that awareness remains limited and eligibility criteria restrictive. Enhancing financial security would help stabilise carers’ circumstances and reduce the cumulative burden created by emotional and physical exhaustion.</w:t>
      </w:r>
    </w:p>
    <w:p w14:paraId="6A934647"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In practice, NHS services and local authorities could routinely provide benefits advice at diagnosis, supported by partnerships with organisations such as Carers UK and Citizens Advice. Employers could be encouraged to adopt dementia-friendly workplace policies, including remote working, predictable scheduling and protected carers’ leave. Government incentives or accreditation schemes could further promote employer participation.</w:t>
      </w:r>
    </w:p>
    <w:p w14:paraId="2EFC10E0"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Barriers include fiscal constraints, variable employer capacity and concerns about productivity. These could be addressed through phased policy implementation, evidence demonstrating the long-term economic value of retaining carers in employment and targeted support for small businesses. Clear national guidance would also reduce disparities between workplaces.</w:t>
      </w:r>
    </w:p>
    <w:p w14:paraId="17202E41" w14:textId="77777777" w:rsidR="00AC1559" w:rsidRPr="00AC1559" w:rsidRDefault="00AC1559" w:rsidP="00AC1559">
      <w:pPr>
        <w:spacing w:after="0" w:line="480" w:lineRule="auto"/>
        <w:jc w:val="both"/>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This recommendation directly addresses the financial and occupational challenges identified in Chapter 4 and contributes to building sustainable, equitable systems of support for dementia carers across the UK.</w:t>
      </w:r>
    </w:p>
    <w:p w14:paraId="489B3507" w14:textId="77777777" w:rsidR="00AC1559" w:rsidRPr="00AC1559" w:rsidRDefault="00AC1559" w:rsidP="00AC1559">
      <w:pPr>
        <w:spacing w:after="0" w:line="480" w:lineRule="auto"/>
        <w:jc w:val="both"/>
        <w:rPr>
          <w:rFonts w:ascii="Arial" w:hAnsi="Arial" w:cs="Arial"/>
        </w:rPr>
      </w:pPr>
    </w:p>
    <w:p w14:paraId="4A6EF1D0" w14:textId="3C0F0B8C" w:rsidR="003F074A" w:rsidRDefault="00AC1559" w:rsidP="00AC1559">
      <w:pPr>
        <w:spacing w:after="0" w:line="480" w:lineRule="auto"/>
        <w:jc w:val="both"/>
        <w:rPr>
          <w:rFonts w:ascii="Arial" w:hAnsi="Arial" w:cs="Arial"/>
          <w:b/>
          <w:bCs/>
        </w:rPr>
      </w:pPr>
      <w:r w:rsidRPr="00AC1559">
        <w:rPr>
          <w:rFonts w:ascii="Arial" w:hAnsi="Arial" w:cs="Arial"/>
          <w:b/>
          <w:bCs/>
        </w:rPr>
        <w:lastRenderedPageBreak/>
        <w:t xml:space="preserve">References </w:t>
      </w:r>
    </w:p>
    <w:p w14:paraId="7C99D574" w14:textId="77777777" w:rsidR="00AC1559" w:rsidRPr="00AC1559" w:rsidRDefault="00AC1559" w:rsidP="00AC1559">
      <w:pPr>
        <w:spacing w:after="0" w:line="480" w:lineRule="auto"/>
        <w:outlineLvl w:val="2"/>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Chapter 4 – Findings &amp; Thematic Analysis</w:t>
      </w:r>
    </w:p>
    <w:p w14:paraId="349EB0F3"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Alzheimer’s Society (2023) </w:t>
      </w:r>
      <w:r w:rsidRPr="00AC1559">
        <w:rPr>
          <w:rFonts w:ascii="Arial" w:eastAsia="Times New Roman" w:hAnsi="Arial" w:cs="Arial"/>
          <w:i/>
          <w:iCs/>
          <w:kern w:val="0"/>
          <w:lang w:eastAsia="en-GB"/>
          <w14:ligatures w14:val="none"/>
        </w:rPr>
        <w:t>Caring for a Person with Dementia: Understanding the Challenges</w:t>
      </w:r>
      <w:r w:rsidRPr="00AC1559">
        <w:rPr>
          <w:rFonts w:ascii="Arial" w:eastAsia="Times New Roman" w:hAnsi="Arial" w:cs="Arial"/>
          <w:kern w:val="0"/>
          <w:lang w:eastAsia="en-GB"/>
          <w14:ligatures w14:val="none"/>
        </w:rPr>
        <w:t>. London: Alzheimer’s Society.</w:t>
      </w:r>
    </w:p>
    <w:p w14:paraId="46F7286D"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Braun, V. and Clarke, V. (2006) ‘Using thematic analysis in psychology’, </w:t>
      </w:r>
      <w:r w:rsidRPr="00AC1559">
        <w:rPr>
          <w:rFonts w:ascii="Arial" w:eastAsia="Times New Roman" w:hAnsi="Arial" w:cs="Arial"/>
          <w:i/>
          <w:iCs/>
          <w:kern w:val="0"/>
          <w:lang w:eastAsia="en-GB"/>
          <w14:ligatures w14:val="none"/>
        </w:rPr>
        <w:t>Qualitative Research in Psychology</w:t>
      </w:r>
      <w:r w:rsidRPr="00AC1559">
        <w:rPr>
          <w:rFonts w:ascii="Arial" w:eastAsia="Times New Roman" w:hAnsi="Arial" w:cs="Arial"/>
          <w:kern w:val="0"/>
          <w:lang w:eastAsia="en-GB"/>
          <w14:ligatures w14:val="none"/>
        </w:rPr>
        <w:t>, 3(2), pp. 77–101.</w:t>
      </w:r>
    </w:p>
    <w:p w14:paraId="12D6C8C0"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Carers UK (2023) </w:t>
      </w:r>
      <w:r w:rsidRPr="00AC1559">
        <w:rPr>
          <w:rFonts w:ascii="Arial" w:eastAsia="Times New Roman" w:hAnsi="Arial" w:cs="Arial"/>
          <w:i/>
          <w:iCs/>
          <w:kern w:val="0"/>
          <w:lang w:eastAsia="en-GB"/>
          <w14:ligatures w14:val="none"/>
        </w:rPr>
        <w:t>State of Caring 2023</w:t>
      </w:r>
      <w:r w:rsidRPr="00AC1559">
        <w:rPr>
          <w:rFonts w:ascii="Arial" w:eastAsia="Times New Roman" w:hAnsi="Arial" w:cs="Arial"/>
          <w:kern w:val="0"/>
          <w:lang w:eastAsia="en-GB"/>
          <w14:ligatures w14:val="none"/>
        </w:rPr>
        <w:t>. London: Carers UK.</w:t>
      </w:r>
    </w:p>
    <w:p w14:paraId="54E0177C"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Greenwood, N. and Smith, R. (2019) ‘Motivations for being informal carers of people living with dementia’, </w:t>
      </w:r>
      <w:r w:rsidRPr="00AC1559">
        <w:rPr>
          <w:rFonts w:ascii="Arial" w:eastAsia="Times New Roman" w:hAnsi="Arial" w:cs="Arial"/>
          <w:i/>
          <w:iCs/>
          <w:kern w:val="0"/>
          <w:lang w:eastAsia="en-GB"/>
          <w14:ligatures w14:val="none"/>
        </w:rPr>
        <w:t>BMC Geriatrics</w:t>
      </w:r>
      <w:r w:rsidRPr="00AC1559">
        <w:rPr>
          <w:rFonts w:ascii="Arial" w:eastAsia="Times New Roman" w:hAnsi="Arial" w:cs="Arial"/>
          <w:kern w:val="0"/>
          <w:lang w:eastAsia="en-GB"/>
          <w14:ligatures w14:val="none"/>
        </w:rPr>
        <w:t>, 19(1), pp. 1–18.</w:t>
      </w:r>
    </w:p>
    <w:p w14:paraId="33F1D08E"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King’s Fund (2023) </w:t>
      </w:r>
      <w:r w:rsidRPr="00AC1559">
        <w:rPr>
          <w:rFonts w:ascii="Arial" w:eastAsia="Times New Roman" w:hAnsi="Arial" w:cs="Arial"/>
          <w:i/>
          <w:iCs/>
          <w:kern w:val="0"/>
          <w:lang w:eastAsia="en-GB"/>
          <w14:ligatures w14:val="none"/>
        </w:rPr>
        <w:t>Supporting Carers: Policy and Practice in the UK</w:t>
      </w:r>
      <w:r w:rsidRPr="00AC1559">
        <w:rPr>
          <w:rFonts w:ascii="Arial" w:eastAsia="Times New Roman" w:hAnsi="Arial" w:cs="Arial"/>
          <w:kern w:val="0"/>
          <w:lang w:eastAsia="en-GB"/>
          <w14:ligatures w14:val="none"/>
        </w:rPr>
        <w:t>. London: The King’s Fund.</w:t>
      </w:r>
    </w:p>
    <w:p w14:paraId="5EDAAFA0"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proofErr w:type="spellStart"/>
      <w:r w:rsidRPr="00AC1559">
        <w:rPr>
          <w:rFonts w:ascii="Arial" w:eastAsia="Times New Roman" w:hAnsi="Arial" w:cs="Arial"/>
          <w:kern w:val="0"/>
          <w:lang w:eastAsia="en-GB"/>
          <w14:ligatures w14:val="none"/>
        </w:rPr>
        <w:t>Kitwood</w:t>
      </w:r>
      <w:proofErr w:type="spellEnd"/>
      <w:r w:rsidRPr="00AC1559">
        <w:rPr>
          <w:rFonts w:ascii="Arial" w:eastAsia="Times New Roman" w:hAnsi="Arial" w:cs="Arial"/>
          <w:kern w:val="0"/>
          <w:lang w:eastAsia="en-GB"/>
          <w14:ligatures w14:val="none"/>
        </w:rPr>
        <w:t xml:space="preserve">, T. (1997) </w:t>
      </w:r>
      <w:r w:rsidRPr="00AC1559">
        <w:rPr>
          <w:rFonts w:ascii="Arial" w:eastAsia="Times New Roman" w:hAnsi="Arial" w:cs="Arial"/>
          <w:i/>
          <w:iCs/>
          <w:kern w:val="0"/>
          <w:lang w:eastAsia="en-GB"/>
          <w14:ligatures w14:val="none"/>
        </w:rPr>
        <w:t>Dementia Reconsidered: The Person Comes First</w:t>
      </w:r>
      <w:r w:rsidRPr="00AC1559">
        <w:rPr>
          <w:rFonts w:ascii="Arial" w:eastAsia="Times New Roman" w:hAnsi="Arial" w:cs="Arial"/>
          <w:kern w:val="0"/>
          <w:lang w:eastAsia="en-GB"/>
          <w14:ligatures w14:val="none"/>
        </w:rPr>
        <w:t>. Buckingham: Open University Press.</w:t>
      </w:r>
    </w:p>
    <w:p w14:paraId="06907761" w14:textId="77777777" w:rsidR="00AC1559" w:rsidRP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Lazarus, R.S. and Folkman, S. (1984) </w:t>
      </w:r>
      <w:r w:rsidRPr="00AC1559">
        <w:rPr>
          <w:rFonts w:ascii="Arial" w:eastAsia="Times New Roman" w:hAnsi="Arial" w:cs="Arial"/>
          <w:i/>
          <w:iCs/>
          <w:kern w:val="0"/>
          <w:lang w:eastAsia="en-GB"/>
          <w14:ligatures w14:val="none"/>
        </w:rPr>
        <w:t>Stress, Appraisal and Coping</w:t>
      </w:r>
      <w:r w:rsidRPr="00AC1559">
        <w:rPr>
          <w:rFonts w:ascii="Arial" w:eastAsia="Times New Roman" w:hAnsi="Arial" w:cs="Arial"/>
          <w:kern w:val="0"/>
          <w:lang w:eastAsia="en-GB"/>
          <w14:ligatures w14:val="none"/>
        </w:rPr>
        <w:t>. New York: Springer.</w:t>
      </w:r>
    </w:p>
    <w:p w14:paraId="6F406714" w14:textId="77777777" w:rsidR="00AC1559" w:rsidRDefault="00AC1559" w:rsidP="00AC1559">
      <w:pPr>
        <w:numPr>
          <w:ilvl w:val="0"/>
          <w:numId w:val="1"/>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National Health Service (2023) </w:t>
      </w:r>
      <w:r w:rsidRPr="00AC1559">
        <w:rPr>
          <w:rFonts w:ascii="Arial" w:eastAsia="Times New Roman" w:hAnsi="Arial" w:cs="Arial"/>
          <w:i/>
          <w:iCs/>
          <w:kern w:val="0"/>
          <w:lang w:eastAsia="en-GB"/>
          <w14:ligatures w14:val="none"/>
        </w:rPr>
        <w:t>The Dementia Well Pathway</w:t>
      </w:r>
      <w:r w:rsidRPr="00AC1559">
        <w:rPr>
          <w:rFonts w:ascii="Arial" w:eastAsia="Times New Roman" w:hAnsi="Arial" w:cs="Arial"/>
          <w:kern w:val="0"/>
          <w:lang w:eastAsia="en-GB"/>
          <w14:ligatures w14:val="none"/>
        </w:rPr>
        <w:t>. London: NHS England.</w:t>
      </w:r>
    </w:p>
    <w:p w14:paraId="2D90A5B7" w14:textId="77777777" w:rsidR="00AC1559" w:rsidRPr="00AC1559" w:rsidRDefault="00AC1559" w:rsidP="00AC1559">
      <w:pPr>
        <w:spacing w:after="0" w:line="480" w:lineRule="auto"/>
        <w:ind w:left="720"/>
        <w:rPr>
          <w:rFonts w:ascii="Arial" w:eastAsia="Times New Roman" w:hAnsi="Arial" w:cs="Arial"/>
          <w:kern w:val="0"/>
          <w:lang w:eastAsia="en-GB"/>
          <w14:ligatures w14:val="none"/>
        </w:rPr>
      </w:pPr>
    </w:p>
    <w:p w14:paraId="14BF55DE" w14:textId="77777777" w:rsidR="00AC1559" w:rsidRPr="00AC1559" w:rsidRDefault="00AC1559" w:rsidP="00AC1559">
      <w:pPr>
        <w:spacing w:after="0" w:line="480" w:lineRule="auto"/>
        <w:outlineLvl w:val="2"/>
        <w:rPr>
          <w:rFonts w:ascii="Arial" w:eastAsia="Times New Roman" w:hAnsi="Arial" w:cs="Arial"/>
          <w:b/>
          <w:bCs/>
          <w:kern w:val="0"/>
          <w:lang w:eastAsia="en-GB"/>
          <w14:ligatures w14:val="none"/>
        </w:rPr>
      </w:pPr>
      <w:r w:rsidRPr="00AC1559">
        <w:rPr>
          <w:rFonts w:ascii="Arial" w:eastAsia="Times New Roman" w:hAnsi="Arial" w:cs="Arial"/>
          <w:b/>
          <w:bCs/>
          <w:kern w:val="0"/>
          <w:lang w:eastAsia="en-GB"/>
          <w14:ligatures w14:val="none"/>
        </w:rPr>
        <w:t>Chapter 5 – Conclusions &amp; Recommendations</w:t>
      </w:r>
    </w:p>
    <w:p w14:paraId="0B4DD2D5" w14:textId="77777777" w:rsidR="00AC1559" w:rsidRPr="00AC1559" w:rsidRDefault="00AC1559" w:rsidP="00AC1559">
      <w:pPr>
        <w:numPr>
          <w:ilvl w:val="0"/>
          <w:numId w:val="2"/>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Department of Health and Social Care (2022) </w:t>
      </w:r>
      <w:r w:rsidRPr="00AC1559">
        <w:rPr>
          <w:rFonts w:ascii="Arial" w:eastAsia="Times New Roman" w:hAnsi="Arial" w:cs="Arial"/>
          <w:i/>
          <w:iCs/>
          <w:kern w:val="0"/>
          <w:lang w:eastAsia="en-GB"/>
          <w14:ligatures w14:val="none"/>
        </w:rPr>
        <w:t>People at the Heart of Care: Adult Social Care Reform</w:t>
      </w:r>
      <w:r w:rsidRPr="00AC1559">
        <w:rPr>
          <w:rFonts w:ascii="Arial" w:eastAsia="Times New Roman" w:hAnsi="Arial" w:cs="Arial"/>
          <w:kern w:val="0"/>
          <w:lang w:eastAsia="en-GB"/>
          <w14:ligatures w14:val="none"/>
        </w:rPr>
        <w:t>. London: DHSC.</w:t>
      </w:r>
    </w:p>
    <w:p w14:paraId="439DFD29" w14:textId="77777777" w:rsidR="00AC1559" w:rsidRPr="00AC1559" w:rsidRDefault="00AC1559" w:rsidP="00AC1559">
      <w:pPr>
        <w:numPr>
          <w:ilvl w:val="0"/>
          <w:numId w:val="2"/>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National Health Service (2019) </w:t>
      </w:r>
      <w:r w:rsidRPr="00AC1559">
        <w:rPr>
          <w:rFonts w:ascii="Arial" w:eastAsia="Times New Roman" w:hAnsi="Arial" w:cs="Arial"/>
          <w:i/>
          <w:iCs/>
          <w:kern w:val="0"/>
          <w:lang w:eastAsia="en-GB"/>
          <w14:ligatures w14:val="none"/>
        </w:rPr>
        <w:t>The NHS Long Term Plan</w:t>
      </w:r>
      <w:r w:rsidRPr="00AC1559">
        <w:rPr>
          <w:rFonts w:ascii="Arial" w:eastAsia="Times New Roman" w:hAnsi="Arial" w:cs="Arial"/>
          <w:kern w:val="0"/>
          <w:lang w:eastAsia="en-GB"/>
          <w14:ligatures w14:val="none"/>
        </w:rPr>
        <w:t>. London: NHS England.</w:t>
      </w:r>
    </w:p>
    <w:p w14:paraId="1F05E82F" w14:textId="77777777" w:rsidR="00AC1559" w:rsidRPr="00AC1559" w:rsidRDefault="00AC1559" w:rsidP="00AC1559">
      <w:pPr>
        <w:numPr>
          <w:ilvl w:val="0"/>
          <w:numId w:val="2"/>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World Health Organization (2023) </w:t>
      </w:r>
      <w:r w:rsidRPr="00AC1559">
        <w:rPr>
          <w:rFonts w:ascii="Arial" w:eastAsia="Times New Roman" w:hAnsi="Arial" w:cs="Arial"/>
          <w:i/>
          <w:iCs/>
          <w:kern w:val="0"/>
          <w:lang w:eastAsia="en-GB"/>
          <w14:ligatures w14:val="none"/>
        </w:rPr>
        <w:t>Global Status Report on the Public Health Response to Dementia</w:t>
      </w:r>
      <w:r w:rsidRPr="00AC1559">
        <w:rPr>
          <w:rFonts w:ascii="Arial" w:eastAsia="Times New Roman" w:hAnsi="Arial" w:cs="Arial"/>
          <w:kern w:val="0"/>
          <w:lang w:eastAsia="en-GB"/>
          <w14:ligatures w14:val="none"/>
        </w:rPr>
        <w:t>. Geneva: WHO.</w:t>
      </w:r>
    </w:p>
    <w:p w14:paraId="40A92831" w14:textId="77777777" w:rsidR="00AC1559" w:rsidRPr="00AC1559" w:rsidRDefault="00AC1559" w:rsidP="00AC1559">
      <w:pPr>
        <w:numPr>
          <w:ilvl w:val="0"/>
          <w:numId w:val="2"/>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Scottish Government (2021) </w:t>
      </w:r>
      <w:r w:rsidRPr="00AC1559">
        <w:rPr>
          <w:rFonts w:ascii="Arial" w:eastAsia="Times New Roman" w:hAnsi="Arial" w:cs="Arial"/>
          <w:i/>
          <w:iCs/>
          <w:kern w:val="0"/>
          <w:lang w:eastAsia="en-GB"/>
          <w14:ligatures w14:val="none"/>
        </w:rPr>
        <w:t>National Dementia Strategy for Scotland</w:t>
      </w:r>
      <w:r w:rsidRPr="00AC1559">
        <w:rPr>
          <w:rFonts w:ascii="Arial" w:eastAsia="Times New Roman" w:hAnsi="Arial" w:cs="Arial"/>
          <w:kern w:val="0"/>
          <w:lang w:eastAsia="en-GB"/>
          <w14:ligatures w14:val="none"/>
        </w:rPr>
        <w:t>. Edinburgh: Scottish Government.</w:t>
      </w:r>
    </w:p>
    <w:p w14:paraId="3477C6D4" w14:textId="77777777" w:rsidR="00AC1559" w:rsidRPr="00AC1559" w:rsidRDefault="00AC1559" w:rsidP="00AC1559">
      <w:pPr>
        <w:numPr>
          <w:ilvl w:val="0"/>
          <w:numId w:val="2"/>
        </w:numPr>
        <w:spacing w:after="0" w:line="480" w:lineRule="auto"/>
        <w:rPr>
          <w:rFonts w:ascii="Arial" w:eastAsia="Times New Roman" w:hAnsi="Arial" w:cs="Arial"/>
          <w:kern w:val="0"/>
          <w:lang w:eastAsia="en-GB"/>
          <w14:ligatures w14:val="none"/>
        </w:rPr>
      </w:pPr>
      <w:r w:rsidRPr="00AC1559">
        <w:rPr>
          <w:rFonts w:ascii="Arial" w:eastAsia="Times New Roman" w:hAnsi="Arial" w:cs="Arial"/>
          <w:kern w:val="0"/>
          <w:lang w:eastAsia="en-GB"/>
          <w14:ligatures w14:val="none"/>
        </w:rPr>
        <w:t xml:space="preserve">Matsumoto, M. and Tamiya, N. (2022) ‘Long-term care insurance and sustainability’, </w:t>
      </w:r>
      <w:r w:rsidRPr="00AC1559">
        <w:rPr>
          <w:rFonts w:ascii="Arial" w:eastAsia="Times New Roman" w:hAnsi="Arial" w:cs="Arial"/>
          <w:i/>
          <w:iCs/>
          <w:kern w:val="0"/>
          <w:lang w:eastAsia="en-GB"/>
          <w14:ligatures w14:val="none"/>
        </w:rPr>
        <w:t>International Journal of Environmental Research and Public Health</w:t>
      </w:r>
      <w:r w:rsidRPr="00AC1559">
        <w:rPr>
          <w:rFonts w:ascii="Arial" w:eastAsia="Times New Roman" w:hAnsi="Arial" w:cs="Arial"/>
          <w:kern w:val="0"/>
          <w:lang w:eastAsia="en-GB"/>
          <w14:ligatures w14:val="none"/>
        </w:rPr>
        <w:t>, 19(3), 1684.</w:t>
      </w:r>
    </w:p>
    <w:p w14:paraId="7054942D" w14:textId="77777777" w:rsidR="00AC1559" w:rsidRPr="00AC1559" w:rsidRDefault="00AC1559" w:rsidP="00AC1559">
      <w:pPr>
        <w:rPr>
          <w:rFonts w:ascii="Arial" w:hAnsi="Arial" w:cs="Arial"/>
        </w:rPr>
      </w:pPr>
    </w:p>
    <w:sectPr w:rsidR="00AC1559" w:rsidRPr="00AC1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B1E05"/>
    <w:multiLevelType w:val="hybridMultilevel"/>
    <w:tmpl w:val="D84EC8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77B7DFF"/>
    <w:multiLevelType w:val="multilevel"/>
    <w:tmpl w:val="3DF66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C86026"/>
    <w:multiLevelType w:val="multilevel"/>
    <w:tmpl w:val="B9FA2B9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5165467">
    <w:abstractNumId w:val="1"/>
  </w:num>
  <w:num w:numId="2" w16cid:durableId="284388410">
    <w:abstractNumId w:val="2"/>
  </w:num>
  <w:num w:numId="3" w16cid:durableId="1056971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59"/>
    <w:rsid w:val="00246AED"/>
    <w:rsid w:val="00362BC2"/>
    <w:rsid w:val="003F074A"/>
    <w:rsid w:val="0052028A"/>
    <w:rsid w:val="006E5B88"/>
    <w:rsid w:val="00811354"/>
    <w:rsid w:val="009B58CD"/>
    <w:rsid w:val="00AC1559"/>
    <w:rsid w:val="00EB043F"/>
    <w:rsid w:val="00EE2781"/>
    <w:rsid w:val="00F01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BC847"/>
  <w15:chartTrackingRefBased/>
  <w15:docId w15:val="{C8E2CADA-305B-4480-986A-51165EBEB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559"/>
    <w:pPr>
      <w:spacing w:line="256" w:lineRule="auto"/>
    </w:pPr>
  </w:style>
  <w:style w:type="paragraph" w:styleId="Heading1">
    <w:name w:val="heading 1"/>
    <w:basedOn w:val="Normal"/>
    <w:next w:val="Normal"/>
    <w:link w:val="Heading1Char"/>
    <w:uiPriority w:val="9"/>
    <w:qFormat/>
    <w:rsid w:val="00AC1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59"/>
    <w:rPr>
      <w:rFonts w:eastAsiaTheme="majorEastAsia" w:cstheme="majorBidi"/>
      <w:color w:val="272727" w:themeColor="text1" w:themeTint="D8"/>
    </w:rPr>
  </w:style>
  <w:style w:type="paragraph" w:styleId="Title">
    <w:name w:val="Title"/>
    <w:basedOn w:val="Normal"/>
    <w:next w:val="Normal"/>
    <w:link w:val="TitleChar"/>
    <w:uiPriority w:val="10"/>
    <w:qFormat/>
    <w:rsid w:val="00AC1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59"/>
    <w:pPr>
      <w:spacing w:before="160"/>
      <w:jc w:val="center"/>
    </w:pPr>
    <w:rPr>
      <w:i/>
      <w:iCs/>
      <w:color w:val="404040" w:themeColor="text1" w:themeTint="BF"/>
    </w:rPr>
  </w:style>
  <w:style w:type="character" w:customStyle="1" w:styleId="QuoteChar">
    <w:name w:val="Quote Char"/>
    <w:basedOn w:val="DefaultParagraphFont"/>
    <w:link w:val="Quote"/>
    <w:uiPriority w:val="29"/>
    <w:rsid w:val="00AC1559"/>
    <w:rPr>
      <w:i/>
      <w:iCs/>
      <w:color w:val="404040" w:themeColor="text1" w:themeTint="BF"/>
    </w:rPr>
  </w:style>
  <w:style w:type="paragraph" w:styleId="ListParagraph">
    <w:name w:val="List Paragraph"/>
    <w:basedOn w:val="Normal"/>
    <w:uiPriority w:val="34"/>
    <w:qFormat/>
    <w:rsid w:val="00AC1559"/>
    <w:pPr>
      <w:ind w:left="720"/>
      <w:contextualSpacing/>
    </w:pPr>
  </w:style>
  <w:style w:type="character" w:styleId="IntenseEmphasis">
    <w:name w:val="Intense Emphasis"/>
    <w:basedOn w:val="DefaultParagraphFont"/>
    <w:uiPriority w:val="21"/>
    <w:qFormat/>
    <w:rsid w:val="00AC1559"/>
    <w:rPr>
      <w:i/>
      <w:iCs/>
      <w:color w:val="0F4761" w:themeColor="accent1" w:themeShade="BF"/>
    </w:rPr>
  </w:style>
  <w:style w:type="paragraph" w:styleId="IntenseQuote">
    <w:name w:val="Intense Quote"/>
    <w:basedOn w:val="Normal"/>
    <w:next w:val="Normal"/>
    <w:link w:val="IntenseQuoteChar"/>
    <w:uiPriority w:val="30"/>
    <w:qFormat/>
    <w:rsid w:val="00AC1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59"/>
    <w:rPr>
      <w:i/>
      <w:iCs/>
      <w:color w:val="0F4761" w:themeColor="accent1" w:themeShade="BF"/>
    </w:rPr>
  </w:style>
  <w:style w:type="character" w:styleId="IntenseReference">
    <w:name w:val="Intense Reference"/>
    <w:basedOn w:val="DefaultParagraphFont"/>
    <w:uiPriority w:val="32"/>
    <w:qFormat/>
    <w:rsid w:val="00AC1559"/>
    <w:rPr>
      <w:b/>
      <w:bCs/>
      <w:smallCaps/>
      <w:color w:val="0F4761" w:themeColor="accent1" w:themeShade="BF"/>
      <w:spacing w:val="5"/>
    </w:rPr>
  </w:style>
  <w:style w:type="paragraph" w:styleId="NormalWeb">
    <w:name w:val="Normal (Web)"/>
    <w:basedOn w:val="Normal"/>
    <w:uiPriority w:val="99"/>
    <w:semiHidden/>
    <w:unhideWhenUsed/>
    <w:rsid w:val="00AC15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20</Pages>
  <Words>6185</Words>
  <Characters>35261</Characters>
  <Application>Microsoft Office Word</Application>
  <DocSecurity>0</DocSecurity>
  <Lines>293</Lines>
  <Paragraphs>82</Paragraphs>
  <ScaleCrop>false</ScaleCrop>
  <Company/>
  <LinksUpToDate>false</LinksUpToDate>
  <CharactersWithSpaces>41364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4</cp:revision>
  <dcterms:created xsi:type="dcterms:W3CDTF">2026-02-21T13:35:00Z</dcterms:created>
  <dcterms:modified xsi:type="dcterms:W3CDTF">2026-03-07T07:56:00Z</dcterms:modified>
</cp:coreProperties>
</file>