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/>
    <w:bookmarkEnd w:id="0"/>
    <w:p w14:paraId="5F0361CF" w14:textId="70FC4E05" w:rsidR="006F2152" w:rsidRPr="002D3ADB" w:rsidRDefault="006F2152" w:rsidP="002D3ADB">
      <w:pPr>
        <w:spacing w:line="360" w:lineRule="auto"/>
        <w:jc w:val="center"/>
        <w:rPr>
          <w:b/>
          <w:bCs/>
        </w:rPr>
      </w:pPr>
      <w:r w:rsidRPr="002D3ADB">
        <w:rPr>
          <w:b/>
          <w:bCs/>
        </w:rPr>
        <w:fldChar w:fldCharType="begin"/>
      </w:r>
      <w:r w:rsidR="000D2115">
        <w:rPr>
          <w:b/>
          <w:bCs/>
        </w:rPr>
        <w:instrText xml:space="preserve"> INCLUDEPICTURE "C:\\var\\folders\\hv\\dplbmrbs5fg2dw0lykqsg35r0000gn\\T\\com.microsoft.Word\\WebArchiveCopyPasteTempFiles\\page2image28209968" \* MERGEFORMAT </w:instrText>
      </w:r>
      <w:r w:rsidRPr="002D3ADB">
        <w:rPr>
          <w:b/>
          <w:bCs/>
        </w:rPr>
        <w:fldChar w:fldCharType="separate"/>
      </w:r>
      <w:r w:rsidRPr="002D3ADB">
        <w:rPr>
          <w:b/>
          <w:bCs/>
          <w:noProof/>
        </w:rPr>
        <w:drawing>
          <wp:inline distT="0" distB="0" distL="0" distR="0" wp14:anchorId="117AD9FB" wp14:editId="7B8C124D">
            <wp:extent cx="3956488" cy="1573306"/>
            <wp:effectExtent l="0" t="0" r="0" b="1905"/>
            <wp:docPr id="1" name="Picture 1" descr="page2image282099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2image28209968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3810" cy="16120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3ADB">
        <w:rPr>
          <w:b/>
          <w:bCs/>
        </w:rPr>
        <w:fldChar w:fldCharType="end"/>
      </w:r>
    </w:p>
    <w:p w14:paraId="18716CAA" w14:textId="3A4730E4" w:rsidR="00214C04" w:rsidRPr="002D3ADB" w:rsidRDefault="00214C04" w:rsidP="002D3ADB">
      <w:pPr>
        <w:spacing w:line="360" w:lineRule="auto"/>
        <w:jc w:val="center"/>
        <w:rPr>
          <w:b/>
          <w:bCs/>
        </w:rPr>
      </w:pPr>
    </w:p>
    <w:p w14:paraId="582B75DD" w14:textId="165593BA" w:rsidR="00056318" w:rsidRPr="002D3ADB" w:rsidRDefault="00056318" w:rsidP="002D3ADB">
      <w:pPr>
        <w:spacing w:line="360" w:lineRule="auto"/>
        <w:jc w:val="center"/>
        <w:rPr>
          <w:b/>
          <w:bCs/>
        </w:rPr>
      </w:pPr>
    </w:p>
    <w:p w14:paraId="6C110462" w14:textId="77777777" w:rsidR="00056318" w:rsidRPr="002D3ADB" w:rsidRDefault="00056318" w:rsidP="002D3ADB">
      <w:pPr>
        <w:spacing w:line="360" w:lineRule="auto"/>
        <w:jc w:val="center"/>
        <w:rPr>
          <w:b/>
          <w:bCs/>
        </w:rPr>
      </w:pPr>
    </w:p>
    <w:p w14:paraId="3986E9AB" w14:textId="07BF2808" w:rsidR="006F2152" w:rsidRPr="002D3ADB" w:rsidRDefault="006F2152" w:rsidP="002D3ADB">
      <w:pPr>
        <w:spacing w:line="360" w:lineRule="auto"/>
        <w:jc w:val="center"/>
        <w:rPr>
          <w:b/>
          <w:bCs/>
        </w:rPr>
      </w:pPr>
    </w:p>
    <w:p w14:paraId="4B6F6564" w14:textId="640272C5" w:rsidR="006F2152" w:rsidRPr="002D3ADB" w:rsidRDefault="00633D7B" w:rsidP="002D3ADB">
      <w:pPr>
        <w:spacing w:line="360" w:lineRule="auto"/>
        <w:jc w:val="center"/>
        <w:rPr>
          <w:b/>
          <w:bCs/>
        </w:rPr>
      </w:pPr>
      <w:r w:rsidRPr="002D3ADB">
        <w:rPr>
          <w:b/>
          <w:bCs/>
        </w:rPr>
        <w:t>FINANCIAL</w:t>
      </w:r>
      <w:r w:rsidR="006F2152" w:rsidRPr="002D3ADB">
        <w:rPr>
          <w:b/>
          <w:bCs/>
        </w:rPr>
        <w:t xml:space="preserve"> MANAGEMENT (LCMB700</w:t>
      </w:r>
      <w:r w:rsidRPr="002D3ADB">
        <w:rPr>
          <w:b/>
          <w:bCs/>
        </w:rPr>
        <w:t>2</w:t>
      </w:r>
      <w:r w:rsidR="006F2152" w:rsidRPr="002D3ADB">
        <w:rPr>
          <w:b/>
          <w:bCs/>
        </w:rPr>
        <w:t>)</w:t>
      </w:r>
    </w:p>
    <w:p w14:paraId="3547DA0C" w14:textId="56FBC978" w:rsidR="006F2152" w:rsidRPr="002D3ADB" w:rsidRDefault="00B73451" w:rsidP="002D3ADB">
      <w:pPr>
        <w:spacing w:line="360" w:lineRule="auto"/>
        <w:jc w:val="center"/>
        <w:rPr>
          <w:b/>
          <w:bCs/>
        </w:rPr>
      </w:pPr>
      <w:r w:rsidRPr="002D3ADB">
        <w:rPr>
          <w:b/>
          <w:bCs/>
        </w:rPr>
        <w:t>ASSESSMENT</w:t>
      </w:r>
      <w:r w:rsidR="00633D7B" w:rsidRPr="002D3ADB">
        <w:rPr>
          <w:b/>
          <w:bCs/>
        </w:rPr>
        <w:t xml:space="preserve"> 1</w:t>
      </w:r>
    </w:p>
    <w:p w14:paraId="270F7614" w14:textId="77777777" w:rsidR="00214C04" w:rsidRPr="002D3ADB" w:rsidRDefault="00214C04" w:rsidP="002D3ADB">
      <w:pPr>
        <w:spacing w:line="360" w:lineRule="auto"/>
        <w:jc w:val="center"/>
        <w:rPr>
          <w:b/>
          <w:bCs/>
        </w:rPr>
      </w:pPr>
    </w:p>
    <w:p w14:paraId="0BD75423" w14:textId="63E21E2F" w:rsidR="00B73451" w:rsidRPr="002D3ADB" w:rsidRDefault="00B73451" w:rsidP="002D3ADB">
      <w:pPr>
        <w:spacing w:line="360" w:lineRule="auto"/>
        <w:jc w:val="center"/>
        <w:rPr>
          <w:b/>
          <w:bCs/>
        </w:rPr>
      </w:pPr>
    </w:p>
    <w:p w14:paraId="74ACD134" w14:textId="24E2B9D1" w:rsidR="00056318" w:rsidRPr="002D3ADB" w:rsidRDefault="00056318" w:rsidP="002D3ADB">
      <w:pPr>
        <w:spacing w:line="360" w:lineRule="auto"/>
        <w:jc w:val="center"/>
        <w:rPr>
          <w:b/>
          <w:bCs/>
        </w:rPr>
      </w:pPr>
    </w:p>
    <w:p w14:paraId="28FF5F91" w14:textId="77777777" w:rsidR="00056318" w:rsidRPr="002D3ADB" w:rsidRDefault="00056318" w:rsidP="002D3ADB">
      <w:pPr>
        <w:spacing w:line="360" w:lineRule="auto"/>
        <w:jc w:val="center"/>
        <w:rPr>
          <w:b/>
          <w:bCs/>
        </w:rPr>
      </w:pPr>
    </w:p>
    <w:p w14:paraId="0D8B511A" w14:textId="3B1B6FF4" w:rsidR="00B73451" w:rsidRPr="002D3ADB" w:rsidRDefault="00B73451" w:rsidP="002D3ADB">
      <w:pPr>
        <w:spacing w:line="360" w:lineRule="auto"/>
        <w:jc w:val="center"/>
        <w:rPr>
          <w:b/>
          <w:bCs/>
        </w:rPr>
      </w:pPr>
      <w:r w:rsidRPr="002D3ADB">
        <w:rPr>
          <w:b/>
          <w:bCs/>
        </w:rPr>
        <w:t>SUBMITTED BY:</w:t>
      </w:r>
    </w:p>
    <w:p w14:paraId="26A2BE75" w14:textId="6BB1B1DA" w:rsidR="00B73451" w:rsidRPr="002D3ADB" w:rsidRDefault="00B73451" w:rsidP="002D3ADB">
      <w:pPr>
        <w:spacing w:line="360" w:lineRule="auto"/>
        <w:jc w:val="center"/>
        <w:rPr>
          <w:b/>
          <w:bCs/>
        </w:rPr>
      </w:pPr>
      <w:r w:rsidRPr="002D3ADB">
        <w:rPr>
          <w:b/>
          <w:bCs/>
        </w:rPr>
        <w:t>ERIKA MAE M. PAGADUAN</w:t>
      </w:r>
    </w:p>
    <w:p w14:paraId="1B00D69C" w14:textId="79F1E4E1" w:rsidR="00B73451" w:rsidRPr="002D3ADB" w:rsidRDefault="00B73451" w:rsidP="002D3ADB">
      <w:pPr>
        <w:spacing w:line="360" w:lineRule="auto"/>
        <w:jc w:val="center"/>
        <w:rPr>
          <w:b/>
          <w:bCs/>
        </w:rPr>
      </w:pPr>
      <w:r w:rsidRPr="002D3ADB">
        <w:rPr>
          <w:b/>
          <w:bCs/>
        </w:rPr>
        <w:t>STUDENT NUMBER: 1604894</w:t>
      </w:r>
    </w:p>
    <w:p w14:paraId="4FE69262" w14:textId="5B8AA32D" w:rsidR="00EC1A59" w:rsidRPr="002D3ADB" w:rsidRDefault="00EC1A59" w:rsidP="002D3ADB">
      <w:pPr>
        <w:spacing w:line="360" w:lineRule="auto"/>
        <w:jc w:val="center"/>
        <w:rPr>
          <w:b/>
          <w:bCs/>
        </w:rPr>
      </w:pPr>
    </w:p>
    <w:p w14:paraId="70A2CC90" w14:textId="1731AD4B" w:rsidR="00EC1A59" w:rsidRPr="002D3ADB" w:rsidRDefault="00EC1A59" w:rsidP="002D3ADB">
      <w:pPr>
        <w:spacing w:line="360" w:lineRule="auto"/>
        <w:jc w:val="center"/>
        <w:rPr>
          <w:b/>
          <w:bCs/>
        </w:rPr>
      </w:pPr>
    </w:p>
    <w:p w14:paraId="1BE2F021" w14:textId="680212F1" w:rsidR="00214C04" w:rsidRPr="002D3ADB" w:rsidRDefault="00214C04" w:rsidP="002D3ADB">
      <w:pPr>
        <w:spacing w:line="360" w:lineRule="auto"/>
        <w:jc w:val="center"/>
        <w:rPr>
          <w:b/>
          <w:bCs/>
        </w:rPr>
      </w:pPr>
    </w:p>
    <w:p w14:paraId="329D9C84" w14:textId="638A3C2F" w:rsidR="00056318" w:rsidRPr="002D3ADB" w:rsidRDefault="00056318" w:rsidP="002D3ADB">
      <w:pPr>
        <w:spacing w:line="360" w:lineRule="auto"/>
        <w:jc w:val="center"/>
        <w:rPr>
          <w:b/>
          <w:bCs/>
        </w:rPr>
      </w:pPr>
    </w:p>
    <w:p w14:paraId="4933B4CF" w14:textId="6FEAB8EA" w:rsidR="00056318" w:rsidRPr="002D3ADB" w:rsidRDefault="00056318" w:rsidP="002D3ADB">
      <w:pPr>
        <w:spacing w:line="360" w:lineRule="auto"/>
        <w:jc w:val="center"/>
        <w:rPr>
          <w:b/>
          <w:bCs/>
        </w:rPr>
      </w:pPr>
    </w:p>
    <w:p w14:paraId="69CF2F76" w14:textId="0D036E05" w:rsidR="00EC1A59" w:rsidRPr="002D3ADB" w:rsidRDefault="00EC1A59" w:rsidP="002D3ADB">
      <w:pPr>
        <w:spacing w:line="360" w:lineRule="auto"/>
        <w:jc w:val="center"/>
        <w:rPr>
          <w:b/>
          <w:bCs/>
        </w:rPr>
      </w:pPr>
      <w:r w:rsidRPr="002D3ADB">
        <w:rPr>
          <w:b/>
          <w:bCs/>
        </w:rPr>
        <w:lastRenderedPageBreak/>
        <w:t>MODULE LECTURER:</w:t>
      </w:r>
    </w:p>
    <w:p w14:paraId="02884CD6" w14:textId="4CE3A140" w:rsidR="00A77CBC" w:rsidRDefault="00633D7B" w:rsidP="002D3ADB">
      <w:pPr>
        <w:spacing w:line="360" w:lineRule="auto"/>
        <w:jc w:val="center"/>
        <w:rPr>
          <w:b/>
          <w:bCs/>
        </w:rPr>
      </w:pPr>
      <w:r w:rsidRPr="002D3ADB">
        <w:rPr>
          <w:b/>
          <w:bCs/>
        </w:rPr>
        <w:t>JIA</w:t>
      </w:r>
      <w:r w:rsidR="00E35A05" w:rsidRPr="002D3ADB">
        <w:rPr>
          <w:b/>
          <w:bCs/>
        </w:rPr>
        <w:t xml:space="preserve"> MIAO</w:t>
      </w:r>
    </w:p>
    <w:p w14:paraId="0844A7BD" w14:textId="542EC788" w:rsidR="00F05A1E" w:rsidRPr="002D3ADB" w:rsidRDefault="00A77CBC" w:rsidP="00A77CBC">
      <w:pPr>
        <w:rPr>
          <w:b/>
          <w:bCs/>
        </w:rPr>
      </w:pPr>
      <w:r>
        <w:rPr>
          <w:b/>
          <w:bCs/>
        </w:rPr>
        <w:br w:type="page"/>
      </w: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lang w:val="en-GB" w:eastAsia="en-GB"/>
        </w:rPr>
        <w:id w:val="212310944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EAC52EA" w14:textId="5818822A" w:rsidR="008E544F" w:rsidRPr="002D3ADB" w:rsidRDefault="008E544F" w:rsidP="002D3ADB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2D3ADB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6DD4B39E" w14:textId="37D9E081" w:rsidR="00D61006" w:rsidRDefault="008E544F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r w:rsidRPr="002D3ADB">
            <w:rPr>
              <w:rFonts w:ascii="Times New Roman" w:hAnsi="Times New Roman" w:cs="Times New Roman"/>
              <w:b w:val="0"/>
              <w:bCs w:val="0"/>
            </w:rPr>
            <w:fldChar w:fldCharType="begin"/>
          </w:r>
          <w:r w:rsidRPr="002D3ADB">
            <w:rPr>
              <w:rFonts w:ascii="Times New Roman" w:hAnsi="Times New Roman" w:cs="Times New Roman"/>
            </w:rPr>
            <w:instrText xml:space="preserve"> TOC \o "1-3" \h \z \u </w:instrText>
          </w:r>
          <w:r w:rsidRPr="002D3ADB">
            <w:rPr>
              <w:rFonts w:ascii="Times New Roman" w:hAnsi="Times New Roman" w:cs="Times New Roman"/>
              <w:b w:val="0"/>
              <w:bCs w:val="0"/>
            </w:rPr>
            <w:fldChar w:fldCharType="separate"/>
          </w:r>
          <w:hyperlink w:anchor="_Toc61893734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List of Figures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_Toc61893734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3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13FB97D5" w14:textId="7B60068E" w:rsidR="00D61006" w:rsidRDefault="000D2115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61893735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List of Tables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_Toc61893735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3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35FC7B5B" w14:textId="5D7F32A5" w:rsidR="00D61006" w:rsidRDefault="000D2115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61893736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Part A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_Toc61893736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4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321515A5" w14:textId="2D47B325" w:rsidR="00D61006" w:rsidRDefault="000D2115">
          <w:pPr>
            <w:pStyle w:val="TOC2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61893737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AstraZeneca PLC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_Toc61893737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4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6DEC2EA2" w14:textId="5B9BFAC0" w:rsidR="00D61006" w:rsidRDefault="000D2115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61893738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Part B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_Toc61893738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5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18C5F8EF" w14:textId="753E87E9" w:rsidR="00D61006" w:rsidRDefault="000D2115">
          <w:pPr>
            <w:pStyle w:val="TOC2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61893739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Financial Performance Analysis of AstraZeneca PLC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_Toc61893739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5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7DEBBADE" w14:textId="4552294F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40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Profitability Ratios: Calculations, Comparative Analysis and Recommendations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_Toc61893740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11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576CD2E1" w14:textId="42971BAA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41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Asset Efficiency Ratios: Calculations, Comparative Analysis and Recommendations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_Toc61893741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12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04E2E1E0" w14:textId="21367697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42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Investment Returns Ratios: Calculations, Comparative Analysis and Recommendations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_Toc61893742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13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0F000394" w14:textId="32541438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43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Liquidity Ratios: Calculations, Comparative Analysis and Recommendations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_Toc61893743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13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0E95F6E5" w14:textId="4A119482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44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Leverage/Gearing Ratios: Calculations, Comparative Analysis and Recommendations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_Toc61893744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15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2A2D7686" w14:textId="75C4905C" w:rsidR="00D61006" w:rsidRDefault="000D2115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61893745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Part C – Investment Appraisal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_Toc61893745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17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2D28C986" w14:textId="6FB1C5DE" w:rsidR="00D61006" w:rsidRDefault="000D2115">
          <w:pPr>
            <w:pStyle w:val="TOC2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61893746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Payback Period (PBP) Method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_Toc61893746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17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10C7E12A" w14:textId="419B6560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47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Advantages and Disadvantages of Payback Period (PBP) Method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_Toc61893747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17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5F15C6AC" w14:textId="206BE581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48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Project A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_Toc61893748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18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61739A16" w14:textId="20CB129B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49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Project B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_Toc61893749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19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2AEB2386" w14:textId="586E67DB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50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Decision using Payback Period (PBP) Method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_Toc61893750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19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19BE83E1" w14:textId="6623191B" w:rsidR="00D61006" w:rsidRDefault="000D2115">
          <w:pPr>
            <w:pStyle w:val="TOC2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61893751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Accounting Rate of Return (ARR Method)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_Toc61893751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20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3CD60B0E" w14:textId="475035D7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52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Advantages and Disadvantages of Accounting Rate of Return (ARR) Method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_Toc61893752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20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7A72FA63" w14:textId="53D469B9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53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Project A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_Toc61893753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21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27FCB428" w14:textId="0B2E2B73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54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Project B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_Toc61893754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21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249836AD" w14:textId="4F23D915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55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Decision using Accounting Rate of Return (ARR) Method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_Toc61893755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22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7E766402" w14:textId="654235CA" w:rsidR="00D61006" w:rsidRDefault="000D2115">
          <w:pPr>
            <w:pStyle w:val="TOC2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61893756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Net Present Value (NPV) Method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_Toc61893756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23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1EE7A6C7" w14:textId="07C72AB3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57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Advantages and Disadvantages of Net Present Value (NPV) Method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_Toc61893757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23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37F5D21F" w14:textId="22730C1B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58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Project A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_Toc61893758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23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6C8AC115" w14:textId="34263658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59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Project B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_Toc61893759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24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221E29F5" w14:textId="1325105B" w:rsidR="00D61006" w:rsidRDefault="000D2115">
          <w:pPr>
            <w:pStyle w:val="TOC3"/>
            <w:rPr>
              <w:rFonts w:eastAsiaTheme="minorEastAsia" w:cstheme="minorBidi"/>
              <w:noProof/>
              <w:sz w:val="24"/>
              <w:szCs w:val="24"/>
            </w:rPr>
          </w:pPr>
          <w:hyperlink w:anchor="_Toc61893760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Decision using Net Present Value (NPV) Method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_Toc61893760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24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7A3C620F" w14:textId="6BB32D91" w:rsidR="00D61006" w:rsidRDefault="000D2115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61893761" w:history="1">
            <w:r w:rsidR="00D61006" w:rsidRPr="0021400C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D61006">
              <w:rPr>
                <w:noProof/>
                <w:webHidden/>
              </w:rPr>
              <w:tab/>
            </w:r>
            <w:r w:rsidR="00D61006">
              <w:rPr>
                <w:noProof/>
                <w:webHidden/>
              </w:rPr>
              <w:fldChar w:fldCharType="begin"/>
            </w:r>
            <w:r w:rsidR="00D61006">
              <w:rPr>
                <w:noProof/>
                <w:webHidden/>
              </w:rPr>
              <w:instrText xml:space="preserve"> PAGEREF _Toc61893761 \h </w:instrText>
            </w:r>
            <w:r w:rsidR="00D61006">
              <w:rPr>
                <w:noProof/>
                <w:webHidden/>
              </w:rPr>
            </w:r>
            <w:r w:rsidR="00D61006">
              <w:rPr>
                <w:noProof/>
                <w:webHidden/>
              </w:rPr>
              <w:fldChar w:fldCharType="separate"/>
            </w:r>
            <w:r w:rsidR="00D61006">
              <w:rPr>
                <w:noProof/>
                <w:webHidden/>
              </w:rPr>
              <w:t>25</w:t>
            </w:r>
            <w:r w:rsidR="00D61006">
              <w:rPr>
                <w:noProof/>
                <w:webHidden/>
              </w:rPr>
              <w:fldChar w:fldCharType="end"/>
            </w:r>
          </w:hyperlink>
        </w:p>
        <w:p w14:paraId="13F5CDBA" w14:textId="798AD348" w:rsidR="008E544F" w:rsidRPr="002D3ADB" w:rsidRDefault="008E544F" w:rsidP="002D3ADB">
          <w:pPr>
            <w:spacing w:line="360" w:lineRule="auto"/>
            <w:jc w:val="both"/>
          </w:pPr>
          <w:r w:rsidRPr="002D3ADB">
            <w:rPr>
              <w:b/>
              <w:bCs/>
              <w:noProof/>
            </w:rPr>
            <w:fldChar w:fldCharType="end"/>
          </w:r>
        </w:p>
      </w:sdtContent>
    </w:sdt>
    <w:p w14:paraId="6C2E071A" w14:textId="1D4AFBDF" w:rsidR="00DE5DC2" w:rsidRPr="002D3ADB" w:rsidRDefault="00DE5DC2" w:rsidP="002D3ADB">
      <w:pPr>
        <w:spacing w:line="360" w:lineRule="auto"/>
        <w:jc w:val="both"/>
      </w:pPr>
      <w:r w:rsidRPr="002D3ADB">
        <w:br w:type="page"/>
      </w:r>
    </w:p>
    <w:p w14:paraId="28C4E03B" w14:textId="060523C3" w:rsidR="00DE5DC2" w:rsidRPr="002D3ADB" w:rsidRDefault="00DE5DC2" w:rsidP="002D3ADB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" w:name="_Toc61893734"/>
      <w:r w:rsidRPr="002D3ADB">
        <w:rPr>
          <w:rFonts w:ascii="Times New Roman" w:hAnsi="Times New Roman" w:cs="Times New Roman"/>
          <w:sz w:val="24"/>
          <w:szCs w:val="24"/>
        </w:rPr>
        <w:lastRenderedPageBreak/>
        <w:t>List of Figures</w:t>
      </w:r>
      <w:bookmarkEnd w:id="1"/>
    </w:p>
    <w:p w14:paraId="54706FF3" w14:textId="443DEB6B" w:rsidR="00E541C4" w:rsidRDefault="00DE5DC2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r w:rsidRPr="002D3ADB">
        <w:rPr>
          <w:rFonts w:ascii="Times New Roman" w:hAnsi="Times New Roman" w:cs="Times New Roman"/>
          <w:sz w:val="24"/>
          <w:szCs w:val="24"/>
          <w:lang w:eastAsia="en-US"/>
        </w:rPr>
        <w:fldChar w:fldCharType="begin"/>
      </w:r>
      <w:r w:rsidRPr="002D3ADB">
        <w:rPr>
          <w:rFonts w:ascii="Times New Roman" w:hAnsi="Times New Roman" w:cs="Times New Roman"/>
          <w:sz w:val="24"/>
          <w:szCs w:val="24"/>
          <w:lang w:eastAsia="en-US"/>
        </w:rPr>
        <w:instrText xml:space="preserve"> TOC \h \z \c "Figure" </w:instrText>
      </w:r>
      <w:r w:rsidRPr="002D3ADB">
        <w:rPr>
          <w:rFonts w:ascii="Times New Roman" w:hAnsi="Times New Roman" w:cs="Times New Roman"/>
          <w:sz w:val="24"/>
          <w:szCs w:val="24"/>
          <w:lang w:eastAsia="en-US"/>
        </w:rPr>
        <w:fldChar w:fldCharType="separate"/>
      </w:r>
      <w:hyperlink w:anchor="_Toc61893762" w:history="1">
        <w:r w:rsidR="00E541C4" w:rsidRPr="002D2413">
          <w:rPr>
            <w:rStyle w:val="Hyperlink"/>
            <w:noProof/>
          </w:rPr>
          <w:t>Figure 1: AstraZeneca’s Comparative Income Statement for 2017-2019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_Toc61893762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6</w:t>
        </w:r>
        <w:r w:rsidR="00E541C4">
          <w:rPr>
            <w:noProof/>
            <w:webHidden/>
          </w:rPr>
          <w:fldChar w:fldCharType="end"/>
        </w:r>
      </w:hyperlink>
    </w:p>
    <w:p w14:paraId="7883B0F7" w14:textId="7D972250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63" w:history="1">
        <w:r w:rsidR="00E541C4" w:rsidRPr="002D2413">
          <w:rPr>
            <w:rStyle w:val="Hyperlink"/>
            <w:noProof/>
          </w:rPr>
          <w:t>Figure 2: AstraZeneca’s Comparative Income Statement for 2015-2017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_Toc61893763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7</w:t>
        </w:r>
        <w:r w:rsidR="00E541C4">
          <w:rPr>
            <w:noProof/>
            <w:webHidden/>
          </w:rPr>
          <w:fldChar w:fldCharType="end"/>
        </w:r>
      </w:hyperlink>
    </w:p>
    <w:p w14:paraId="6F28DEF3" w14:textId="28DA51D9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64" w:history="1">
        <w:r w:rsidR="00E541C4" w:rsidRPr="002D2413">
          <w:rPr>
            <w:rStyle w:val="Hyperlink"/>
            <w:noProof/>
          </w:rPr>
          <w:t>Figure 3: AstraZeneca's Comparative Balance Sheet for 2017-2019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_Toc61893764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8</w:t>
        </w:r>
        <w:r w:rsidR="00E541C4">
          <w:rPr>
            <w:noProof/>
            <w:webHidden/>
          </w:rPr>
          <w:fldChar w:fldCharType="end"/>
        </w:r>
      </w:hyperlink>
    </w:p>
    <w:p w14:paraId="0DFE0DC9" w14:textId="278BCC62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65" w:history="1">
        <w:r w:rsidR="00E541C4" w:rsidRPr="002D2413">
          <w:rPr>
            <w:rStyle w:val="Hyperlink"/>
            <w:noProof/>
          </w:rPr>
          <w:t>Figure 4: AstraZeneca's Comparative Balance Sheet for 2015-2017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_Toc61893765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9</w:t>
        </w:r>
        <w:r w:rsidR="00E541C4">
          <w:rPr>
            <w:noProof/>
            <w:webHidden/>
          </w:rPr>
          <w:fldChar w:fldCharType="end"/>
        </w:r>
      </w:hyperlink>
    </w:p>
    <w:p w14:paraId="66639516" w14:textId="675A7CF8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66" w:history="1">
        <w:r w:rsidR="00E541C4" w:rsidRPr="002D2413">
          <w:rPr>
            <w:rStyle w:val="Hyperlink"/>
            <w:noProof/>
          </w:rPr>
          <w:t>Figure 5: Overview of AstraZeneca's Financial Ratio From 2015-2019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_Toc61893766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10</w:t>
        </w:r>
        <w:r w:rsidR="00E541C4">
          <w:rPr>
            <w:noProof/>
            <w:webHidden/>
          </w:rPr>
          <w:fldChar w:fldCharType="end"/>
        </w:r>
      </w:hyperlink>
    </w:p>
    <w:p w14:paraId="59A8D9CD" w14:textId="155B4842" w:rsidR="00DE5DC2" w:rsidRPr="002D3ADB" w:rsidRDefault="00DE5DC2" w:rsidP="002D3ADB">
      <w:pPr>
        <w:spacing w:line="360" w:lineRule="auto"/>
        <w:jc w:val="both"/>
        <w:rPr>
          <w:lang w:eastAsia="en-US"/>
        </w:rPr>
      </w:pPr>
      <w:r w:rsidRPr="002D3ADB">
        <w:rPr>
          <w:lang w:eastAsia="en-US"/>
        </w:rPr>
        <w:fldChar w:fldCharType="end"/>
      </w:r>
    </w:p>
    <w:p w14:paraId="3CD8BFC6" w14:textId="3CB4BEBF" w:rsidR="00521A31" w:rsidRPr="002D3ADB" w:rsidRDefault="00521A31" w:rsidP="002D3ADB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" w:name="_Toc61893735"/>
      <w:r w:rsidRPr="002D3ADB">
        <w:rPr>
          <w:rFonts w:ascii="Times New Roman" w:hAnsi="Times New Roman" w:cs="Times New Roman"/>
          <w:sz w:val="24"/>
          <w:szCs w:val="24"/>
        </w:rPr>
        <w:t>List of Tables</w:t>
      </w:r>
      <w:bookmarkEnd w:id="2"/>
    </w:p>
    <w:p w14:paraId="7BF8F8A9" w14:textId="4F4FD86D" w:rsidR="00E541C4" w:rsidRDefault="00521A31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r w:rsidRPr="002D3ADB">
        <w:rPr>
          <w:rFonts w:ascii="Times New Roman" w:hAnsi="Times New Roman" w:cs="Times New Roman"/>
          <w:sz w:val="24"/>
          <w:szCs w:val="24"/>
          <w:lang w:eastAsia="en-US"/>
        </w:rPr>
        <w:fldChar w:fldCharType="begin"/>
      </w:r>
      <w:r w:rsidRPr="002D3ADB">
        <w:rPr>
          <w:rFonts w:ascii="Times New Roman" w:hAnsi="Times New Roman" w:cs="Times New Roman"/>
          <w:sz w:val="24"/>
          <w:szCs w:val="24"/>
          <w:lang w:eastAsia="en-US"/>
        </w:rPr>
        <w:instrText xml:space="preserve"> TOC \h \z \c "Table" </w:instrText>
      </w:r>
      <w:r w:rsidRPr="002D3ADB">
        <w:rPr>
          <w:rFonts w:ascii="Times New Roman" w:hAnsi="Times New Roman" w:cs="Times New Roman"/>
          <w:sz w:val="24"/>
          <w:szCs w:val="24"/>
          <w:lang w:eastAsia="en-US"/>
        </w:rPr>
        <w:fldChar w:fldCharType="separate"/>
      </w:r>
      <w:hyperlink w:anchor="_Toc61893767" w:history="1">
        <w:r w:rsidR="00E541C4" w:rsidRPr="000713ED">
          <w:rPr>
            <w:rStyle w:val="Hyperlink"/>
            <w:noProof/>
          </w:rPr>
          <w:t>Table 1: Profitability Ratios of AstraZeneca PLC for 2015-2019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_Toc61893767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11</w:t>
        </w:r>
        <w:r w:rsidR="00E541C4">
          <w:rPr>
            <w:noProof/>
            <w:webHidden/>
          </w:rPr>
          <w:fldChar w:fldCharType="end"/>
        </w:r>
      </w:hyperlink>
    </w:p>
    <w:p w14:paraId="196867EE" w14:textId="758DFED1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68" w:history="1">
        <w:r w:rsidR="00E541C4" w:rsidRPr="000713ED">
          <w:rPr>
            <w:rStyle w:val="Hyperlink"/>
            <w:noProof/>
          </w:rPr>
          <w:t>Table 2: Asset Efficiency Ratios of AstraZeneca PLC for 2015-2019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_Toc61893768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12</w:t>
        </w:r>
        <w:r w:rsidR="00E541C4">
          <w:rPr>
            <w:noProof/>
            <w:webHidden/>
          </w:rPr>
          <w:fldChar w:fldCharType="end"/>
        </w:r>
      </w:hyperlink>
    </w:p>
    <w:p w14:paraId="5567C4BD" w14:textId="324504F8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69" w:history="1">
        <w:r w:rsidR="00E541C4" w:rsidRPr="000713ED">
          <w:rPr>
            <w:rStyle w:val="Hyperlink"/>
            <w:noProof/>
          </w:rPr>
          <w:t>Table 3: Investment Return Ratios of AstraZeneca PLC for 2015-2019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_Toc61893769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13</w:t>
        </w:r>
        <w:r w:rsidR="00E541C4">
          <w:rPr>
            <w:noProof/>
            <w:webHidden/>
          </w:rPr>
          <w:fldChar w:fldCharType="end"/>
        </w:r>
      </w:hyperlink>
    </w:p>
    <w:p w14:paraId="08F3781B" w14:textId="46843533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70" w:history="1">
        <w:r w:rsidR="00E541C4" w:rsidRPr="000713ED">
          <w:rPr>
            <w:rStyle w:val="Hyperlink"/>
            <w:noProof/>
          </w:rPr>
          <w:t>Table 4: Liquidity Ratios of AstraZeneca PLC for 2015-2019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_Toc61893770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15</w:t>
        </w:r>
        <w:r w:rsidR="00E541C4">
          <w:rPr>
            <w:noProof/>
            <w:webHidden/>
          </w:rPr>
          <w:fldChar w:fldCharType="end"/>
        </w:r>
      </w:hyperlink>
    </w:p>
    <w:p w14:paraId="7F53576E" w14:textId="524F7D1F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71" w:history="1">
        <w:r w:rsidR="00E541C4" w:rsidRPr="000713ED">
          <w:rPr>
            <w:rStyle w:val="Hyperlink"/>
            <w:noProof/>
          </w:rPr>
          <w:t>Table 5: Leverage/Gearing Ratios of AstraZeneca PLC for 2015-201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_Toc61893771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16</w:t>
        </w:r>
        <w:r w:rsidR="00E541C4">
          <w:rPr>
            <w:noProof/>
            <w:webHidden/>
          </w:rPr>
          <w:fldChar w:fldCharType="end"/>
        </w:r>
      </w:hyperlink>
    </w:p>
    <w:p w14:paraId="3B4E1CEF" w14:textId="49A9CD02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72" w:history="1">
        <w:r w:rsidR="00E541C4" w:rsidRPr="000713ED">
          <w:rPr>
            <w:rStyle w:val="Hyperlink"/>
            <w:noProof/>
          </w:rPr>
          <w:t>Table 6: Cash Outflow and Inflow of Project A and B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_Toc61893772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17</w:t>
        </w:r>
        <w:r w:rsidR="00E541C4">
          <w:rPr>
            <w:noProof/>
            <w:webHidden/>
          </w:rPr>
          <w:fldChar w:fldCharType="end"/>
        </w:r>
      </w:hyperlink>
    </w:p>
    <w:p w14:paraId="3EB8CDF9" w14:textId="59A09991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73" w:history="1">
        <w:r w:rsidR="00E541C4" w:rsidRPr="000713ED">
          <w:rPr>
            <w:rStyle w:val="Hyperlink"/>
            <w:noProof/>
          </w:rPr>
          <w:t>Table 7: Project A's Payback Period Computation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_Toc61893773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18</w:t>
        </w:r>
        <w:r w:rsidR="00E541C4">
          <w:rPr>
            <w:noProof/>
            <w:webHidden/>
          </w:rPr>
          <w:fldChar w:fldCharType="end"/>
        </w:r>
      </w:hyperlink>
    </w:p>
    <w:p w14:paraId="52C2986E" w14:textId="2300D9A1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74" w:history="1">
        <w:r w:rsidR="00E541C4" w:rsidRPr="000713ED">
          <w:rPr>
            <w:rStyle w:val="Hyperlink"/>
            <w:noProof/>
          </w:rPr>
          <w:t>Table 8: Project B's Payback Period Computation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_Toc61893774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19</w:t>
        </w:r>
        <w:r w:rsidR="00E541C4">
          <w:rPr>
            <w:noProof/>
            <w:webHidden/>
          </w:rPr>
          <w:fldChar w:fldCharType="end"/>
        </w:r>
      </w:hyperlink>
    </w:p>
    <w:p w14:paraId="0E5E9F09" w14:textId="78313A7A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75" w:history="1">
        <w:r w:rsidR="00E541C4" w:rsidRPr="000713ED">
          <w:rPr>
            <w:rStyle w:val="Hyperlink"/>
            <w:noProof/>
          </w:rPr>
          <w:t>Table 9: Project A's Net Present Value (NPV) Computation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_Toc61893775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23</w:t>
        </w:r>
        <w:r w:rsidR="00E541C4">
          <w:rPr>
            <w:noProof/>
            <w:webHidden/>
          </w:rPr>
          <w:fldChar w:fldCharType="end"/>
        </w:r>
      </w:hyperlink>
    </w:p>
    <w:p w14:paraId="5F07E566" w14:textId="2AC39037" w:rsidR="00E541C4" w:rsidRDefault="000D2115">
      <w:pPr>
        <w:pStyle w:val="TableofFigures"/>
        <w:tabs>
          <w:tab w:val="right" w:leader="dot" w:pos="9350"/>
        </w:tabs>
        <w:rPr>
          <w:rFonts w:eastAsiaTheme="minorEastAsia" w:cstheme="minorBidi"/>
          <w:smallCaps w:val="0"/>
          <w:noProof/>
          <w:sz w:val="24"/>
          <w:szCs w:val="24"/>
        </w:rPr>
      </w:pPr>
      <w:hyperlink w:anchor="_Toc61893776" w:history="1">
        <w:r w:rsidR="00E541C4" w:rsidRPr="000713ED">
          <w:rPr>
            <w:rStyle w:val="Hyperlink"/>
            <w:noProof/>
          </w:rPr>
          <w:t>Table 10: Project B's Net Present Value (NPV) Computation</w:t>
        </w:r>
        <w:r w:rsidR="00E541C4">
          <w:rPr>
            <w:noProof/>
            <w:webHidden/>
          </w:rPr>
          <w:tab/>
        </w:r>
        <w:r w:rsidR="00E541C4">
          <w:rPr>
            <w:noProof/>
            <w:webHidden/>
          </w:rPr>
          <w:fldChar w:fldCharType="begin"/>
        </w:r>
        <w:r w:rsidR="00E541C4">
          <w:rPr>
            <w:noProof/>
            <w:webHidden/>
          </w:rPr>
          <w:instrText xml:space="preserve"> PAGEREF _Toc61893776 \h </w:instrText>
        </w:r>
        <w:r w:rsidR="00E541C4">
          <w:rPr>
            <w:noProof/>
            <w:webHidden/>
          </w:rPr>
        </w:r>
        <w:r w:rsidR="00E541C4">
          <w:rPr>
            <w:noProof/>
            <w:webHidden/>
          </w:rPr>
          <w:fldChar w:fldCharType="separate"/>
        </w:r>
        <w:r w:rsidR="00E541C4">
          <w:rPr>
            <w:noProof/>
            <w:webHidden/>
          </w:rPr>
          <w:t>24</w:t>
        </w:r>
        <w:r w:rsidR="00E541C4">
          <w:rPr>
            <w:noProof/>
            <w:webHidden/>
          </w:rPr>
          <w:fldChar w:fldCharType="end"/>
        </w:r>
      </w:hyperlink>
    </w:p>
    <w:p w14:paraId="70F15881" w14:textId="4CF85EAF" w:rsidR="00521A31" w:rsidRPr="002D3ADB" w:rsidRDefault="00521A31" w:rsidP="002D3ADB">
      <w:pPr>
        <w:spacing w:line="360" w:lineRule="auto"/>
        <w:jc w:val="both"/>
        <w:rPr>
          <w:lang w:eastAsia="en-US"/>
        </w:rPr>
      </w:pPr>
      <w:r w:rsidRPr="002D3ADB">
        <w:rPr>
          <w:lang w:eastAsia="en-US"/>
        </w:rPr>
        <w:fldChar w:fldCharType="end"/>
      </w:r>
    </w:p>
    <w:p w14:paraId="731493F4" w14:textId="77777777" w:rsidR="008E544F" w:rsidRPr="002D3ADB" w:rsidRDefault="008E544F" w:rsidP="002D3ADB">
      <w:pPr>
        <w:spacing w:line="360" w:lineRule="auto"/>
        <w:jc w:val="both"/>
        <w:rPr>
          <w:rFonts w:eastAsiaTheme="majorEastAsia"/>
          <w:color w:val="2F5496" w:themeColor="accent1" w:themeShade="BF"/>
          <w:lang w:eastAsia="en-US"/>
        </w:rPr>
      </w:pPr>
      <w:r w:rsidRPr="002D3ADB">
        <w:br w:type="page"/>
      </w:r>
    </w:p>
    <w:p w14:paraId="74C80F67" w14:textId="5BE81EFF" w:rsidR="00E00077" w:rsidRPr="002D3ADB" w:rsidRDefault="00EF41FA" w:rsidP="002D3ADB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3" w:name="_Toc61440711"/>
      <w:bookmarkStart w:id="4" w:name="_Toc61893736"/>
      <w:r w:rsidRPr="002D3ADB">
        <w:rPr>
          <w:rFonts w:ascii="Times New Roman" w:hAnsi="Times New Roman" w:cs="Times New Roman"/>
          <w:sz w:val="24"/>
          <w:szCs w:val="24"/>
        </w:rPr>
        <w:lastRenderedPageBreak/>
        <w:t>Part A</w:t>
      </w:r>
      <w:bookmarkEnd w:id="3"/>
      <w:bookmarkEnd w:id="4"/>
    </w:p>
    <w:p w14:paraId="0411DAE9" w14:textId="76ECA7AB" w:rsidR="00EF41FA" w:rsidRPr="002D3ADB" w:rsidRDefault="0008674D" w:rsidP="002D3ADB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5" w:name="_Toc61440712"/>
      <w:bookmarkStart w:id="6" w:name="_Toc61893737"/>
      <w:r w:rsidRPr="002D3ADB">
        <w:rPr>
          <w:rFonts w:ascii="Times New Roman" w:hAnsi="Times New Roman" w:cs="Times New Roman"/>
          <w:sz w:val="24"/>
          <w:szCs w:val="24"/>
        </w:rPr>
        <w:t>AstraZeneca PLC</w:t>
      </w:r>
      <w:bookmarkEnd w:id="5"/>
      <w:bookmarkEnd w:id="6"/>
    </w:p>
    <w:p w14:paraId="5A38F522" w14:textId="25ECAAD3" w:rsidR="006B4885" w:rsidRPr="002D3ADB" w:rsidRDefault="00323AEB" w:rsidP="002D3ADB">
      <w:pPr>
        <w:spacing w:line="360" w:lineRule="auto"/>
        <w:jc w:val="both"/>
        <w:rPr>
          <w:lang w:eastAsia="en-US"/>
        </w:rPr>
      </w:pPr>
      <w:r w:rsidRPr="002D3ADB">
        <w:rPr>
          <w:lang w:eastAsia="en-US"/>
        </w:rPr>
        <w:t xml:space="preserve">AstraZeneca </w:t>
      </w:r>
      <w:r w:rsidR="008B5E1C" w:rsidRPr="002D3ADB">
        <w:rPr>
          <w:lang w:eastAsia="en-US"/>
        </w:rPr>
        <w:t>is a British-Swedish public limited company</w:t>
      </w:r>
      <w:r w:rsidR="004E2ED1" w:rsidRPr="002D3ADB">
        <w:rPr>
          <w:lang w:eastAsia="en-US"/>
        </w:rPr>
        <w:t xml:space="preserve"> </w:t>
      </w:r>
      <w:r w:rsidR="00FA4607" w:rsidRPr="002D3ADB">
        <w:rPr>
          <w:lang w:eastAsia="en-US"/>
        </w:rPr>
        <w:t xml:space="preserve">which started in 1999 through the merger of </w:t>
      </w:r>
      <w:r w:rsidR="00807CCB" w:rsidRPr="002D3ADB">
        <w:rPr>
          <w:lang w:eastAsia="en-US"/>
        </w:rPr>
        <w:t xml:space="preserve">the </w:t>
      </w:r>
      <w:r w:rsidR="00FA4607" w:rsidRPr="002D3ADB">
        <w:rPr>
          <w:lang w:eastAsia="en-US"/>
        </w:rPr>
        <w:t xml:space="preserve">British pharmaceutical company </w:t>
      </w:r>
      <w:r w:rsidR="00807CCB" w:rsidRPr="002D3ADB">
        <w:rPr>
          <w:lang w:eastAsia="en-US"/>
        </w:rPr>
        <w:t xml:space="preserve">Zeneca Group and </w:t>
      </w:r>
      <w:r w:rsidR="002940CB" w:rsidRPr="002D3ADB">
        <w:rPr>
          <w:lang w:eastAsia="en-US"/>
        </w:rPr>
        <w:t xml:space="preserve">Astra AB, </w:t>
      </w:r>
      <w:r w:rsidR="00807CCB" w:rsidRPr="002D3ADB">
        <w:rPr>
          <w:lang w:eastAsia="en-US"/>
        </w:rPr>
        <w:t>another pharmaceutical company from Sweden.</w:t>
      </w:r>
      <w:r w:rsidR="002940CB" w:rsidRPr="002D3ADB">
        <w:rPr>
          <w:lang w:eastAsia="en-US"/>
        </w:rPr>
        <w:t xml:space="preserve"> </w:t>
      </w:r>
      <w:r w:rsidR="008D4329" w:rsidRPr="002D3ADB">
        <w:rPr>
          <w:lang w:eastAsia="en-US"/>
        </w:rPr>
        <w:t>Its corporate headquarter</w:t>
      </w:r>
      <w:r w:rsidR="0078797B" w:rsidRPr="002D3ADB">
        <w:rPr>
          <w:lang w:eastAsia="en-US"/>
        </w:rPr>
        <w:t xml:space="preserve"> as well as one of its main research and development (R&amp;D) </w:t>
      </w:r>
      <w:r w:rsidR="009A6BF3" w:rsidRPr="002D3ADB">
        <w:rPr>
          <w:lang w:eastAsia="en-US"/>
        </w:rPr>
        <w:t>centre is</w:t>
      </w:r>
      <w:r w:rsidR="008D4329" w:rsidRPr="002D3ADB">
        <w:rPr>
          <w:lang w:eastAsia="en-US"/>
        </w:rPr>
        <w:t xml:space="preserve"> located </w:t>
      </w:r>
      <w:r w:rsidR="00451D4B" w:rsidRPr="002D3ADB">
        <w:rPr>
          <w:lang w:eastAsia="en-US"/>
        </w:rPr>
        <w:t xml:space="preserve">in </w:t>
      </w:r>
      <w:r w:rsidR="00D04E94" w:rsidRPr="002D3ADB">
        <w:rPr>
          <w:lang w:eastAsia="en-US"/>
        </w:rPr>
        <w:t>Cambridge</w:t>
      </w:r>
      <w:r w:rsidR="00BF7B54" w:rsidRPr="002D3ADB">
        <w:rPr>
          <w:lang w:eastAsia="en-US"/>
        </w:rPr>
        <w:t>, England</w:t>
      </w:r>
      <w:r w:rsidR="0078797B" w:rsidRPr="002D3ADB">
        <w:rPr>
          <w:lang w:eastAsia="en-US"/>
        </w:rPr>
        <w:t xml:space="preserve">. Other R&amp;D centres are </w:t>
      </w:r>
      <w:r w:rsidR="009A6BF3" w:rsidRPr="002D3ADB">
        <w:rPr>
          <w:lang w:eastAsia="en-US"/>
        </w:rPr>
        <w:t xml:space="preserve">in United States (Gaithersburg, Maryland), Sweden (Gothenburg/Mölndal) and Poland (Warsaw). </w:t>
      </w:r>
      <w:r w:rsidR="001B61F6" w:rsidRPr="002D3ADB">
        <w:rPr>
          <w:lang w:eastAsia="en-US"/>
        </w:rPr>
        <w:t xml:space="preserve">As a multinational pharmaceutical and biopharmaceutical company, AstraZeneca </w:t>
      </w:r>
      <w:r w:rsidR="001B69EB" w:rsidRPr="002D3ADB">
        <w:rPr>
          <w:lang w:eastAsia="en-US"/>
        </w:rPr>
        <w:t xml:space="preserve">operates in </w:t>
      </w:r>
      <w:r w:rsidR="009658BB" w:rsidRPr="002D3ADB">
        <w:rPr>
          <w:lang w:eastAsia="en-US"/>
        </w:rPr>
        <w:t xml:space="preserve">over 70 countries </w:t>
      </w:r>
      <w:r w:rsidR="002E23FE" w:rsidRPr="002D3ADB">
        <w:rPr>
          <w:lang w:eastAsia="en-US"/>
        </w:rPr>
        <w:t>outside UK</w:t>
      </w:r>
      <w:r w:rsidR="00F94681" w:rsidRPr="002D3ADB">
        <w:rPr>
          <w:lang w:eastAsia="en-US"/>
        </w:rPr>
        <w:t xml:space="preserve">, </w:t>
      </w:r>
      <w:r w:rsidR="00C13D5E" w:rsidRPr="002D3ADB">
        <w:rPr>
          <w:lang w:eastAsia="en-US"/>
        </w:rPr>
        <w:t xml:space="preserve">producing innovative medicines used by millions of </w:t>
      </w:r>
      <w:r w:rsidR="00B62770" w:rsidRPr="002D3ADB">
        <w:rPr>
          <w:lang w:eastAsia="en-US"/>
        </w:rPr>
        <w:t xml:space="preserve">patients around the globe. </w:t>
      </w:r>
      <w:r w:rsidR="002344D9" w:rsidRPr="002D3ADB">
        <w:rPr>
          <w:lang w:eastAsia="en-US"/>
        </w:rPr>
        <w:t xml:space="preserve">The company is a firm believer of the power of </w:t>
      </w:r>
      <w:r w:rsidR="00736AAC" w:rsidRPr="002D3ADB">
        <w:rPr>
          <w:lang w:eastAsia="en-US"/>
        </w:rPr>
        <w:t xml:space="preserve">science </w:t>
      </w:r>
      <w:r w:rsidR="00903EDD" w:rsidRPr="002D3ADB">
        <w:rPr>
          <w:lang w:eastAsia="en-US"/>
        </w:rPr>
        <w:t xml:space="preserve">and its capacity to </w:t>
      </w:r>
      <w:r w:rsidR="0086777A" w:rsidRPr="002D3ADB">
        <w:rPr>
          <w:lang w:eastAsia="en-US"/>
        </w:rPr>
        <w:t xml:space="preserve">aid in the development of </w:t>
      </w:r>
      <w:r w:rsidR="00B609EE" w:rsidRPr="002D3ADB">
        <w:rPr>
          <w:lang w:eastAsia="en-US"/>
        </w:rPr>
        <w:t>medicines</w:t>
      </w:r>
      <w:r w:rsidR="00440B08" w:rsidRPr="002D3ADB">
        <w:rPr>
          <w:lang w:eastAsia="en-US"/>
        </w:rPr>
        <w:t>.</w:t>
      </w:r>
      <w:r w:rsidR="009036B5" w:rsidRPr="002D3ADB">
        <w:rPr>
          <w:lang w:eastAsia="en-US"/>
        </w:rPr>
        <w:t xml:space="preserve"> </w:t>
      </w:r>
      <w:r w:rsidR="00443CA7" w:rsidRPr="002D3ADB">
        <w:rPr>
          <w:lang w:eastAsia="en-US"/>
        </w:rPr>
        <w:t xml:space="preserve">This is evident in their business </w:t>
      </w:r>
      <w:r w:rsidR="00BA5722" w:rsidRPr="002D3ADB">
        <w:rPr>
          <w:lang w:eastAsia="en-US"/>
        </w:rPr>
        <w:t>model</w:t>
      </w:r>
      <w:r w:rsidR="00443CA7" w:rsidRPr="002D3ADB">
        <w:rPr>
          <w:lang w:eastAsia="en-US"/>
        </w:rPr>
        <w:t xml:space="preserve"> which is focused on </w:t>
      </w:r>
      <w:r w:rsidR="00332645" w:rsidRPr="002D3ADB">
        <w:rPr>
          <w:lang w:eastAsia="en-US"/>
        </w:rPr>
        <w:t xml:space="preserve">constantly enhanced innovation and </w:t>
      </w:r>
      <w:r w:rsidR="00BB0300" w:rsidRPr="002D3ADB">
        <w:rPr>
          <w:lang w:eastAsia="en-US"/>
        </w:rPr>
        <w:t xml:space="preserve">delivering transformative </w:t>
      </w:r>
      <w:r w:rsidR="00CE1486" w:rsidRPr="002D3ADB">
        <w:rPr>
          <w:lang w:eastAsia="en-US"/>
        </w:rPr>
        <w:t xml:space="preserve">pharmaceutical products </w:t>
      </w:r>
      <w:r w:rsidR="000942AB" w:rsidRPr="002D3ADB">
        <w:rPr>
          <w:lang w:eastAsia="en-US"/>
        </w:rPr>
        <w:t xml:space="preserve">which </w:t>
      </w:r>
      <w:r w:rsidR="003C24C1" w:rsidRPr="002D3ADB">
        <w:rPr>
          <w:lang w:eastAsia="en-US"/>
        </w:rPr>
        <w:t xml:space="preserve">adds value and </w:t>
      </w:r>
      <w:r w:rsidR="000942AB" w:rsidRPr="002D3ADB">
        <w:rPr>
          <w:lang w:eastAsia="en-US"/>
        </w:rPr>
        <w:t xml:space="preserve">contribute </w:t>
      </w:r>
      <w:r w:rsidR="005B4693" w:rsidRPr="002D3ADB">
        <w:rPr>
          <w:lang w:eastAsia="en-US"/>
        </w:rPr>
        <w:t>to growth</w:t>
      </w:r>
      <w:r w:rsidR="003C24C1" w:rsidRPr="002D3ADB">
        <w:rPr>
          <w:lang w:eastAsia="en-US"/>
        </w:rPr>
        <w:t xml:space="preserve"> </w:t>
      </w:r>
      <w:r w:rsidR="006E738E" w:rsidRPr="002D3ADB">
        <w:rPr>
          <w:lang w:eastAsia="en-US"/>
        </w:rPr>
        <w:t>of the</w:t>
      </w:r>
      <w:r w:rsidR="005B4693" w:rsidRPr="002D3ADB">
        <w:rPr>
          <w:lang w:eastAsia="en-US"/>
        </w:rPr>
        <w:t xml:space="preserve"> </w:t>
      </w:r>
      <w:r w:rsidR="001B7044" w:rsidRPr="002D3ADB">
        <w:rPr>
          <w:lang w:eastAsia="en-US"/>
        </w:rPr>
        <w:t>patients and the society.</w:t>
      </w:r>
      <w:r w:rsidR="00CE1486" w:rsidRPr="002D3ADB">
        <w:rPr>
          <w:lang w:eastAsia="en-US"/>
        </w:rPr>
        <w:t xml:space="preserve"> </w:t>
      </w:r>
      <w:r w:rsidR="002D4051" w:rsidRPr="002D3ADB">
        <w:rPr>
          <w:lang w:eastAsia="en-US"/>
        </w:rPr>
        <w:t xml:space="preserve">AstraZeneca particularly </w:t>
      </w:r>
      <w:r w:rsidR="00804164" w:rsidRPr="002D3ADB">
        <w:rPr>
          <w:lang w:eastAsia="en-US"/>
        </w:rPr>
        <w:t xml:space="preserve">concentrates on </w:t>
      </w:r>
      <w:r w:rsidR="00AB6382" w:rsidRPr="002D3ADB">
        <w:rPr>
          <w:lang w:eastAsia="en-US"/>
        </w:rPr>
        <w:t xml:space="preserve">three main therapy areas which are </w:t>
      </w:r>
      <w:r w:rsidR="00B4299B" w:rsidRPr="002D3ADB">
        <w:rPr>
          <w:lang w:eastAsia="en-US"/>
        </w:rPr>
        <w:t xml:space="preserve">Oncology; Cardiovascular, Renal and Metabolism; and </w:t>
      </w:r>
      <w:r w:rsidR="009D2266" w:rsidRPr="002D3ADB">
        <w:rPr>
          <w:lang w:eastAsia="en-US"/>
        </w:rPr>
        <w:t xml:space="preserve">Respiratory diseases. </w:t>
      </w:r>
      <w:r w:rsidR="00641FB7" w:rsidRPr="002D3ADB">
        <w:rPr>
          <w:lang w:eastAsia="en-US"/>
        </w:rPr>
        <w:t xml:space="preserve">Moreover, </w:t>
      </w:r>
      <w:r w:rsidR="003D3A5F" w:rsidRPr="002D3ADB">
        <w:rPr>
          <w:lang w:eastAsia="en-US"/>
        </w:rPr>
        <w:t xml:space="preserve">they </w:t>
      </w:r>
      <w:r w:rsidR="00BC30CA" w:rsidRPr="002D3ADB">
        <w:rPr>
          <w:lang w:eastAsia="en-US"/>
        </w:rPr>
        <w:t>have</w:t>
      </w:r>
      <w:r w:rsidR="0010212B" w:rsidRPr="002D3ADB">
        <w:rPr>
          <w:lang w:eastAsia="en-US"/>
        </w:rPr>
        <w:t xml:space="preserve"> a</w:t>
      </w:r>
      <w:r w:rsidR="00BC30CA" w:rsidRPr="002D3ADB">
        <w:rPr>
          <w:lang w:eastAsia="en-US"/>
        </w:rPr>
        <w:t xml:space="preserve"> </w:t>
      </w:r>
      <w:r w:rsidR="00385C40" w:rsidRPr="002D3ADB">
        <w:rPr>
          <w:lang w:eastAsia="en-US"/>
        </w:rPr>
        <w:t>range</w:t>
      </w:r>
      <w:r w:rsidR="00BC30CA" w:rsidRPr="002D3ADB">
        <w:rPr>
          <w:lang w:eastAsia="en-US"/>
        </w:rPr>
        <w:t xml:space="preserve"> of </w:t>
      </w:r>
      <w:r w:rsidR="00385C40" w:rsidRPr="002D3ADB">
        <w:rPr>
          <w:lang w:eastAsia="en-US"/>
        </w:rPr>
        <w:t xml:space="preserve">specialty and primary care </w:t>
      </w:r>
      <w:r w:rsidR="00203C71" w:rsidRPr="002D3ADB">
        <w:rPr>
          <w:lang w:eastAsia="en-US"/>
        </w:rPr>
        <w:t>medicines</w:t>
      </w:r>
      <w:r w:rsidR="002D11B5" w:rsidRPr="002D3ADB">
        <w:rPr>
          <w:lang w:eastAsia="en-US"/>
        </w:rPr>
        <w:t xml:space="preserve"> all over the world </w:t>
      </w:r>
      <w:r w:rsidR="00FC13A5" w:rsidRPr="002D3ADB">
        <w:rPr>
          <w:lang w:eastAsia="en-US"/>
        </w:rPr>
        <w:t>specifically</w:t>
      </w:r>
      <w:r w:rsidR="002D11B5" w:rsidRPr="002D3ADB">
        <w:rPr>
          <w:lang w:eastAsia="en-US"/>
        </w:rPr>
        <w:t xml:space="preserve"> strengthening expansions </w:t>
      </w:r>
      <w:r w:rsidR="00DE7BDE" w:rsidRPr="002D3ADB">
        <w:rPr>
          <w:lang w:eastAsia="en-US"/>
        </w:rPr>
        <w:t>in new markets such as China</w:t>
      </w:r>
      <w:r w:rsidR="009A5891" w:rsidRPr="002D3ADB">
        <w:rPr>
          <w:lang w:eastAsia="en-US"/>
        </w:rPr>
        <w:t xml:space="preserve"> (AstraZeneca, 2021)</w:t>
      </w:r>
      <w:r w:rsidR="00DE7BDE" w:rsidRPr="002D3ADB">
        <w:rPr>
          <w:lang w:eastAsia="en-US"/>
        </w:rPr>
        <w:t>.</w:t>
      </w:r>
      <w:r w:rsidR="00E767BB" w:rsidRPr="002D3ADB">
        <w:rPr>
          <w:lang w:eastAsia="en-US"/>
        </w:rPr>
        <w:t xml:space="preserve"> All of these are part of </w:t>
      </w:r>
      <w:r w:rsidR="00C238A2" w:rsidRPr="002D3ADB">
        <w:rPr>
          <w:lang w:eastAsia="en-US"/>
        </w:rPr>
        <w:t xml:space="preserve">their transformation following major changes </w:t>
      </w:r>
      <w:r w:rsidR="00F1632F" w:rsidRPr="002D3ADB">
        <w:rPr>
          <w:lang w:eastAsia="en-US"/>
        </w:rPr>
        <w:t>in 2013</w:t>
      </w:r>
      <w:r w:rsidR="00636B6C" w:rsidRPr="002D3ADB">
        <w:rPr>
          <w:lang w:eastAsia="en-US"/>
        </w:rPr>
        <w:t xml:space="preserve">, when they announced corporate restructuring </w:t>
      </w:r>
      <w:r w:rsidR="00A14117" w:rsidRPr="002D3ADB">
        <w:rPr>
          <w:lang w:eastAsia="en-US"/>
        </w:rPr>
        <w:t xml:space="preserve">which closed </w:t>
      </w:r>
      <w:r w:rsidR="00A16AA5" w:rsidRPr="002D3ADB">
        <w:rPr>
          <w:lang w:eastAsia="en-US"/>
        </w:rPr>
        <w:t xml:space="preserve">R&amp;D activities at </w:t>
      </w:r>
      <w:r w:rsidR="002925EC" w:rsidRPr="002D3ADB">
        <w:rPr>
          <w:lang w:eastAsia="en-US"/>
        </w:rPr>
        <w:t xml:space="preserve">Loughborough and Alderley Park in the UK and </w:t>
      </w:r>
      <w:r w:rsidR="000828C2" w:rsidRPr="002D3ADB">
        <w:rPr>
          <w:lang w:eastAsia="en-US"/>
        </w:rPr>
        <w:t>at Lund in Sweden</w:t>
      </w:r>
      <w:r w:rsidR="008E418D" w:rsidRPr="002D3ADB">
        <w:rPr>
          <w:lang w:eastAsia="en-US"/>
        </w:rPr>
        <w:t xml:space="preserve"> </w:t>
      </w:r>
      <w:r w:rsidR="005E2A78" w:rsidRPr="002D3ADB">
        <w:rPr>
          <w:lang w:eastAsia="en-US"/>
        </w:rPr>
        <w:t xml:space="preserve">thus </w:t>
      </w:r>
      <w:r w:rsidR="00A978AE" w:rsidRPr="002D3ADB">
        <w:rPr>
          <w:lang w:eastAsia="en-US"/>
        </w:rPr>
        <w:t xml:space="preserve">constructing the </w:t>
      </w:r>
      <w:r w:rsidR="000018EA" w:rsidRPr="002D3ADB">
        <w:rPr>
          <w:lang w:eastAsia="en-US"/>
        </w:rPr>
        <w:t xml:space="preserve">current R&amp;D </w:t>
      </w:r>
      <w:r w:rsidR="00D05CC7" w:rsidRPr="002D3ADB">
        <w:rPr>
          <w:lang w:eastAsia="en-US"/>
        </w:rPr>
        <w:t>centres</w:t>
      </w:r>
      <w:r w:rsidR="000018EA" w:rsidRPr="002D3ADB">
        <w:rPr>
          <w:lang w:eastAsia="en-US"/>
        </w:rPr>
        <w:t xml:space="preserve"> in </w:t>
      </w:r>
      <w:r w:rsidR="007801D4" w:rsidRPr="002D3ADB">
        <w:rPr>
          <w:lang w:eastAsia="en-US"/>
        </w:rPr>
        <w:t xml:space="preserve">4 locations previously </w:t>
      </w:r>
      <w:r w:rsidR="00D05CC7" w:rsidRPr="002D3ADB">
        <w:rPr>
          <w:lang w:eastAsia="en-US"/>
        </w:rPr>
        <w:t xml:space="preserve">mentioned with </w:t>
      </w:r>
      <w:r w:rsidR="00785B8F" w:rsidRPr="002D3ADB">
        <w:rPr>
          <w:lang w:eastAsia="en-US"/>
        </w:rPr>
        <w:t>Mölndal focusing on traditional chemical drugs</w:t>
      </w:r>
      <w:r w:rsidR="00524532" w:rsidRPr="002D3ADB">
        <w:rPr>
          <w:lang w:eastAsia="en-US"/>
        </w:rPr>
        <w:t xml:space="preserve"> (Carroll, 2013)</w:t>
      </w:r>
      <w:r w:rsidR="00785B8F" w:rsidRPr="002D3ADB">
        <w:rPr>
          <w:lang w:eastAsia="en-US"/>
        </w:rPr>
        <w:t>.</w:t>
      </w:r>
      <w:r w:rsidR="006A7ACD" w:rsidRPr="002D3ADB">
        <w:rPr>
          <w:lang w:eastAsia="en-US"/>
        </w:rPr>
        <w:t xml:space="preserve"> The following years </w:t>
      </w:r>
      <w:r w:rsidR="000C05DB" w:rsidRPr="002D3ADB">
        <w:rPr>
          <w:lang w:eastAsia="en-US"/>
        </w:rPr>
        <w:t xml:space="preserve">transpired with numerous deals with various </w:t>
      </w:r>
      <w:r w:rsidR="00F849E9" w:rsidRPr="002D3ADB">
        <w:rPr>
          <w:lang w:eastAsia="en-US"/>
        </w:rPr>
        <w:t>pharmaceutical companies</w:t>
      </w:r>
      <w:r w:rsidR="00450793" w:rsidRPr="002D3ADB">
        <w:rPr>
          <w:lang w:eastAsia="en-US"/>
        </w:rPr>
        <w:t xml:space="preserve"> and in 2017, </w:t>
      </w:r>
      <w:r w:rsidR="00DE6C87" w:rsidRPr="002D3ADB">
        <w:rPr>
          <w:lang w:eastAsia="en-US"/>
        </w:rPr>
        <w:t>like most of the businesses all over UK, AstraZeneca is faced with Brexit challenges</w:t>
      </w:r>
      <w:r w:rsidR="00FB01CA" w:rsidRPr="002D3ADB">
        <w:rPr>
          <w:lang w:eastAsia="en-US"/>
        </w:rPr>
        <w:t xml:space="preserve"> (</w:t>
      </w:r>
      <w:r w:rsidR="00B27584" w:rsidRPr="002D3ADB">
        <w:rPr>
          <w:lang w:eastAsia="en-US"/>
        </w:rPr>
        <w:t>Neville, 2017)</w:t>
      </w:r>
      <w:r w:rsidR="00100857" w:rsidRPr="002D3ADB">
        <w:rPr>
          <w:lang w:eastAsia="en-US"/>
        </w:rPr>
        <w:t xml:space="preserve"> and planned to move </w:t>
      </w:r>
      <w:r w:rsidR="002E06D6" w:rsidRPr="002D3ADB">
        <w:rPr>
          <w:lang w:eastAsia="en-US"/>
        </w:rPr>
        <w:t>its R&amp;D and manufacturing operations outside UK if there is a hard Brexit (The Local, 2017).</w:t>
      </w:r>
      <w:r w:rsidR="00193EF8" w:rsidRPr="002D3ADB">
        <w:rPr>
          <w:lang w:eastAsia="en-US"/>
        </w:rPr>
        <w:t xml:space="preserve"> In the same year, </w:t>
      </w:r>
      <w:r w:rsidR="007C2AD5" w:rsidRPr="002D3ADB">
        <w:rPr>
          <w:lang w:eastAsia="en-US"/>
        </w:rPr>
        <w:t xml:space="preserve">AstraZeneca </w:t>
      </w:r>
      <w:r w:rsidR="009A216A" w:rsidRPr="002D3ADB">
        <w:rPr>
          <w:lang w:eastAsia="en-US"/>
        </w:rPr>
        <w:t xml:space="preserve">ranked </w:t>
      </w:r>
      <w:r w:rsidR="00AB6BE7" w:rsidRPr="002D3ADB">
        <w:rPr>
          <w:lang w:eastAsia="en-US"/>
        </w:rPr>
        <w:t>7</w:t>
      </w:r>
      <w:r w:rsidR="00AB6BE7" w:rsidRPr="002D3ADB">
        <w:rPr>
          <w:vertAlign w:val="superscript"/>
          <w:lang w:eastAsia="en-US"/>
        </w:rPr>
        <w:t>th</w:t>
      </w:r>
      <w:r w:rsidR="00AB6BE7" w:rsidRPr="002D3ADB">
        <w:rPr>
          <w:lang w:eastAsia="en-US"/>
        </w:rPr>
        <w:t xml:space="preserve"> based on investment in R&amp;D and 11</w:t>
      </w:r>
      <w:r w:rsidR="00AB6BE7" w:rsidRPr="002D3ADB">
        <w:rPr>
          <w:vertAlign w:val="superscript"/>
          <w:lang w:eastAsia="en-US"/>
        </w:rPr>
        <w:t>th</w:t>
      </w:r>
      <w:r w:rsidR="00AB6BE7" w:rsidRPr="002D3ADB">
        <w:rPr>
          <w:lang w:eastAsia="en-US"/>
        </w:rPr>
        <w:t xml:space="preserve"> based on </w:t>
      </w:r>
      <w:r w:rsidR="00EF4D27" w:rsidRPr="002D3ADB">
        <w:rPr>
          <w:lang w:eastAsia="en-US"/>
        </w:rPr>
        <w:t>sales</w:t>
      </w:r>
      <w:r w:rsidR="00A44B97" w:rsidRPr="002D3ADB">
        <w:rPr>
          <w:lang w:eastAsia="en-US"/>
        </w:rPr>
        <w:t>, worldwide</w:t>
      </w:r>
      <w:r w:rsidR="00B91C58" w:rsidRPr="002D3ADB">
        <w:rPr>
          <w:lang w:eastAsia="en-US"/>
        </w:rPr>
        <w:t xml:space="preserve"> (Christel, 2017).</w:t>
      </w:r>
      <w:r w:rsidR="00FA1377" w:rsidRPr="002D3ADB">
        <w:rPr>
          <w:lang w:eastAsia="en-US"/>
        </w:rPr>
        <w:t xml:space="preserve"> In the following year, </w:t>
      </w:r>
      <w:r w:rsidR="0068560B" w:rsidRPr="002D3ADB">
        <w:rPr>
          <w:lang w:eastAsia="en-US"/>
        </w:rPr>
        <w:t xml:space="preserve">AstraZeneca expressed their </w:t>
      </w:r>
      <w:r w:rsidR="00310BC9" w:rsidRPr="002D3ADB">
        <w:rPr>
          <w:lang w:eastAsia="en-US"/>
        </w:rPr>
        <w:t>interest in</w:t>
      </w:r>
      <w:r w:rsidR="00C57F9C" w:rsidRPr="002D3ADB">
        <w:rPr>
          <w:lang w:eastAsia="en-US"/>
        </w:rPr>
        <w:t xml:space="preserve"> </w:t>
      </w:r>
      <w:r w:rsidR="005F540B" w:rsidRPr="002D3ADB">
        <w:rPr>
          <w:lang w:eastAsia="en-US"/>
        </w:rPr>
        <w:t xml:space="preserve">a </w:t>
      </w:r>
      <w:r w:rsidR="00C57F9C" w:rsidRPr="002D3ADB">
        <w:rPr>
          <w:lang w:eastAsia="en-US"/>
        </w:rPr>
        <w:t xml:space="preserve">spinoff, </w:t>
      </w:r>
      <w:r w:rsidR="005F540B" w:rsidRPr="002D3ADB">
        <w:rPr>
          <w:lang w:eastAsia="en-US"/>
        </w:rPr>
        <w:t xml:space="preserve">new inflammation and autoimmunity company called </w:t>
      </w:r>
      <w:proofErr w:type="spellStart"/>
      <w:r w:rsidR="005F540B" w:rsidRPr="002D3ADB">
        <w:rPr>
          <w:lang w:eastAsia="en-US"/>
        </w:rPr>
        <w:t>Viela</w:t>
      </w:r>
      <w:proofErr w:type="spellEnd"/>
      <w:r w:rsidR="005F540B" w:rsidRPr="002D3ADB">
        <w:rPr>
          <w:lang w:eastAsia="en-US"/>
        </w:rPr>
        <w:t xml:space="preserve"> </w:t>
      </w:r>
      <w:r w:rsidR="005F540B" w:rsidRPr="002D3ADB">
        <w:rPr>
          <w:lang w:eastAsia="en-US"/>
        </w:rPr>
        <w:lastRenderedPageBreak/>
        <w:t>Bio</w:t>
      </w:r>
      <w:r w:rsidR="00632EE7" w:rsidRPr="002D3ADB">
        <w:rPr>
          <w:lang w:eastAsia="en-US"/>
        </w:rPr>
        <w:t xml:space="preserve"> (</w:t>
      </w:r>
      <w:proofErr w:type="spellStart"/>
      <w:r w:rsidR="00E56CF1" w:rsidRPr="002D3ADB">
        <w:rPr>
          <w:lang w:eastAsia="en-US"/>
        </w:rPr>
        <w:t>Hirschler</w:t>
      </w:r>
      <w:proofErr w:type="spellEnd"/>
      <w:r w:rsidR="00E56CF1" w:rsidRPr="002D3ADB">
        <w:rPr>
          <w:lang w:eastAsia="en-US"/>
        </w:rPr>
        <w:t xml:space="preserve">, </w:t>
      </w:r>
      <w:r w:rsidR="00106B9D" w:rsidRPr="002D3ADB">
        <w:rPr>
          <w:lang w:eastAsia="en-US"/>
        </w:rPr>
        <w:t>2018</w:t>
      </w:r>
      <w:r w:rsidR="00E56CF1" w:rsidRPr="002D3ADB">
        <w:rPr>
          <w:lang w:eastAsia="en-US"/>
        </w:rPr>
        <w:t>)</w:t>
      </w:r>
      <w:r w:rsidR="00A535CE" w:rsidRPr="002D3ADB">
        <w:rPr>
          <w:lang w:eastAsia="en-US"/>
        </w:rPr>
        <w:t>.</w:t>
      </w:r>
      <w:r w:rsidR="00CD0C75" w:rsidRPr="002D3ADB">
        <w:rPr>
          <w:lang w:eastAsia="en-US"/>
        </w:rPr>
        <w:t xml:space="preserve"> In </w:t>
      </w:r>
      <w:r w:rsidR="005B5C20" w:rsidRPr="002D3ADB">
        <w:rPr>
          <w:lang w:eastAsia="en-US"/>
        </w:rPr>
        <w:t xml:space="preserve">June </w:t>
      </w:r>
      <w:r w:rsidR="00CD0C75" w:rsidRPr="002D3ADB">
        <w:rPr>
          <w:lang w:eastAsia="en-US"/>
        </w:rPr>
        <w:t>2020</w:t>
      </w:r>
      <w:r w:rsidR="008F35DB" w:rsidRPr="002D3ADB">
        <w:rPr>
          <w:lang w:eastAsia="en-US"/>
        </w:rPr>
        <w:t xml:space="preserve">, </w:t>
      </w:r>
      <w:r w:rsidR="00F120B7" w:rsidRPr="002D3ADB">
        <w:rPr>
          <w:lang w:eastAsia="en-US"/>
        </w:rPr>
        <w:t>AstraZeneca sought a potential merger</w:t>
      </w:r>
      <w:r w:rsidR="008E6BB8" w:rsidRPr="002D3ADB">
        <w:rPr>
          <w:lang w:eastAsia="en-US"/>
        </w:rPr>
        <w:t xml:space="preserve"> </w:t>
      </w:r>
      <w:r w:rsidR="00A6747D" w:rsidRPr="002D3ADB">
        <w:rPr>
          <w:lang w:eastAsia="en-US"/>
        </w:rPr>
        <w:t>with</w:t>
      </w:r>
      <w:r w:rsidR="00BA7FC8" w:rsidRPr="002D3ADB">
        <w:rPr>
          <w:lang w:eastAsia="en-US"/>
        </w:rPr>
        <w:t xml:space="preserve"> one of</w:t>
      </w:r>
      <w:r w:rsidR="008E6BB8" w:rsidRPr="002D3ADB">
        <w:rPr>
          <w:lang w:eastAsia="en-US"/>
        </w:rPr>
        <w:t xml:space="preserve"> </w:t>
      </w:r>
      <w:r w:rsidR="00C96DF4" w:rsidRPr="002D3ADB">
        <w:rPr>
          <w:lang w:eastAsia="en-US"/>
        </w:rPr>
        <w:t xml:space="preserve">its </w:t>
      </w:r>
      <w:r w:rsidR="00BA7FC8" w:rsidRPr="002D3ADB">
        <w:rPr>
          <w:lang w:eastAsia="en-US"/>
        </w:rPr>
        <w:t>competitors</w:t>
      </w:r>
      <w:r w:rsidR="00C96DF4" w:rsidRPr="002D3ADB">
        <w:rPr>
          <w:lang w:eastAsia="en-US"/>
        </w:rPr>
        <w:t xml:space="preserve"> </w:t>
      </w:r>
      <w:r w:rsidR="00022085" w:rsidRPr="002D3ADB">
        <w:rPr>
          <w:lang w:eastAsia="en-US"/>
        </w:rPr>
        <w:t>Gilead Sciences Inc</w:t>
      </w:r>
      <w:r w:rsidR="00864C2C" w:rsidRPr="002D3ADB">
        <w:rPr>
          <w:lang w:eastAsia="en-US"/>
        </w:rPr>
        <w:t xml:space="preserve"> (Hammond et al, 2020)</w:t>
      </w:r>
      <w:r w:rsidR="00A6747D" w:rsidRPr="002D3ADB">
        <w:rPr>
          <w:lang w:eastAsia="en-US"/>
        </w:rPr>
        <w:t xml:space="preserve"> but got </w:t>
      </w:r>
      <w:r w:rsidR="00864C2C" w:rsidRPr="002D3ADB">
        <w:rPr>
          <w:lang w:eastAsia="en-US"/>
        </w:rPr>
        <w:t>side-tracked from</w:t>
      </w:r>
      <w:r w:rsidR="00C3544D" w:rsidRPr="002D3ADB">
        <w:rPr>
          <w:lang w:eastAsia="en-US"/>
        </w:rPr>
        <w:t xml:space="preserve"> </w:t>
      </w:r>
      <w:r w:rsidR="00B100AE" w:rsidRPr="002D3ADB">
        <w:rPr>
          <w:lang w:eastAsia="en-US"/>
        </w:rPr>
        <w:t xml:space="preserve">its own pipeline and their efforts </w:t>
      </w:r>
      <w:r w:rsidR="00CF56A2" w:rsidRPr="002D3ADB">
        <w:rPr>
          <w:lang w:eastAsia="en-US"/>
        </w:rPr>
        <w:t>against the Covid-19 pandemic (</w:t>
      </w:r>
      <w:r w:rsidR="00DD0936" w:rsidRPr="002D3ADB">
        <w:rPr>
          <w:lang w:eastAsia="en-US"/>
        </w:rPr>
        <w:t>Ralph, 2020).</w:t>
      </w:r>
      <w:r w:rsidR="00F477A1" w:rsidRPr="002D3ADB">
        <w:rPr>
          <w:lang w:eastAsia="en-US"/>
        </w:rPr>
        <w:t xml:space="preserve"> On 27</w:t>
      </w:r>
      <w:r w:rsidR="00F477A1" w:rsidRPr="002D3ADB">
        <w:rPr>
          <w:vertAlign w:val="superscript"/>
          <w:lang w:eastAsia="en-US"/>
        </w:rPr>
        <w:t>th</w:t>
      </w:r>
      <w:r w:rsidR="00F477A1" w:rsidRPr="002D3ADB">
        <w:rPr>
          <w:lang w:eastAsia="en-US"/>
        </w:rPr>
        <w:t xml:space="preserve"> December, </w:t>
      </w:r>
      <w:r w:rsidR="007919B2" w:rsidRPr="002D3ADB">
        <w:rPr>
          <w:lang w:eastAsia="en-US"/>
        </w:rPr>
        <w:t xml:space="preserve">CEO Pascal </w:t>
      </w:r>
      <w:proofErr w:type="spellStart"/>
      <w:r w:rsidR="007919B2" w:rsidRPr="002D3ADB">
        <w:rPr>
          <w:lang w:eastAsia="en-US"/>
        </w:rPr>
        <w:t>Soriot</w:t>
      </w:r>
      <w:proofErr w:type="spellEnd"/>
      <w:r w:rsidR="007919B2" w:rsidRPr="002D3ADB">
        <w:rPr>
          <w:lang w:eastAsia="en-US"/>
        </w:rPr>
        <w:t xml:space="preserve"> </w:t>
      </w:r>
      <w:r w:rsidR="00050E2A" w:rsidRPr="002D3ADB">
        <w:rPr>
          <w:lang w:eastAsia="en-US"/>
        </w:rPr>
        <w:t xml:space="preserve">stated that </w:t>
      </w:r>
      <w:r w:rsidR="00E661D7" w:rsidRPr="002D3ADB">
        <w:rPr>
          <w:lang w:eastAsia="en-US"/>
        </w:rPr>
        <w:t xml:space="preserve">the researchers of AstraZeneca </w:t>
      </w:r>
      <w:r w:rsidR="00BC2C3F" w:rsidRPr="002D3ADB">
        <w:rPr>
          <w:lang w:eastAsia="en-US"/>
        </w:rPr>
        <w:t>have</w:t>
      </w:r>
      <w:r w:rsidR="00E661D7" w:rsidRPr="002D3ADB">
        <w:rPr>
          <w:lang w:eastAsia="en-US"/>
        </w:rPr>
        <w:t xml:space="preserve"> </w:t>
      </w:r>
      <w:r w:rsidR="00BC2C3F" w:rsidRPr="002D3ADB">
        <w:rPr>
          <w:lang w:eastAsia="en-US"/>
        </w:rPr>
        <w:t>found the Oxford University’s Covid</w:t>
      </w:r>
      <w:r w:rsidR="008A3F5E" w:rsidRPr="002D3ADB">
        <w:rPr>
          <w:lang w:eastAsia="en-US"/>
        </w:rPr>
        <w:t>-</w:t>
      </w:r>
      <w:r w:rsidR="00BC2C3F" w:rsidRPr="002D3ADB">
        <w:rPr>
          <w:lang w:eastAsia="en-US"/>
        </w:rPr>
        <w:t>19 vaccine formula with two-</w:t>
      </w:r>
      <w:r w:rsidR="00DC6B9C" w:rsidRPr="002D3ADB">
        <w:rPr>
          <w:lang w:eastAsia="en-US"/>
        </w:rPr>
        <w:t>dose system</w:t>
      </w:r>
      <w:r w:rsidR="004D24F6" w:rsidRPr="002D3ADB">
        <w:rPr>
          <w:lang w:eastAsia="en-US"/>
        </w:rPr>
        <w:t xml:space="preserve"> (Da Silva, 2020)</w:t>
      </w:r>
      <w:r w:rsidR="00654041" w:rsidRPr="002D3ADB">
        <w:rPr>
          <w:lang w:eastAsia="en-US"/>
        </w:rPr>
        <w:t xml:space="preserve"> and on 30</w:t>
      </w:r>
      <w:r w:rsidR="00654041" w:rsidRPr="002D3ADB">
        <w:rPr>
          <w:vertAlign w:val="superscript"/>
          <w:lang w:eastAsia="en-US"/>
        </w:rPr>
        <w:t>th</w:t>
      </w:r>
      <w:r w:rsidR="00654041" w:rsidRPr="002D3ADB">
        <w:rPr>
          <w:lang w:eastAsia="en-US"/>
        </w:rPr>
        <w:t xml:space="preserve"> December, </w:t>
      </w:r>
      <w:r w:rsidR="00AF2D2C" w:rsidRPr="002D3ADB">
        <w:rPr>
          <w:lang w:eastAsia="en-US"/>
        </w:rPr>
        <w:t xml:space="preserve">UK approved </w:t>
      </w:r>
      <w:r w:rsidR="00CC7A0E" w:rsidRPr="002D3ADB">
        <w:rPr>
          <w:lang w:eastAsia="en-US"/>
        </w:rPr>
        <w:t>the emergency use of this vaccine</w:t>
      </w:r>
      <w:r w:rsidR="0010338E" w:rsidRPr="002D3ADB">
        <w:rPr>
          <w:lang w:eastAsia="en-US"/>
        </w:rPr>
        <w:t xml:space="preserve"> (</w:t>
      </w:r>
      <w:r w:rsidR="00D66E89" w:rsidRPr="002D3ADB">
        <w:rPr>
          <w:lang w:eastAsia="en-US"/>
        </w:rPr>
        <w:t xml:space="preserve">Gallagher and </w:t>
      </w:r>
      <w:proofErr w:type="spellStart"/>
      <w:r w:rsidR="00D66E89" w:rsidRPr="002D3ADB">
        <w:rPr>
          <w:lang w:eastAsia="en-US"/>
        </w:rPr>
        <w:t>Triggle</w:t>
      </w:r>
      <w:proofErr w:type="spellEnd"/>
      <w:r w:rsidR="00D66E89" w:rsidRPr="002D3ADB">
        <w:rPr>
          <w:lang w:eastAsia="en-US"/>
        </w:rPr>
        <w:t>, 2020)</w:t>
      </w:r>
      <w:r w:rsidR="002114CD" w:rsidRPr="002D3ADB">
        <w:rPr>
          <w:lang w:eastAsia="en-US"/>
        </w:rPr>
        <w:t>.</w:t>
      </w:r>
    </w:p>
    <w:p w14:paraId="727CE4C7" w14:textId="77777777" w:rsidR="00CA791D" w:rsidRPr="002D3ADB" w:rsidRDefault="00CA791D" w:rsidP="002D3ADB">
      <w:pPr>
        <w:spacing w:line="360" w:lineRule="auto"/>
        <w:jc w:val="both"/>
      </w:pPr>
    </w:p>
    <w:p w14:paraId="3C6190C4" w14:textId="5941D62C" w:rsidR="00CA791D" w:rsidRPr="002D3ADB" w:rsidRDefault="00CA791D" w:rsidP="002D3ADB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7" w:name="_Toc61440713"/>
      <w:bookmarkStart w:id="8" w:name="_Toc61893738"/>
      <w:r w:rsidRPr="002D3ADB">
        <w:rPr>
          <w:rFonts w:ascii="Times New Roman" w:hAnsi="Times New Roman" w:cs="Times New Roman"/>
          <w:sz w:val="24"/>
          <w:szCs w:val="24"/>
        </w:rPr>
        <w:t>Part B</w:t>
      </w:r>
      <w:bookmarkEnd w:id="7"/>
      <w:bookmarkEnd w:id="8"/>
    </w:p>
    <w:p w14:paraId="7AC3CFF8" w14:textId="6EC4EA7F" w:rsidR="006C36A5" w:rsidRPr="002D3ADB" w:rsidRDefault="006C36A5" w:rsidP="002D3ADB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9" w:name="_Toc61440714"/>
      <w:bookmarkStart w:id="10" w:name="_Toc61893739"/>
      <w:r w:rsidRPr="002D3ADB">
        <w:rPr>
          <w:rFonts w:ascii="Times New Roman" w:hAnsi="Times New Roman" w:cs="Times New Roman"/>
          <w:sz w:val="24"/>
          <w:szCs w:val="24"/>
        </w:rPr>
        <w:t xml:space="preserve">Financial Performance </w:t>
      </w:r>
      <w:r w:rsidR="00562761" w:rsidRPr="002D3ADB">
        <w:rPr>
          <w:rFonts w:ascii="Times New Roman" w:hAnsi="Times New Roman" w:cs="Times New Roman"/>
          <w:sz w:val="24"/>
          <w:szCs w:val="24"/>
        </w:rPr>
        <w:t>Analysis</w:t>
      </w:r>
      <w:r w:rsidRPr="002D3ADB">
        <w:rPr>
          <w:rFonts w:ascii="Times New Roman" w:hAnsi="Times New Roman" w:cs="Times New Roman"/>
          <w:sz w:val="24"/>
          <w:szCs w:val="24"/>
        </w:rPr>
        <w:t xml:space="preserve"> of AstraZeneca PLC</w:t>
      </w:r>
      <w:bookmarkEnd w:id="9"/>
      <w:bookmarkEnd w:id="10"/>
    </w:p>
    <w:p w14:paraId="5CCE015D" w14:textId="661739A7" w:rsidR="00CF3A09" w:rsidRPr="002D3ADB" w:rsidRDefault="00CF3A09" w:rsidP="002D3ADB">
      <w:pPr>
        <w:spacing w:line="360" w:lineRule="auto"/>
        <w:jc w:val="both"/>
        <w:rPr>
          <w:lang w:eastAsia="en-US"/>
        </w:rPr>
      </w:pPr>
    </w:p>
    <w:p w14:paraId="240BB8F3" w14:textId="4F3E6102" w:rsidR="00CF3A09" w:rsidRPr="002D3ADB" w:rsidRDefault="005A1764" w:rsidP="002D3ADB">
      <w:pPr>
        <w:spacing w:line="360" w:lineRule="auto"/>
        <w:jc w:val="both"/>
        <w:rPr>
          <w:lang w:eastAsia="en-US"/>
        </w:rPr>
      </w:pPr>
      <w:r w:rsidRPr="002D3ADB">
        <w:rPr>
          <w:lang w:eastAsia="en-US"/>
        </w:rPr>
        <w:t xml:space="preserve">Financial performance is </w:t>
      </w:r>
      <w:r w:rsidR="00332608" w:rsidRPr="002D3ADB">
        <w:rPr>
          <w:lang w:eastAsia="en-US"/>
        </w:rPr>
        <w:t xml:space="preserve">defined as the </w:t>
      </w:r>
      <w:r w:rsidR="00FD569A" w:rsidRPr="002D3ADB">
        <w:rPr>
          <w:lang w:eastAsia="en-US"/>
        </w:rPr>
        <w:t xml:space="preserve">degree to which the financial objectives of an organisation are being or have been accomplished so far. </w:t>
      </w:r>
      <w:r w:rsidR="009E354D" w:rsidRPr="002D3ADB">
        <w:rPr>
          <w:lang w:eastAsia="en-US"/>
        </w:rPr>
        <w:t>Being</w:t>
      </w:r>
      <w:r w:rsidR="00F85185" w:rsidRPr="002D3ADB">
        <w:rPr>
          <w:lang w:eastAsia="en-US"/>
        </w:rPr>
        <w:t xml:space="preserve"> a significant aspect </w:t>
      </w:r>
      <w:r w:rsidR="000E0E95" w:rsidRPr="002D3ADB">
        <w:rPr>
          <w:lang w:eastAsia="en-US"/>
        </w:rPr>
        <w:t>of</w:t>
      </w:r>
      <w:r w:rsidR="00F85185" w:rsidRPr="002D3ADB">
        <w:rPr>
          <w:lang w:eastAsia="en-US"/>
        </w:rPr>
        <w:t xml:space="preserve"> </w:t>
      </w:r>
      <w:r w:rsidR="00DD1C88" w:rsidRPr="002D3ADB">
        <w:rPr>
          <w:lang w:eastAsia="en-US"/>
        </w:rPr>
        <w:t xml:space="preserve">risk management, </w:t>
      </w:r>
      <w:r w:rsidR="000909BB" w:rsidRPr="002D3ADB">
        <w:rPr>
          <w:lang w:eastAsia="en-US"/>
        </w:rPr>
        <w:t>it is a financial approach of measuring the operations, policies and procedures of an organisation</w:t>
      </w:r>
      <w:r w:rsidR="000E0E95" w:rsidRPr="002D3ADB">
        <w:rPr>
          <w:lang w:eastAsia="en-US"/>
        </w:rPr>
        <w:t xml:space="preserve"> </w:t>
      </w:r>
      <w:r w:rsidR="003B12C1" w:rsidRPr="002D3ADB">
        <w:rPr>
          <w:lang w:eastAsia="en-US"/>
        </w:rPr>
        <w:t>as well as its overall financial health in a given time period</w:t>
      </w:r>
      <w:r w:rsidR="00DB16BF" w:rsidRPr="002D3ADB">
        <w:rPr>
          <w:lang w:eastAsia="en-US"/>
        </w:rPr>
        <w:t xml:space="preserve">. Different stakeholders such as </w:t>
      </w:r>
      <w:r w:rsidR="003A1C81" w:rsidRPr="002D3ADB">
        <w:rPr>
          <w:lang w:eastAsia="en-US"/>
        </w:rPr>
        <w:t xml:space="preserve">shareholders, managers, creditors, employees and the government </w:t>
      </w:r>
      <w:r w:rsidR="00DB16BF" w:rsidRPr="002D3ADB">
        <w:rPr>
          <w:lang w:eastAsia="en-US"/>
        </w:rPr>
        <w:t>are interested in an o</w:t>
      </w:r>
      <w:r w:rsidR="003A1C81" w:rsidRPr="002D3ADB">
        <w:rPr>
          <w:lang w:eastAsia="en-US"/>
        </w:rPr>
        <w:t xml:space="preserve">rganisation’s financial performance that is why it is necessary to </w:t>
      </w:r>
      <w:r w:rsidR="00A30730" w:rsidRPr="002D3ADB">
        <w:rPr>
          <w:lang w:eastAsia="en-US"/>
        </w:rPr>
        <w:t>present financial statement</w:t>
      </w:r>
      <w:r w:rsidR="00835860" w:rsidRPr="002D3ADB">
        <w:rPr>
          <w:lang w:eastAsia="en-US"/>
        </w:rPr>
        <w:t xml:space="preserve">s </w:t>
      </w:r>
      <w:r w:rsidR="00063B13" w:rsidRPr="002D3ADB">
        <w:rPr>
          <w:lang w:eastAsia="en-US"/>
        </w:rPr>
        <w:t>so as to</w:t>
      </w:r>
      <w:r w:rsidR="00835860" w:rsidRPr="002D3ADB">
        <w:rPr>
          <w:lang w:eastAsia="en-US"/>
        </w:rPr>
        <w:t xml:space="preserve"> analyse </w:t>
      </w:r>
      <w:r w:rsidR="007C7B94" w:rsidRPr="002D3ADB">
        <w:rPr>
          <w:lang w:eastAsia="en-US"/>
        </w:rPr>
        <w:t xml:space="preserve">the organisation’s </w:t>
      </w:r>
      <w:r w:rsidR="00890DF2" w:rsidRPr="002D3ADB">
        <w:rPr>
          <w:lang w:eastAsia="en-US"/>
        </w:rPr>
        <w:t xml:space="preserve">financial aspects </w:t>
      </w:r>
      <w:r w:rsidR="003B12C1" w:rsidRPr="002D3ADB">
        <w:rPr>
          <w:lang w:eastAsia="en-US"/>
        </w:rPr>
        <w:t>(</w:t>
      </w:r>
      <w:r w:rsidR="009F0227" w:rsidRPr="002D3ADB">
        <w:rPr>
          <w:lang w:eastAsia="en-US"/>
        </w:rPr>
        <w:t xml:space="preserve">Verma, 2020). </w:t>
      </w:r>
      <w:r w:rsidR="00014B18" w:rsidRPr="002D3ADB">
        <w:rPr>
          <w:lang w:eastAsia="en-US"/>
        </w:rPr>
        <w:t>Analysis of a firm’s financial statement</w:t>
      </w:r>
      <w:r w:rsidR="00071D45" w:rsidRPr="002D3ADB">
        <w:rPr>
          <w:lang w:eastAsia="en-US"/>
        </w:rPr>
        <w:t xml:space="preserve">s </w:t>
      </w:r>
      <w:r w:rsidR="004A3459" w:rsidRPr="002D3ADB">
        <w:rPr>
          <w:lang w:eastAsia="en-US"/>
        </w:rPr>
        <w:t xml:space="preserve">is important </w:t>
      </w:r>
      <w:r w:rsidR="00117734" w:rsidRPr="002D3ADB">
        <w:rPr>
          <w:lang w:eastAsia="en-US"/>
        </w:rPr>
        <w:t>to</w:t>
      </w:r>
      <w:r w:rsidR="004A3459" w:rsidRPr="002D3ADB">
        <w:rPr>
          <w:lang w:eastAsia="en-US"/>
        </w:rPr>
        <w:t xml:space="preserve"> </w:t>
      </w:r>
      <w:r w:rsidR="00117734" w:rsidRPr="002D3ADB">
        <w:rPr>
          <w:lang w:eastAsia="en-US"/>
        </w:rPr>
        <w:t>make</w:t>
      </w:r>
      <w:r w:rsidR="004A3459" w:rsidRPr="002D3ADB">
        <w:rPr>
          <w:lang w:eastAsia="en-US"/>
        </w:rPr>
        <w:t xml:space="preserve"> decisions</w:t>
      </w:r>
      <w:r w:rsidR="00117734" w:rsidRPr="002D3ADB">
        <w:rPr>
          <w:lang w:eastAsia="en-US"/>
        </w:rPr>
        <w:t>, to manage finances and to evaluate not just the financial performance but the business value as well</w:t>
      </w:r>
      <w:r w:rsidR="008352BD" w:rsidRPr="002D3ADB">
        <w:rPr>
          <w:lang w:eastAsia="en-US"/>
        </w:rPr>
        <w:t xml:space="preserve"> (Kenton, 2020</w:t>
      </w:r>
      <w:r w:rsidR="00C07550" w:rsidRPr="002D3ADB">
        <w:rPr>
          <w:lang w:eastAsia="en-US"/>
        </w:rPr>
        <w:t>a</w:t>
      </w:r>
      <w:r w:rsidR="008352BD" w:rsidRPr="002D3ADB">
        <w:rPr>
          <w:lang w:eastAsia="en-US"/>
        </w:rPr>
        <w:t>)</w:t>
      </w:r>
      <w:r w:rsidR="00117734" w:rsidRPr="002D3ADB">
        <w:rPr>
          <w:lang w:eastAsia="en-US"/>
        </w:rPr>
        <w:t xml:space="preserve">. </w:t>
      </w:r>
      <w:r w:rsidR="004D740A" w:rsidRPr="002D3ADB">
        <w:rPr>
          <w:lang w:eastAsia="en-US"/>
        </w:rPr>
        <w:t xml:space="preserve">There </w:t>
      </w:r>
      <w:r w:rsidR="007D772D" w:rsidRPr="002D3ADB">
        <w:rPr>
          <w:lang w:eastAsia="en-US"/>
        </w:rPr>
        <w:t>are</w:t>
      </w:r>
      <w:r w:rsidR="004D740A" w:rsidRPr="002D3ADB">
        <w:rPr>
          <w:lang w:eastAsia="en-US"/>
        </w:rPr>
        <w:t xml:space="preserve"> various approach</w:t>
      </w:r>
      <w:r w:rsidR="007D772D" w:rsidRPr="002D3ADB">
        <w:rPr>
          <w:lang w:eastAsia="en-US"/>
        </w:rPr>
        <w:t>es</w:t>
      </w:r>
      <w:r w:rsidR="004D740A" w:rsidRPr="002D3ADB">
        <w:rPr>
          <w:lang w:eastAsia="en-US"/>
        </w:rPr>
        <w:t xml:space="preserve"> in measuring and evaluating the financial performance of a firm namely horizontal, vertical and ratio analysis. </w:t>
      </w:r>
      <w:r w:rsidR="008F0149" w:rsidRPr="002D3ADB">
        <w:rPr>
          <w:lang w:eastAsia="en-US"/>
        </w:rPr>
        <w:t xml:space="preserve">According to </w:t>
      </w:r>
      <w:proofErr w:type="spellStart"/>
      <w:r w:rsidR="008F0149" w:rsidRPr="002D3ADB">
        <w:rPr>
          <w:lang w:eastAsia="en-US"/>
        </w:rPr>
        <w:t>Tuovila</w:t>
      </w:r>
      <w:proofErr w:type="spellEnd"/>
      <w:r w:rsidR="008F0149" w:rsidRPr="002D3ADB">
        <w:rPr>
          <w:lang w:eastAsia="en-US"/>
        </w:rPr>
        <w:t xml:space="preserve"> (2020)</w:t>
      </w:r>
      <w:r w:rsidR="00EB53EC" w:rsidRPr="002D3ADB">
        <w:rPr>
          <w:lang w:eastAsia="en-US"/>
        </w:rPr>
        <w:t xml:space="preserve">, </w:t>
      </w:r>
      <w:r w:rsidR="00E154FC" w:rsidRPr="002D3ADB">
        <w:rPr>
          <w:lang w:eastAsia="en-US"/>
        </w:rPr>
        <w:t xml:space="preserve">horizontal analysis </w:t>
      </w:r>
      <w:r w:rsidR="00020E23" w:rsidRPr="002D3ADB">
        <w:rPr>
          <w:lang w:eastAsia="en-US"/>
        </w:rPr>
        <w:t>compares historical financial data of an organisation</w:t>
      </w:r>
      <w:r w:rsidR="0031283F" w:rsidRPr="002D3ADB">
        <w:rPr>
          <w:lang w:eastAsia="en-US"/>
        </w:rPr>
        <w:t xml:space="preserve">. This approach uses a </w:t>
      </w:r>
      <w:r w:rsidR="00E45DEA" w:rsidRPr="002D3ADB">
        <w:rPr>
          <w:lang w:eastAsia="en-US"/>
        </w:rPr>
        <w:t>base</w:t>
      </w:r>
      <w:r w:rsidR="0031283F" w:rsidRPr="002D3ADB">
        <w:rPr>
          <w:lang w:eastAsia="en-US"/>
        </w:rPr>
        <w:t xml:space="preserve"> </w:t>
      </w:r>
      <w:r w:rsidR="005B3700" w:rsidRPr="002D3ADB">
        <w:rPr>
          <w:lang w:eastAsia="en-US"/>
        </w:rPr>
        <w:t>period</w:t>
      </w:r>
      <w:r w:rsidR="0031283F" w:rsidRPr="002D3ADB">
        <w:rPr>
          <w:lang w:eastAsia="en-US"/>
        </w:rPr>
        <w:t xml:space="preserve"> in order to compare the growth </w:t>
      </w:r>
      <w:r w:rsidR="005B3700" w:rsidRPr="002D3ADB">
        <w:rPr>
          <w:lang w:eastAsia="en-US"/>
        </w:rPr>
        <w:t xml:space="preserve">of a certain line item in the financial statement over </w:t>
      </w:r>
      <w:r w:rsidR="00011E17" w:rsidRPr="002D3ADB">
        <w:rPr>
          <w:lang w:eastAsia="en-US"/>
        </w:rPr>
        <w:t xml:space="preserve">different periods. </w:t>
      </w:r>
      <w:r w:rsidR="00E774CB" w:rsidRPr="002D3ADB">
        <w:rPr>
          <w:lang w:eastAsia="en-US"/>
        </w:rPr>
        <w:t>Vertical analysis, on the other hand, c</w:t>
      </w:r>
      <w:r w:rsidR="00452732" w:rsidRPr="002D3ADB">
        <w:rPr>
          <w:lang w:eastAsia="en-US"/>
        </w:rPr>
        <w:t xml:space="preserve">ompares a </w:t>
      </w:r>
      <w:r w:rsidR="00535FAF" w:rsidRPr="002D3ADB">
        <w:rPr>
          <w:lang w:eastAsia="en-US"/>
        </w:rPr>
        <w:t xml:space="preserve">base line against all the other lines in order to </w:t>
      </w:r>
      <w:r w:rsidR="00896D91" w:rsidRPr="002D3ADB">
        <w:rPr>
          <w:lang w:eastAsia="en-US"/>
        </w:rPr>
        <w:t xml:space="preserve">understand the </w:t>
      </w:r>
      <w:r w:rsidR="006A4CB7" w:rsidRPr="002D3ADB">
        <w:rPr>
          <w:lang w:eastAsia="en-US"/>
        </w:rPr>
        <w:t>relationship</w:t>
      </w:r>
      <w:r w:rsidR="00896D91" w:rsidRPr="002D3ADB">
        <w:rPr>
          <w:lang w:eastAsia="en-US"/>
        </w:rPr>
        <w:t xml:space="preserve"> </w:t>
      </w:r>
      <w:r w:rsidR="006A4CB7" w:rsidRPr="002D3ADB">
        <w:rPr>
          <w:lang w:eastAsia="en-US"/>
        </w:rPr>
        <w:t xml:space="preserve">between each </w:t>
      </w:r>
      <w:r w:rsidR="00873100" w:rsidRPr="002D3ADB">
        <w:rPr>
          <w:lang w:eastAsia="en-US"/>
        </w:rPr>
        <w:t>item</w:t>
      </w:r>
      <w:r w:rsidR="006A4CB7" w:rsidRPr="002D3ADB">
        <w:rPr>
          <w:lang w:eastAsia="en-US"/>
        </w:rPr>
        <w:t xml:space="preserve"> </w:t>
      </w:r>
      <w:r w:rsidR="00227EA7" w:rsidRPr="002D3ADB">
        <w:rPr>
          <w:lang w:eastAsia="en-US"/>
        </w:rPr>
        <w:t>of</w:t>
      </w:r>
      <w:r w:rsidR="00A00237" w:rsidRPr="002D3ADB">
        <w:rPr>
          <w:lang w:eastAsia="en-US"/>
        </w:rPr>
        <w:t xml:space="preserve"> </w:t>
      </w:r>
      <w:r w:rsidR="00873100" w:rsidRPr="002D3ADB">
        <w:rPr>
          <w:lang w:eastAsia="en-US"/>
        </w:rPr>
        <w:t>the</w:t>
      </w:r>
      <w:r w:rsidR="00A00237" w:rsidRPr="002D3ADB">
        <w:rPr>
          <w:lang w:eastAsia="en-US"/>
        </w:rPr>
        <w:t xml:space="preserve"> bal</w:t>
      </w:r>
      <w:r w:rsidR="00A00237" w:rsidRPr="002D3ADB">
        <w:rPr>
          <w:lang w:eastAsia="en-US"/>
        </w:rPr>
        <w:lastRenderedPageBreak/>
        <w:t>ance sheet or income statement (</w:t>
      </w:r>
      <w:r w:rsidR="00786A2C" w:rsidRPr="002D3ADB">
        <w:rPr>
          <w:lang w:eastAsia="en-US"/>
        </w:rPr>
        <w:t>Grant, 2020)</w:t>
      </w:r>
      <w:r w:rsidR="005F39BC" w:rsidRPr="002D3ADB">
        <w:rPr>
          <w:lang w:eastAsia="en-US"/>
        </w:rPr>
        <w:t>.</w:t>
      </w:r>
      <w:r w:rsidR="009710E8" w:rsidRPr="002D3ADB">
        <w:rPr>
          <w:lang w:eastAsia="en-US"/>
        </w:rPr>
        <w:t xml:space="preserve"> </w:t>
      </w:r>
      <w:r w:rsidR="0088477D" w:rsidRPr="002D3ADB">
        <w:rPr>
          <w:lang w:eastAsia="en-US"/>
        </w:rPr>
        <w:t>As</w:t>
      </w:r>
      <w:r w:rsidR="00A00D5A" w:rsidRPr="002D3ADB">
        <w:rPr>
          <w:lang w:eastAsia="en-US"/>
        </w:rPr>
        <w:t xml:space="preserve"> </w:t>
      </w:r>
      <w:r w:rsidR="007401A0" w:rsidRPr="002D3ADB">
        <w:rPr>
          <w:lang w:eastAsia="en-US"/>
        </w:rPr>
        <w:t>a financial</w:t>
      </w:r>
      <w:r w:rsidR="0088477D" w:rsidRPr="002D3ADB">
        <w:rPr>
          <w:lang w:eastAsia="en-US"/>
        </w:rPr>
        <w:t xml:space="preserve"> management</w:t>
      </w:r>
      <w:r w:rsidR="007401A0" w:rsidRPr="002D3ADB">
        <w:rPr>
          <w:lang w:eastAsia="en-US"/>
        </w:rPr>
        <w:t xml:space="preserve"> tool, ratio analysis </w:t>
      </w:r>
      <w:r w:rsidR="00A00D5A" w:rsidRPr="002D3ADB">
        <w:rPr>
          <w:lang w:eastAsia="en-US"/>
        </w:rPr>
        <w:t xml:space="preserve">helps managers </w:t>
      </w:r>
      <w:r w:rsidR="0045600B" w:rsidRPr="002D3ADB">
        <w:rPr>
          <w:lang w:eastAsia="en-US"/>
        </w:rPr>
        <w:t xml:space="preserve">better understand financial results over time </w:t>
      </w:r>
      <w:r w:rsidR="00300EFE" w:rsidRPr="002D3ADB">
        <w:rPr>
          <w:lang w:eastAsia="en-US"/>
        </w:rPr>
        <w:t xml:space="preserve">as this approach provides key indicators of the performance of an organisation. </w:t>
      </w:r>
      <w:r w:rsidR="007B3C09" w:rsidRPr="002D3ADB">
        <w:rPr>
          <w:lang w:eastAsia="en-US"/>
        </w:rPr>
        <w:t xml:space="preserve">This approach </w:t>
      </w:r>
      <w:r w:rsidR="00B7735A" w:rsidRPr="002D3ADB">
        <w:rPr>
          <w:lang w:eastAsia="en-US"/>
        </w:rPr>
        <w:t xml:space="preserve">aids in understanding the </w:t>
      </w:r>
      <w:r w:rsidR="005345C1" w:rsidRPr="002D3ADB">
        <w:rPr>
          <w:lang w:eastAsia="en-US"/>
        </w:rPr>
        <w:t xml:space="preserve">firm’s </w:t>
      </w:r>
      <w:r w:rsidR="00CB1289" w:rsidRPr="002D3ADB">
        <w:rPr>
          <w:lang w:eastAsia="en-US"/>
        </w:rPr>
        <w:t>profitability, liquidity, leverage and efficiency (</w:t>
      </w:r>
      <w:proofErr w:type="spellStart"/>
      <w:r w:rsidR="00CB1289" w:rsidRPr="002D3ADB">
        <w:rPr>
          <w:lang w:eastAsia="en-US"/>
        </w:rPr>
        <w:t>Bloomenthal</w:t>
      </w:r>
      <w:proofErr w:type="spellEnd"/>
      <w:r w:rsidR="00CB1289" w:rsidRPr="002D3ADB">
        <w:rPr>
          <w:lang w:eastAsia="en-US"/>
        </w:rPr>
        <w:t>, 2020).</w:t>
      </w:r>
    </w:p>
    <w:p w14:paraId="44EE0504" w14:textId="7A433A53" w:rsidR="00E17FAC" w:rsidRPr="002D3ADB" w:rsidRDefault="00E17FAC" w:rsidP="002D3ADB">
      <w:pPr>
        <w:spacing w:line="360" w:lineRule="auto"/>
        <w:jc w:val="both"/>
        <w:rPr>
          <w:lang w:eastAsia="en-US"/>
        </w:rPr>
      </w:pPr>
    </w:p>
    <w:p w14:paraId="0021741F" w14:textId="3417F710" w:rsidR="00E17FAC" w:rsidRPr="002D3ADB" w:rsidRDefault="00E17FAC" w:rsidP="002D3ADB">
      <w:pPr>
        <w:spacing w:line="360" w:lineRule="auto"/>
        <w:jc w:val="both"/>
        <w:rPr>
          <w:lang w:eastAsia="en-US"/>
        </w:rPr>
      </w:pPr>
      <w:r w:rsidRPr="002D3ADB">
        <w:rPr>
          <w:lang w:eastAsia="en-US"/>
        </w:rPr>
        <w:t xml:space="preserve">This section </w:t>
      </w:r>
      <w:r w:rsidR="00061BD2" w:rsidRPr="002D3ADB">
        <w:rPr>
          <w:lang w:eastAsia="en-US"/>
        </w:rPr>
        <w:t>includes calculation</w:t>
      </w:r>
      <w:r w:rsidR="00301283" w:rsidRPr="002D3ADB">
        <w:rPr>
          <w:lang w:eastAsia="en-US"/>
        </w:rPr>
        <w:t xml:space="preserve"> and </w:t>
      </w:r>
      <w:r w:rsidR="00EA7CBB" w:rsidRPr="002D3ADB">
        <w:rPr>
          <w:lang w:eastAsia="en-US"/>
        </w:rPr>
        <w:t xml:space="preserve">critical evaluation </w:t>
      </w:r>
      <w:r w:rsidR="00301283" w:rsidRPr="002D3ADB">
        <w:rPr>
          <w:lang w:eastAsia="en-US"/>
        </w:rPr>
        <w:t xml:space="preserve">of </w:t>
      </w:r>
      <w:r w:rsidR="00EA7CBB" w:rsidRPr="002D3ADB">
        <w:rPr>
          <w:lang w:eastAsia="en-US"/>
        </w:rPr>
        <w:t xml:space="preserve">and few recommendations regarding the financial performance of AstraZeneca </w:t>
      </w:r>
      <w:r w:rsidR="00736F2A" w:rsidRPr="002D3ADB">
        <w:rPr>
          <w:lang w:eastAsia="en-US"/>
        </w:rPr>
        <w:t xml:space="preserve">for </w:t>
      </w:r>
      <w:r w:rsidR="00161673" w:rsidRPr="002D3ADB">
        <w:rPr>
          <w:lang w:eastAsia="en-US"/>
        </w:rPr>
        <w:t>the years 2015 to 2019.</w:t>
      </w:r>
      <w:r w:rsidR="001473DF" w:rsidRPr="002D3ADB">
        <w:rPr>
          <w:lang w:eastAsia="en-US"/>
        </w:rPr>
        <w:t xml:space="preserve"> Financial ratio approaches such as profitability, liquidity, leverage/gearing and efficiency ratio will be employed to </w:t>
      </w:r>
      <w:r w:rsidR="00C1276E" w:rsidRPr="002D3ADB">
        <w:rPr>
          <w:lang w:eastAsia="en-US"/>
        </w:rPr>
        <w:t xml:space="preserve">review AstraZeneca’s </w:t>
      </w:r>
      <w:r w:rsidR="00DE16E1" w:rsidRPr="002D3ADB">
        <w:rPr>
          <w:lang w:eastAsia="en-US"/>
        </w:rPr>
        <w:t xml:space="preserve">5-year financial performance. </w:t>
      </w:r>
    </w:p>
    <w:p w14:paraId="1FD67D7D" w14:textId="77777777" w:rsidR="00996282" w:rsidRPr="002D3ADB" w:rsidRDefault="00996282" w:rsidP="002D3ADB">
      <w:pPr>
        <w:spacing w:line="360" w:lineRule="auto"/>
        <w:jc w:val="both"/>
        <w:rPr>
          <w:lang w:eastAsia="en-US"/>
        </w:rPr>
      </w:pPr>
    </w:p>
    <w:p w14:paraId="34E95B55" w14:textId="77777777" w:rsidR="00D72F79" w:rsidRPr="002D3ADB" w:rsidRDefault="00D72F79" w:rsidP="002D3ADB">
      <w:pPr>
        <w:spacing w:line="360" w:lineRule="auto"/>
        <w:jc w:val="center"/>
      </w:pPr>
      <w:bookmarkStart w:id="11" w:name="_Toc61440715"/>
      <w:r w:rsidRPr="002D3ADB">
        <w:rPr>
          <w:noProof/>
        </w:rPr>
        <w:lastRenderedPageBreak/>
        <w:drawing>
          <wp:inline distT="0" distB="0" distL="0" distR="0" wp14:anchorId="42053DA2" wp14:editId="5E1A4E1C">
            <wp:extent cx="6024639" cy="7514492"/>
            <wp:effectExtent l="0" t="0" r="0" b="4445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3162" cy="7575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1960E" w14:textId="3A37AAC0" w:rsidR="00D72F79" w:rsidRPr="002D3ADB" w:rsidRDefault="00D72F79" w:rsidP="002D3ADB">
      <w:pPr>
        <w:pStyle w:val="Caption"/>
        <w:spacing w:line="360" w:lineRule="auto"/>
        <w:jc w:val="center"/>
        <w:rPr>
          <w:sz w:val="24"/>
          <w:szCs w:val="24"/>
        </w:rPr>
      </w:pPr>
      <w:bookmarkStart w:id="12" w:name="_Toc61893762"/>
      <w:r w:rsidRPr="002D3ADB">
        <w:rPr>
          <w:sz w:val="24"/>
          <w:szCs w:val="24"/>
        </w:rPr>
        <w:lastRenderedPageBreak/>
        <w:t xml:space="preserve">Figure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Figure \* ARABIC </w:instrText>
      </w:r>
      <w:r w:rsidRPr="002D3ADB">
        <w:rPr>
          <w:sz w:val="24"/>
          <w:szCs w:val="24"/>
        </w:rPr>
        <w:fldChar w:fldCharType="separate"/>
      </w:r>
      <w:r w:rsidR="00902FF1" w:rsidRPr="002D3ADB">
        <w:rPr>
          <w:noProof/>
          <w:sz w:val="24"/>
          <w:szCs w:val="24"/>
        </w:rPr>
        <w:t>1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>: AstraZeneca’s Comparative Income Statement for 2017-2019</w:t>
      </w:r>
      <w:bookmarkEnd w:id="12"/>
    </w:p>
    <w:p w14:paraId="75C6908B" w14:textId="77777777" w:rsidR="00D72F79" w:rsidRPr="002D3ADB" w:rsidRDefault="00D72F79" w:rsidP="002D3ADB">
      <w:pPr>
        <w:spacing w:line="360" w:lineRule="auto"/>
        <w:jc w:val="center"/>
        <w:rPr>
          <w:color w:val="44546A" w:themeColor="text2"/>
        </w:rPr>
      </w:pPr>
      <w:r w:rsidRPr="002D3ADB">
        <w:t>Source: AstraZeneca Annual Report (2019)</w:t>
      </w:r>
      <w:r w:rsidRPr="002D3ADB">
        <w:br w:type="page"/>
      </w:r>
    </w:p>
    <w:p w14:paraId="5DA40F44" w14:textId="77777777" w:rsidR="00D72F79" w:rsidRPr="002D3ADB" w:rsidRDefault="00D72F79" w:rsidP="002D3ADB">
      <w:pPr>
        <w:spacing w:line="360" w:lineRule="auto"/>
        <w:jc w:val="center"/>
      </w:pPr>
      <w:r w:rsidRPr="002D3ADB">
        <w:rPr>
          <w:noProof/>
        </w:rPr>
        <w:lastRenderedPageBreak/>
        <w:drawing>
          <wp:inline distT="0" distB="0" distL="0" distR="0" wp14:anchorId="32337558" wp14:editId="7B297D64">
            <wp:extent cx="5943600" cy="7486015"/>
            <wp:effectExtent l="0" t="0" r="0" b="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486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EA9DC2" w14:textId="5FDC7711" w:rsidR="00D72F79" w:rsidRPr="002D3ADB" w:rsidRDefault="00D72F79" w:rsidP="002D3ADB">
      <w:pPr>
        <w:pStyle w:val="Caption"/>
        <w:spacing w:line="360" w:lineRule="auto"/>
        <w:jc w:val="center"/>
        <w:rPr>
          <w:sz w:val="24"/>
          <w:szCs w:val="24"/>
        </w:rPr>
      </w:pPr>
      <w:bookmarkStart w:id="13" w:name="_Toc61893763"/>
      <w:r w:rsidRPr="002D3ADB">
        <w:rPr>
          <w:sz w:val="24"/>
          <w:szCs w:val="24"/>
        </w:rPr>
        <w:lastRenderedPageBreak/>
        <w:t xml:space="preserve">Figure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Figure \* ARABIC </w:instrText>
      </w:r>
      <w:r w:rsidRPr="002D3ADB">
        <w:rPr>
          <w:sz w:val="24"/>
          <w:szCs w:val="24"/>
        </w:rPr>
        <w:fldChar w:fldCharType="separate"/>
      </w:r>
      <w:r w:rsidR="00902FF1" w:rsidRPr="002D3ADB">
        <w:rPr>
          <w:noProof/>
          <w:sz w:val="24"/>
          <w:szCs w:val="24"/>
        </w:rPr>
        <w:t>2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>: AstraZeneca’s Comparative Income Statement for 2015-2017</w:t>
      </w:r>
      <w:bookmarkEnd w:id="13"/>
    </w:p>
    <w:p w14:paraId="38B3178F" w14:textId="77777777" w:rsidR="00D72F79" w:rsidRPr="002D3ADB" w:rsidRDefault="00D72F79" w:rsidP="002D3ADB">
      <w:pPr>
        <w:spacing w:line="360" w:lineRule="auto"/>
        <w:jc w:val="center"/>
      </w:pPr>
      <w:r w:rsidRPr="002D3ADB">
        <w:t>Source: AstraZeneca Annual Report (2017)</w:t>
      </w:r>
      <w:r w:rsidRPr="002D3ADB">
        <w:br w:type="page"/>
      </w:r>
      <w:r w:rsidRPr="002D3ADB">
        <w:rPr>
          <w:noProof/>
        </w:rPr>
        <w:lastRenderedPageBreak/>
        <w:drawing>
          <wp:inline distT="0" distB="0" distL="0" distR="0" wp14:anchorId="01BC7006" wp14:editId="3522520C">
            <wp:extent cx="5943600" cy="7529830"/>
            <wp:effectExtent l="0" t="0" r="0" b="1270"/>
            <wp:docPr id="29" name="Picture 2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Tab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529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9B9AFF" w14:textId="785C8E8E" w:rsidR="00D72F79" w:rsidRPr="002D3ADB" w:rsidRDefault="00D72F79" w:rsidP="002D3ADB">
      <w:pPr>
        <w:pStyle w:val="Caption"/>
        <w:spacing w:line="360" w:lineRule="auto"/>
        <w:jc w:val="center"/>
        <w:rPr>
          <w:sz w:val="24"/>
          <w:szCs w:val="24"/>
        </w:rPr>
      </w:pPr>
      <w:bookmarkStart w:id="14" w:name="_Toc61893764"/>
      <w:r w:rsidRPr="002D3ADB">
        <w:rPr>
          <w:sz w:val="24"/>
          <w:szCs w:val="24"/>
        </w:rPr>
        <w:lastRenderedPageBreak/>
        <w:t xml:space="preserve">Figure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Figure \* ARABIC </w:instrText>
      </w:r>
      <w:r w:rsidRPr="002D3ADB">
        <w:rPr>
          <w:sz w:val="24"/>
          <w:szCs w:val="24"/>
        </w:rPr>
        <w:fldChar w:fldCharType="separate"/>
      </w:r>
      <w:r w:rsidR="00902FF1" w:rsidRPr="002D3ADB">
        <w:rPr>
          <w:noProof/>
          <w:sz w:val="24"/>
          <w:szCs w:val="24"/>
        </w:rPr>
        <w:t>3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>: AstraZeneca's Comparative Balance Sheet for 2017-2019</w:t>
      </w:r>
      <w:bookmarkEnd w:id="14"/>
    </w:p>
    <w:p w14:paraId="7195FE80" w14:textId="77777777" w:rsidR="00D72F79" w:rsidRPr="002D3ADB" w:rsidRDefault="00D72F79" w:rsidP="002D3ADB">
      <w:pPr>
        <w:spacing w:line="360" w:lineRule="auto"/>
        <w:jc w:val="center"/>
        <w:rPr>
          <w:color w:val="44546A" w:themeColor="text2"/>
        </w:rPr>
      </w:pPr>
      <w:r w:rsidRPr="002D3ADB">
        <w:t>Source: AstraZeneca Annual Report (2019)</w:t>
      </w:r>
      <w:r w:rsidRPr="002D3ADB">
        <w:br w:type="page"/>
      </w:r>
    </w:p>
    <w:p w14:paraId="22517AD9" w14:textId="77777777" w:rsidR="00D72F79" w:rsidRPr="002D3ADB" w:rsidRDefault="00D72F79" w:rsidP="002D3ADB">
      <w:pPr>
        <w:pStyle w:val="Caption"/>
        <w:spacing w:line="360" w:lineRule="auto"/>
        <w:jc w:val="center"/>
        <w:rPr>
          <w:sz w:val="24"/>
          <w:szCs w:val="24"/>
        </w:rPr>
      </w:pPr>
      <w:r w:rsidRPr="002D3ADB">
        <w:rPr>
          <w:noProof/>
          <w:sz w:val="24"/>
          <w:szCs w:val="24"/>
        </w:rPr>
        <w:lastRenderedPageBreak/>
        <w:drawing>
          <wp:inline distT="0" distB="0" distL="0" distR="0" wp14:anchorId="00B2753A" wp14:editId="5947D489">
            <wp:extent cx="5943600" cy="7065010"/>
            <wp:effectExtent l="0" t="0" r="0" b="0"/>
            <wp:docPr id="30" name="Picture 3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Tabl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065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2A489" w14:textId="43A431EA" w:rsidR="00D72F79" w:rsidRPr="002D3ADB" w:rsidRDefault="00D72F79" w:rsidP="002D3ADB">
      <w:pPr>
        <w:pStyle w:val="Caption"/>
        <w:spacing w:line="360" w:lineRule="auto"/>
        <w:jc w:val="center"/>
        <w:rPr>
          <w:sz w:val="24"/>
          <w:szCs w:val="24"/>
        </w:rPr>
      </w:pPr>
      <w:bookmarkStart w:id="15" w:name="_Toc61893765"/>
      <w:r w:rsidRPr="002D3ADB">
        <w:rPr>
          <w:sz w:val="24"/>
          <w:szCs w:val="24"/>
        </w:rPr>
        <w:lastRenderedPageBreak/>
        <w:t xml:space="preserve">Figure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Figure \* ARABIC </w:instrText>
      </w:r>
      <w:r w:rsidRPr="002D3ADB">
        <w:rPr>
          <w:sz w:val="24"/>
          <w:szCs w:val="24"/>
        </w:rPr>
        <w:fldChar w:fldCharType="separate"/>
      </w:r>
      <w:r w:rsidR="00902FF1" w:rsidRPr="002D3ADB">
        <w:rPr>
          <w:noProof/>
          <w:sz w:val="24"/>
          <w:szCs w:val="24"/>
        </w:rPr>
        <w:t>4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>: AstraZeneca's Comparative Balance Sheet for 2015-2017</w:t>
      </w:r>
      <w:bookmarkEnd w:id="15"/>
    </w:p>
    <w:p w14:paraId="1DA74AF1" w14:textId="77777777" w:rsidR="00902FF1" w:rsidRPr="002D3ADB" w:rsidRDefault="00D72F79" w:rsidP="002D3ADB">
      <w:pPr>
        <w:spacing w:line="360" w:lineRule="auto"/>
        <w:jc w:val="center"/>
      </w:pPr>
      <w:r w:rsidRPr="002D3ADB">
        <w:t>Source: AstraZeneca Annual Report (2017)</w:t>
      </w:r>
    </w:p>
    <w:p w14:paraId="3B605E7E" w14:textId="77777777" w:rsidR="00902FF1" w:rsidRPr="002D3ADB" w:rsidRDefault="00902FF1" w:rsidP="002D3ADB">
      <w:pPr>
        <w:spacing w:line="360" w:lineRule="auto"/>
        <w:jc w:val="center"/>
      </w:pPr>
    </w:p>
    <w:p w14:paraId="4D88C2BB" w14:textId="77777777" w:rsidR="00902FF1" w:rsidRPr="002D3ADB" w:rsidRDefault="00902FF1" w:rsidP="002D3ADB">
      <w:pPr>
        <w:spacing w:line="360" w:lineRule="auto"/>
      </w:pPr>
      <w:r w:rsidRPr="002D3ADB">
        <w:rPr>
          <w:noProof/>
        </w:rPr>
        <w:lastRenderedPageBreak/>
        <w:drawing>
          <wp:inline distT="0" distB="0" distL="0" distR="0" wp14:anchorId="0466584F" wp14:editId="4E472503">
            <wp:extent cx="5934075" cy="7934325"/>
            <wp:effectExtent l="0" t="0" r="0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38467" cy="79401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829A0" w14:textId="2A307749" w:rsidR="00902FF1" w:rsidRPr="002D3ADB" w:rsidRDefault="00902FF1" w:rsidP="002D3ADB">
      <w:pPr>
        <w:pStyle w:val="Caption"/>
        <w:spacing w:line="360" w:lineRule="auto"/>
        <w:jc w:val="center"/>
        <w:rPr>
          <w:sz w:val="24"/>
          <w:szCs w:val="24"/>
        </w:rPr>
      </w:pPr>
      <w:bookmarkStart w:id="16" w:name="_Toc61893766"/>
      <w:r w:rsidRPr="002D3ADB">
        <w:rPr>
          <w:sz w:val="24"/>
          <w:szCs w:val="24"/>
        </w:rPr>
        <w:lastRenderedPageBreak/>
        <w:t xml:space="preserve">Figure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Figure \* ARABIC </w:instrText>
      </w:r>
      <w:r w:rsidRPr="002D3ADB">
        <w:rPr>
          <w:sz w:val="24"/>
          <w:szCs w:val="24"/>
        </w:rPr>
        <w:fldChar w:fldCharType="separate"/>
      </w:r>
      <w:r w:rsidRPr="002D3ADB">
        <w:rPr>
          <w:noProof/>
          <w:sz w:val="24"/>
          <w:szCs w:val="24"/>
        </w:rPr>
        <w:t>5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>: Overview of AstraZeneca's Financial Ratio From 2015-2019</w:t>
      </w:r>
      <w:bookmarkEnd w:id="16"/>
    </w:p>
    <w:p w14:paraId="4C6749B4" w14:textId="1613BF63" w:rsidR="005F6A45" w:rsidRPr="002D3ADB" w:rsidRDefault="009C4185" w:rsidP="002D3ADB">
      <w:pPr>
        <w:pStyle w:val="Heading3"/>
        <w:spacing w:line="360" w:lineRule="auto"/>
        <w:jc w:val="both"/>
        <w:rPr>
          <w:rFonts w:ascii="Times New Roman" w:hAnsi="Times New Roman" w:cs="Times New Roman"/>
        </w:rPr>
      </w:pPr>
      <w:bookmarkStart w:id="17" w:name="_Toc61893740"/>
      <w:r w:rsidRPr="002D3ADB">
        <w:rPr>
          <w:rFonts w:ascii="Times New Roman" w:hAnsi="Times New Roman" w:cs="Times New Roman"/>
        </w:rPr>
        <w:t>Profitability Ratios</w:t>
      </w:r>
      <w:r w:rsidR="0029762D" w:rsidRPr="002D3ADB">
        <w:rPr>
          <w:rFonts w:ascii="Times New Roman" w:hAnsi="Times New Roman" w:cs="Times New Roman"/>
        </w:rPr>
        <w:t>: Calculations</w:t>
      </w:r>
      <w:r w:rsidR="00AB3948" w:rsidRPr="002D3ADB">
        <w:rPr>
          <w:rFonts w:ascii="Times New Roman" w:hAnsi="Times New Roman" w:cs="Times New Roman"/>
        </w:rPr>
        <w:t xml:space="preserve">, </w:t>
      </w:r>
      <w:r w:rsidR="0029762D" w:rsidRPr="002D3ADB">
        <w:rPr>
          <w:rFonts w:ascii="Times New Roman" w:hAnsi="Times New Roman" w:cs="Times New Roman"/>
        </w:rPr>
        <w:t>Comparative Analysis</w:t>
      </w:r>
      <w:r w:rsidR="00AB3948" w:rsidRPr="002D3ADB">
        <w:rPr>
          <w:rFonts w:ascii="Times New Roman" w:hAnsi="Times New Roman" w:cs="Times New Roman"/>
        </w:rPr>
        <w:t xml:space="preserve"> and Recommendations</w:t>
      </w:r>
      <w:bookmarkEnd w:id="11"/>
      <w:bookmarkEnd w:id="17"/>
    </w:p>
    <w:p w14:paraId="0CB64CB2" w14:textId="77777777" w:rsidR="004E4996" w:rsidRPr="002D3ADB" w:rsidRDefault="004E4996" w:rsidP="002D3ADB">
      <w:pPr>
        <w:spacing w:line="360" w:lineRule="auto"/>
        <w:rPr>
          <w:lang w:eastAsia="en-US"/>
        </w:rPr>
      </w:pPr>
    </w:p>
    <w:p w14:paraId="4CB42B32" w14:textId="1CFC0B48" w:rsidR="005D78B2" w:rsidRPr="002D3ADB" w:rsidRDefault="008617EB" w:rsidP="002D3ADB">
      <w:pPr>
        <w:spacing w:line="360" w:lineRule="auto"/>
        <w:jc w:val="both"/>
        <w:rPr>
          <w:lang w:eastAsia="en-US"/>
        </w:rPr>
      </w:pPr>
      <w:r w:rsidRPr="002D3ADB">
        <w:rPr>
          <w:lang w:eastAsia="en-US"/>
        </w:rPr>
        <w:t xml:space="preserve">Kenton (2020b) </w:t>
      </w:r>
      <w:r w:rsidR="00FA2E1E" w:rsidRPr="002D3ADB">
        <w:rPr>
          <w:lang w:eastAsia="en-US"/>
        </w:rPr>
        <w:t xml:space="preserve">noted that profitability ratios </w:t>
      </w:r>
      <w:r w:rsidR="00B52CE9" w:rsidRPr="002D3ADB">
        <w:rPr>
          <w:lang w:eastAsia="en-US"/>
        </w:rPr>
        <w:t xml:space="preserve">present </w:t>
      </w:r>
      <w:r w:rsidR="00261944" w:rsidRPr="002D3ADB">
        <w:rPr>
          <w:lang w:eastAsia="en-US"/>
        </w:rPr>
        <w:t xml:space="preserve">how organisations efficiently generate profit and create value for its shareholders. </w:t>
      </w:r>
      <w:r w:rsidR="00E438A6" w:rsidRPr="002D3ADB">
        <w:rPr>
          <w:lang w:eastAsia="en-US"/>
        </w:rPr>
        <w:t xml:space="preserve">AstraZeneca’s profitability ratios </w:t>
      </w:r>
      <w:r w:rsidR="00625011" w:rsidRPr="002D3ADB">
        <w:rPr>
          <w:lang w:eastAsia="en-US"/>
        </w:rPr>
        <w:t>such as gross margin, operating margin and net profit margin are shown in Table 1 below.</w:t>
      </w:r>
    </w:p>
    <w:p w14:paraId="4DCB68CD" w14:textId="77777777" w:rsidR="005F6A45" w:rsidRPr="002D3ADB" w:rsidRDefault="005F6A45" w:rsidP="002D3ADB">
      <w:pPr>
        <w:spacing w:line="360" w:lineRule="auto"/>
        <w:jc w:val="both"/>
        <w:rPr>
          <w:lang w:eastAsia="en-US"/>
        </w:rPr>
      </w:pPr>
    </w:p>
    <w:tbl>
      <w:tblPr>
        <w:tblW w:w="10860" w:type="dxa"/>
        <w:jc w:val="center"/>
        <w:tblLook w:val="04A0" w:firstRow="1" w:lastRow="0" w:firstColumn="1" w:lastColumn="0" w:noHBand="0" w:noVBand="1"/>
      </w:tblPr>
      <w:tblGrid>
        <w:gridCol w:w="2405"/>
        <w:gridCol w:w="1723"/>
        <w:gridCol w:w="1740"/>
        <w:gridCol w:w="1740"/>
        <w:gridCol w:w="1740"/>
        <w:gridCol w:w="1740"/>
      </w:tblGrid>
      <w:tr w:rsidR="005F6A45" w:rsidRPr="002D3ADB" w14:paraId="111BD4B2" w14:textId="77777777" w:rsidTr="005F6A45">
        <w:trPr>
          <w:trHeight w:val="800"/>
          <w:jc w:val="center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EA9DB"/>
            <w:vAlign w:val="center"/>
            <w:hideMark/>
          </w:tcPr>
          <w:p w14:paraId="293695EC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PROFITABILITY RATIOS</w:t>
            </w:r>
          </w:p>
        </w:tc>
        <w:tc>
          <w:tcPr>
            <w:tcW w:w="14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center"/>
            <w:hideMark/>
          </w:tcPr>
          <w:p w14:paraId="2E2259B3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2019</w:t>
            </w:r>
          </w:p>
        </w:tc>
        <w:tc>
          <w:tcPr>
            <w:tcW w:w="17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center"/>
            <w:hideMark/>
          </w:tcPr>
          <w:p w14:paraId="76D7EF22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2018</w:t>
            </w:r>
          </w:p>
        </w:tc>
        <w:tc>
          <w:tcPr>
            <w:tcW w:w="17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center"/>
            <w:hideMark/>
          </w:tcPr>
          <w:p w14:paraId="54FDD3A7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2017</w:t>
            </w:r>
          </w:p>
        </w:tc>
        <w:tc>
          <w:tcPr>
            <w:tcW w:w="17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center"/>
            <w:hideMark/>
          </w:tcPr>
          <w:p w14:paraId="28AD8184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2016</w:t>
            </w:r>
          </w:p>
        </w:tc>
        <w:tc>
          <w:tcPr>
            <w:tcW w:w="17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center"/>
            <w:hideMark/>
          </w:tcPr>
          <w:p w14:paraId="234E623F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2015</w:t>
            </w:r>
          </w:p>
        </w:tc>
      </w:tr>
      <w:tr w:rsidR="005F6A45" w:rsidRPr="002D3ADB" w14:paraId="3CE85A95" w14:textId="77777777" w:rsidTr="005F6A45">
        <w:trPr>
          <w:trHeight w:val="450"/>
          <w:jc w:val="center"/>
        </w:trPr>
        <w:tc>
          <w:tcPr>
            <w:tcW w:w="240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9E1F2"/>
            <w:noWrap/>
            <w:hideMark/>
          </w:tcPr>
          <w:p w14:paraId="73BB60EA" w14:textId="77777777" w:rsidR="005F6A45" w:rsidRPr="002D3ADB" w:rsidRDefault="005F6A45" w:rsidP="002D3ADB">
            <w:pPr>
              <w:spacing w:line="360" w:lineRule="auto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Gross Margin: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7681F04F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79.82%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71ECF7EA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77.66%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2AEFB788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80.78%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4960A90F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82.06%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1C427753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81.20%</w:t>
            </w:r>
          </w:p>
        </w:tc>
      </w:tr>
      <w:tr w:rsidR="005F6A45" w:rsidRPr="002D3ADB" w14:paraId="526525C4" w14:textId="77777777" w:rsidTr="005F6A45">
        <w:trPr>
          <w:trHeight w:val="320"/>
          <w:jc w:val="center"/>
        </w:trPr>
        <w:tc>
          <w:tcPr>
            <w:tcW w:w="240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38E7DF25" w14:textId="77777777" w:rsidR="005F6A45" w:rsidRPr="002D3ADB" w:rsidRDefault="005F6A45" w:rsidP="002D3ADB">
            <w:pPr>
              <w:spacing w:line="360" w:lineRule="auto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Gross Profit</w:t>
            </w:r>
          </w:p>
        </w:tc>
        <w:tc>
          <w:tcPr>
            <w:tcW w:w="149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686030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$19463/$24384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3EF1CB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$17154/$22090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CEE937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$18147/$22465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D5AF1B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$18876/$23002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AB8DA0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$20062/$24708</w:t>
            </w:r>
          </w:p>
        </w:tc>
      </w:tr>
      <w:tr w:rsidR="005F6A45" w:rsidRPr="002D3ADB" w14:paraId="3F8BE025" w14:textId="77777777" w:rsidTr="005F6A45">
        <w:trPr>
          <w:trHeight w:val="320"/>
          <w:jc w:val="center"/>
        </w:trPr>
        <w:tc>
          <w:tcPr>
            <w:tcW w:w="24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hideMark/>
          </w:tcPr>
          <w:p w14:paraId="0D66A699" w14:textId="77777777" w:rsidR="005F6A45" w:rsidRPr="002D3ADB" w:rsidRDefault="005F6A45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Sales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11FF9E" w14:textId="75E7E8F1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0.798187336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88278A" w14:textId="5CE0678D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0.776550475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61BC7C" w14:textId="1D8EEF21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0.807789895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88DBDA" w14:textId="0F788967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0.820624294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672F3D" w14:textId="1E3BE1AD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0.811963736</w:t>
            </w:r>
          </w:p>
        </w:tc>
      </w:tr>
      <w:tr w:rsidR="005F6A45" w:rsidRPr="002D3ADB" w14:paraId="27AD501E" w14:textId="77777777" w:rsidTr="005F6A45">
        <w:trPr>
          <w:trHeight w:val="450"/>
          <w:jc w:val="center"/>
        </w:trPr>
        <w:tc>
          <w:tcPr>
            <w:tcW w:w="240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9E1F2"/>
            <w:noWrap/>
            <w:hideMark/>
          </w:tcPr>
          <w:p w14:paraId="7422D2FD" w14:textId="77777777" w:rsidR="005F6A45" w:rsidRPr="002D3ADB" w:rsidRDefault="005F6A45" w:rsidP="002D3ADB">
            <w:pPr>
              <w:spacing w:line="360" w:lineRule="auto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Operating Margin: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77053529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11.99%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1DD54C79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15.33%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1AE38B10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16.37%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265A94C5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21.31%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7C0A06A1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16.65%</w:t>
            </w:r>
          </w:p>
        </w:tc>
      </w:tr>
      <w:tr w:rsidR="005F6A45" w:rsidRPr="002D3ADB" w14:paraId="504396C6" w14:textId="77777777" w:rsidTr="005F6A45">
        <w:trPr>
          <w:trHeight w:val="320"/>
          <w:jc w:val="center"/>
        </w:trPr>
        <w:tc>
          <w:tcPr>
            <w:tcW w:w="240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3EE74BAA" w14:textId="77777777" w:rsidR="005F6A45" w:rsidRPr="002D3ADB" w:rsidRDefault="005F6A45" w:rsidP="002D3ADB">
            <w:pPr>
              <w:spacing w:line="360" w:lineRule="auto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Operating Income</w:t>
            </w:r>
          </w:p>
        </w:tc>
        <w:tc>
          <w:tcPr>
            <w:tcW w:w="149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4E9E83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$2924/$24384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23D4B1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$3387/$22090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A3609F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$3677/$22465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BE70D4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$4902/$23002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FB5046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$4114/$24708</w:t>
            </w:r>
          </w:p>
        </w:tc>
      </w:tr>
      <w:tr w:rsidR="005F6A45" w:rsidRPr="002D3ADB" w14:paraId="4F2F6AC4" w14:textId="77777777" w:rsidTr="005F6A45">
        <w:trPr>
          <w:trHeight w:val="320"/>
          <w:jc w:val="center"/>
        </w:trPr>
        <w:tc>
          <w:tcPr>
            <w:tcW w:w="24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hideMark/>
          </w:tcPr>
          <w:p w14:paraId="4BFC01D2" w14:textId="77777777" w:rsidR="005F6A45" w:rsidRPr="002D3ADB" w:rsidRDefault="005F6A45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Sales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DEB19A" w14:textId="7A4D7898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0.119914698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503265" w14:textId="09185BC1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0.153327297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AA112D" w14:textId="0684AA66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0.163676831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61C5F0" w14:textId="2A89AFC5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0.213111903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F369D3" w14:textId="7F28F28D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0.166504776</w:t>
            </w:r>
          </w:p>
        </w:tc>
      </w:tr>
      <w:tr w:rsidR="005F6A45" w:rsidRPr="002D3ADB" w14:paraId="62DE7294" w14:textId="77777777" w:rsidTr="005F6A45">
        <w:trPr>
          <w:trHeight w:val="450"/>
          <w:jc w:val="center"/>
        </w:trPr>
        <w:tc>
          <w:tcPr>
            <w:tcW w:w="240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9E1F2"/>
            <w:noWrap/>
            <w:hideMark/>
          </w:tcPr>
          <w:p w14:paraId="691FB400" w14:textId="77777777" w:rsidR="005F6A45" w:rsidRPr="002D3ADB" w:rsidRDefault="005F6A45" w:rsidP="002D3ADB">
            <w:pPr>
              <w:spacing w:line="360" w:lineRule="auto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Net Profit Margin: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004949D5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5.03%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16A21E17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9.28%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64690430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12.77%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2BD2979C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14.81%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490F167C" w14:textId="77777777" w:rsidR="005F6A45" w:rsidRPr="002D3ADB" w:rsidRDefault="005F6A45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11.44%</w:t>
            </w:r>
          </w:p>
        </w:tc>
      </w:tr>
      <w:tr w:rsidR="005F6A45" w:rsidRPr="002D3ADB" w14:paraId="2EF07F2F" w14:textId="77777777" w:rsidTr="005F6A45">
        <w:trPr>
          <w:trHeight w:val="320"/>
          <w:jc w:val="center"/>
        </w:trPr>
        <w:tc>
          <w:tcPr>
            <w:tcW w:w="240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0ADE8850" w14:textId="77777777" w:rsidR="005F6A45" w:rsidRPr="002D3ADB" w:rsidRDefault="005F6A45" w:rsidP="002D3ADB">
            <w:pPr>
              <w:spacing w:line="360" w:lineRule="auto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Net Income</w:t>
            </w:r>
          </w:p>
        </w:tc>
        <w:tc>
          <w:tcPr>
            <w:tcW w:w="149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2011CC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$1227/$24384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578371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$2050/$22090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5A7911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$2868/$22465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E3540B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$3406/$23002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1C2628" w14:textId="77777777" w:rsidR="005F6A45" w:rsidRPr="002D3ADB" w:rsidRDefault="005F6A45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$2826/$24708</w:t>
            </w:r>
          </w:p>
        </w:tc>
      </w:tr>
      <w:tr w:rsidR="005F6A45" w:rsidRPr="002D3ADB" w14:paraId="047EDD6B" w14:textId="77777777" w:rsidTr="005F6A45">
        <w:trPr>
          <w:trHeight w:val="320"/>
          <w:jc w:val="center"/>
        </w:trPr>
        <w:tc>
          <w:tcPr>
            <w:tcW w:w="24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hideMark/>
          </w:tcPr>
          <w:p w14:paraId="5B4BFFD2" w14:textId="77777777" w:rsidR="005F6A45" w:rsidRPr="002D3ADB" w:rsidRDefault="005F6A45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Sales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A1FBA6" w14:textId="60EE1131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0.050319882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FD969" w14:textId="28167C50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0.092802173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845D46" w14:textId="01ABD80B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0.127665257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FB0EE2" w14:textId="388BBC58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0.148074081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6E6BD" w14:textId="63C54519" w:rsidR="005F6A45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5F6A45" w:rsidRPr="002D3ADB">
              <w:rPr>
                <w:i/>
                <w:iCs/>
                <w:color w:val="000000"/>
              </w:rPr>
              <w:t>0.114375911</w:t>
            </w:r>
          </w:p>
        </w:tc>
      </w:tr>
    </w:tbl>
    <w:p w14:paraId="7578F428" w14:textId="49D696BF" w:rsidR="00D00866" w:rsidRPr="002D3ADB" w:rsidRDefault="00056318" w:rsidP="002D3ADB">
      <w:pPr>
        <w:pStyle w:val="Caption"/>
        <w:tabs>
          <w:tab w:val="left" w:pos="2552"/>
        </w:tabs>
        <w:spacing w:line="360" w:lineRule="auto"/>
        <w:jc w:val="center"/>
        <w:rPr>
          <w:sz w:val="24"/>
          <w:szCs w:val="24"/>
        </w:rPr>
      </w:pPr>
      <w:bookmarkStart w:id="18" w:name="_Toc61893767"/>
      <w:r w:rsidRPr="002D3ADB">
        <w:rPr>
          <w:sz w:val="24"/>
          <w:szCs w:val="24"/>
        </w:rPr>
        <w:t xml:space="preserve">Table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Table \* ARABIC </w:instrText>
      </w:r>
      <w:r w:rsidRPr="002D3ADB">
        <w:rPr>
          <w:sz w:val="24"/>
          <w:szCs w:val="24"/>
        </w:rPr>
        <w:fldChar w:fldCharType="separate"/>
      </w:r>
      <w:r w:rsidR="00D7286B">
        <w:rPr>
          <w:noProof/>
          <w:sz w:val="24"/>
          <w:szCs w:val="24"/>
        </w:rPr>
        <w:t>1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>: Profitability Ratio</w:t>
      </w:r>
      <w:r w:rsidR="009B594D" w:rsidRPr="002D3ADB">
        <w:rPr>
          <w:sz w:val="24"/>
          <w:szCs w:val="24"/>
        </w:rPr>
        <w:t>s</w:t>
      </w:r>
      <w:r w:rsidRPr="002D3ADB">
        <w:rPr>
          <w:sz w:val="24"/>
          <w:szCs w:val="24"/>
        </w:rPr>
        <w:t xml:space="preserve"> of AstraZeneca PLC for 20</w:t>
      </w:r>
      <w:r w:rsidR="00D13C13" w:rsidRPr="002D3ADB">
        <w:rPr>
          <w:sz w:val="24"/>
          <w:szCs w:val="24"/>
        </w:rPr>
        <w:t>1</w:t>
      </w:r>
      <w:r w:rsidRPr="002D3ADB">
        <w:rPr>
          <w:sz w:val="24"/>
          <w:szCs w:val="24"/>
        </w:rPr>
        <w:t>5-2019</w:t>
      </w:r>
      <w:bookmarkEnd w:id="18"/>
    </w:p>
    <w:p w14:paraId="21FF586D" w14:textId="2D3402D7" w:rsidR="00A34552" w:rsidRPr="002D3ADB" w:rsidRDefault="007A7318" w:rsidP="002D3ADB">
      <w:pPr>
        <w:spacing w:line="360" w:lineRule="auto"/>
        <w:jc w:val="both"/>
      </w:pPr>
      <w:r w:rsidRPr="002D3ADB">
        <w:rPr>
          <w:i/>
          <w:iCs/>
        </w:rPr>
        <w:t>Gross margin</w:t>
      </w:r>
      <w:r w:rsidRPr="002D3ADB">
        <w:t xml:space="preserve"> is the ratio of </w:t>
      </w:r>
      <w:r w:rsidR="005D4F69" w:rsidRPr="002D3ADB">
        <w:t>the difference between revenue and cost of sales</w:t>
      </w:r>
      <w:r w:rsidR="001A4150" w:rsidRPr="002D3ADB">
        <w:t xml:space="preserve"> or gross profit</w:t>
      </w:r>
      <w:r w:rsidR="005D4F69" w:rsidRPr="002D3ADB">
        <w:t xml:space="preserve"> and the revenue </w:t>
      </w:r>
      <w:r w:rsidR="001A4150" w:rsidRPr="002D3ADB">
        <w:t xml:space="preserve">or sales </w:t>
      </w:r>
      <w:r w:rsidR="005D4F69" w:rsidRPr="002D3ADB">
        <w:t>itself.</w:t>
      </w:r>
      <w:r w:rsidR="00917FF7" w:rsidRPr="002D3ADB">
        <w:t xml:space="preserve"> </w:t>
      </w:r>
      <w:r w:rsidR="00711DEE" w:rsidRPr="002D3ADB">
        <w:t xml:space="preserve">Farris et al (2010) </w:t>
      </w:r>
      <w:r w:rsidR="00A055E1" w:rsidRPr="002D3ADB">
        <w:t xml:space="preserve">specified </w:t>
      </w:r>
      <w:r w:rsidR="00BA5B34" w:rsidRPr="002D3ADB">
        <w:t xml:space="preserve">that </w:t>
      </w:r>
      <w:r w:rsidR="00497378" w:rsidRPr="002D3ADB">
        <w:t>determining the gross margin is significant in</w:t>
      </w:r>
      <w:r w:rsidR="00E47327" w:rsidRPr="002D3ADB">
        <w:t xml:space="preserve"> determining the value of additional </w:t>
      </w:r>
      <w:r w:rsidR="00775CB7" w:rsidRPr="002D3ADB">
        <w:t xml:space="preserve">sales </w:t>
      </w:r>
      <w:r w:rsidR="002E39D0" w:rsidRPr="002D3ADB">
        <w:t xml:space="preserve">as well as in making price and promotion decisions. </w:t>
      </w:r>
      <w:r w:rsidR="00D64ADD" w:rsidRPr="002D3ADB">
        <w:t>As</w:t>
      </w:r>
      <w:r w:rsidR="00D057BC" w:rsidRPr="002D3ADB">
        <w:t xml:space="preserve">traZeneca’s </w:t>
      </w:r>
      <w:r w:rsidR="00E10FF0" w:rsidRPr="002D3ADB">
        <w:t xml:space="preserve">gross margin </w:t>
      </w:r>
      <w:r w:rsidR="001D4022" w:rsidRPr="002D3ADB">
        <w:t>rose</w:t>
      </w:r>
      <w:r w:rsidR="00EC4B1F" w:rsidRPr="002D3ADB">
        <w:t xml:space="preserve"> by about 1%</w:t>
      </w:r>
      <w:r w:rsidR="001D4022" w:rsidRPr="002D3ADB">
        <w:t xml:space="preserve"> </w:t>
      </w:r>
      <w:r w:rsidR="00EC4B1F" w:rsidRPr="002D3ADB">
        <w:t>from 2015 to 2016</w:t>
      </w:r>
      <w:r w:rsidR="00A34552" w:rsidRPr="002D3ADB">
        <w:t xml:space="preserve">, </w:t>
      </w:r>
      <w:r w:rsidR="00EC4B1F" w:rsidRPr="002D3ADB">
        <w:t>continually drop by 2% each year from 2016 to 2018</w:t>
      </w:r>
      <w:r w:rsidR="009D04A9" w:rsidRPr="002D3ADB">
        <w:t xml:space="preserve"> and </w:t>
      </w:r>
      <w:r w:rsidR="00A27E86" w:rsidRPr="002D3ADB">
        <w:t xml:space="preserve">started to </w:t>
      </w:r>
      <w:r w:rsidR="00FF526C" w:rsidRPr="002D3ADB">
        <w:t xml:space="preserve">rise by more than 2% until 2019. </w:t>
      </w:r>
      <w:r w:rsidR="008C5A1D" w:rsidRPr="002D3ADB">
        <w:t xml:space="preserve">This </w:t>
      </w:r>
      <w:r w:rsidR="007B098A" w:rsidRPr="002D3ADB">
        <w:t>variations</w:t>
      </w:r>
      <w:r w:rsidR="008C5A1D" w:rsidRPr="002D3ADB">
        <w:t xml:space="preserve"> in </w:t>
      </w:r>
      <w:r w:rsidR="00DF5C3B" w:rsidRPr="002D3ADB">
        <w:t xml:space="preserve">the gross margin can be attributed to </w:t>
      </w:r>
      <w:r w:rsidR="00E11742" w:rsidRPr="002D3ADB">
        <w:t xml:space="preserve">the </w:t>
      </w:r>
      <w:r w:rsidR="00795171" w:rsidRPr="002D3ADB">
        <w:t xml:space="preserve">horizontal </w:t>
      </w:r>
      <w:r w:rsidR="005C49FF" w:rsidRPr="002D3ADB">
        <w:t xml:space="preserve">changes in the cost </w:t>
      </w:r>
      <w:r w:rsidR="00651F6C" w:rsidRPr="002D3ADB">
        <w:t>of sales</w:t>
      </w:r>
      <w:r w:rsidR="00CD6C2D" w:rsidRPr="002D3ADB">
        <w:t>.</w:t>
      </w:r>
      <w:r w:rsidR="002F5E8A" w:rsidRPr="002D3ADB">
        <w:t xml:space="preserve"> </w:t>
      </w:r>
      <w:r w:rsidR="00493C1B" w:rsidRPr="002D3ADB">
        <w:rPr>
          <w:i/>
          <w:iCs/>
        </w:rPr>
        <w:t>Operating margin</w:t>
      </w:r>
      <w:r w:rsidR="00493C1B" w:rsidRPr="002D3ADB">
        <w:t xml:space="preserve"> </w:t>
      </w:r>
      <w:r w:rsidR="008D1A49" w:rsidRPr="002D3ADB">
        <w:t xml:space="preserve">is another </w:t>
      </w:r>
      <w:r w:rsidR="00C66AB9" w:rsidRPr="002D3ADB">
        <w:t xml:space="preserve">metric used to measure </w:t>
      </w:r>
      <w:r w:rsidR="00C66AB9" w:rsidRPr="002D3ADB">
        <w:lastRenderedPageBreak/>
        <w:t>the profitability of a firm</w:t>
      </w:r>
      <w:r w:rsidR="00B842C3" w:rsidRPr="002D3ADB">
        <w:t xml:space="preserve">. </w:t>
      </w:r>
      <w:r w:rsidR="009F6940" w:rsidRPr="002D3ADB">
        <w:t>Calculated by dividing the</w:t>
      </w:r>
      <w:r w:rsidR="00595B32" w:rsidRPr="002D3ADB">
        <w:t xml:space="preserve"> operating income by sales</w:t>
      </w:r>
      <w:r w:rsidR="00E47922" w:rsidRPr="002D3ADB">
        <w:t xml:space="preserve">, </w:t>
      </w:r>
      <w:r w:rsidR="00C428A2" w:rsidRPr="002D3ADB">
        <w:t xml:space="preserve">this ratio indicates how much </w:t>
      </w:r>
      <w:r w:rsidR="0018008D" w:rsidRPr="002D3ADB">
        <w:t xml:space="preserve">income </w:t>
      </w:r>
      <w:r w:rsidR="00D33BF4" w:rsidRPr="002D3ADB">
        <w:t xml:space="preserve">a firm </w:t>
      </w:r>
      <w:r w:rsidR="00EC0921" w:rsidRPr="002D3ADB">
        <w:t xml:space="preserve">generates after </w:t>
      </w:r>
      <w:r w:rsidR="00867B49" w:rsidRPr="002D3ADB">
        <w:t xml:space="preserve">all the cost of sales </w:t>
      </w:r>
      <w:r w:rsidR="00505F9D" w:rsidRPr="002D3ADB">
        <w:t xml:space="preserve">and </w:t>
      </w:r>
      <w:r w:rsidR="00715DA0" w:rsidRPr="002D3ADB">
        <w:t xml:space="preserve">all the </w:t>
      </w:r>
      <w:r w:rsidR="00E836EF" w:rsidRPr="002D3ADB">
        <w:t>operating expenses are paid off</w:t>
      </w:r>
      <w:r w:rsidR="00F64B23" w:rsidRPr="002D3ADB">
        <w:t xml:space="preserve"> (</w:t>
      </w:r>
      <w:r w:rsidR="00B7711D" w:rsidRPr="002D3ADB">
        <w:t>CFI Education, 202</w:t>
      </w:r>
      <w:r w:rsidR="0070178D" w:rsidRPr="002D3ADB">
        <w:t>1</w:t>
      </w:r>
      <w:r w:rsidR="00B7711D" w:rsidRPr="002D3ADB">
        <w:t>)</w:t>
      </w:r>
      <w:r w:rsidR="0070178D" w:rsidRPr="002D3ADB">
        <w:t>.</w:t>
      </w:r>
      <w:r w:rsidR="007E7972" w:rsidRPr="002D3ADB">
        <w:t xml:space="preserve"> Evidently, </w:t>
      </w:r>
      <w:r w:rsidR="005E749F" w:rsidRPr="002D3ADB">
        <w:t xml:space="preserve">there is a significant decline in the operating margin of AstraZeneca </w:t>
      </w:r>
      <w:r w:rsidR="00E90FA5" w:rsidRPr="002D3ADB">
        <w:t xml:space="preserve">as </w:t>
      </w:r>
      <w:r w:rsidR="00CB6BD0" w:rsidRPr="002D3ADB">
        <w:t xml:space="preserve">there is 10% </w:t>
      </w:r>
      <w:r w:rsidR="0072499B" w:rsidRPr="002D3ADB">
        <w:t xml:space="preserve">drop from the peak in 2016 to the latest year 2019. </w:t>
      </w:r>
      <w:r w:rsidR="003B2279" w:rsidRPr="002D3ADB">
        <w:t xml:space="preserve">As presented in Figures 1 &amp; 2, </w:t>
      </w:r>
      <w:r w:rsidR="00C27D2F" w:rsidRPr="002D3ADB">
        <w:t xml:space="preserve">it can be </w:t>
      </w:r>
      <w:r w:rsidR="00E55BC8" w:rsidRPr="002D3ADB">
        <w:t xml:space="preserve">noted that </w:t>
      </w:r>
      <w:r w:rsidR="0038382E" w:rsidRPr="002D3ADB">
        <w:t xml:space="preserve">the </w:t>
      </w:r>
      <w:r w:rsidR="00634F9C" w:rsidRPr="002D3ADB">
        <w:t xml:space="preserve">significant drop in operating margin cannot be credited to the operating expenses as there is no major change in the operating expenses. </w:t>
      </w:r>
      <w:r w:rsidR="00150E03" w:rsidRPr="002D3ADB">
        <w:rPr>
          <w:i/>
          <w:iCs/>
        </w:rPr>
        <w:t>Net profit margin</w:t>
      </w:r>
      <w:r w:rsidR="00150E03" w:rsidRPr="002D3ADB">
        <w:t xml:space="preserve"> or net margin</w:t>
      </w:r>
      <w:r w:rsidR="00E80B50" w:rsidRPr="002D3ADB">
        <w:t xml:space="preserve"> </w:t>
      </w:r>
      <w:r w:rsidR="00851F68" w:rsidRPr="002D3ADB">
        <w:t xml:space="preserve">can simply be calculated </w:t>
      </w:r>
      <w:r w:rsidR="00174CC5" w:rsidRPr="002D3ADB">
        <w:t xml:space="preserve">by </w:t>
      </w:r>
      <w:r w:rsidR="008030F3" w:rsidRPr="002D3ADB">
        <w:t xml:space="preserve">dividing the net income </w:t>
      </w:r>
      <w:r w:rsidR="00FD5081" w:rsidRPr="002D3ADB">
        <w:t xml:space="preserve">by the sales as presented in Table 1. </w:t>
      </w:r>
      <w:r w:rsidR="00CE0B34" w:rsidRPr="002D3ADB">
        <w:t xml:space="preserve">It </w:t>
      </w:r>
      <w:r w:rsidR="00C7734A" w:rsidRPr="002D3ADB">
        <w:t xml:space="preserve">measures how much </w:t>
      </w:r>
      <w:r w:rsidR="00A317EE" w:rsidRPr="002D3ADB">
        <w:t xml:space="preserve">net </w:t>
      </w:r>
      <w:r w:rsidR="00892714" w:rsidRPr="002D3ADB">
        <w:t xml:space="preserve">income or </w:t>
      </w:r>
      <w:r w:rsidR="00EC50B2" w:rsidRPr="002D3ADB">
        <w:t xml:space="preserve">net </w:t>
      </w:r>
      <w:r w:rsidR="00892714" w:rsidRPr="002D3ADB">
        <w:t xml:space="preserve">profit was generated by the firm </w:t>
      </w:r>
      <w:r w:rsidR="00A317EE" w:rsidRPr="002D3ADB">
        <w:t>as a percentage of the total revenue</w:t>
      </w:r>
      <w:r w:rsidR="00D0774D" w:rsidRPr="002D3ADB">
        <w:t xml:space="preserve"> and helps current and potential investors </w:t>
      </w:r>
      <w:r w:rsidR="005A1E93" w:rsidRPr="002D3ADB">
        <w:t xml:space="preserve">assess if the business is </w:t>
      </w:r>
      <w:r w:rsidR="003F7B1C" w:rsidRPr="002D3ADB">
        <w:t>earning income enough to cover the cost of sales, operating costs and other overhead costs</w:t>
      </w:r>
      <w:r w:rsidR="003F0521" w:rsidRPr="002D3ADB">
        <w:t xml:space="preserve"> (Murphy, 2020).</w:t>
      </w:r>
      <w:r w:rsidR="002265DA" w:rsidRPr="002D3ADB">
        <w:t xml:space="preserve"> </w:t>
      </w:r>
      <w:r w:rsidR="0035618E" w:rsidRPr="002D3ADB">
        <w:t xml:space="preserve">The net profit margin of </w:t>
      </w:r>
      <w:r w:rsidR="00686D8B" w:rsidRPr="002D3ADB">
        <w:t>AstraZeneca</w:t>
      </w:r>
      <w:r w:rsidR="00CC14AD" w:rsidRPr="002D3ADB">
        <w:t xml:space="preserve"> evidently dropped </w:t>
      </w:r>
      <w:r w:rsidR="00A76E57" w:rsidRPr="002D3ADB">
        <w:t xml:space="preserve">as much as the operating margin did. </w:t>
      </w:r>
      <w:r w:rsidR="00045BED" w:rsidRPr="002D3ADB">
        <w:t xml:space="preserve">By looking at the comparative statements of income, </w:t>
      </w:r>
      <w:r w:rsidR="00E35F25" w:rsidRPr="002D3ADB">
        <w:t>it can b</w:t>
      </w:r>
      <w:r w:rsidR="009E6CC6" w:rsidRPr="002D3ADB">
        <w:t xml:space="preserve">e concluded that </w:t>
      </w:r>
      <w:r w:rsidR="006B031E" w:rsidRPr="002D3ADB">
        <w:t xml:space="preserve">there was an increase in </w:t>
      </w:r>
      <w:r w:rsidR="008F694B" w:rsidRPr="002D3ADB">
        <w:t xml:space="preserve">the overall expenses of AstraZeneca. </w:t>
      </w:r>
      <w:r w:rsidR="00164F28" w:rsidRPr="002D3ADB">
        <w:t xml:space="preserve">The management attributes the fall in </w:t>
      </w:r>
      <w:r w:rsidR="000E27C3" w:rsidRPr="002D3ADB">
        <w:t>profit with the asset write-downs (Farrell, 2020).</w:t>
      </w:r>
      <w:r w:rsidR="009D2A24" w:rsidRPr="002D3ADB">
        <w:t xml:space="preserve"> Since </w:t>
      </w:r>
      <w:r w:rsidR="00F52DDB" w:rsidRPr="002D3ADB">
        <w:t xml:space="preserve">the firm is </w:t>
      </w:r>
      <w:r w:rsidR="00AE2200" w:rsidRPr="002D3ADB">
        <w:t xml:space="preserve">operating in </w:t>
      </w:r>
      <w:r w:rsidR="009D4EF2" w:rsidRPr="002D3ADB">
        <w:t>the field of science and medicine</w:t>
      </w:r>
      <w:r w:rsidR="00B11D8E" w:rsidRPr="002D3ADB">
        <w:t xml:space="preserve">, it is tough to simply recommend increasing the sales but </w:t>
      </w:r>
      <w:r w:rsidR="001C01EE" w:rsidRPr="002D3ADB">
        <w:t xml:space="preserve">expanding </w:t>
      </w:r>
      <w:r w:rsidR="00EB2790" w:rsidRPr="002D3ADB">
        <w:t>the market can be a great move to boost the sales</w:t>
      </w:r>
      <w:r w:rsidR="002C0DF6" w:rsidRPr="002D3ADB">
        <w:t xml:space="preserve"> and increase gross, operating and net margins</w:t>
      </w:r>
      <w:r w:rsidR="00CA188D" w:rsidRPr="002D3ADB">
        <w:t xml:space="preserve">. </w:t>
      </w:r>
      <w:r w:rsidR="001D19E1" w:rsidRPr="002D3ADB">
        <w:t xml:space="preserve">Managing overhead costs </w:t>
      </w:r>
      <w:r w:rsidR="00D52857" w:rsidRPr="002D3ADB">
        <w:t>might be a</w:t>
      </w:r>
      <w:r w:rsidR="00E440B5" w:rsidRPr="002D3ADB">
        <w:t xml:space="preserve"> beneficial move as well in order to </w:t>
      </w:r>
      <w:r w:rsidR="005F70BE" w:rsidRPr="002D3ADB">
        <w:t xml:space="preserve">increase </w:t>
      </w:r>
      <w:r w:rsidR="00235EC8" w:rsidRPr="002D3ADB">
        <w:t>net</w:t>
      </w:r>
      <w:r w:rsidR="002D204A" w:rsidRPr="002D3ADB">
        <w:t xml:space="preserve"> profit margin. </w:t>
      </w:r>
    </w:p>
    <w:p w14:paraId="60B1D8AE" w14:textId="77777777" w:rsidR="00D00866" w:rsidRPr="002D3ADB" w:rsidRDefault="00D00866" w:rsidP="002D3ADB">
      <w:pPr>
        <w:spacing w:line="360" w:lineRule="auto"/>
        <w:jc w:val="both"/>
        <w:rPr>
          <w:i/>
          <w:iCs/>
          <w:color w:val="44546A" w:themeColor="text2"/>
        </w:rPr>
      </w:pPr>
    </w:p>
    <w:p w14:paraId="2F831767" w14:textId="3B48E851" w:rsidR="00D00866" w:rsidRPr="002D3ADB" w:rsidRDefault="00D00866" w:rsidP="002D3ADB">
      <w:pPr>
        <w:pStyle w:val="Heading3"/>
        <w:spacing w:line="360" w:lineRule="auto"/>
        <w:jc w:val="both"/>
        <w:rPr>
          <w:rFonts w:ascii="Times New Roman" w:hAnsi="Times New Roman" w:cs="Times New Roman"/>
        </w:rPr>
      </w:pPr>
      <w:bookmarkStart w:id="19" w:name="_Toc61893741"/>
      <w:r w:rsidRPr="002D3ADB">
        <w:rPr>
          <w:rFonts w:ascii="Times New Roman" w:hAnsi="Times New Roman" w:cs="Times New Roman"/>
        </w:rPr>
        <w:t>Asset Efficiency Ratios: Calculations, Comparative Analysis and Recommendations</w:t>
      </w:r>
      <w:bookmarkEnd w:id="19"/>
    </w:p>
    <w:p w14:paraId="07B39178" w14:textId="3D75EC49" w:rsidR="00CE3C23" w:rsidRPr="002D3ADB" w:rsidRDefault="00CE3C23" w:rsidP="002D3ADB">
      <w:pPr>
        <w:spacing w:line="360" w:lineRule="auto"/>
        <w:jc w:val="both"/>
        <w:rPr>
          <w:rFonts w:eastAsiaTheme="majorEastAsia"/>
        </w:rPr>
      </w:pPr>
    </w:p>
    <w:p w14:paraId="6FF67B91" w14:textId="2D2665CA" w:rsidR="002B00F1" w:rsidRPr="002D3ADB" w:rsidRDefault="00E11D3A" w:rsidP="002D3ADB">
      <w:pPr>
        <w:spacing w:line="360" w:lineRule="auto"/>
        <w:jc w:val="both"/>
        <w:rPr>
          <w:rFonts w:eastAsiaTheme="majorEastAsia"/>
        </w:rPr>
      </w:pPr>
      <w:r w:rsidRPr="002D3ADB">
        <w:rPr>
          <w:rFonts w:eastAsiaTheme="majorEastAsia"/>
        </w:rPr>
        <w:t xml:space="preserve">Asset efficiency ratios </w:t>
      </w:r>
      <w:r w:rsidR="00546A86" w:rsidRPr="002D3ADB">
        <w:rPr>
          <w:rFonts w:eastAsiaTheme="majorEastAsia"/>
        </w:rPr>
        <w:t>measure the ability of a firm’s assets</w:t>
      </w:r>
      <w:r w:rsidR="007D5F3A" w:rsidRPr="002D3ADB">
        <w:rPr>
          <w:rFonts w:eastAsiaTheme="majorEastAsia"/>
        </w:rPr>
        <w:t xml:space="preserve"> to generate sales </w:t>
      </w:r>
      <w:r w:rsidR="00126B13" w:rsidRPr="002D3ADB">
        <w:rPr>
          <w:rFonts w:eastAsiaTheme="majorEastAsia"/>
        </w:rPr>
        <w:t>(Accounting Tools, 202</w:t>
      </w:r>
      <w:r w:rsidR="00590B33" w:rsidRPr="002D3ADB">
        <w:rPr>
          <w:rFonts w:eastAsiaTheme="majorEastAsia"/>
        </w:rPr>
        <w:t>0).</w:t>
      </w:r>
      <w:r w:rsidR="00A818D0" w:rsidRPr="002D3ADB">
        <w:rPr>
          <w:rFonts w:eastAsiaTheme="majorEastAsia"/>
        </w:rPr>
        <w:t xml:space="preserve"> Presented in Table 2 are the asset efficiency ratios used in the analysis of </w:t>
      </w:r>
      <w:r w:rsidR="005E13CB" w:rsidRPr="002D3ADB">
        <w:rPr>
          <w:rFonts w:eastAsiaTheme="majorEastAsia"/>
        </w:rPr>
        <w:t xml:space="preserve">AstraZeneca’s </w:t>
      </w:r>
      <w:r w:rsidR="00663EED" w:rsidRPr="002D3ADB">
        <w:rPr>
          <w:rFonts w:eastAsiaTheme="majorEastAsia"/>
        </w:rPr>
        <w:t>income generation based on its total assets and fixed assets.</w:t>
      </w:r>
    </w:p>
    <w:p w14:paraId="351BCE6D" w14:textId="77777777" w:rsidR="005C56C3" w:rsidRPr="002D3ADB" w:rsidRDefault="005C56C3" w:rsidP="002D3ADB">
      <w:pPr>
        <w:spacing w:line="360" w:lineRule="auto"/>
        <w:jc w:val="both"/>
        <w:rPr>
          <w:rFonts w:eastAsiaTheme="majorEastAsia"/>
        </w:rPr>
      </w:pPr>
    </w:p>
    <w:tbl>
      <w:tblPr>
        <w:tblW w:w="11314" w:type="dxa"/>
        <w:jc w:val="center"/>
        <w:tblLook w:val="04A0" w:firstRow="1" w:lastRow="0" w:firstColumn="1" w:lastColumn="0" w:noHBand="0" w:noVBand="1"/>
      </w:tblPr>
      <w:tblGrid>
        <w:gridCol w:w="2601"/>
        <w:gridCol w:w="1723"/>
        <w:gridCol w:w="1723"/>
        <w:gridCol w:w="1745"/>
        <w:gridCol w:w="1799"/>
        <w:gridCol w:w="1723"/>
      </w:tblGrid>
      <w:tr w:rsidR="00181369" w:rsidRPr="002D3ADB" w14:paraId="6234A255" w14:textId="77777777" w:rsidTr="0093711A">
        <w:trPr>
          <w:trHeight w:val="800"/>
          <w:jc w:val="center"/>
        </w:trPr>
        <w:tc>
          <w:tcPr>
            <w:tcW w:w="2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vAlign w:val="center"/>
            <w:hideMark/>
          </w:tcPr>
          <w:p w14:paraId="5D0DE7B2" w14:textId="3FE8EE1A" w:rsidR="0093711A" w:rsidRPr="002D3ADB" w:rsidRDefault="0093711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lastRenderedPageBreak/>
              <w:t>ASSET EFFICIENCY RATIOS</w:t>
            </w:r>
          </w:p>
        </w:tc>
        <w:tc>
          <w:tcPr>
            <w:tcW w:w="17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noWrap/>
            <w:vAlign w:val="center"/>
            <w:hideMark/>
          </w:tcPr>
          <w:p w14:paraId="797E7060" w14:textId="77777777" w:rsidR="0093711A" w:rsidRPr="002D3ADB" w:rsidRDefault="0093711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2019</w:t>
            </w:r>
          </w:p>
        </w:tc>
        <w:tc>
          <w:tcPr>
            <w:tcW w:w="17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noWrap/>
            <w:vAlign w:val="center"/>
            <w:hideMark/>
          </w:tcPr>
          <w:p w14:paraId="02AA157B" w14:textId="77777777" w:rsidR="0093711A" w:rsidRPr="002D3ADB" w:rsidRDefault="0093711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2018</w:t>
            </w:r>
          </w:p>
        </w:tc>
        <w:tc>
          <w:tcPr>
            <w:tcW w:w="17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noWrap/>
            <w:vAlign w:val="center"/>
            <w:hideMark/>
          </w:tcPr>
          <w:p w14:paraId="5206B3E0" w14:textId="77777777" w:rsidR="0093711A" w:rsidRPr="002D3ADB" w:rsidRDefault="0093711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2017</w:t>
            </w:r>
          </w:p>
        </w:tc>
        <w:tc>
          <w:tcPr>
            <w:tcW w:w="179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noWrap/>
            <w:vAlign w:val="center"/>
            <w:hideMark/>
          </w:tcPr>
          <w:p w14:paraId="662F67F3" w14:textId="77777777" w:rsidR="0093711A" w:rsidRPr="002D3ADB" w:rsidRDefault="0093711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2016</w:t>
            </w:r>
          </w:p>
        </w:tc>
        <w:tc>
          <w:tcPr>
            <w:tcW w:w="17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noWrap/>
            <w:vAlign w:val="center"/>
            <w:hideMark/>
          </w:tcPr>
          <w:p w14:paraId="43B3C25F" w14:textId="77777777" w:rsidR="0093711A" w:rsidRPr="002D3ADB" w:rsidRDefault="0093711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2015</w:t>
            </w:r>
          </w:p>
        </w:tc>
      </w:tr>
      <w:tr w:rsidR="00CE3C23" w:rsidRPr="002D3ADB" w14:paraId="732A8164" w14:textId="77777777" w:rsidTr="0093711A">
        <w:tblPrEx>
          <w:jc w:val="left"/>
        </w:tblPrEx>
        <w:trPr>
          <w:trHeight w:val="320"/>
        </w:trPr>
        <w:tc>
          <w:tcPr>
            <w:tcW w:w="260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E2EFDA"/>
            <w:noWrap/>
            <w:hideMark/>
          </w:tcPr>
          <w:p w14:paraId="559B8D0D" w14:textId="77777777" w:rsidR="00CE3C23" w:rsidRPr="002D3ADB" w:rsidRDefault="00CE3C23" w:rsidP="002D3ADB">
            <w:pPr>
              <w:spacing w:line="360" w:lineRule="auto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Asset Turnover:</w:t>
            </w:r>
          </w:p>
        </w:tc>
        <w:tc>
          <w:tcPr>
            <w:tcW w:w="17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B7EFE4B" w14:textId="77777777" w:rsidR="00CE3C23" w:rsidRPr="002D3ADB" w:rsidRDefault="00CE3C23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39.73%</w:t>
            </w:r>
          </w:p>
        </w:tc>
        <w:tc>
          <w:tcPr>
            <w:tcW w:w="17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1EE6387" w14:textId="77777777" w:rsidR="00CE3C23" w:rsidRPr="002D3ADB" w:rsidRDefault="00CE3C23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36.42%</w:t>
            </w:r>
          </w:p>
        </w:tc>
        <w:tc>
          <w:tcPr>
            <w:tcW w:w="17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16D1B8C" w14:textId="77777777" w:rsidR="00CE3C23" w:rsidRPr="002D3ADB" w:rsidRDefault="00CE3C23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35.46%</w:t>
            </w:r>
          </w:p>
        </w:tc>
        <w:tc>
          <w:tcPr>
            <w:tcW w:w="179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1C673BF" w14:textId="77777777" w:rsidR="00CE3C23" w:rsidRPr="002D3ADB" w:rsidRDefault="00CE3C23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36.79%</w:t>
            </w:r>
          </w:p>
        </w:tc>
        <w:tc>
          <w:tcPr>
            <w:tcW w:w="17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5532E77" w14:textId="77777777" w:rsidR="00CE3C23" w:rsidRPr="002D3ADB" w:rsidRDefault="00CE3C23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41.14%</w:t>
            </w:r>
          </w:p>
        </w:tc>
      </w:tr>
      <w:tr w:rsidR="00CE3C23" w:rsidRPr="002D3ADB" w14:paraId="21C05AD1" w14:textId="77777777" w:rsidTr="0093711A">
        <w:tblPrEx>
          <w:jc w:val="left"/>
        </w:tblPrEx>
        <w:trPr>
          <w:trHeight w:val="320"/>
        </w:trPr>
        <w:tc>
          <w:tcPr>
            <w:tcW w:w="260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0B2C453" w14:textId="77777777" w:rsidR="00CE3C23" w:rsidRPr="002D3ADB" w:rsidRDefault="00CE3C23" w:rsidP="002D3ADB">
            <w:pPr>
              <w:spacing w:line="360" w:lineRule="auto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Sales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228CAE" w14:textId="77777777" w:rsidR="00CE3C23" w:rsidRPr="002D3ADB" w:rsidRDefault="00CE3C23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$24384/$61377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7BB199" w14:textId="77777777" w:rsidR="00CE3C23" w:rsidRPr="002D3ADB" w:rsidRDefault="00CE3C23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$22090/$60651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5911DF" w14:textId="77777777" w:rsidR="00CE3C23" w:rsidRPr="002D3ADB" w:rsidRDefault="00CE3C23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$22465/$63354</w:t>
            </w:r>
          </w:p>
        </w:tc>
        <w:tc>
          <w:tcPr>
            <w:tcW w:w="17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0F894E" w14:textId="77777777" w:rsidR="00CE3C23" w:rsidRPr="002D3ADB" w:rsidRDefault="00CE3C23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$23002/$62526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134163" w14:textId="77777777" w:rsidR="00CE3C23" w:rsidRPr="002D3ADB" w:rsidRDefault="00CE3C23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$24708/$60056</w:t>
            </w:r>
          </w:p>
        </w:tc>
      </w:tr>
      <w:tr w:rsidR="00CE3C23" w:rsidRPr="002D3ADB" w14:paraId="0FD55FC2" w14:textId="77777777" w:rsidTr="0093711A">
        <w:tblPrEx>
          <w:jc w:val="left"/>
        </w:tblPrEx>
        <w:trPr>
          <w:trHeight w:val="320"/>
        </w:trPr>
        <w:tc>
          <w:tcPr>
            <w:tcW w:w="260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hideMark/>
          </w:tcPr>
          <w:p w14:paraId="6B68D479" w14:textId="77777777" w:rsidR="00CE3C23" w:rsidRPr="002D3ADB" w:rsidRDefault="00CE3C23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Total Assets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AC09EA" w14:textId="1607414C" w:rsidR="00CE3C23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CE3C23" w:rsidRPr="002D3ADB">
              <w:rPr>
                <w:i/>
                <w:iCs/>
                <w:color w:val="000000"/>
              </w:rPr>
              <w:t>0.39728237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051578" w14:textId="2F60B729" w:rsidR="00CE3C23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CE3C23" w:rsidRPr="002D3ADB">
              <w:rPr>
                <w:i/>
                <w:iCs/>
                <w:color w:val="000000"/>
              </w:rPr>
              <w:t>0.364214935</w:t>
            </w:r>
          </w:p>
        </w:tc>
        <w:tc>
          <w:tcPr>
            <w:tcW w:w="17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159707" w14:textId="2C5F67DD" w:rsidR="00CE3C23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CE3C23" w:rsidRPr="002D3ADB">
              <w:rPr>
                <w:i/>
                <w:iCs/>
                <w:color w:val="000000"/>
              </w:rPr>
              <w:t>0.354594816</w:t>
            </w:r>
          </w:p>
        </w:tc>
        <w:tc>
          <w:tcPr>
            <w:tcW w:w="1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4FB9E4" w14:textId="632061D0" w:rsidR="00CE3C23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CE3C23" w:rsidRPr="002D3ADB">
              <w:rPr>
                <w:i/>
                <w:iCs/>
                <w:color w:val="000000"/>
              </w:rPr>
              <w:t>0.367878962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9B2B35" w14:textId="6C55468F" w:rsidR="00CE3C23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CE3C23" w:rsidRPr="002D3ADB">
              <w:rPr>
                <w:i/>
                <w:iCs/>
                <w:color w:val="000000"/>
              </w:rPr>
              <w:t>0.411416012</w:t>
            </w:r>
          </w:p>
        </w:tc>
      </w:tr>
      <w:tr w:rsidR="00CE3C23" w:rsidRPr="002D3ADB" w14:paraId="2E2D0E92" w14:textId="77777777" w:rsidTr="0093711A">
        <w:tblPrEx>
          <w:jc w:val="left"/>
        </w:tblPrEx>
        <w:trPr>
          <w:trHeight w:val="320"/>
        </w:trPr>
        <w:tc>
          <w:tcPr>
            <w:tcW w:w="260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E2EFDA"/>
            <w:noWrap/>
            <w:hideMark/>
          </w:tcPr>
          <w:p w14:paraId="07C73E3E" w14:textId="77777777" w:rsidR="00CE3C23" w:rsidRPr="002D3ADB" w:rsidRDefault="00CE3C23" w:rsidP="002D3ADB">
            <w:pPr>
              <w:spacing w:line="360" w:lineRule="auto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Fixed Asset Turnover: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1AB7CCF" w14:textId="77777777" w:rsidR="00CE3C23" w:rsidRPr="002D3ADB" w:rsidRDefault="00CE3C23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317.17%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ADFD217" w14:textId="77777777" w:rsidR="00CE3C23" w:rsidRPr="002D3ADB" w:rsidRDefault="00CE3C23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297.67%</w:t>
            </w:r>
          </w:p>
        </w:tc>
        <w:tc>
          <w:tcPr>
            <w:tcW w:w="17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78B7B5F" w14:textId="77777777" w:rsidR="00CE3C23" w:rsidRPr="002D3ADB" w:rsidRDefault="00CE3C23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295.01%</w:t>
            </w:r>
          </w:p>
        </w:tc>
        <w:tc>
          <w:tcPr>
            <w:tcW w:w="1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D08D323" w14:textId="77777777" w:rsidR="00CE3C23" w:rsidRPr="002D3ADB" w:rsidRDefault="00CE3C23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335.89%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698C793" w14:textId="77777777" w:rsidR="00CE3C23" w:rsidRPr="002D3ADB" w:rsidRDefault="00CE3C23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385.28%</w:t>
            </w:r>
          </w:p>
        </w:tc>
      </w:tr>
      <w:tr w:rsidR="00CE3C23" w:rsidRPr="002D3ADB" w14:paraId="050C72F2" w14:textId="77777777" w:rsidTr="0093711A">
        <w:tblPrEx>
          <w:jc w:val="left"/>
        </w:tblPrEx>
        <w:trPr>
          <w:trHeight w:val="320"/>
        </w:trPr>
        <w:tc>
          <w:tcPr>
            <w:tcW w:w="260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194CB69" w14:textId="77777777" w:rsidR="00CE3C23" w:rsidRPr="002D3ADB" w:rsidRDefault="00CE3C23" w:rsidP="002D3ADB">
            <w:pPr>
              <w:spacing w:line="360" w:lineRule="auto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Sales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4C42DB" w14:textId="77777777" w:rsidR="00CE3C23" w:rsidRPr="002D3ADB" w:rsidRDefault="00CE3C23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$24384/$7688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AD7884" w14:textId="77777777" w:rsidR="00CE3C23" w:rsidRPr="002D3ADB" w:rsidRDefault="00CE3C23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$22090/$7421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F53932" w14:textId="77777777" w:rsidR="00CE3C23" w:rsidRPr="002D3ADB" w:rsidRDefault="00CE3C23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$22465/$7615</w:t>
            </w:r>
          </w:p>
        </w:tc>
        <w:tc>
          <w:tcPr>
            <w:tcW w:w="17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9FF375" w14:textId="77777777" w:rsidR="00CE3C23" w:rsidRPr="002D3ADB" w:rsidRDefault="00CE3C23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$23002/$6848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4B7D22" w14:textId="77777777" w:rsidR="00CE3C23" w:rsidRPr="002D3ADB" w:rsidRDefault="00CE3C23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$24708/$6413</w:t>
            </w:r>
          </w:p>
        </w:tc>
      </w:tr>
      <w:tr w:rsidR="00CE3C23" w:rsidRPr="002D3ADB" w14:paraId="7B4D3840" w14:textId="77777777" w:rsidTr="0093711A">
        <w:tblPrEx>
          <w:jc w:val="left"/>
        </w:tblPrEx>
        <w:trPr>
          <w:trHeight w:val="320"/>
        </w:trPr>
        <w:tc>
          <w:tcPr>
            <w:tcW w:w="260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hideMark/>
          </w:tcPr>
          <w:p w14:paraId="49A26F7A" w14:textId="77777777" w:rsidR="00CE3C23" w:rsidRPr="002D3ADB" w:rsidRDefault="00CE3C23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Fixed Assets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9B72AF" w14:textId="1E80C3F4" w:rsidR="00CE3C23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CE3C23" w:rsidRPr="002D3ADB">
              <w:rPr>
                <w:i/>
                <w:iCs/>
                <w:color w:val="000000"/>
              </w:rPr>
              <w:t>3.17169615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8B9BD6" w14:textId="4CEA1F9D" w:rsidR="00CE3C23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CE3C23" w:rsidRPr="002D3ADB">
              <w:rPr>
                <w:i/>
                <w:iCs/>
                <w:color w:val="000000"/>
              </w:rPr>
              <w:t>2.976687778</w:t>
            </w:r>
          </w:p>
        </w:tc>
        <w:tc>
          <w:tcPr>
            <w:tcW w:w="17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E628C1" w14:textId="4CCB97CF" w:rsidR="00CE3C23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CE3C23" w:rsidRPr="002D3ADB">
              <w:rPr>
                <w:i/>
                <w:iCs/>
                <w:color w:val="000000"/>
              </w:rPr>
              <w:t>2.95009849</w:t>
            </w:r>
          </w:p>
        </w:tc>
        <w:tc>
          <w:tcPr>
            <w:tcW w:w="1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B61695" w14:textId="398BCEDE" w:rsidR="00CE3C23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CE3C23" w:rsidRPr="002D3ADB">
              <w:rPr>
                <w:i/>
                <w:iCs/>
                <w:color w:val="000000"/>
              </w:rPr>
              <w:t>3.358936916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8D1AE2" w14:textId="438BFF5A" w:rsidR="00CE3C23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CE3C23" w:rsidRPr="002D3ADB">
              <w:rPr>
                <w:i/>
                <w:iCs/>
                <w:color w:val="000000"/>
              </w:rPr>
              <w:t>3.852799002</w:t>
            </w:r>
          </w:p>
        </w:tc>
      </w:tr>
    </w:tbl>
    <w:p w14:paraId="030DC962" w14:textId="7B9AD3B2" w:rsidR="009E1BAC" w:rsidRPr="002D3ADB" w:rsidRDefault="009B594D" w:rsidP="002D3ADB">
      <w:pPr>
        <w:pStyle w:val="Caption"/>
        <w:spacing w:line="360" w:lineRule="auto"/>
        <w:jc w:val="center"/>
        <w:rPr>
          <w:sz w:val="24"/>
          <w:szCs w:val="24"/>
        </w:rPr>
      </w:pPr>
      <w:bookmarkStart w:id="20" w:name="_Toc61893768"/>
      <w:r w:rsidRPr="002D3ADB">
        <w:rPr>
          <w:sz w:val="24"/>
          <w:szCs w:val="24"/>
        </w:rPr>
        <w:t xml:space="preserve">Table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Table \* ARABIC </w:instrText>
      </w:r>
      <w:r w:rsidRPr="002D3ADB">
        <w:rPr>
          <w:sz w:val="24"/>
          <w:szCs w:val="24"/>
        </w:rPr>
        <w:fldChar w:fldCharType="separate"/>
      </w:r>
      <w:r w:rsidR="00D7286B">
        <w:rPr>
          <w:noProof/>
          <w:sz w:val="24"/>
          <w:szCs w:val="24"/>
        </w:rPr>
        <w:t>2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>: Asset Efficiency Ratios of AstraZeneca PLC for 2015-2019</w:t>
      </w:r>
      <w:bookmarkEnd w:id="20"/>
    </w:p>
    <w:p w14:paraId="47AD53E1" w14:textId="101DEC8D" w:rsidR="000957DF" w:rsidRPr="002D3ADB" w:rsidRDefault="00804E53" w:rsidP="002D3ADB">
      <w:pPr>
        <w:spacing w:line="360" w:lineRule="auto"/>
        <w:jc w:val="both"/>
      </w:pPr>
      <w:r w:rsidRPr="002D3ADB">
        <w:t xml:space="preserve">According to </w:t>
      </w:r>
      <w:r w:rsidR="007A5BE7" w:rsidRPr="002D3ADB">
        <w:t xml:space="preserve">the asset turnover ratio, </w:t>
      </w:r>
      <w:r w:rsidR="00AB18CA" w:rsidRPr="002D3ADB">
        <w:t xml:space="preserve">around </w:t>
      </w:r>
      <w:r w:rsidR="00271173" w:rsidRPr="002D3ADB">
        <w:t>39%</w:t>
      </w:r>
      <w:r w:rsidR="00181369" w:rsidRPr="002D3ADB">
        <w:t>-</w:t>
      </w:r>
      <w:r w:rsidR="00271173" w:rsidRPr="002D3ADB">
        <w:t xml:space="preserve">41% </w:t>
      </w:r>
      <w:r w:rsidR="00B65C77" w:rsidRPr="002D3ADB">
        <w:t xml:space="preserve">of </w:t>
      </w:r>
      <w:r w:rsidR="00863777" w:rsidRPr="002D3ADB">
        <w:t xml:space="preserve">the total assets </w:t>
      </w:r>
      <w:r w:rsidR="00181369" w:rsidRPr="002D3ADB">
        <w:t xml:space="preserve">generate </w:t>
      </w:r>
      <w:r w:rsidR="005006EA" w:rsidRPr="002D3ADB">
        <w:t>sales</w:t>
      </w:r>
      <w:r w:rsidR="002A5AE1" w:rsidRPr="002D3ADB">
        <w:t xml:space="preserve"> while </w:t>
      </w:r>
      <w:r w:rsidR="00AB6D62" w:rsidRPr="002D3ADB">
        <w:t xml:space="preserve">more than 3 times to nearly 4x of </w:t>
      </w:r>
      <w:r w:rsidR="008F457E" w:rsidRPr="002D3ADB">
        <w:t xml:space="preserve">the fixed assets </w:t>
      </w:r>
      <w:r w:rsidR="00393867" w:rsidRPr="002D3ADB">
        <w:t xml:space="preserve">can generate sales. </w:t>
      </w:r>
      <w:r w:rsidR="009D25AF" w:rsidRPr="002D3ADB">
        <w:t xml:space="preserve">High </w:t>
      </w:r>
      <w:r w:rsidR="0023790F" w:rsidRPr="002D3ADB">
        <w:t xml:space="preserve">fixed asset turnover can be </w:t>
      </w:r>
      <w:r w:rsidR="007437A8" w:rsidRPr="002D3ADB">
        <w:t xml:space="preserve">attributed </w:t>
      </w:r>
      <w:r w:rsidR="00CA650D" w:rsidRPr="002D3ADB">
        <w:t xml:space="preserve">to </w:t>
      </w:r>
      <w:r w:rsidR="001F0E65" w:rsidRPr="002D3ADB">
        <w:t xml:space="preserve">either </w:t>
      </w:r>
      <w:r w:rsidR="00CA650D" w:rsidRPr="002D3ADB">
        <w:t xml:space="preserve">efficient maximisation of </w:t>
      </w:r>
      <w:r w:rsidR="0043055C" w:rsidRPr="002D3ADB">
        <w:t>fixe</w:t>
      </w:r>
      <w:r w:rsidR="00AD6B08" w:rsidRPr="002D3ADB">
        <w:t xml:space="preserve">d asset usage in </w:t>
      </w:r>
      <w:r w:rsidR="007B76D8" w:rsidRPr="002D3ADB">
        <w:t xml:space="preserve">generating income </w:t>
      </w:r>
      <w:r w:rsidR="00FA7016" w:rsidRPr="002D3ADB">
        <w:t>(Green, 2019)</w:t>
      </w:r>
      <w:r w:rsidR="001F695D" w:rsidRPr="002D3ADB">
        <w:t xml:space="preserve"> </w:t>
      </w:r>
      <w:r w:rsidR="001F0E65" w:rsidRPr="002D3ADB">
        <w:t>or outsourcing</w:t>
      </w:r>
      <w:r w:rsidR="000B12BD" w:rsidRPr="002D3ADB">
        <w:t xml:space="preserve">. </w:t>
      </w:r>
    </w:p>
    <w:p w14:paraId="1DBAB03B" w14:textId="77777777" w:rsidR="008800D1" w:rsidRPr="002D3ADB" w:rsidRDefault="008800D1" w:rsidP="002D3ADB">
      <w:pPr>
        <w:spacing w:line="360" w:lineRule="auto"/>
        <w:jc w:val="both"/>
      </w:pPr>
    </w:p>
    <w:p w14:paraId="429F7B44" w14:textId="627E4C02" w:rsidR="008800D1" w:rsidRPr="002D3ADB" w:rsidRDefault="008800D1" w:rsidP="002D3ADB">
      <w:pPr>
        <w:pStyle w:val="Heading3"/>
        <w:spacing w:line="360" w:lineRule="auto"/>
        <w:jc w:val="both"/>
        <w:rPr>
          <w:rFonts w:ascii="Times New Roman" w:hAnsi="Times New Roman" w:cs="Times New Roman"/>
        </w:rPr>
      </w:pPr>
      <w:bookmarkStart w:id="21" w:name="_Toc61893742"/>
      <w:r w:rsidRPr="002D3ADB">
        <w:rPr>
          <w:rFonts w:ascii="Times New Roman" w:hAnsi="Times New Roman" w:cs="Times New Roman"/>
        </w:rPr>
        <w:t>Investment Returns Ratios: Calculations, Comparative Analysis and Recommendations</w:t>
      </w:r>
      <w:bookmarkEnd w:id="21"/>
    </w:p>
    <w:p w14:paraId="4D45447A" w14:textId="7560D9C1" w:rsidR="008B2A32" w:rsidRPr="002D3ADB" w:rsidRDefault="008B2A32" w:rsidP="002D3ADB">
      <w:pPr>
        <w:spacing w:line="360" w:lineRule="auto"/>
        <w:rPr>
          <w:lang w:eastAsia="en-US"/>
        </w:rPr>
      </w:pPr>
    </w:p>
    <w:p w14:paraId="1F8EAE5C" w14:textId="57068769" w:rsidR="008B2A32" w:rsidRPr="002D3ADB" w:rsidRDefault="008B2A32" w:rsidP="002D3ADB">
      <w:pPr>
        <w:spacing w:line="360" w:lineRule="auto"/>
        <w:jc w:val="both"/>
        <w:rPr>
          <w:lang w:eastAsia="en-US"/>
        </w:rPr>
      </w:pPr>
      <w:r w:rsidRPr="002D3ADB">
        <w:rPr>
          <w:lang w:eastAsia="en-US"/>
        </w:rPr>
        <w:t xml:space="preserve">Investment return ratios </w:t>
      </w:r>
      <w:r w:rsidR="00EF6247" w:rsidRPr="002D3ADB">
        <w:rPr>
          <w:lang w:eastAsia="en-US"/>
        </w:rPr>
        <w:t xml:space="preserve">includes </w:t>
      </w:r>
      <w:r w:rsidR="00DC5EA2" w:rsidRPr="002D3ADB">
        <w:rPr>
          <w:lang w:eastAsia="en-US"/>
        </w:rPr>
        <w:t>return on equity and return on assets</w:t>
      </w:r>
      <w:r w:rsidR="00512309" w:rsidRPr="002D3ADB">
        <w:rPr>
          <w:lang w:eastAsia="en-US"/>
        </w:rPr>
        <w:t xml:space="preserve">. </w:t>
      </w:r>
      <w:r w:rsidR="008B4BDE" w:rsidRPr="002D3ADB">
        <w:rPr>
          <w:lang w:eastAsia="en-US"/>
        </w:rPr>
        <w:t xml:space="preserve">This </w:t>
      </w:r>
      <w:r w:rsidR="00B879A2" w:rsidRPr="002D3ADB">
        <w:rPr>
          <w:lang w:eastAsia="en-US"/>
        </w:rPr>
        <w:t>financial ratio measures the</w:t>
      </w:r>
      <w:r w:rsidR="00710AAF" w:rsidRPr="002D3ADB">
        <w:rPr>
          <w:lang w:eastAsia="en-US"/>
        </w:rPr>
        <w:t xml:space="preserve"> </w:t>
      </w:r>
      <w:r w:rsidR="00B316E6" w:rsidRPr="002D3ADB">
        <w:rPr>
          <w:lang w:eastAsia="en-US"/>
        </w:rPr>
        <w:t xml:space="preserve">ability of a firm to </w:t>
      </w:r>
      <w:r w:rsidR="00802B01" w:rsidRPr="002D3ADB">
        <w:rPr>
          <w:lang w:eastAsia="en-US"/>
        </w:rPr>
        <w:t xml:space="preserve">generate net income or proceeds of sales after all the costs, from its asset and equity. </w:t>
      </w:r>
      <w:r w:rsidR="00961148" w:rsidRPr="002D3ADB">
        <w:rPr>
          <w:lang w:eastAsia="en-US"/>
        </w:rPr>
        <w:t>Return on equity</w:t>
      </w:r>
      <w:r w:rsidR="004B6DBB" w:rsidRPr="002D3ADB">
        <w:rPr>
          <w:lang w:eastAsia="en-US"/>
        </w:rPr>
        <w:t xml:space="preserve">, as stated by the name, </w:t>
      </w:r>
      <w:r w:rsidR="00961148" w:rsidRPr="002D3ADB">
        <w:rPr>
          <w:lang w:eastAsia="en-US"/>
        </w:rPr>
        <w:t xml:space="preserve">can be calculated by </w:t>
      </w:r>
      <w:r w:rsidR="00A06093" w:rsidRPr="002D3ADB">
        <w:rPr>
          <w:lang w:eastAsia="en-US"/>
        </w:rPr>
        <w:t xml:space="preserve">dividing the net income by the book value of equity. </w:t>
      </w:r>
      <w:r w:rsidR="00CE010C" w:rsidRPr="002D3ADB">
        <w:rPr>
          <w:lang w:eastAsia="en-US"/>
        </w:rPr>
        <w:t xml:space="preserve">In 2019, </w:t>
      </w:r>
      <w:r w:rsidR="00D813E5" w:rsidRPr="002D3ADB">
        <w:rPr>
          <w:lang w:eastAsia="en-US"/>
        </w:rPr>
        <w:t xml:space="preserve">AstraZeneca’s return on equity is 8.41% which is significantly lower than the </w:t>
      </w:r>
      <w:r w:rsidR="00C410D5" w:rsidRPr="002D3ADB">
        <w:rPr>
          <w:lang w:eastAsia="en-US"/>
        </w:rPr>
        <w:t xml:space="preserve">previous years. </w:t>
      </w:r>
      <w:r w:rsidR="004B0DA5" w:rsidRPr="002D3ADB">
        <w:rPr>
          <w:lang w:eastAsia="en-US"/>
        </w:rPr>
        <w:t xml:space="preserve">Moreover, </w:t>
      </w:r>
      <w:r w:rsidR="000D200B" w:rsidRPr="002D3ADB">
        <w:rPr>
          <w:lang w:eastAsia="en-US"/>
        </w:rPr>
        <w:t>return on assets</w:t>
      </w:r>
      <w:r w:rsidR="009D4C8B" w:rsidRPr="002D3ADB">
        <w:rPr>
          <w:lang w:eastAsia="en-US"/>
        </w:rPr>
        <w:t xml:space="preserve">, </w:t>
      </w:r>
      <w:r w:rsidR="003D7DAD" w:rsidRPr="002D3ADB">
        <w:rPr>
          <w:lang w:eastAsia="en-US"/>
        </w:rPr>
        <w:t>is calculated</w:t>
      </w:r>
      <w:r w:rsidR="009D4C8B" w:rsidRPr="002D3ADB">
        <w:rPr>
          <w:lang w:eastAsia="en-US"/>
        </w:rPr>
        <w:t xml:space="preserve"> by dividing </w:t>
      </w:r>
      <w:r w:rsidR="00EE4AF5" w:rsidRPr="002D3ADB">
        <w:rPr>
          <w:lang w:eastAsia="en-US"/>
        </w:rPr>
        <w:t>net income by the total assets of the firm.</w:t>
      </w:r>
      <w:r w:rsidR="00176BD3" w:rsidRPr="002D3ADB">
        <w:rPr>
          <w:lang w:eastAsia="en-US"/>
        </w:rPr>
        <w:t xml:space="preserve"> </w:t>
      </w:r>
      <w:r w:rsidR="003D7DAD" w:rsidRPr="002D3ADB">
        <w:rPr>
          <w:lang w:eastAsia="en-US"/>
        </w:rPr>
        <w:t xml:space="preserve">Just like the return on equity, AstraZeneca’s return on assets </w:t>
      </w:r>
      <w:r w:rsidR="001541CB" w:rsidRPr="002D3ADB">
        <w:rPr>
          <w:lang w:eastAsia="en-US"/>
        </w:rPr>
        <w:t xml:space="preserve">is also significantly lower than </w:t>
      </w:r>
      <w:r w:rsidR="005C4EF6" w:rsidRPr="002D3ADB">
        <w:rPr>
          <w:lang w:eastAsia="en-US"/>
        </w:rPr>
        <w:t xml:space="preserve">the preceding years at </w:t>
      </w:r>
      <w:r w:rsidR="004D13CF" w:rsidRPr="002D3ADB">
        <w:rPr>
          <w:lang w:eastAsia="en-US"/>
        </w:rPr>
        <w:t xml:space="preserve">5.03% in 2019, which is almost a 50% drop </w:t>
      </w:r>
      <w:r w:rsidR="006668D9" w:rsidRPr="002D3ADB">
        <w:rPr>
          <w:lang w:eastAsia="en-US"/>
        </w:rPr>
        <w:t>from</w:t>
      </w:r>
      <w:r w:rsidR="004D13CF" w:rsidRPr="002D3ADB">
        <w:rPr>
          <w:lang w:eastAsia="en-US"/>
        </w:rPr>
        <w:t xml:space="preserve"> 2018 at 9.28%</w:t>
      </w:r>
      <w:r w:rsidR="00111FAD" w:rsidRPr="002D3ADB">
        <w:rPr>
          <w:lang w:eastAsia="en-US"/>
        </w:rPr>
        <w:t>.</w:t>
      </w:r>
      <w:r w:rsidR="00954383" w:rsidRPr="002D3ADB">
        <w:rPr>
          <w:lang w:eastAsia="en-US"/>
        </w:rPr>
        <w:t xml:space="preserve"> </w:t>
      </w:r>
      <w:r w:rsidR="00F22A09" w:rsidRPr="002D3ADB">
        <w:rPr>
          <w:lang w:eastAsia="en-US"/>
        </w:rPr>
        <w:t xml:space="preserve">The summary of the investment return ratios is shown in Table 3 below. </w:t>
      </w:r>
      <w:r w:rsidR="00B04553" w:rsidRPr="002D3ADB">
        <w:rPr>
          <w:lang w:eastAsia="en-US"/>
        </w:rPr>
        <w:t xml:space="preserve">The decrease in both returns can be both attributed to the net income dropping </w:t>
      </w:r>
      <w:r w:rsidR="00465605" w:rsidRPr="002D3ADB">
        <w:rPr>
          <w:lang w:eastAsia="en-US"/>
        </w:rPr>
        <w:t>from 2015 to 2019.</w:t>
      </w:r>
      <w:r w:rsidR="00AD23D8" w:rsidRPr="002D3ADB">
        <w:rPr>
          <w:lang w:eastAsia="en-US"/>
        </w:rPr>
        <w:t xml:space="preserve"> </w:t>
      </w:r>
    </w:p>
    <w:p w14:paraId="37244C98" w14:textId="77777777" w:rsidR="00DD2C7A" w:rsidRPr="002D3ADB" w:rsidRDefault="00DD2C7A" w:rsidP="002D3ADB">
      <w:pPr>
        <w:spacing w:line="360" w:lineRule="auto"/>
        <w:jc w:val="both"/>
        <w:rPr>
          <w:color w:val="44546A" w:themeColor="text2"/>
        </w:rPr>
      </w:pPr>
    </w:p>
    <w:tbl>
      <w:tblPr>
        <w:tblW w:w="11216" w:type="dxa"/>
        <w:jc w:val="center"/>
        <w:tblLook w:val="04A0" w:firstRow="1" w:lastRow="0" w:firstColumn="1" w:lastColumn="0" w:noHBand="0" w:noVBand="1"/>
      </w:tblPr>
      <w:tblGrid>
        <w:gridCol w:w="2601"/>
        <w:gridCol w:w="1647"/>
        <w:gridCol w:w="1799"/>
        <w:gridCol w:w="1723"/>
        <w:gridCol w:w="1723"/>
        <w:gridCol w:w="1723"/>
      </w:tblGrid>
      <w:tr w:rsidR="008800D1" w:rsidRPr="002D3ADB" w14:paraId="16E3A16A" w14:textId="77777777" w:rsidTr="008800D1">
        <w:trPr>
          <w:trHeight w:val="800"/>
          <w:jc w:val="center"/>
        </w:trPr>
        <w:tc>
          <w:tcPr>
            <w:tcW w:w="2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vAlign w:val="center"/>
            <w:hideMark/>
          </w:tcPr>
          <w:p w14:paraId="7951FBF6" w14:textId="469E8D07" w:rsidR="008800D1" w:rsidRPr="002D3ADB" w:rsidRDefault="00D63F0D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lastRenderedPageBreak/>
              <w:t>INVESTMENT RETURN</w:t>
            </w:r>
            <w:r w:rsidR="008800D1" w:rsidRPr="002D3ADB">
              <w:rPr>
                <w:b/>
                <w:bCs/>
                <w:color w:val="000000"/>
              </w:rPr>
              <w:t xml:space="preserve"> RATIOS</w:t>
            </w:r>
          </w:p>
        </w:tc>
        <w:tc>
          <w:tcPr>
            <w:tcW w:w="164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noWrap/>
            <w:vAlign w:val="center"/>
            <w:hideMark/>
          </w:tcPr>
          <w:p w14:paraId="593C012E" w14:textId="77777777" w:rsidR="008800D1" w:rsidRPr="002D3ADB" w:rsidRDefault="008800D1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2019</w:t>
            </w:r>
          </w:p>
        </w:tc>
        <w:tc>
          <w:tcPr>
            <w:tcW w:w="179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noWrap/>
            <w:vAlign w:val="center"/>
            <w:hideMark/>
          </w:tcPr>
          <w:p w14:paraId="6E062271" w14:textId="77777777" w:rsidR="008800D1" w:rsidRPr="002D3ADB" w:rsidRDefault="008800D1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2018</w:t>
            </w:r>
          </w:p>
        </w:tc>
        <w:tc>
          <w:tcPr>
            <w:tcW w:w="17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noWrap/>
            <w:vAlign w:val="center"/>
            <w:hideMark/>
          </w:tcPr>
          <w:p w14:paraId="7C6435FE" w14:textId="77777777" w:rsidR="008800D1" w:rsidRPr="002D3ADB" w:rsidRDefault="008800D1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2017</w:t>
            </w:r>
          </w:p>
        </w:tc>
        <w:tc>
          <w:tcPr>
            <w:tcW w:w="17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noWrap/>
            <w:vAlign w:val="center"/>
            <w:hideMark/>
          </w:tcPr>
          <w:p w14:paraId="2B7855AC" w14:textId="77777777" w:rsidR="008800D1" w:rsidRPr="002D3ADB" w:rsidRDefault="008800D1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2016</w:t>
            </w:r>
          </w:p>
        </w:tc>
        <w:tc>
          <w:tcPr>
            <w:tcW w:w="17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538135" w:themeFill="accent6" w:themeFillShade="BF"/>
            <w:noWrap/>
            <w:vAlign w:val="center"/>
            <w:hideMark/>
          </w:tcPr>
          <w:p w14:paraId="427B7FD3" w14:textId="77777777" w:rsidR="008800D1" w:rsidRPr="002D3ADB" w:rsidRDefault="008800D1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2015</w:t>
            </w:r>
          </w:p>
        </w:tc>
      </w:tr>
      <w:tr w:rsidR="00DD2C7A" w:rsidRPr="002D3ADB" w14:paraId="0BD8BA87" w14:textId="77777777" w:rsidTr="008800D1">
        <w:tblPrEx>
          <w:jc w:val="left"/>
        </w:tblPrEx>
        <w:trPr>
          <w:trHeight w:val="320"/>
        </w:trPr>
        <w:tc>
          <w:tcPr>
            <w:tcW w:w="260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E2EFDA"/>
            <w:noWrap/>
            <w:hideMark/>
          </w:tcPr>
          <w:p w14:paraId="704325D9" w14:textId="77777777" w:rsidR="00DD2C7A" w:rsidRPr="002D3ADB" w:rsidRDefault="00DD2C7A" w:rsidP="002D3ADB">
            <w:pPr>
              <w:spacing w:line="360" w:lineRule="auto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Return on Equity:</w:t>
            </w:r>
          </w:p>
        </w:tc>
        <w:tc>
          <w:tcPr>
            <w:tcW w:w="1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B0FEFF7" w14:textId="77777777" w:rsidR="00DD2C7A" w:rsidRPr="002D3ADB" w:rsidRDefault="00DD2C7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8.41%</w:t>
            </w:r>
          </w:p>
        </w:tc>
        <w:tc>
          <w:tcPr>
            <w:tcW w:w="1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D75B392" w14:textId="77777777" w:rsidR="00DD2C7A" w:rsidRPr="002D3ADB" w:rsidRDefault="00DD2C7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14.60%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7769D89" w14:textId="77777777" w:rsidR="00DD2C7A" w:rsidRPr="002D3ADB" w:rsidRDefault="00DD2C7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17.23%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C868523" w14:textId="77777777" w:rsidR="00DD2C7A" w:rsidRPr="002D3ADB" w:rsidRDefault="00DD2C7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20.43%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FAE46A2" w14:textId="77777777" w:rsidR="00DD2C7A" w:rsidRPr="002D3ADB" w:rsidRDefault="00DD2C7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15.27%</w:t>
            </w:r>
          </w:p>
        </w:tc>
      </w:tr>
      <w:tr w:rsidR="00DD2C7A" w:rsidRPr="002D3ADB" w14:paraId="625AF924" w14:textId="77777777" w:rsidTr="008800D1">
        <w:tblPrEx>
          <w:jc w:val="left"/>
        </w:tblPrEx>
        <w:trPr>
          <w:trHeight w:val="320"/>
        </w:trPr>
        <w:tc>
          <w:tcPr>
            <w:tcW w:w="260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4788252" w14:textId="77777777" w:rsidR="00DD2C7A" w:rsidRPr="002D3ADB" w:rsidRDefault="00DD2C7A" w:rsidP="002D3ADB">
            <w:pPr>
              <w:spacing w:line="360" w:lineRule="auto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Net Income</w:t>
            </w:r>
          </w:p>
        </w:tc>
        <w:tc>
          <w:tcPr>
            <w:tcW w:w="164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2C3CE2" w14:textId="77777777" w:rsidR="00DD2C7A" w:rsidRPr="002D3ADB" w:rsidRDefault="00DD2C7A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$1227/$14596</w:t>
            </w:r>
          </w:p>
        </w:tc>
        <w:tc>
          <w:tcPr>
            <w:tcW w:w="17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2893AD" w14:textId="77777777" w:rsidR="00DD2C7A" w:rsidRPr="002D3ADB" w:rsidRDefault="00DD2C7A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$2050/$14044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B62B23" w14:textId="77777777" w:rsidR="00DD2C7A" w:rsidRPr="002D3ADB" w:rsidRDefault="00DD2C7A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$2868/$16642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A1CF02" w14:textId="77777777" w:rsidR="00DD2C7A" w:rsidRPr="002D3ADB" w:rsidRDefault="00DD2C7A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$3406/$16669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8F4BC8" w14:textId="77777777" w:rsidR="00DD2C7A" w:rsidRPr="002D3ADB" w:rsidRDefault="00DD2C7A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$2826/$18509</w:t>
            </w:r>
          </w:p>
        </w:tc>
      </w:tr>
      <w:tr w:rsidR="00DD2C7A" w:rsidRPr="002D3ADB" w14:paraId="516B25AF" w14:textId="77777777" w:rsidTr="008800D1">
        <w:tblPrEx>
          <w:jc w:val="left"/>
        </w:tblPrEx>
        <w:trPr>
          <w:trHeight w:val="320"/>
        </w:trPr>
        <w:tc>
          <w:tcPr>
            <w:tcW w:w="260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hideMark/>
          </w:tcPr>
          <w:p w14:paraId="5714D0D7" w14:textId="77777777" w:rsidR="00DD2C7A" w:rsidRPr="002D3ADB" w:rsidRDefault="00DD2C7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Book Value of Equity</w:t>
            </w:r>
          </w:p>
        </w:tc>
        <w:tc>
          <w:tcPr>
            <w:tcW w:w="1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9C9E1F" w14:textId="19644610" w:rsidR="00DD2C7A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DD2C7A" w:rsidRPr="002D3ADB">
              <w:rPr>
                <w:i/>
                <w:iCs/>
                <w:color w:val="000000"/>
              </w:rPr>
              <w:t>0.084064127</w:t>
            </w:r>
          </w:p>
        </w:tc>
        <w:tc>
          <w:tcPr>
            <w:tcW w:w="1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6AF92F" w14:textId="36E0A363" w:rsidR="00DD2C7A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DD2C7A" w:rsidRPr="002D3ADB">
              <w:rPr>
                <w:i/>
                <w:iCs/>
                <w:color w:val="000000"/>
              </w:rPr>
              <w:t>0.145969809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E64574" w14:textId="62E8E30E" w:rsidR="00DD2C7A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DD2C7A" w:rsidRPr="002D3ADB">
              <w:rPr>
                <w:i/>
                <w:iCs/>
                <w:color w:val="000000"/>
              </w:rPr>
              <w:t>0.172335056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037AFD" w14:textId="1B5B84FA" w:rsidR="00DD2C7A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DD2C7A" w:rsidRPr="002D3ADB">
              <w:rPr>
                <w:i/>
                <w:iCs/>
                <w:color w:val="000000"/>
              </w:rPr>
              <w:t>0.204331394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91FB86" w14:textId="21092C16" w:rsidR="00DD2C7A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DD2C7A" w:rsidRPr="002D3ADB">
              <w:rPr>
                <w:i/>
                <w:iCs/>
                <w:color w:val="000000"/>
              </w:rPr>
              <w:t>0.152682479</w:t>
            </w:r>
          </w:p>
        </w:tc>
      </w:tr>
      <w:tr w:rsidR="00DD2C7A" w:rsidRPr="002D3ADB" w14:paraId="1E4E9524" w14:textId="77777777" w:rsidTr="008800D1">
        <w:tblPrEx>
          <w:jc w:val="left"/>
        </w:tblPrEx>
        <w:trPr>
          <w:trHeight w:val="320"/>
        </w:trPr>
        <w:tc>
          <w:tcPr>
            <w:tcW w:w="260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E2EFDA"/>
            <w:noWrap/>
            <w:hideMark/>
          </w:tcPr>
          <w:p w14:paraId="16919AE5" w14:textId="77777777" w:rsidR="00DD2C7A" w:rsidRPr="002D3ADB" w:rsidRDefault="00DD2C7A" w:rsidP="002D3ADB">
            <w:pPr>
              <w:spacing w:line="360" w:lineRule="auto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Return on Assets:</w:t>
            </w:r>
          </w:p>
        </w:tc>
        <w:tc>
          <w:tcPr>
            <w:tcW w:w="1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AF00161" w14:textId="77777777" w:rsidR="00DD2C7A" w:rsidRPr="002D3ADB" w:rsidRDefault="00DD2C7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5.03%</w:t>
            </w:r>
          </w:p>
        </w:tc>
        <w:tc>
          <w:tcPr>
            <w:tcW w:w="1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471DD4D" w14:textId="77777777" w:rsidR="00DD2C7A" w:rsidRPr="002D3ADB" w:rsidRDefault="00DD2C7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9.28%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F439E93" w14:textId="77777777" w:rsidR="00DD2C7A" w:rsidRPr="002D3ADB" w:rsidRDefault="00DD2C7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12.77%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02751CF" w14:textId="77777777" w:rsidR="00DD2C7A" w:rsidRPr="002D3ADB" w:rsidRDefault="00DD2C7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14.81%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F7A34F6" w14:textId="77777777" w:rsidR="00DD2C7A" w:rsidRPr="002D3ADB" w:rsidRDefault="00DD2C7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11.44%</w:t>
            </w:r>
          </w:p>
        </w:tc>
      </w:tr>
      <w:tr w:rsidR="00DD2C7A" w:rsidRPr="002D3ADB" w14:paraId="6FD28CFB" w14:textId="77777777" w:rsidTr="008800D1">
        <w:tblPrEx>
          <w:jc w:val="left"/>
        </w:tblPrEx>
        <w:trPr>
          <w:trHeight w:val="320"/>
        </w:trPr>
        <w:tc>
          <w:tcPr>
            <w:tcW w:w="260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7BC3C67" w14:textId="77777777" w:rsidR="00DD2C7A" w:rsidRPr="002D3ADB" w:rsidRDefault="00DD2C7A" w:rsidP="002D3ADB">
            <w:pPr>
              <w:spacing w:line="360" w:lineRule="auto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Net Income</w:t>
            </w:r>
          </w:p>
        </w:tc>
        <w:tc>
          <w:tcPr>
            <w:tcW w:w="164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660959" w14:textId="77777777" w:rsidR="00DD2C7A" w:rsidRPr="002D3ADB" w:rsidRDefault="00DD2C7A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$1227/$24384</w:t>
            </w:r>
          </w:p>
        </w:tc>
        <w:tc>
          <w:tcPr>
            <w:tcW w:w="17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814B36" w14:textId="77777777" w:rsidR="00DD2C7A" w:rsidRPr="002D3ADB" w:rsidRDefault="00DD2C7A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$2050/$22090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2F3314" w14:textId="77777777" w:rsidR="00DD2C7A" w:rsidRPr="002D3ADB" w:rsidRDefault="00DD2C7A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$2868/$22465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C765A7" w14:textId="77777777" w:rsidR="00DD2C7A" w:rsidRPr="002D3ADB" w:rsidRDefault="00DD2C7A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$3406/$23002</w:t>
            </w:r>
          </w:p>
        </w:tc>
        <w:tc>
          <w:tcPr>
            <w:tcW w:w="17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9373E8" w14:textId="77777777" w:rsidR="00DD2C7A" w:rsidRPr="002D3ADB" w:rsidRDefault="00DD2C7A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$2826/$24708</w:t>
            </w:r>
          </w:p>
        </w:tc>
      </w:tr>
      <w:tr w:rsidR="00DD2C7A" w:rsidRPr="002D3ADB" w14:paraId="1D231367" w14:textId="77777777" w:rsidTr="008800D1">
        <w:tblPrEx>
          <w:jc w:val="left"/>
        </w:tblPrEx>
        <w:trPr>
          <w:trHeight w:val="320"/>
        </w:trPr>
        <w:tc>
          <w:tcPr>
            <w:tcW w:w="260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hideMark/>
          </w:tcPr>
          <w:p w14:paraId="7B776334" w14:textId="77777777" w:rsidR="00DD2C7A" w:rsidRPr="002D3ADB" w:rsidRDefault="00DD2C7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Total Assets</w:t>
            </w:r>
          </w:p>
        </w:tc>
        <w:tc>
          <w:tcPr>
            <w:tcW w:w="1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25C2FE" w14:textId="007B520C" w:rsidR="00DD2C7A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DD2C7A" w:rsidRPr="002D3ADB">
              <w:rPr>
                <w:i/>
                <w:iCs/>
                <w:color w:val="000000"/>
              </w:rPr>
              <w:t>0.050319882</w:t>
            </w:r>
          </w:p>
        </w:tc>
        <w:tc>
          <w:tcPr>
            <w:tcW w:w="1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B662E9" w14:textId="17144A83" w:rsidR="00DD2C7A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DD2C7A" w:rsidRPr="002D3ADB">
              <w:rPr>
                <w:i/>
                <w:iCs/>
                <w:color w:val="000000"/>
              </w:rPr>
              <w:t>0.092802173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FD8046" w14:textId="0283D879" w:rsidR="00DD2C7A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DD2C7A" w:rsidRPr="002D3ADB">
              <w:rPr>
                <w:i/>
                <w:iCs/>
                <w:color w:val="000000"/>
              </w:rPr>
              <w:t>0.127665257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2EF28A" w14:textId="5AAB8E6D" w:rsidR="00DD2C7A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DD2C7A" w:rsidRPr="002D3ADB">
              <w:rPr>
                <w:i/>
                <w:iCs/>
                <w:color w:val="000000"/>
              </w:rPr>
              <w:t>0.148074081</w:t>
            </w:r>
          </w:p>
        </w:tc>
        <w:tc>
          <w:tcPr>
            <w:tcW w:w="17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1B94A9" w14:textId="77ED037B" w:rsidR="00DD2C7A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DD2C7A" w:rsidRPr="002D3ADB">
              <w:rPr>
                <w:i/>
                <w:iCs/>
                <w:color w:val="000000"/>
              </w:rPr>
              <w:t>0.114375911</w:t>
            </w:r>
          </w:p>
        </w:tc>
      </w:tr>
    </w:tbl>
    <w:p w14:paraId="0E7B6618" w14:textId="1492D93F" w:rsidR="00CB0F30" w:rsidRPr="002D3ADB" w:rsidRDefault="009E5BBE" w:rsidP="002D3ADB">
      <w:pPr>
        <w:pStyle w:val="Caption"/>
        <w:spacing w:line="360" w:lineRule="auto"/>
        <w:jc w:val="center"/>
        <w:rPr>
          <w:sz w:val="24"/>
          <w:szCs w:val="24"/>
        </w:rPr>
      </w:pPr>
      <w:bookmarkStart w:id="22" w:name="_Toc61893769"/>
      <w:r w:rsidRPr="002D3ADB">
        <w:rPr>
          <w:sz w:val="24"/>
          <w:szCs w:val="24"/>
        </w:rPr>
        <w:t xml:space="preserve">Table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Table \* ARABIC </w:instrText>
      </w:r>
      <w:r w:rsidRPr="002D3ADB">
        <w:rPr>
          <w:sz w:val="24"/>
          <w:szCs w:val="24"/>
        </w:rPr>
        <w:fldChar w:fldCharType="separate"/>
      </w:r>
      <w:r w:rsidR="00D7286B">
        <w:rPr>
          <w:noProof/>
          <w:sz w:val="24"/>
          <w:szCs w:val="24"/>
        </w:rPr>
        <w:t>3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 xml:space="preserve">: </w:t>
      </w:r>
      <w:r w:rsidR="006D0CE4" w:rsidRPr="002D3ADB">
        <w:rPr>
          <w:sz w:val="24"/>
          <w:szCs w:val="24"/>
        </w:rPr>
        <w:t>Investment Return</w:t>
      </w:r>
      <w:r w:rsidRPr="002D3ADB">
        <w:rPr>
          <w:sz w:val="24"/>
          <w:szCs w:val="24"/>
        </w:rPr>
        <w:t xml:space="preserve"> Ratios of AstraZeneca PLC for 2015-2019</w:t>
      </w:r>
      <w:bookmarkEnd w:id="22"/>
    </w:p>
    <w:p w14:paraId="70E02628" w14:textId="77777777" w:rsidR="00CB0F30" w:rsidRPr="002D3ADB" w:rsidRDefault="00CB0F30" w:rsidP="002D3ADB">
      <w:pPr>
        <w:spacing w:line="360" w:lineRule="auto"/>
        <w:rPr>
          <w:rFonts w:eastAsiaTheme="majorEastAsia"/>
        </w:rPr>
      </w:pPr>
    </w:p>
    <w:p w14:paraId="16DD9805" w14:textId="7BB197CD" w:rsidR="002D222B" w:rsidRPr="002D3ADB" w:rsidRDefault="00F0355C" w:rsidP="002D3ADB">
      <w:pPr>
        <w:pStyle w:val="Heading3"/>
        <w:spacing w:line="360" w:lineRule="auto"/>
        <w:jc w:val="both"/>
        <w:rPr>
          <w:rFonts w:ascii="Times New Roman" w:hAnsi="Times New Roman" w:cs="Times New Roman"/>
        </w:rPr>
      </w:pPr>
      <w:bookmarkStart w:id="23" w:name="_Toc61893743"/>
      <w:r w:rsidRPr="002D3ADB">
        <w:rPr>
          <w:rFonts w:ascii="Times New Roman" w:hAnsi="Times New Roman" w:cs="Times New Roman"/>
        </w:rPr>
        <w:t>Liquidity Ratios: Calculations, Comparative Analysis and Recommendations</w:t>
      </w:r>
      <w:bookmarkEnd w:id="23"/>
    </w:p>
    <w:p w14:paraId="5038B1E7" w14:textId="77777777" w:rsidR="001C0A66" w:rsidRPr="002D3ADB" w:rsidRDefault="001C0A66" w:rsidP="002D3ADB">
      <w:pPr>
        <w:spacing w:line="360" w:lineRule="auto"/>
        <w:jc w:val="both"/>
      </w:pPr>
    </w:p>
    <w:p w14:paraId="69D9627A" w14:textId="77DC9D30" w:rsidR="002D222B" w:rsidRPr="002D3ADB" w:rsidRDefault="001C0A66" w:rsidP="002D3ADB">
      <w:pPr>
        <w:spacing w:line="360" w:lineRule="auto"/>
        <w:jc w:val="both"/>
      </w:pPr>
      <w:r w:rsidRPr="002D3ADB">
        <w:t xml:space="preserve">Liquidity </w:t>
      </w:r>
      <w:r w:rsidR="006D06E8" w:rsidRPr="002D3ADB">
        <w:t>refers to the ability of an organisation to easily and readily convert assets or securities into cash without affecting the market price (Chen, 2020).</w:t>
      </w:r>
      <w:r w:rsidR="006112CB" w:rsidRPr="002D3ADB">
        <w:t xml:space="preserve"> This means that </w:t>
      </w:r>
      <w:r w:rsidR="0009628A" w:rsidRPr="002D3ADB">
        <w:t>a firm</w:t>
      </w:r>
      <w:r w:rsidR="00C03C79" w:rsidRPr="002D3ADB">
        <w:t xml:space="preserve">’s asset </w:t>
      </w:r>
      <w:r w:rsidR="0009628A" w:rsidRPr="002D3ADB">
        <w:t xml:space="preserve">is liquid if </w:t>
      </w:r>
      <w:r w:rsidR="00AC4D5D" w:rsidRPr="002D3ADB">
        <w:t>it</w:t>
      </w:r>
      <w:r w:rsidR="00C03C79" w:rsidRPr="002D3ADB">
        <w:t xml:space="preserve"> is available to </w:t>
      </w:r>
      <w:r w:rsidR="005A70AE" w:rsidRPr="002D3ADB">
        <w:t xml:space="preserve">pay off obligations as they come due and other financial obligations in general. </w:t>
      </w:r>
      <w:r w:rsidR="007F3284" w:rsidRPr="002D3ADB">
        <w:t xml:space="preserve">In order to measure the liquidity of an organisation, </w:t>
      </w:r>
      <w:r w:rsidR="00485A4B" w:rsidRPr="002D3ADB">
        <w:t xml:space="preserve">liquidity ratios are used. </w:t>
      </w:r>
      <w:r w:rsidR="003A4F03" w:rsidRPr="002D3ADB">
        <w:t>Liquidity ratios include current ratio, quick ratio and cash ratio.</w:t>
      </w:r>
      <w:r w:rsidR="009D28A5" w:rsidRPr="002D3ADB">
        <w:t xml:space="preserve"> The summary of AstraZeneca’s </w:t>
      </w:r>
      <w:r w:rsidR="00D63B6D" w:rsidRPr="002D3ADB">
        <w:t xml:space="preserve">liquidity ratios </w:t>
      </w:r>
      <w:r w:rsidR="0068186F" w:rsidRPr="002D3ADB">
        <w:t>is</w:t>
      </w:r>
      <w:r w:rsidR="00D63B6D" w:rsidRPr="002D3ADB">
        <w:t xml:space="preserve"> presented in </w:t>
      </w:r>
      <w:r w:rsidR="004223AA" w:rsidRPr="002D3ADB">
        <w:t xml:space="preserve">Table 4. </w:t>
      </w:r>
      <w:r w:rsidR="008273B8" w:rsidRPr="002D3ADB">
        <w:t xml:space="preserve">Current ratio is the </w:t>
      </w:r>
      <w:r w:rsidR="00207184" w:rsidRPr="002D3ADB">
        <w:t>ability of the firm’s current assets</w:t>
      </w:r>
      <w:r w:rsidR="00DC6F45" w:rsidRPr="002D3ADB">
        <w:t xml:space="preserve"> to </w:t>
      </w:r>
      <w:r w:rsidR="00A66D30" w:rsidRPr="002D3ADB">
        <w:t xml:space="preserve">meet its </w:t>
      </w:r>
      <w:r w:rsidR="00B83977" w:rsidRPr="002D3ADB">
        <w:t xml:space="preserve">short-term obligations or </w:t>
      </w:r>
      <w:r w:rsidR="00A66D30" w:rsidRPr="002D3ADB">
        <w:t xml:space="preserve">current </w:t>
      </w:r>
      <w:r w:rsidR="008C6A31" w:rsidRPr="002D3ADB">
        <w:t xml:space="preserve">liabilities. </w:t>
      </w:r>
      <w:r w:rsidR="0012383A" w:rsidRPr="002D3ADB">
        <w:t xml:space="preserve">This means that </w:t>
      </w:r>
      <w:r w:rsidR="00155F06" w:rsidRPr="002D3ADB">
        <w:t xml:space="preserve">if the firm has its current assets </w:t>
      </w:r>
      <w:r w:rsidR="00764634" w:rsidRPr="002D3ADB">
        <w:t xml:space="preserve">higher than </w:t>
      </w:r>
      <w:r w:rsidR="0070448C" w:rsidRPr="002D3ADB">
        <w:t xml:space="preserve">its current liabilities, they are </w:t>
      </w:r>
      <w:r w:rsidR="00996B73" w:rsidRPr="002D3ADB">
        <w:t>more likely to pay their short-term obligations soone</w:t>
      </w:r>
      <w:r w:rsidR="007C53E6" w:rsidRPr="002D3ADB">
        <w:t xml:space="preserve">r. </w:t>
      </w:r>
      <w:r w:rsidR="001C3535" w:rsidRPr="002D3ADB">
        <w:t xml:space="preserve">However, it is not always a good sign </w:t>
      </w:r>
      <w:r w:rsidR="00F9531E" w:rsidRPr="002D3ADB">
        <w:t>because if a firm has incredibly high current ratio, this might indicate inefficient use of its current assets (</w:t>
      </w:r>
      <w:r w:rsidR="00433A4C" w:rsidRPr="002D3ADB">
        <w:t>Nasdaq, 2016).</w:t>
      </w:r>
      <w:r w:rsidR="0054311C" w:rsidRPr="002D3ADB">
        <w:t xml:space="preserve"> This is also applicable if </w:t>
      </w:r>
      <w:r w:rsidR="006C5480" w:rsidRPr="002D3ADB">
        <w:t xml:space="preserve">the current ratio is incredibly low. </w:t>
      </w:r>
      <w:r w:rsidR="008C7CFD" w:rsidRPr="002D3ADB">
        <w:t xml:space="preserve">In 2015, </w:t>
      </w:r>
      <w:r w:rsidR="000F6EC8" w:rsidRPr="002D3ADB">
        <w:t xml:space="preserve">AstraZeneca </w:t>
      </w:r>
      <w:r w:rsidR="00BF516D" w:rsidRPr="002D3ADB">
        <w:t>has a liquidity ratio of 107.65% or 1.08</w:t>
      </w:r>
      <w:r w:rsidR="002954F4" w:rsidRPr="002D3ADB">
        <w:t xml:space="preserve">. For most </w:t>
      </w:r>
      <w:r w:rsidR="00B67FE4" w:rsidRPr="002D3ADB">
        <w:t xml:space="preserve">companies, this </w:t>
      </w:r>
      <w:r w:rsidR="001D73D8" w:rsidRPr="002D3ADB">
        <w:t xml:space="preserve">ratio is ideal as there is enough current assets to cover </w:t>
      </w:r>
      <w:r w:rsidR="00E4262E" w:rsidRPr="002D3ADB">
        <w:t>its current obligations</w:t>
      </w:r>
      <w:r w:rsidR="00A9601A" w:rsidRPr="002D3ADB">
        <w:t xml:space="preserve"> (</w:t>
      </w:r>
      <w:proofErr w:type="spellStart"/>
      <w:r w:rsidR="00A9601A" w:rsidRPr="002D3ADB">
        <w:t>Trendshare</w:t>
      </w:r>
      <w:proofErr w:type="spellEnd"/>
      <w:r w:rsidR="00A9601A" w:rsidRPr="002D3ADB">
        <w:t>, 2020)</w:t>
      </w:r>
      <w:r w:rsidR="00E4262E" w:rsidRPr="002D3ADB">
        <w:t xml:space="preserve">. </w:t>
      </w:r>
      <w:r w:rsidR="00A11783" w:rsidRPr="002D3ADB">
        <w:t>However</w:t>
      </w:r>
      <w:r w:rsidR="00D13D8D" w:rsidRPr="002D3ADB">
        <w:t>, in the succeeding years</w:t>
      </w:r>
      <w:r w:rsidR="00140AE1" w:rsidRPr="002D3ADB">
        <w:t xml:space="preserve">, the quick ratio </w:t>
      </w:r>
      <w:r w:rsidR="00FA7FD4" w:rsidRPr="002D3ADB">
        <w:t xml:space="preserve">stayed below the index of 100% or 1. </w:t>
      </w:r>
      <w:r w:rsidR="008364AA" w:rsidRPr="002D3ADB">
        <w:t xml:space="preserve">This meant that </w:t>
      </w:r>
      <w:r w:rsidR="0001278C" w:rsidRPr="002D3ADB">
        <w:t xml:space="preserve">AstraZeneca </w:t>
      </w:r>
      <w:r w:rsidR="00E8637F" w:rsidRPr="002D3ADB">
        <w:t xml:space="preserve">was less likely </w:t>
      </w:r>
      <w:r w:rsidR="00E106F3" w:rsidRPr="002D3ADB">
        <w:t xml:space="preserve">able to readily pay their </w:t>
      </w:r>
      <w:r w:rsidR="00EE5058" w:rsidRPr="002D3ADB">
        <w:t>current obligations</w:t>
      </w:r>
      <w:r w:rsidR="00846E0C" w:rsidRPr="002D3ADB">
        <w:t>.</w:t>
      </w:r>
      <w:r w:rsidR="00E05DAA" w:rsidRPr="002D3ADB">
        <w:t xml:space="preserve"> </w:t>
      </w:r>
    </w:p>
    <w:p w14:paraId="63EA734B" w14:textId="3455E5F4" w:rsidR="00A531BD" w:rsidRPr="002D3ADB" w:rsidRDefault="00A531BD" w:rsidP="002D3ADB">
      <w:pPr>
        <w:spacing w:line="360" w:lineRule="auto"/>
        <w:jc w:val="both"/>
      </w:pPr>
    </w:p>
    <w:p w14:paraId="5FCEB00E" w14:textId="1F972067" w:rsidR="00846E0C" w:rsidRPr="002D3ADB" w:rsidRDefault="00A531BD" w:rsidP="002D3ADB">
      <w:pPr>
        <w:spacing w:line="360" w:lineRule="auto"/>
        <w:jc w:val="both"/>
      </w:pPr>
      <w:r w:rsidRPr="002D3ADB">
        <w:t>Quick ratio</w:t>
      </w:r>
      <w:r w:rsidR="006A5A22" w:rsidRPr="002D3ADB">
        <w:t>, on the other hand, i</w:t>
      </w:r>
      <w:r w:rsidR="009B4B4F" w:rsidRPr="002D3ADB">
        <w:t>s the same a</w:t>
      </w:r>
      <w:r w:rsidR="00523732" w:rsidRPr="002D3ADB">
        <w:t>s</w:t>
      </w:r>
      <w:r w:rsidR="009B4B4F" w:rsidRPr="002D3ADB">
        <w:t xml:space="preserve"> current ratio but </w:t>
      </w:r>
      <w:r w:rsidR="00C83EC0" w:rsidRPr="002D3ADB">
        <w:t xml:space="preserve">inventory is excluded. As the name suggests, inventory is excluded </w:t>
      </w:r>
      <w:r w:rsidR="00330ED6" w:rsidRPr="002D3ADB">
        <w:t>for the reason that it may take longer time to convert them to cash than other current assets</w:t>
      </w:r>
      <w:r w:rsidR="003D7A6E" w:rsidRPr="002D3ADB">
        <w:t xml:space="preserve"> called quick assets</w:t>
      </w:r>
      <w:r w:rsidR="00330ED6" w:rsidRPr="002D3ADB">
        <w:t xml:space="preserve">. </w:t>
      </w:r>
      <w:r w:rsidR="0024638F" w:rsidRPr="002D3ADB">
        <w:t xml:space="preserve">The balance in </w:t>
      </w:r>
      <w:r w:rsidR="00376476" w:rsidRPr="002D3ADB">
        <w:t xml:space="preserve">quick assets </w:t>
      </w:r>
      <w:r w:rsidR="001A5482" w:rsidRPr="002D3ADB">
        <w:t>and current liabilit</w:t>
      </w:r>
      <w:r w:rsidR="00B57450" w:rsidRPr="002D3ADB">
        <w:t xml:space="preserve">ies </w:t>
      </w:r>
      <w:r w:rsidR="001B7BDA" w:rsidRPr="002D3ADB">
        <w:t xml:space="preserve">can be viewed as the company’s ability to </w:t>
      </w:r>
      <w:r w:rsidR="00BA1B2D" w:rsidRPr="002D3ADB">
        <w:t xml:space="preserve">immediately pay current obligations. </w:t>
      </w:r>
      <w:r w:rsidR="00275A35" w:rsidRPr="002D3ADB">
        <w:t xml:space="preserve">The </w:t>
      </w:r>
      <w:r w:rsidR="005C57AC" w:rsidRPr="002D3ADB">
        <w:t xml:space="preserve">difference in current ratio and quick ratio lies on the urgency to pay the </w:t>
      </w:r>
      <w:r w:rsidR="005E14F3" w:rsidRPr="002D3ADB">
        <w:t xml:space="preserve">short-term liabilities. </w:t>
      </w:r>
      <w:r w:rsidR="009D596A" w:rsidRPr="002D3ADB">
        <w:t xml:space="preserve">Since </w:t>
      </w:r>
      <w:r w:rsidR="002A368E" w:rsidRPr="002D3ADB">
        <w:t xml:space="preserve">the current ratio of </w:t>
      </w:r>
      <w:r w:rsidR="00A419EE" w:rsidRPr="002D3ADB">
        <w:t xml:space="preserve">AstraZeneca </w:t>
      </w:r>
      <w:r w:rsidR="002900AA" w:rsidRPr="002D3ADB">
        <w:t xml:space="preserve">is lower than 1, </w:t>
      </w:r>
      <w:r w:rsidR="00F40BC3" w:rsidRPr="002D3ADB">
        <w:t xml:space="preserve">it obviously has </w:t>
      </w:r>
      <w:r w:rsidR="00D41B78" w:rsidRPr="002D3ADB">
        <w:t xml:space="preserve">lower </w:t>
      </w:r>
      <w:r w:rsidR="00EE1782" w:rsidRPr="002D3ADB">
        <w:t>quick ratio</w:t>
      </w:r>
      <w:r w:rsidR="009E6CC5" w:rsidRPr="002D3ADB">
        <w:t>—a</w:t>
      </w:r>
      <w:r w:rsidR="00B50FE9" w:rsidRPr="002D3ADB">
        <w:t xml:space="preserve">nother indication that </w:t>
      </w:r>
      <w:r w:rsidR="002D662C" w:rsidRPr="002D3ADB">
        <w:t xml:space="preserve">AstraZeneca </w:t>
      </w:r>
      <w:r w:rsidR="006D4C9F" w:rsidRPr="002D3ADB">
        <w:t xml:space="preserve">has low liquidity. </w:t>
      </w:r>
      <w:r w:rsidR="004C7846" w:rsidRPr="002D3ADB">
        <w:t xml:space="preserve">In 2015, 93.24% of current liabilities can be immediately paid </w:t>
      </w:r>
      <w:r w:rsidR="00250986" w:rsidRPr="002D3ADB">
        <w:t xml:space="preserve">while </w:t>
      </w:r>
      <w:r w:rsidR="009A4103" w:rsidRPr="002D3ADB">
        <w:t>in 2019, only 68.28% of current liabilities can be covered by its quick assets.</w:t>
      </w:r>
    </w:p>
    <w:p w14:paraId="49270B3E" w14:textId="3EC860E7" w:rsidR="00846E0C" w:rsidRPr="002D3ADB" w:rsidRDefault="00846E0C" w:rsidP="002D3ADB">
      <w:pPr>
        <w:spacing w:line="360" w:lineRule="auto"/>
        <w:jc w:val="both"/>
      </w:pPr>
    </w:p>
    <w:p w14:paraId="283A45B3" w14:textId="3348A6B3" w:rsidR="00F95980" w:rsidRPr="002D3ADB" w:rsidRDefault="00F95980" w:rsidP="002D3ADB">
      <w:pPr>
        <w:spacing w:line="360" w:lineRule="auto"/>
        <w:jc w:val="both"/>
      </w:pPr>
      <w:r w:rsidRPr="002D3ADB">
        <w:t xml:space="preserve">Cash ratio, as its name suggest is the </w:t>
      </w:r>
      <w:r w:rsidR="008E1BC7" w:rsidRPr="002D3ADB">
        <w:t>ability of cash and cash equivalents alone to pay current liabilities.</w:t>
      </w:r>
      <w:r w:rsidR="009160BF" w:rsidRPr="002D3ADB">
        <w:t xml:space="preserve"> </w:t>
      </w:r>
      <w:r w:rsidR="00126A32" w:rsidRPr="002D3ADB">
        <w:t xml:space="preserve">As </w:t>
      </w:r>
      <w:r w:rsidR="00986963" w:rsidRPr="002D3ADB">
        <w:t>presented in the comparative balance sheets</w:t>
      </w:r>
      <w:r w:rsidR="00126A32" w:rsidRPr="002D3ADB">
        <w:t xml:space="preserve"> in </w:t>
      </w:r>
      <w:r w:rsidR="00134D73" w:rsidRPr="002D3ADB">
        <w:t xml:space="preserve">Figure 3 &amp; 4, </w:t>
      </w:r>
      <w:r w:rsidR="00112B28" w:rsidRPr="002D3ADB">
        <w:t xml:space="preserve">cash is one of the </w:t>
      </w:r>
      <w:r w:rsidR="00986963" w:rsidRPr="002D3ADB">
        <w:t>major current assets of AstraZeneca</w:t>
      </w:r>
      <w:r w:rsidR="002D4CAF" w:rsidRPr="002D3ADB">
        <w:t xml:space="preserve">. However, </w:t>
      </w:r>
      <w:r w:rsidR="005A74D7" w:rsidRPr="002D3ADB">
        <w:t xml:space="preserve">if the company for an instance is forced to immediately pay the current liabilities, </w:t>
      </w:r>
      <w:r w:rsidR="00532FDD" w:rsidRPr="002D3ADB">
        <w:t>there would not be enough cash to cover all of them.</w:t>
      </w:r>
    </w:p>
    <w:p w14:paraId="052FE6F0" w14:textId="77777777" w:rsidR="00F121B7" w:rsidRPr="002D3ADB" w:rsidRDefault="00F121B7" w:rsidP="002D3ADB">
      <w:pPr>
        <w:spacing w:line="360" w:lineRule="auto"/>
        <w:jc w:val="both"/>
      </w:pPr>
    </w:p>
    <w:p w14:paraId="6C8D08A1" w14:textId="4928428A" w:rsidR="00846E0C" w:rsidRPr="002D3ADB" w:rsidRDefault="00846E0C" w:rsidP="002D3ADB">
      <w:pPr>
        <w:spacing w:line="360" w:lineRule="auto"/>
        <w:jc w:val="both"/>
      </w:pPr>
      <w:r w:rsidRPr="002D3ADB">
        <w:t>In order to improve AstraZeneca’s current ratio</w:t>
      </w:r>
      <w:r w:rsidR="00C8620E" w:rsidRPr="002D3ADB">
        <w:t>, quick ratio and cash ratio</w:t>
      </w:r>
      <w:r w:rsidRPr="002D3ADB">
        <w:t xml:space="preserve">, it is recommended to assess some of the assets </w:t>
      </w:r>
      <w:r w:rsidR="006D0E34" w:rsidRPr="002D3ADB">
        <w:t>whether</w:t>
      </w:r>
      <w:r w:rsidRPr="002D3ADB">
        <w:t xml:space="preserve"> they are generating a return </w:t>
      </w:r>
      <w:r w:rsidR="006B6E7E" w:rsidRPr="002D3ADB">
        <w:t xml:space="preserve">for the company </w:t>
      </w:r>
      <w:r w:rsidRPr="002D3ADB">
        <w:t xml:space="preserve">or not. Moreover, it would be helpful if the firm can review loans that can be re-amortized. </w:t>
      </w:r>
    </w:p>
    <w:p w14:paraId="708F11EF" w14:textId="21883225" w:rsidR="000438DF" w:rsidRPr="002D3ADB" w:rsidRDefault="000438DF" w:rsidP="002D3ADB">
      <w:pPr>
        <w:pStyle w:val="Heading3"/>
        <w:spacing w:line="360" w:lineRule="auto"/>
        <w:jc w:val="both"/>
        <w:rPr>
          <w:rFonts w:ascii="Times New Roman" w:hAnsi="Times New Roman" w:cs="Times New Roman"/>
        </w:rPr>
      </w:pPr>
    </w:p>
    <w:p w14:paraId="00F87103" w14:textId="77777777" w:rsidR="000D6D55" w:rsidRPr="002D3ADB" w:rsidRDefault="000D6D55" w:rsidP="002D3ADB">
      <w:pPr>
        <w:spacing w:line="360" w:lineRule="auto"/>
        <w:rPr>
          <w:lang w:eastAsia="en-US"/>
        </w:rPr>
      </w:pPr>
    </w:p>
    <w:tbl>
      <w:tblPr>
        <w:tblW w:w="11300" w:type="dxa"/>
        <w:tblInd w:w="-980" w:type="dxa"/>
        <w:tblLook w:val="04A0" w:firstRow="1" w:lastRow="0" w:firstColumn="1" w:lastColumn="0" w:noHBand="0" w:noVBand="1"/>
      </w:tblPr>
      <w:tblGrid>
        <w:gridCol w:w="2600"/>
        <w:gridCol w:w="1740"/>
        <w:gridCol w:w="1740"/>
        <w:gridCol w:w="1740"/>
        <w:gridCol w:w="1740"/>
        <w:gridCol w:w="1740"/>
      </w:tblGrid>
      <w:tr w:rsidR="000438DF" w:rsidRPr="002D3ADB" w14:paraId="0C06650F" w14:textId="77777777" w:rsidTr="000438DF">
        <w:trPr>
          <w:trHeight w:val="800"/>
        </w:trPr>
        <w:tc>
          <w:tcPr>
            <w:tcW w:w="2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4B084"/>
            <w:vAlign w:val="center"/>
            <w:hideMark/>
          </w:tcPr>
          <w:p w14:paraId="1AC3F72D" w14:textId="77777777" w:rsidR="000438DF" w:rsidRPr="002D3ADB" w:rsidRDefault="000438DF" w:rsidP="002D3ADB">
            <w:pPr>
              <w:spacing w:line="360" w:lineRule="auto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LIQUIDITY RATIOS</w:t>
            </w:r>
          </w:p>
        </w:tc>
        <w:tc>
          <w:tcPr>
            <w:tcW w:w="17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4B084"/>
            <w:noWrap/>
            <w:vAlign w:val="center"/>
            <w:hideMark/>
          </w:tcPr>
          <w:p w14:paraId="6AEE4300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2019</w:t>
            </w:r>
          </w:p>
        </w:tc>
        <w:tc>
          <w:tcPr>
            <w:tcW w:w="17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4B084"/>
            <w:noWrap/>
            <w:vAlign w:val="center"/>
            <w:hideMark/>
          </w:tcPr>
          <w:p w14:paraId="518D460B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2018</w:t>
            </w:r>
          </w:p>
        </w:tc>
        <w:tc>
          <w:tcPr>
            <w:tcW w:w="17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4B084"/>
            <w:noWrap/>
            <w:vAlign w:val="center"/>
            <w:hideMark/>
          </w:tcPr>
          <w:p w14:paraId="33C4F554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2017</w:t>
            </w:r>
          </w:p>
        </w:tc>
        <w:tc>
          <w:tcPr>
            <w:tcW w:w="17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4B084"/>
            <w:noWrap/>
            <w:vAlign w:val="center"/>
            <w:hideMark/>
          </w:tcPr>
          <w:p w14:paraId="26046F7C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2016</w:t>
            </w:r>
          </w:p>
        </w:tc>
        <w:tc>
          <w:tcPr>
            <w:tcW w:w="17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4B084"/>
            <w:noWrap/>
            <w:vAlign w:val="center"/>
            <w:hideMark/>
          </w:tcPr>
          <w:p w14:paraId="1335A4F7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2015</w:t>
            </w:r>
          </w:p>
        </w:tc>
      </w:tr>
      <w:tr w:rsidR="000438DF" w:rsidRPr="002D3ADB" w14:paraId="148B6CF7" w14:textId="77777777" w:rsidTr="000438DF">
        <w:trPr>
          <w:trHeight w:val="450"/>
        </w:trPr>
        <w:tc>
          <w:tcPr>
            <w:tcW w:w="26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CE4D6"/>
            <w:noWrap/>
            <w:hideMark/>
          </w:tcPr>
          <w:p w14:paraId="6C5FB54E" w14:textId="77777777" w:rsidR="000438DF" w:rsidRPr="002D3ADB" w:rsidRDefault="000438DF" w:rsidP="002D3ADB">
            <w:pPr>
              <w:spacing w:line="360" w:lineRule="auto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Current Ratio: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2EBB6EC4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85.90%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679531BD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95.70%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61A20603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80.27%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1FCD7F94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86.93%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29A4061E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107.65%</w:t>
            </w:r>
          </w:p>
        </w:tc>
      </w:tr>
      <w:tr w:rsidR="000438DF" w:rsidRPr="002D3ADB" w14:paraId="1CD72CCC" w14:textId="77777777" w:rsidTr="000438DF">
        <w:trPr>
          <w:trHeight w:val="320"/>
        </w:trPr>
        <w:tc>
          <w:tcPr>
            <w:tcW w:w="26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43DFFED2" w14:textId="77777777" w:rsidR="000438DF" w:rsidRPr="002D3ADB" w:rsidRDefault="000438DF" w:rsidP="002D3ADB">
            <w:pPr>
              <w:spacing w:line="360" w:lineRule="auto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Current Assets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3F95E2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$15563/$18117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65BF8A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$15591/$16292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71F312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$13150/$16383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86AD2B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$13262/$15256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AE03DE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$16007/$14869</w:t>
            </w:r>
          </w:p>
        </w:tc>
      </w:tr>
      <w:tr w:rsidR="000438DF" w:rsidRPr="002D3ADB" w14:paraId="4FC53278" w14:textId="77777777" w:rsidTr="000438DF">
        <w:trPr>
          <w:trHeight w:val="32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hideMark/>
          </w:tcPr>
          <w:p w14:paraId="05DE5D16" w14:textId="77777777" w:rsidR="000438DF" w:rsidRPr="002D3ADB" w:rsidRDefault="000438DF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Current Liabilities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A5D9B4" w14:textId="2384BFDC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0.859027433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9D9784" w14:textId="36C12FD1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0.956972747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CAADF1" w14:textId="2C54370C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0.802661295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7FF4A7" w14:textId="35D0A432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0.869297326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D99F67" w14:textId="2037EE07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1.076535073</w:t>
            </w:r>
          </w:p>
        </w:tc>
      </w:tr>
      <w:tr w:rsidR="000438DF" w:rsidRPr="002D3ADB" w14:paraId="6B31CBC1" w14:textId="77777777" w:rsidTr="000438DF">
        <w:trPr>
          <w:trHeight w:val="450"/>
        </w:trPr>
        <w:tc>
          <w:tcPr>
            <w:tcW w:w="26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CE4D6"/>
            <w:noWrap/>
            <w:hideMark/>
          </w:tcPr>
          <w:p w14:paraId="5B2E0FC4" w14:textId="77777777" w:rsidR="000438DF" w:rsidRPr="002D3ADB" w:rsidRDefault="000438DF" w:rsidP="002D3ADB">
            <w:pPr>
              <w:spacing w:line="360" w:lineRule="auto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lastRenderedPageBreak/>
              <w:t>Quick Ratio: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111FBACE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68.28%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094E3A32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77.96%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191B3CF9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61.74%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44FEE7C3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71.63%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020DEC60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93.24%</w:t>
            </w:r>
          </w:p>
        </w:tc>
      </w:tr>
      <w:tr w:rsidR="000438DF" w:rsidRPr="002D3ADB" w14:paraId="7038F9FA" w14:textId="77777777" w:rsidTr="000438DF">
        <w:trPr>
          <w:trHeight w:val="320"/>
        </w:trPr>
        <w:tc>
          <w:tcPr>
            <w:tcW w:w="26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7062A3BF" w14:textId="77777777" w:rsidR="000438DF" w:rsidRPr="002D3ADB" w:rsidRDefault="000438DF" w:rsidP="002D3ADB">
            <w:pPr>
              <w:spacing w:line="360" w:lineRule="auto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Current Assets-Inventory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30D83E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($15563-$3193)/$18117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46DC2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($15591-$2890)/$16292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537DE5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($13150-$3035)/$16383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1B2E8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($13262-$2334)/$15256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09135F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($16007-$2143)/$14869</w:t>
            </w:r>
          </w:p>
        </w:tc>
      </w:tr>
      <w:tr w:rsidR="000438DF" w:rsidRPr="002D3ADB" w14:paraId="55E31174" w14:textId="77777777" w:rsidTr="000438DF">
        <w:trPr>
          <w:trHeight w:val="32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hideMark/>
          </w:tcPr>
          <w:p w14:paraId="54DADD30" w14:textId="77777777" w:rsidR="000438DF" w:rsidRPr="002D3ADB" w:rsidRDefault="000438DF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Current Liabilities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644D88" w14:textId="1CB3508C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0.682784125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FF451C" w14:textId="2625C1B5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0.779585072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0AE976" w14:textId="11851519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0.617408289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AB26BD" w14:textId="3987197A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0.716308338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FA0D75" w14:textId="0EE93C68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0.932409711</w:t>
            </w:r>
          </w:p>
        </w:tc>
      </w:tr>
      <w:tr w:rsidR="000438DF" w:rsidRPr="002D3ADB" w14:paraId="7F709805" w14:textId="77777777" w:rsidTr="000438DF">
        <w:trPr>
          <w:trHeight w:val="450"/>
        </w:trPr>
        <w:tc>
          <w:tcPr>
            <w:tcW w:w="26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CE4D6"/>
            <w:noWrap/>
            <w:hideMark/>
          </w:tcPr>
          <w:p w14:paraId="032161B7" w14:textId="77777777" w:rsidR="000438DF" w:rsidRPr="002D3ADB" w:rsidRDefault="000438DF" w:rsidP="002D3ADB">
            <w:pPr>
              <w:spacing w:line="360" w:lineRule="auto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Cash Ratio: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32AE6367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29.64%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6728298E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29.65%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0ACF13D7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20.29%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4538DE1F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32.89%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31AE1BE3" w14:textId="77777777" w:rsidR="000438DF" w:rsidRPr="002D3ADB" w:rsidRDefault="000438DF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41.97%</w:t>
            </w:r>
          </w:p>
        </w:tc>
      </w:tr>
      <w:tr w:rsidR="000438DF" w:rsidRPr="002D3ADB" w14:paraId="04122676" w14:textId="77777777" w:rsidTr="000438DF">
        <w:trPr>
          <w:trHeight w:val="320"/>
        </w:trPr>
        <w:tc>
          <w:tcPr>
            <w:tcW w:w="26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CE4D6"/>
            <w:noWrap/>
            <w:vAlign w:val="bottom"/>
            <w:hideMark/>
          </w:tcPr>
          <w:p w14:paraId="1D84FFBD" w14:textId="77777777" w:rsidR="000438DF" w:rsidRPr="002D3ADB" w:rsidRDefault="000438DF" w:rsidP="002D3ADB">
            <w:pPr>
              <w:spacing w:line="360" w:lineRule="auto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Cash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53BC52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$5369/$18117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6C5448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$4831/$16292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EA145E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$3324/$16383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1C1531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$5018/$15256</w:t>
            </w: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65D7BC" w14:textId="77777777" w:rsidR="000438DF" w:rsidRPr="002D3ADB" w:rsidRDefault="000438DF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$6240/$14869</w:t>
            </w:r>
          </w:p>
        </w:tc>
      </w:tr>
      <w:tr w:rsidR="000438DF" w:rsidRPr="002D3ADB" w14:paraId="220C7BC0" w14:textId="77777777" w:rsidTr="000438DF">
        <w:trPr>
          <w:trHeight w:val="32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E4D6"/>
            <w:noWrap/>
            <w:hideMark/>
          </w:tcPr>
          <w:p w14:paraId="475A2434" w14:textId="77777777" w:rsidR="000438DF" w:rsidRPr="002D3ADB" w:rsidRDefault="000438DF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Current Liabilities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2BC697" w14:textId="24BF2884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0.296351493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6E77AD" w14:textId="54821569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0.296525902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F22C79" w14:textId="1D7C4599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0.202893243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A0E4E9" w14:textId="4386BA00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0.328919769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7ABF60" w14:textId="229A6D6A" w:rsidR="000438DF" w:rsidRPr="002D3ADB" w:rsidRDefault="007C4DC1" w:rsidP="002D3ADB">
            <w:pPr>
              <w:spacing w:line="360" w:lineRule="auto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=</w:t>
            </w:r>
            <w:r w:rsidR="000438DF" w:rsidRPr="002D3ADB">
              <w:rPr>
                <w:i/>
                <w:iCs/>
                <w:color w:val="000000"/>
              </w:rPr>
              <w:t>0.419665075</w:t>
            </w:r>
          </w:p>
        </w:tc>
      </w:tr>
    </w:tbl>
    <w:p w14:paraId="151B63CA" w14:textId="20D8E472" w:rsidR="00F0355C" w:rsidRPr="002D3ADB" w:rsidRDefault="007B394E" w:rsidP="002D3ADB">
      <w:pPr>
        <w:pStyle w:val="Caption"/>
        <w:keepNext/>
        <w:spacing w:line="360" w:lineRule="auto"/>
        <w:jc w:val="center"/>
        <w:rPr>
          <w:sz w:val="24"/>
          <w:szCs w:val="24"/>
        </w:rPr>
      </w:pPr>
      <w:bookmarkStart w:id="24" w:name="_Toc61893770"/>
      <w:r w:rsidRPr="002D3ADB">
        <w:rPr>
          <w:sz w:val="24"/>
          <w:szCs w:val="24"/>
        </w:rPr>
        <w:t xml:space="preserve">Table </w:t>
      </w:r>
      <w:r w:rsidR="00A335D7" w:rsidRPr="002D3ADB">
        <w:rPr>
          <w:sz w:val="24"/>
          <w:szCs w:val="24"/>
        </w:rPr>
        <w:fldChar w:fldCharType="begin"/>
      </w:r>
      <w:r w:rsidR="00A335D7" w:rsidRPr="002D3ADB">
        <w:rPr>
          <w:sz w:val="24"/>
          <w:szCs w:val="24"/>
        </w:rPr>
        <w:instrText xml:space="preserve"> SEQ Table \* ARABIC </w:instrText>
      </w:r>
      <w:r w:rsidR="00A335D7" w:rsidRPr="002D3ADB">
        <w:rPr>
          <w:sz w:val="24"/>
          <w:szCs w:val="24"/>
        </w:rPr>
        <w:fldChar w:fldCharType="separate"/>
      </w:r>
      <w:r w:rsidR="00D7286B">
        <w:rPr>
          <w:noProof/>
          <w:sz w:val="24"/>
          <w:szCs w:val="24"/>
        </w:rPr>
        <w:t>4</w:t>
      </w:r>
      <w:r w:rsidR="00A335D7" w:rsidRPr="002D3ADB">
        <w:rPr>
          <w:noProof/>
          <w:sz w:val="24"/>
          <w:szCs w:val="24"/>
        </w:rPr>
        <w:fldChar w:fldCharType="end"/>
      </w:r>
      <w:r w:rsidRPr="002D3ADB">
        <w:rPr>
          <w:sz w:val="24"/>
          <w:szCs w:val="24"/>
        </w:rPr>
        <w:t>: Liquidity Ratios of AstraZeneca PLC for 2015-2019</w:t>
      </w:r>
      <w:bookmarkEnd w:id="24"/>
    </w:p>
    <w:p w14:paraId="5B23F6DE" w14:textId="0DC27A65" w:rsidR="000C076E" w:rsidRPr="002D3ADB" w:rsidRDefault="000C076E" w:rsidP="002D3ADB">
      <w:pPr>
        <w:spacing w:line="360" w:lineRule="auto"/>
      </w:pPr>
    </w:p>
    <w:p w14:paraId="7BFFFF14" w14:textId="33CD1120" w:rsidR="000C076E" w:rsidRPr="002D3ADB" w:rsidRDefault="000C076E" w:rsidP="002D3ADB">
      <w:pPr>
        <w:pStyle w:val="Heading3"/>
        <w:spacing w:line="360" w:lineRule="auto"/>
        <w:jc w:val="both"/>
        <w:rPr>
          <w:rFonts w:ascii="Times New Roman" w:hAnsi="Times New Roman" w:cs="Times New Roman"/>
        </w:rPr>
      </w:pPr>
      <w:bookmarkStart w:id="25" w:name="_Toc61893744"/>
      <w:r w:rsidRPr="002D3ADB">
        <w:rPr>
          <w:rFonts w:ascii="Times New Roman" w:hAnsi="Times New Roman" w:cs="Times New Roman"/>
        </w:rPr>
        <w:t>Leverage/Gearing Ratios: Calculations, Comparative Analysis and Recommendations</w:t>
      </w:r>
      <w:bookmarkEnd w:id="25"/>
    </w:p>
    <w:p w14:paraId="78DE1CB3" w14:textId="77777777" w:rsidR="000C076E" w:rsidRPr="002D3ADB" w:rsidRDefault="000C076E" w:rsidP="002D3ADB">
      <w:pPr>
        <w:spacing w:line="360" w:lineRule="auto"/>
      </w:pPr>
    </w:p>
    <w:p w14:paraId="7B1557D2" w14:textId="5A950A01" w:rsidR="000438DF" w:rsidRPr="002D3ADB" w:rsidRDefault="00E145CA" w:rsidP="002D3ADB">
      <w:pPr>
        <w:spacing w:line="360" w:lineRule="auto"/>
        <w:jc w:val="both"/>
        <w:rPr>
          <w:rFonts w:eastAsiaTheme="majorEastAsia"/>
          <w:i/>
          <w:iCs/>
          <w:color w:val="44546A" w:themeColor="text2"/>
        </w:rPr>
      </w:pPr>
      <w:r w:rsidRPr="002D3ADB">
        <w:rPr>
          <w:rFonts w:eastAsiaTheme="majorEastAsia"/>
        </w:rPr>
        <w:t>Leverage</w:t>
      </w:r>
      <w:r w:rsidR="00FB0F3E" w:rsidRPr="002D3ADB">
        <w:rPr>
          <w:rFonts w:eastAsiaTheme="majorEastAsia"/>
        </w:rPr>
        <w:t xml:space="preserve">/gearing </w:t>
      </w:r>
      <w:r w:rsidRPr="002D3ADB">
        <w:rPr>
          <w:rFonts w:eastAsiaTheme="majorEastAsia"/>
        </w:rPr>
        <w:t xml:space="preserve">ratio is another approach in </w:t>
      </w:r>
      <w:r w:rsidR="00356D43" w:rsidRPr="002D3ADB">
        <w:rPr>
          <w:rFonts w:eastAsiaTheme="majorEastAsia"/>
        </w:rPr>
        <w:t>evaluating</w:t>
      </w:r>
      <w:r w:rsidR="009E016F" w:rsidRPr="002D3ADB">
        <w:rPr>
          <w:rFonts w:eastAsiaTheme="majorEastAsia"/>
        </w:rPr>
        <w:t xml:space="preserve"> the ability of </w:t>
      </w:r>
      <w:r w:rsidR="00356D43" w:rsidRPr="002D3ADB">
        <w:rPr>
          <w:rFonts w:eastAsiaTheme="majorEastAsia"/>
        </w:rPr>
        <w:t xml:space="preserve">a firm to </w:t>
      </w:r>
      <w:r w:rsidR="006C0660" w:rsidRPr="002D3ADB">
        <w:rPr>
          <w:rFonts w:eastAsiaTheme="majorEastAsia"/>
        </w:rPr>
        <w:t xml:space="preserve">meet all its financial obligations. </w:t>
      </w:r>
      <w:r w:rsidR="007B16AF" w:rsidRPr="002D3ADB">
        <w:rPr>
          <w:rFonts w:eastAsiaTheme="majorEastAsia"/>
        </w:rPr>
        <w:t xml:space="preserve">The most common leverage ratios are debt-to-equity and </w:t>
      </w:r>
      <w:r w:rsidR="009D0E4C" w:rsidRPr="002D3ADB">
        <w:rPr>
          <w:rFonts w:eastAsiaTheme="majorEastAsia"/>
        </w:rPr>
        <w:t xml:space="preserve">debt-to-capital ratio. </w:t>
      </w:r>
      <w:r w:rsidR="00D8267E" w:rsidRPr="002D3ADB">
        <w:rPr>
          <w:rFonts w:eastAsiaTheme="majorEastAsia"/>
        </w:rPr>
        <w:t xml:space="preserve">The summary of </w:t>
      </w:r>
      <w:r w:rsidR="002C6909" w:rsidRPr="002D3ADB">
        <w:rPr>
          <w:rFonts w:eastAsiaTheme="majorEastAsia"/>
        </w:rPr>
        <w:t xml:space="preserve">AstraZeneca’s </w:t>
      </w:r>
      <w:r w:rsidR="00FB0F3E" w:rsidRPr="002D3ADB">
        <w:rPr>
          <w:rFonts w:eastAsiaTheme="majorEastAsia"/>
        </w:rPr>
        <w:t>leverage/gearing ratio</w:t>
      </w:r>
      <w:r w:rsidR="00D91453" w:rsidRPr="002D3ADB">
        <w:rPr>
          <w:rFonts w:eastAsiaTheme="majorEastAsia"/>
        </w:rPr>
        <w:t xml:space="preserve"> from 2015</w:t>
      </w:r>
      <w:r w:rsidR="005A6158" w:rsidRPr="002D3ADB">
        <w:rPr>
          <w:rFonts w:eastAsiaTheme="majorEastAsia"/>
        </w:rPr>
        <w:t xml:space="preserve"> to </w:t>
      </w:r>
      <w:r w:rsidR="00D91453" w:rsidRPr="002D3ADB">
        <w:rPr>
          <w:rFonts w:eastAsiaTheme="majorEastAsia"/>
        </w:rPr>
        <w:t>2019</w:t>
      </w:r>
      <w:r w:rsidR="00FB0F3E" w:rsidRPr="002D3ADB">
        <w:rPr>
          <w:rFonts w:eastAsiaTheme="majorEastAsia"/>
        </w:rPr>
        <w:t xml:space="preserve"> is presented in Table 5. </w:t>
      </w:r>
      <w:r w:rsidR="00346E68" w:rsidRPr="002D3ADB">
        <w:rPr>
          <w:rFonts w:eastAsiaTheme="majorEastAsia"/>
        </w:rPr>
        <w:t xml:space="preserve">Debt-to-equity ratio </w:t>
      </w:r>
      <w:r w:rsidR="006D3AFA" w:rsidRPr="002D3ADB">
        <w:rPr>
          <w:rFonts w:eastAsiaTheme="majorEastAsia"/>
        </w:rPr>
        <w:t xml:space="preserve">measures the </w:t>
      </w:r>
      <w:r w:rsidR="00CD0B39" w:rsidRPr="002D3ADB">
        <w:rPr>
          <w:rFonts w:eastAsiaTheme="majorEastAsia"/>
        </w:rPr>
        <w:t xml:space="preserve">proportion of </w:t>
      </w:r>
      <w:r w:rsidR="00164E2A" w:rsidRPr="002D3ADB">
        <w:rPr>
          <w:rFonts w:eastAsiaTheme="majorEastAsia"/>
        </w:rPr>
        <w:t xml:space="preserve">the </w:t>
      </w:r>
      <w:r w:rsidR="00872977" w:rsidRPr="002D3ADB">
        <w:rPr>
          <w:rFonts w:eastAsiaTheme="majorEastAsia"/>
        </w:rPr>
        <w:t xml:space="preserve">short term and </w:t>
      </w:r>
      <w:r w:rsidR="00380B88" w:rsidRPr="002D3ADB">
        <w:rPr>
          <w:rFonts w:eastAsiaTheme="majorEastAsia"/>
        </w:rPr>
        <w:t>long-term</w:t>
      </w:r>
      <w:r w:rsidR="00872977" w:rsidRPr="002D3ADB">
        <w:rPr>
          <w:rFonts w:eastAsiaTheme="majorEastAsia"/>
        </w:rPr>
        <w:t xml:space="preserve"> borrowings against the total equity of the organisation. </w:t>
      </w:r>
      <w:r w:rsidR="00380B88" w:rsidRPr="002D3ADB">
        <w:rPr>
          <w:rFonts w:eastAsiaTheme="majorEastAsia"/>
        </w:rPr>
        <w:t>According to AstraZeneca’s data, the company ha</w:t>
      </w:r>
      <w:r w:rsidR="00185675" w:rsidRPr="002D3ADB">
        <w:rPr>
          <w:rFonts w:eastAsiaTheme="majorEastAsia"/>
        </w:rPr>
        <w:t>d a good 81.33% leverage ratio in 2015</w:t>
      </w:r>
      <w:r w:rsidR="003A68FA" w:rsidRPr="002D3ADB">
        <w:rPr>
          <w:rFonts w:eastAsiaTheme="majorEastAsia"/>
        </w:rPr>
        <w:t xml:space="preserve">. However, the </w:t>
      </w:r>
      <w:r w:rsidR="005E2613" w:rsidRPr="002D3ADB">
        <w:rPr>
          <w:rFonts w:eastAsiaTheme="majorEastAsia"/>
        </w:rPr>
        <w:t xml:space="preserve">proportion of debt against equity grew higher </w:t>
      </w:r>
      <w:r w:rsidR="00263DE1" w:rsidRPr="002D3ADB">
        <w:rPr>
          <w:rFonts w:eastAsiaTheme="majorEastAsia"/>
        </w:rPr>
        <w:t xml:space="preserve">from 2016 to 2019, peaking at 136.09% in 2018. </w:t>
      </w:r>
      <w:r w:rsidR="00051083" w:rsidRPr="002D3ADB">
        <w:rPr>
          <w:rFonts w:eastAsiaTheme="majorEastAsia"/>
        </w:rPr>
        <w:t xml:space="preserve">This means that </w:t>
      </w:r>
      <w:r w:rsidR="00D93D6B" w:rsidRPr="002D3ADB">
        <w:rPr>
          <w:rFonts w:eastAsiaTheme="majorEastAsia"/>
        </w:rPr>
        <w:t>AstraZeneca uses debt more than its equity in order to finance its operation.</w:t>
      </w:r>
      <w:r w:rsidR="00A52280" w:rsidRPr="002D3ADB">
        <w:rPr>
          <w:rFonts w:eastAsiaTheme="majorEastAsia"/>
        </w:rPr>
        <w:t xml:space="preserve"> </w:t>
      </w:r>
      <w:r w:rsidR="00444E50" w:rsidRPr="002D3ADB">
        <w:rPr>
          <w:rFonts w:eastAsiaTheme="majorEastAsia"/>
        </w:rPr>
        <w:t xml:space="preserve">On the other hand, </w:t>
      </w:r>
      <w:r w:rsidR="005816A4" w:rsidRPr="002D3ADB">
        <w:rPr>
          <w:rFonts w:eastAsiaTheme="majorEastAsia"/>
        </w:rPr>
        <w:t>debt-to-</w:t>
      </w:r>
      <w:r w:rsidR="00E307A2" w:rsidRPr="002D3ADB">
        <w:rPr>
          <w:rFonts w:eastAsiaTheme="majorEastAsia"/>
        </w:rPr>
        <w:t>capital</w:t>
      </w:r>
      <w:r w:rsidR="005816A4" w:rsidRPr="002D3ADB">
        <w:rPr>
          <w:rFonts w:eastAsiaTheme="majorEastAsia"/>
        </w:rPr>
        <w:t xml:space="preserve"> ratio </w:t>
      </w:r>
      <w:r w:rsidR="000A7C70" w:rsidRPr="002D3ADB">
        <w:rPr>
          <w:rFonts w:eastAsiaTheme="majorEastAsia"/>
        </w:rPr>
        <w:t xml:space="preserve">measures </w:t>
      </w:r>
      <w:r w:rsidR="00CE5F0E" w:rsidRPr="002D3ADB">
        <w:rPr>
          <w:rFonts w:eastAsiaTheme="majorEastAsia"/>
        </w:rPr>
        <w:t xml:space="preserve">the proportion of </w:t>
      </w:r>
      <w:r w:rsidR="00D531B7" w:rsidRPr="002D3ADB">
        <w:rPr>
          <w:rFonts w:eastAsiaTheme="majorEastAsia"/>
        </w:rPr>
        <w:t>debt in the firm’s capital structure</w:t>
      </w:r>
      <w:r w:rsidR="00FB64C0" w:rsidRPr="002D3ADB">
        <w:rPr>
          <w:rFonts w:eastAsiaTheme="majorEastAsia"/>
        </w:rPr>
        <w:t xml:space="preserve"> </w:t>
      </w:r>
      <w:r w:rsidR="00BE2A15" w:rsidRPr="002D3ADB">
        <w:rPr>
          <w:rFonts w:eastAsiaTheme="majorEastAsia"/>
        </w:rPr>
        <w:t>(Hayes, 2020).</w:t>
      </w:r>
      <w:r w:rsidR="00765E4C" w:rsidRPr="002D3ADB">
        <w:rPr>
          <w:rFonts w:eastAsiaTheme="majorEastAsia"/>
        </w:rPr>
        <w:t xml:space="preserve"> </w:t>
      </w:r>
      <w:r w:rsidR="008C4D3C" w:rsidRPr="002D3ADB">
        <w:rPr>
          <w:rFonts w:eastAsiaTheme="majorEastAsia"/>
        </w:rPr>
        <w:t xml:space="preserve">In case of AstraZeneca, there was an increasing trend in the debt-to-capital ratio from 44.85% in 2015 to 57.64% in 2018. However, there was a slight decrease </w:t>
      </w:r>
      <w:r w:rsidR="000610D3" w:rsidRPr="002D3ADB">
        <w:rPr>
          <w:rFonts w:eastAsiaTheme="majorEastAsia"/>
        </w:rPr>
        <w:t xml:space="preserve">in debt-to-capital ratio the following year at 54.60%. This means that </w:t>
      </w:r>
      <w:r w:rsidR="00D178AD" w:rsidRPr="002D3ADB">
        <w:rPr>
          <w:rFonts w:eastAsiaTheme="majorEastAsia"/>
        </w:rPr>
        <w:t xml:space="preserve">the capital structure of </w:t>
      </w:r>
      <w:r w:rsidR="00E262C0" w:rsidRPr="002D3ADB">
        <w:rPr>
          <w:rFonts w:eastAsiaTheme="majorEastAsia"/>
        </w:rPr>
        <w:t xml:space="preserve">AstraZeneca is </w:t>
      </w:r>
      <w:r w:rsidR="00DD3BFB" w:rsidRPr="002D3ADB">
        <w:rPr>
          <w:rFonts w:eastAsiaTheme="majorEastAsia"/>
        </w:rPr>
        <w:t>composed of almost half-debt and half-capital.</w:t>
      </w:r>
      <w:r w:rsidR="000610D3" w:rsidRPr="002D3ADB">
        <w:rPr>
          <w:rFonts w:eastAsiaTheme="majorEastAsia"/>
        </w:rPr>
        <w:t xml:space="preserve"> </w:t>
      </w:r>
      <w:r w:rsidR="008109DC" w:rsidRPr="002D3ADB">
        <w:rPr>
          <w:rFonts w:eastAsiaTheme="majorEastAsia"/>
        </w:rPr>
        <w:t>According to Kurt (2019), 5</w:t>
      </w:r>
      <w:r w:rsidR="00C80FDC" w:rsidRPr="002D3ADB">
        <w:rPr>
          <w:rFonts w:eastAsiaTheme="majorEastAsia"/>
        </w:rPr>
        <w:t xml:space="preserve">0% or 0.5 ratio </w:t>
      </w:r>
      <w:r w:rsidR="00974243" w:rsidRPr="002D3ADB">
        <w:rPr>
          <w:rFonts w:eastAsiaTheme="majorEastAsia"/>
        </w:rPr>
        <w:t xml:space="preserve">or less </w:t>
      </w:r>
      <w:r w:rsidR="00AE7894" w:rsidRPr="002D3ADB">
        <w:rPr>
          <w:rFonts w:eastAsiaTheme="majorEastAsia"/>
        </w:rPr>
        <w:t xml:space="preserve">is ideal for most company but some investors accept higher ratio hence 0.7 debt-to-capital ratio is more common especially in </w:t>
      </w:r>
      <w:r w:rsidR="00C63C4D" w:rsidRPr="002D3ADB">
        <w:rPr>
          <w:rFonts w:eastAsiaTheme="majorEastAsia"/>
        </w:rPr>
        <w:t>manufacturing industries.</w:t>
      </w:r>
      <w:r w:rsidR="000438DF" w:rsidRPr="002D3ADB">
        <w:rPr>
          <w:rFonts w:eastAsiaTheme="majorEastAsia"/>
        </w:rPr>
        <w:br w:type="page"/>
      </w:r>
    </w:p>
    <w:p w14:paraId="728FF57F" w14:textId="77777777" w:rsidR="000438DF" w:rsidRPr="002D3ADB" w:rsidRDefault="000438DF" w:rsidP="002D3ADB">
      <w:pPr>
        <w:pStyle w:val="Heading3"/>
        <w:spacing w:line="360" w:lineRule="auto"/>
        <w:jc w:val="both"/>
        <w:rPr>
          <w:rFonts w:ascii="Times New Roman" w:hAnsi="Times New Roman" w:cs="Times New Roman"/>
        </w:rPr>
        <w:sectPr w:rsidR="000438DF" w:rsidRPr="002D3ADB" w:rsidSect="0093711A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02B49B44" w14:textId="69FB12CC" w:rsidR="0023649E" w:rsidRPr="002D3ADB" w:rsidRDefault="0023649E" w:rsidP="002D3ADB">
      <w:pPr>
        <w:pStyle w:val="Caption"/>
        <w:keepNext/>
        <w:spacing w:line="360" w:lineRule="auto"/>
        <w:jc w:val="both"/>
        <w:rPr>
          <w:sz w:val="24"/>
          <w:szCs w:val="24"/>
        </w:rPr>
      </w:pPr>
    </w:p>
    <w:p w14:paraId="600D024F" w14:textId="77777777" w:rsidR="00A41413" w:rsidRPr="002D3ADB" w:rsidRDefault="00A41413" w:rsidP="002D3ADB">
      <w:pPr>
        <w:spacing w:line="360" w:lineRule="auto"/>
      </w:pPr>
    </w:p>
    <w:tbl>
      <w:tblPr>
        <w:tblpPr w:leftFromText="180" w:rightFromText="180" w:vertAnchor="page" w:horzAnchor="margin" w:tblpXSpec="center" w:tblpY="2352"/>
        <w:tblW w:w="15021" w:type="dxa"/>
        <w:tblLayout w:type="fixed"/>
        <w:tblLook w:val="04A0" w:firstRow="1" w:lastRow="0" w:firstColumn="1" w:lastColumn="0" w:noHBand="0" w:noVBand="1"/>
      </w:tblPr>
      <w:tblGrid>
        <w:gridCol w:w="2405"/>
        <w:gridCol w:w="2552"/>
        <w:gridCol w:w="2551"/>
        <w:gridCol w:w="2552"/>
        <w:gridCol w:w="2551"/>
        <w:gridCol w:w="2410"/>
      </w:tblGrid>
      <w:tr w:rsidR="0023649E" w:rsidRPr="002D3ADB" w14:paraId="4FC41143" w14:textId="77777777" w:rsidTr="0023649E">
        <w:trPr>
          <w:trHeight w:hRule="exact" w:val="1434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D966"/>
            <w:hideMark/>
          </w:tcPr>
          <w:p w14:paraId="61ACD4B5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LEVERAGE/</w:t>
            </w:r>
          </w:p>
          <w:p w14:paraId="3E690011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GEARING RATIOS</w:t>
            </w:r>
          </w:p>
        </w:tc>
        <w:tc>
          <w:tcPr>
            <w:tcW w:w="255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hideMark/>
          </w:tcPr>
          <w:p w14:paraId="5D345D9F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2019</w:t>
            </w:r>
          </w:p>
        </w:tc>
        <w:tc>
          <w:tcPr>
            <w:tcW w:w="2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hideMark/>
          </w:tcPr>
          <w:p w14:paraId="3CF8879C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2018</w:t>
            </w:r>
          </w:p>
        </w:tc>
        <w:tc>
          <w:tcPr>
            <w:tcW w:w="255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hideMark/>
          </w:tcPr>
          <w:p w14:paraId="25774643" w14:textId="77777777" w:rsidR="0023649E" w:rsidRPr="002D3ADB" w:rsidRDefault="0023649E" w:rsidP="002D3ADB">
            <w:pPr>
              <w:tabs>
                <w:tab w:val="left" w:pos="10815"/>
              </w:tabs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2017</w:t>
            </w:r>
          </w:p>
        </w:tc>
        <w:tc>
          <w:tcPr>
            <w:tcW w:w="2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hideMark/>
          </w:tcPr>
          <w:p w14:paraId="6BCF42F7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2016</w:t>
            </w:r>
          </w:p>
        </w:tc>
        <w:tc>
          <w:tcPr>
            <w:tcW w:w="241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hideMark/>
          </w:tcPr>
          <w:p w14:paraId="0948FAA4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2015</w:t>
            </w:r>
          </w:p>
        </w:tc>
      </w:tr>
      <w:tr w:rsidR="0023649E" w:rsidRPr="002D3ADB" w14:paraId="2F690D4B" w14:textId="77777777" w:rsidTr="0023649E">
        <w:trPr>
          <w:trHeight w:hRule="exact" w:val="858"/>
        </w:trPr>
        <w:tc>
          <w:tcPr>
            <w:tcW w:w="240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FF2CC"/>
            <w:hideMark/>
          </w:tcPr>
          <w:p w14:paraId="2FD70D35" w14:textId="77777777" w:rsidR="0023649E" w:rsidRPr="002D3ADB" w:rsidRDefault="0023649E" w:rsidP="002D3ADB">
            <w:pPr>
              <w:spacing w:line="360" w:lineRule="auto"/>
              <w:ind w:right="-243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Debt-Equity Ratio: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68228A3C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120.25%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101E13CA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136.09%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6CE9E6C0" w14:textId="77777777" w:rsidR="0023649E" w:rsidRPr="002D3ADB" w:rsidRDefault="0023649E" w:rsidP="002D3ADB">
            <w:pPr>
              <w:tabs>
                <w:tab w:val="left" w:pos="10815"/>
              </w:tabs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107.00%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644640B2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100.83%</w:t>
            </w:r>
          </w:p>
        </w:tc>
        <w:tc>
          <w:tcPr>
            <w:tcW w:w="24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762CCAB2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81.33%</w:t>
            </w:r>
          </w:p>
        </w:tc>
      </w:tr>
      <w:tr w:rsidR="0023649E" w:rsidRPr="002D3ADB" w14:paraId="09C6F169" w14:textId="77777777" w:rsidTr="0023649E">
        <w:trPr>
          <w:trHeight w:hRule="exact" w:val="977"/>
        </w:trPr>
        <w:tc>
          <w:tcPr>
            <w:tcW w:w="240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FF2CC"/>
            <w:hideMark/>
          </w:tcPr>
          <w:p w14:paraId="6C2FCF2F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color w:val="000000"/>
                <w:u w:val="single"/>
              </w:rPr>
            </w:pPr>
          </w:p>
          <w:p w14:paraId="012C2F38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Total Debt</w:t>
            </w: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171C359D" w14:textId="047CBADA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($1822+$15730)/ $14596</w:t>
            </w:r>
            <w:r w:rsidR="007072B9" w:rsidRPr="002D3ADB">
              <w:rPr>
                <w:i/>
                <w:iCs/>
                <w:color w:val="000000"/>
              </w:rPr>
              <w:t>=</w:t>
            </w: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0417957" w14:textId="4018E8E1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($1754+$17359)/ $14044</w:t>
            </w:r>
            <w:r w:rsidR="007072B9" w:rsidRPr="002D3ADB">
              <w:rPr>
                <w:i/>
                <w:iCs/>
                <w:color w:val="000000"/>
              </w:rPr>
              <w:t>=</w:t>
            </w: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5AD8D183" w14:textId="77777777" w:rsidR="0023649E" w:rsidRPr="002D3ADB" w:rsidRDefault="0023649E" w:rsidP="002D3ADB">
            <w:pPr>
              <w:tabs>
                <w:tab w:val="left" w:pos="10815"/>
              </w:tabs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($2247+$15560)/</w:t>
            </w:r>
          </w:p>
          <w:p w14:paraId="4AEA7B0C" w14:textId="16AAD59C" w:rsidR="0023649E" w:rsidRPr="002D3ADB" w:rsidRDefault="0023649E" w:rsidP="002D3ADB">
            <w:pPr>
              <w:tabs>
                <w:tab w:val="left" w:pos="10815"/>
              </w:tabs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$16642</w:t>
            </w:r>
            <w:r w:rsidR="007072B9" w:rsidRPr="002D3ADB">
              <w:rPr>
                <w:i/>
                <w:iCs/>
                <w:color w:val="000000"/>
              </w:rPr>
              <w:t>=</w:t>
            </w: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207F6576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($2307+$14501)/</w:t>
            </w:r>
          </w:p>
          <w:p w14:paraId="52641B22" w14:textId="32D17B4B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$16669</w:t>
            </w:r>
            <w:r w:rsidR="007072B9" w:rsidRPr="002D3ADB">
              <w:rPr>
                <w:i/>
                <w:iCs/>
                <w:color w:val="000000"/>
              </w:rPr>
              <w:t>=</w:t>
            </w:r>
          </w:p>
        </w:tc>
        <w:tc>
          <w:tcPr>
            <w:tcW w:w="241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6571DB30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($916+$14137)/</w:t>
            </w:r>
          </w:p>
          <w:p w14:paraId="5BF2B998" w14:textId="2973B9E0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$18509</w:t>
            </w:r>
            <w:r w:rsidR="007072B9" w:rsidRPr="002D3ADB">
              <w:rPr>
                <w:i/>
                <w:iCs/>
                <w:color w:val="000000"/>
              </w:rPr>
              <w:t>=</w:t>
            </w:r>
          </w:p>
        </w:tc>
      </w:tr>
      <w:tr w:rsidR="0023649E" w:rsidRPr="002D3ADB" w14:paraId="7727EAB7" w14:textId="77777777" w:rsidTr="0023649E">
        <w:trPr>
          <w:trHeight w:hRule="exact" w:val="858"/>
        </w:trPr>
        <w:tc>
          <w:tcPr>
            <w:tcW w:w="24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3027FFEB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Total Equity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991ABBF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1.202521239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4767BE7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1.360937055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07C2BA1" w14:textId="77777777" w:rsidR="0023649E" w:rsidRPr="002D3ADB" w:rsidRDefault="0023649E" w:rsidP="002D3ADB">
            <w:pPr>
              <w:tabs>
                <w:tab w:val="left" w:pos="10815"/>
              </w:tabs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1.070003605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6A289BD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1.008338833</w:t>
            </w:r>
          </w:p>
        </w:tc>
        <w:tc>
          <w:tcPr>
            <w:tcW w:w="24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48B1816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0.813280026</w:t>
            </w:r>
          </w:p>
        </w:tc>
      </w:tr>
      <w:tr w:rsidR="0023649E" w:rsidRPr="002D3ADB" w14:paraId="747ECF8A" w14:textId="77777777" w:rsidTr="0023649E">
        <w:trPr>
          <w:trHeight w:hRule="exact" w:val="858"/>
        </w:trPr>
        <w:tc>
          <w:tcPr>
            <w:tcW w:w="240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FF2CC"/>
            <w:hideMark/>
          </w:tcPr>
          <w:p w14:paraId="51646FCE" w14:textId="77777777" w:rsidR="0023649E" w:rsidRPr="002D3ADB" w:rsidRDefault="0023649E" w:rsidP="002D3ADB">
            <w:pPr>
              <w:spacing w:line="360" w:lineRule="auto"/>
              <w:ind w:right="-243"/>
              <w:jc w:val="both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Debt-to-Capital Ratio: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15221F75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54.60%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591D9B60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57.64%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5FDEA3D7" w14:textId="77777777" w:rsidR="0023649E" w:rsidRPr="002D3ADB" w:rsidRDefault="0023649E" w:rsidP="002D3ADB">
            <w:pPr>
              <w:tabs>
                <w:tab w:val="left" w:pos="10815"/>
              </w:tabs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51.69%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7B405382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50.21%</w:t>
            </w:r>
          </w:p>
        </w:tc>
        <w:tc>
          <w:tcPr>
            <w:tcW w:w="24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6DD08B59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44.85%</w:t>
            </w:r>
          </w:p>
        </w:tc>
      </w:tr>
      <w:tr w:rsidR="0023649E" w:rsidRPr="002D3ADB" w14:paraId="02B23F50" w14:textId="77777777" w:rsidTr="0023649E">
        <w:trPr>
          <w:trHeight w:hRule="exact" w:val="1387"/>
        </w:trPr>
        <w:tc>
          <w:tcPr>
            <w:tcW w:w="240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FF2CC"/>
            <w:hideMark/>
          </w:tcPr>
          <w:p w14:paraId="3FECC4DD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color w:val="000000"/>
                <w:u w:val="single"/>
              </w:rPr>
            </w:pPr>
          </w:p>
          <w:p w14:paraId="79492321" w14:textId="77777777" w:rsidR="0023649E" w:rsidRPr="002D3ADB" w:rsidRDefault="0023649E" w:rsidP="002D3ADB">
            <w:pPr>
              <w:spacing w:line="360" w:lineRule="auto"/>
              <w:ind w:right="-243"/>
              <w:rPr>
                <w:color w:val="000000"/>
                <w:u w:val="single"/>
              </w:rPr>
            </w:pPr>
          </w:p>
          <w:p w14:paraId="05D5A8D2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color w:val="000000"/>
                <w:u w:val="single"/>
              </w:rPr>
            </w:pPr>
            <w:r w:rsidRPr="002D3ADB">
              <w:rPr>
                <w:color w:val="000000"/>
                <w:u w:val="single"/>
              </w:rPr>
              <w:t>Total Debt</w:t>
            </w: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70BA2F44" w14:textId="57AE80BE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($1822+$15730)/ ($14596+($1822+ $15730))</w:t>
            </w:r>
            <w:r w:rsidR="007072B9" w:rsidRPr="002D3ADB">
              <w:rPr>
                <w:i/>
                <w:iCs/>
                <w:color w:val="000000"/>
              </w:rPr>
              <w:t>=</w:t>
            </w: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1B43FA3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($1754+$17359)/</w:t>
            </w:r>
          </w:p>
          <w:p w14:paraId="6AFA1479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($14044+($1754+</w:t>
            </w:r>
          </w:p>
          <w:p w14:paraId="16F05202" w14:textId="5C8DE5F8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$17359))</w:t>
            </w:r>
            <w:r w:rsidR="007072B9" w:rsidRPr="002D3ADB">
              <w:rPr>
                <w:i/>
                <w:iCs/>
                <w:color w:val="000000"/>
              </w:rPr>
              <w:t>=</w:t>
            </w: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1C86C782" w14:textId="77777777" w:rsidR="0023649E" w:rsidRPr="002D3ADB" w:rsidRDefault="0023649E" w:rsidP="002D3ADB">
            <w:pPr>
              <w:tabs>
                <w:tab w:val="left" w:pos="10815"/>
              </w:tabs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($2247+$15560)/</w:t>
            </w:r>
          </w:p>
          <w:p w14:paraId="79A08337" w14:textId="77777777" w:rsidR="0023649E" w:rsidRPr="002D3ADB" w:rsidRDefault="0023649E" w:rsidP="002D3ADB">
            <w:pPr>
              <w:tabs>
                <w:tab w:val="left" w:pos="10815"/>
              </w:tabs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($16642+($2247+</w:t>
            </w:r>
          </w:p>
          <w:p w14:paraId="1DD6CFA4" w14:textId="4ABC38FB" w:rsidR="0023649E" w:rsidRPr="002D3ADB" w:rsidRDefault="0023649E" w:rsidP="002D3ADB">
            <w:pPr>
              <w:tabs>
                <w:tab w:val="left" w:pos="10815"/>
              </w:tabs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$15560))</w:t>
            </w:r>
            <w:r w:rsidR="007072B9" w:rsidRPr="002D3ADB">
              <w:rPr>
                <w:i/>
                <w:iCs/>
                <w:color w:val="000000"/>
              </w:rPr>
              <w:t>=</w:t>
            </w: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54E88764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($2307+$14501)/</w:t>
            </w:r>
          </w:p>
          <w:p w14:paraId="779EE5BC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($16669+($2307+</w:t>
            </w:r>
          </w:p>
          <w:p w14:paraId="25E05868" w14:textId="31E2BF83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$14501))</w:t>
            </w:r>
            <w:r w:rsidR="007072B9" w:rsidRPr="002D3ADB">
              <w:rPr>
                <w:i/>
                <w:iCs/>
                <w:color w:val="000000"/>
              </w:rPr>
              <w:t>=</w:t>
            </w:r>
          </w:p>
        </w:tc>
        <w:tc>
          <w:tcPr>
            <w:tcW w:w="241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2AAC520B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($916+$14137)/</w:t>
            </w:r>
          </w:p>
          <w:p w14:paraId="2FD435AE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($18509+($916+</w:t>
            </w:r>
          </w:p>
          <w:p w14:paraId="7B1C2B33" w14:textId="62D9E59F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$14137))</w:t>
            </w:r>
            <w:r w:rsidR="007072B9" w:rsidRPr="002D3ADB">
              <w:rPr>
                <w:i/>
                <w:iCs/>
                <w:color w:val="000000"/>
              </w:rPr>
              <w:t>=</w:t>
            </w:r>
          </w:p>
        </w:tc>
      </w:tr>
      <w:tr w:rsidR="0023649E" w:rsidRPr="002D3ADB" w14:paraId="274CA250" w14:textId="77777777" w:rsidTr="00CB2706">
        <w:trPr>
          <w:trHeight w:hRule="exact" w:val="1426"/>
        </w:trPr>
        <w:tc>
          <w:tcPr>
            <w:tcW w:w="24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hideMark/>
          </w:tcPr>
          <w:p w14:paraId="0D88BE94" w14:textId="77777777" w:rsidR="001F1D1C" w:rsidRPr="002D3ADB" w:rsidRDefault="0023649E" w:rsidP="002D3ADB">
            <w:pPr>
              <w:spacing w:line="360" w:lineRule="auto"/>
              <w:ind w:right="-243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 xml:space="preserve">Total Equity </w:t>
            </w:r>
          </w:p>
          <w:p w14:paraId="0B33963D" w14:textId="608C9DA5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+</w:t>
            </w:r>
          </w:p>
          <w:p w14:paraId="55176226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Total Debt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D1D4148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0.545974866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65E50E1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0.576439364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B51ACF7" w14:textId="77777777" w:rsidR="0023649E" w:rsidRPr="002D3ADB" w:rsidRDefault="0023649E" w:rsidP="002D3ADB">
            <w:pPr>
              <w:tabs>
                <w:tab w:val="left" w:pos="10815"/>
              </w:tabs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0.516909054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76568C8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0.502076052</w:t>
            </w:r>
          </w:p>
        </w:tc>
        <w:tc>
          <w:tcPr>
            <w:tcW w:w="24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8718D76" w14:textId="77777777" w:rsidR="0023649E" w:rsidRPr="002D3ADB" w:rsidRDefault="0023649E" w:rsidP="002D3ADB">
            <w:pPr>
              <w:spacing w:line="360" w:lineRule="auto"/>
              <w:ind w:right="-243"/>
              <w:jc w:val="center"/>
              <w:rPr>
                <w:i/>
                <w:iCs/>
                <w:color w:val="000000"/>
              </w:rPr>
            </w:pPr>
            <w:r w:rsidRPr="002D3ADB">
              <w:rPr>
                <w:i/>
                <w:iCs/>
                <w:color w:val="000000"/>
              </w:rPr>
              <w:t>0.448513199</w:t>
            </w:r>
          </w:p>
        </w:tc>
      </w:tr>
    </w:tbl>
    <w:p w14:paraId="3C50E64D" w14:textId="32891658" w:rsidR="000438DF" w:rsidRPr="002D3ADB" w:rsidRDefault="007B394E" w:rsidP="002D3ADB">
      <w:pPr>
        <w:pStyle w:val="Caption"/>
        <w:keepNext/>
        <w:spacing w:line="360" w:lineRule="auto"/>
        <w:jc w:val="center"/>
        <w:rPr>
          <w:sz w:val="24"/>
          <w:szCs w:val="24"/>
        </w:rPr>
        <w:sectPr w:rsidR="000438DF" w:rsidRPr="002D3ADB" w:rsidSect="0093711A">
          <w:pgSz w:w="15840" w:h="12240" w:orient="landscape"/>
          <w:pgMar w:top="1440" w:right="1440" w:bottom="1440" w:left="1440" w:header="708" w:footer="708" w:gutter="0"/>
          <w:cols w:space="708"/>
          <w:docGrid w:linePitch="360"/>
        </w:sectPr>
      </w:pPr>
      <w:bookmarkStart w:id="26" w:name="_Toc61893771"/>
      <w:r w:rsidRPr="002D3ADB">
        <w:rPr>
          <w:sz w:val="24"/>
          <w:szCs w:val="24"/>
        </w:rPr>
        <w:t xml:space="preserve">Table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Table \* ARABIC </w:instrText>
      </w:r>
      <w:r w:rsidRPr="002D3ADB">
        <w:rPr>
          <w:sz w:val="24"/>
          <w:szCs w:val="24"/>
        </w:rPr>
        <w:fldChar w:fldCharType="separate"/>
      </w:r>
      <w:r w:rsidR="00D7286B">
        <w:rPr>
          <w:noProof/>
          <w:sz w:val="24"/>
          <w:szCs w:val="24"/>
        </w:rPr>
        <w:t>5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 xml:space="preserve">: </w:t>
      </w:r>
      <w:r w:rsidR="00E10A05" w:rsidRPr="002D3ADB">
        <w:rPr>
          <w:sz w:val="24"/>
          <w:szCs w:val="24"/>
        </w:rPr>
        <w:t>Leverage/</w:t>
      </w:r>
      <w:r w:rsidRPr="002D3ADB">
        <w:rPr>
          <w:sz w:val="24"/>
          <w:szCs w:val="24"/>
        </w:rPr>
        <w:t>Gearing Ratios of AstraZeneca PLC for 2015-201</w:t>
      </w:r>
      <w:bookmarkEnd w:id="26"/>
    </w:p>
    <w:p w14:paraId="052739FA" w14:textId="503B3524" w:rsidR="00B417B2" w:rsidRPr="002D3ADB" w:rsidRDefault="00AF6425" w:rsidP="002D3ADB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7" w:name="_Toc61893745"/>
      <w:r w:rsidRPr="002D3ADB">
        <w:rPr>
          <w:rFonts w:ascii="Times New Roman" w:hAnsi="Times New Roman" w:cs="Times New Roman"/>
          <w:sz w:val="24"/>
          <w:szCs w:val="24"/>
        </w:rPr>
        <w:lastRenderedPageBreak/>
        <w:t>Part C</w:t>
      </w:r>
      <w:r w:rsidR="00B417B2" w:rsidRPr="002D3ADB">
        <w:rPr>
          <w:rFonts w:ascii="Times New Roman" w:hAnsi="Times New Roman" w:cs="Times New Roman"/>
          <w:sz w:val="24"/>
          <w:szCs w:val="24"/>
        </w:rPr>
        <w:t xml:space="preserve"> – Investment Appraisal</w:t>
      </w:r>
      <w:bookmarkEnd w:id="27"/>
    </w:p>
    <w:p w14:paraId="3A559BBB" w14:textId="01441B72" w:rsidR="003169E1" w:rsidRPr="002D3ADB" w:rsidRDefault="003169E1" w:rsidP="002D3ADB">
      <w:pPr>
        <w:spacing w:line="360" w:lineRule="auto"/>
        <w:rPr>
          <w:lang w:eastAsia="en-US"/>
        </w:rPr>
      </w:pPr>
    </w:p>
    <w:p w14:paraId="2CDD94F8" w14:textId="123A7CFD" w:rsidR="003169E1" w:rsidRPr="002D3ADB" w:rsidRDefault="003169E1" w:rsidP="002D3ADB">
      <w:pPr>
        <w:spacing w:line="360" w:lineRule="auto"/>
        <w:jc w:val="both"/>
        <w:rPr>
          <w:lang w:eastAsia="en-US"/>
        </w:rPr>
      </w:pPr>
      <w:r w:rsidRPr="002D3ADB">
        <w:rPr>
          <w:lang w:eastAsia="en-US"/>
        </w:rPr>
        <w:t xml:space="preserve">In this part, </w:t>
      </w:r>
      <w:r w:rsidR="002E00A7" w:rsidRPr="002D3ADB">
        <w:rPr>
          <w:lang w:eastAsia="en-US"/>
        </w:rPr>
        <w:t xml:space="preserve">it would be assumed that </w:t>
      </w:r>
      <w:r w:rsidR="00E500FF" w:rsidRPr="002D3ADB">
        <w:rPr>
          <w:lang w:eastAsia="en-US"/>
        </w:rPr>
        <w:t>AstraZeneca</w:t>
      </w:r>
      <w:r w:rsidR="003F55DF" w:rsidRPr="002D3ADB">
        <w:rPr>
          <w:lang w:eastAsia="en-US"/>
        </w:rPr>
        <w:t xml:space="preserve"> PLC</w:t>
      </w:r>
      <w:r w:rsidR="00E500FF" w:rsidRPr="002D3ADB">
        <w:rPr>
          <w:lang w:eastAsia="en-US"/>
        </w:rPr>
        <w:t xml:space="preserve"> </w:t>
      </w:r>
      <w:r w:rsidR="005322C7" w:rsidRPr="002D3ADB">
        <w:rPr>
          <w:lang w:eastAsia="en-US"/>
        </w:rPr>
        <w:t>is looking into two investment opportunities</w:t>
      </w:r>
      <w:r w:rsidR="00AE424D" w:rsidRPr="002D3ADB">
        <w:rPr>
          <w:lang w:eastAsia="en-US"/>
        </w:rPr>
        <w:t xml:space="preserve">, Project A &amp; Project B. </w:t>
      </w:r>
      <w:r w:rsidR="00DA3A06" w:rsidRPr="002D3ADB">
        <w:rPr>
          <w:lang w:eastAsia="en-US"/>
        </w:rPr>
        <w:t xml:space="preserve">It is necessary to </w:t>
      </w:r>
      <w:r w:rsidR="00AF4BFC" w:rsidRPr="002D3ADB">
        <w:rPr>
          <w:lang w:eastAsia="en-US"/>
        </w:rPr>
        <w:t xml:space="preserve">do investment appraisal in order to assess the cost and benefits </w:t>
      </w:r>
      <w:r w:rsidR="00CD4F39" w:rsidRPr="002D3ADB">
        <w:rPr>
          <w:lang w:eastAsia="en-US"/>
        </w:rPr>
        <w:t xml:space="preserve">which </w:t>
      </w:r>
      <w:r w:rsidR="00AF4BFC" w:rsidRPr="002D3ADB">
        <w:rPr>
          <w:lang w:eastAsia="en-US"/>
        </w:rPr>
        <w:t xml:space="preserve">are </w:t>
      </w:r>
      <w:r w:rsidR="00AB2590" w:rsidRPr="002D3ADB">
        <w:rPr>
          <w:lang w:eastAsia="en-US"/>
        </w:rPr>
        <w:t>attached in</w:t>
      </w:r>
      <w:r w:rsidR="00AF4BFC" w:rsidRPr="002D3ADB">
        <w:rPr>
          <w:lang w:eastAsia="en-US"/>
        </w:rPr>
        <w:t xml:space="preserve"> a </w:t>
      </w:r>
      <w:r w:rsidR="00CD4F39" w:rsidRPr="002D3ADB">
        <w:rPr>
          <w:lang w:eastAsia="en-US"/>
        </w:rPr>
        <w:t>certain project</w:t>
      </w:r>
      <w:r w:rsidR="00AF4BFC" w:rsidRPr="002D3ADB">
        <w:rPr>
          <w:lang w:eastAsia="en-US"/>
        </w:rPr>
        <w:t xml:space="preserve">. </w:t>
      </w:r>
      <w:r w:rsidR="00AB2590" w:rsidRPr="002D3ADB">
        <w:rPr>
          <w:lang w:eastAsia="en-US"/>
        </w:rPr>
        <w:t xml:space="preserve">Three of </w:t>
      </w:r>
      <w:r w:rsidR="00B773FB" w:rsidRPr="002D3ADB">
        <w:rPr>
          <w:lang w:eastAsia="en-US"/>
        </w:rPr>
        <w:t>the most commonly used investment appraisal methods are Payback Period (PBP), Accounting Rate of Return (ARR) and Net Present Value (NPV)</w:t>
      </w:r>
      <w:r w:rsidR="0026452D" w:rsidRPr="002D3ADB">
        <w:rPr>
          <w:lang w:eastAsia="en-US"/>
        </w:rPr>
        <w:t xml:space="preserve">, and they will be used in order to </w:t>
      </w:r>
      <w:r w:rsidR="00FF5826" w:rsidRPr="002D3ADB">
        <w:rPr>
          <w:lang w:eastAsia="en-US"/>
        </w:rPr>
        <w:t>assess the two project</w:t>
      </w:r>
      <w:r w:rsidR="003519A5" w:rsidRPr="002D3ADB">
        <w:rPr>
          <w:lang w:eastAsia="en-US"/>
        </w:rPr>
        <w:t xml:space="preserve">s </w:t>
      </w:r>
      <w:r w:rsidR="00B6419B" w:rsidRPr="002D3ADB">
        <w:rPr>
          <w:lang w:eastAsia="en-US"/>
        </w:rPr>
        <w:t>AstraZeneca PLC is looking into.</w:t>
      </w:r>
      <w:r w:rsidR="00A826D2" w:rsidRPr="002D3ADB">
        <w:rPr>
          <w:lang w:eastAsia="en-US"/>
        </w:rPr>
        <w:t xml:space="preserve"> Presented in Table 6 </w:t>
      </w:r>
      <w:r w:rsidR="00421A59" w:rsidRPr="002D3ADB">
        <w:rPr>
          <w:lang w:eastAsia="en-US"/>
        </w:rPr>
        <w:t xml:space="preserve">are the projected cash flows of Projects A and B. </w:t>
      </w:r>
    </w:p>
    <w:p w14:paraId="1AA35A1E" w14:textId="0B5C7FB2" w:rsidR="00A96BEE" w:rsidRPr="002D3ADB" w:rsidRDefault="00A96BEE" w:rsidP="002D3ADB">
      <w:pPr>
        <w:spacing w:line="360" w:lineRule="auto"/>
        <w:jc w:val="both"/>
        <w:rPr>
          <w:lang w:eastAsia="en-US"/>
        </w:rPr>
      </w:pPr>
    </w:p>
    <w:p w14:paraId="769B9798" w14:textId="24BEB7CD" w:rsidR="00A96BEE" w:rsidRPr="002D3ADB" w:rsidRDefault="00BA5D59" w:rsidP="002D3ADB">
      <w:pPr>
        <w:spacing w:line="360" w:lineRule="auto"/>
        <w:jc w:val="center"/>
        <w:rPr>
          <w:lang w:eastAsia="en-US"/>
        </w:rPr>
      </w:pPr>
      <w:r w:rsidRPr="002D3ADB">
        <w:rPr>
          <w:noProof/>
        </w:rPr>
        <w:drawing>
          <wp:inline distT="0" distB="0" distL="0" distR="0" wp14:anchorId="439DF15D" wp14:editId="6E751D2D">
            <wp:extent cx="6031834" cy="1828800"/>
            <wp:effectExtent l="0" t="0" r="127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063731" cy="18384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3D074" w14:textId="7E317955" w:rsidR="00F75B7B" w:rsidRPr="002D3ADB" w:rsidRDefault="00241D32" w:rsidP="002D3ADB">
      <w:pPr>
        <w:pStyle w:val="Caption"/>
        <w:spacing w:line="360" w:lineRule="auto"/>
        <w:jc w:val="center"/>
        <w:rPr>
          <w:sz w:val="24"/>
          <w:szCs w:val="24"/>
          <w:lang w:eastAsia="en-US"/>
        </w:rPr>
      </w:pPr>
      <w:bookmarkStart w:id="28" w:name="_Toc61893772"/>
      <w:r w:rsidRPr="002D3ADB">
        <w:rPr>
          <w:sz w:val="24"/>
          <w:szCs w:val="24"/>
        </w:rPr>
        <w:t xml:space="preserve">Table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Table \* ARABIC </w:instrText>
      </w:r>
      <w:r w:rsidRPr="002D3ADB">
        <w:rPr>
          <w:sz w:val="24"/>
          <w:szCs w:val="24"/>
        </w:rPr>
        <w:fldChar w:fldCharType="separate"/>
      </w:r>
      <w:r w:rsidR="00D7286B">
        <w:rPr>
          <w:noProof/>
          <w:sz w:val="24"/>
          <w:szCs w:val="24"/>
        </w:rPr>
        <w:t>6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>: Cash Outflow and Inflow of Project A and B</w:t>
      </w:r>
      <w:bookmarkEnd w:id="28"/>
    </w:p>
    <w:p w14:paraId="497850DA" w14:textId="77777777" w:rsidR="005E67D7" w:rsidRPr="002D3ADB" w:rsidRDefault="005E67D7" w:rsidP="002D3ADB">
      <w:pPr>
        <w:spacing w:line="360" w:lineRule="auto"/>
        <w:rPr>
          <w:lang w:eastAsia="en-US"/>
        </w:rPr>
      </w:pPr>
    </w:p>
    <w:p w14:paraId="58EDDA2A" w14:textId="7456A364" w:rsidR="00F75B7B" w:rsidRPr="002D3ADB" w:rsidRDefault="00F75B7B" w:rsidP="002D3ADB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9" w:name="_Toc61893746"/>
      <w:r w:rsidRPr="002D3ADB">
        <w:rPr>
          <w:rFonts w:ascii="Times New Roman" w:hAnsi="Times New Roman" w:cs="Times New Roman"/>
          <w:sz w:val="24"/>
          <w:szCs w:val="24"/>
        </w:rPr>
        <w:t>Payback Period (PBP)</w:t>
      </w:r>
      <w:r w:rsidR="00747DEA" w:rsidRPr="002D3ADB">
        <w:rPr>
          <w:rFonts w:ascii="Times New Roman" w:hAnsi="Times New Roman" w:cs="Times New Roman"/>
          <w:sz w:val="24"/>
          <w:szCs w:val="24"/>
        </w:rPr>
        <w:t xml:space="preserve"> Method</w:t>
      </w:r>
      <w:bookmarkEnd w:id="29"/>
    </w:p>
    <w:p w14:paraId="09CC38F3" w14:textId="7AB17DB1" w:rsidR="002B1FA0" w:rsidRPr="002D3ADB" w:rsidRDefault="002B1FA0" w:rsidP="002D3ADB">
      <w:pPr>
        <w:spacing w:line="360" w:lineRule="auto"/>
        <w:rPr>
          <w:lang w:eastAsia="en-US"/>
        </w:rPr>
      </w:pPr>
    </w:p>
    <w:p w14:paraId="062FF115" w14:textId="490D4759" w:rsidR="002B1FA0" w:rsidRPr="002D3ADB" w:rsidRDefault="00CF4AAA" w:rsidP="002D3ADB">
      <w:pPr>
        <w:spacing w:line="360" w:lineRule="auto"/>
        <w:jc w:val="both"/>
        <w:rPr>
          <w:lang w:eastAsia="en-US"/>
        </w:rPr>
      </w:pPr>
      <w:r w:rsidRPr="002D3ADB">
        <w:rPr>
          <w:lang w:eastAsia="en-US"/>
        </w:rPr>
        <w:t xml:space="preserve">According to Kagan (2020), </w:t>
      </w:r>
      <w:r w:rsidR="009A07C6" w:rsidRPr="002D3ADB">
        <w:rPr>
          <w:lang w:eastAsia="en-US"/>
        </w:rPr>
        <w:t xml:space="preserve">payback period refers to the </w:t>
      </w:r>
      <w:r w:rsidR="00D768E4" w:rsidRPr="002D3ADB">
        <w:rPr>
          <w:lang w:eastAsia="en-US"/>
        </w:rPr>
        <w:t>length</w:t>
      </w:r>
      <w:r w:rsidR="009A07C6" w:rsidRPr="002D3ADB">
        <w:rPr>
          <w:lang w:eastAsia="en-US"/>
        </w:rPr>
        <w:t xml:space="preserve"> of time </w:t>
      </w:r>
      <w:r w:rsidR="0058376B" w:rsidRPr="002D3ADB">
        <w:rPr>
          <w:lang w:eastAsia="en-US"/>
        </w:rPr>
        <w:t xml:space="preserve">it takes to </w:t>
      </w:r>
      <w:r w:rsidR="00D768E4" w:rsidRPr="002D3ADB">
        <w:rPr>
          <w:lang w:eastAsia="en-US"/>
        </w:rPr>
        <w:t xml:space="preserve">retrieve investment cost. </w:t>
      </w:r>
      <w:r w:rsidR="00A12436" w:rsidRPr="002D3ADB">
        <w:rPr>
          <w:lang w:eastAsia="en-US"/>
        </w:rPr>
        <w:t xml:space="preserve">This means that </w:t>
      </w:r>
      <w:r w:rsidR="0026579E" w:rsidRPr="002D3ADB">
        <w:rPr>
          <w:lang w:eastAsia="en-US"/>
        </w:rPr>
        <w:t xml:space="preserve">this investment appraisal method </w:t>
      </w:r>
      <w:r w:rsidR="00A70FCD" w:rsidRPr="002D3ADB">
        <w:rPr>
          <w:lang w:eastAsia="en-US"/>
        </w:rPr>
        <w:t>focuses on the amount of time it takes to reach a break-even point</w:t>
      </w:r>
      <w:r w:rsidR="00A360C8" w:rsidRPr="002D3ADB">
        <w:rPr>
          <w:lang w:eastAsia="en-US"/>
        </w:rPr>
        <w:t>.</w:t>
      </w:r>
      <w:r w:rsidR="00A7534F" w:rsidRPr="002D3ADB">
        <w:rPr>
          <w:lang w:eastAsia="en-US"/>
        </w:rPr>
        <w:t xml:space="preserve"> </w:t>
      </w:r>
      <w:r w:rsidR="00E87F6F" w:rsidRPr="002D3ADB">
        <w:rPr>
          <w:lang w:eastAsia="en-US"/>
        </w:rPr>
        <w:t xml:space="preserve">This time-based evaluation </w:t>
      </w:r>
      <w:r w:rsidR="00AE6E38" w:rsidRPr="002D3ADB">
        <w:rPr>
          <w:lang w:eastAsia="en-US"/>
        </w:rPr>
        <w:t xml:space="preserve">is used by firms </w:t>
      </w:r>
      <w:r w:rsidR="00FF68A7" w:rsidRPr="002D3ADB">
        <w:rPr>
          <w:lang w:eastAsia="en-US"/>
        </w:rPr>
        <w:t xml:space="preserve">who </w:t>
      </w:r>
      <w:r w:rsidR="009955E0" w:rsidRPr="002D3ADB">
        <w:rPr>
          <w:lang w:eastAsia="en-US"/>
        </w:rPr>
        <w:t>focus</w:t>
      </w:r>
      <w:r w:rsidR="00F0395A" w:rsidRPr="002D3ADB">
        <w:rPr>
          <w:lang w:eastAsia="en-US"/>
        </w:rPr>
        <w:t xml:space="preserve"> on </w:t>
      </w:r>
      <w:r w:rsidR="008A20BC" w:rsidRPr="002D3ADB">
        <w:rPr>
          <w:lang w:eastAsia="en-US"/>
        </w:rPr>
        <w:t xml:space="preserve">how quick </w:t>
      </w:r>
      <w:r w:rsidR="0040051E" w:rsidRPr="002D3ADB">
        <w:rPr>
          <w:lang w:eastAsia="en-US"/>
        </w:rPr>
        <w:t xml:space="preserve">they can recoup an investment </w:t>
      </w:r>
      <w:r w:rsidR="003F6CED" w:rsidRPr="002D3ADB">
        <w:rPr>
          <w:lang w:eastAsia="en-US"/>
        </w:rPr>
        <w:t>as soon as they can</w:t>
      </w:r>
      <w:r w:rsidR="00476171" w:rsidRPr="002D3ADB">
        <w:rPr>
          <w:lang w:eastAsia="en-US"/>
        </w:rPr>
        <w:t xml:space="preserve">. </w:t>
      </w:r>
      <w:r w:rsidR="009955E0" w:rsidRPr="002D3ADB">
        <w:rPr>
          <w:lang w:eastAsia="en-US"/>
        </w:rPr>
        <w:t xml:space="preserve"> </w:t>
      </w:r>
    </w:p>
    <w:p w14:paraId="144EBE08" w14:textId="1563B2C8" w:rsidR="00C97568" w:rsidRPr="002D3ADB" w:rsidRDefault="00C97568" w:rsidP="002D3ADB">
      <w:pPr>
        <w:spacing w:line="360" w:lineRule="auto"/>
        <w:rPr>
          <w:rFonts w:eastAsiaTheme="majorEastAsia"/>
          <w:color w:val="1F3763" w:themeColor="accent1" w:themeShade="7F"/>
          <w:lang w:eastAsia="en-US"/>
        </w:rPr>
      </w:pPr>
    </w:p>
    <w:p w14:paraId="5D767D51" w14:textId="7F276EBF" w:rsidR="00A259F2" w:rsidRPr="002D3ADB" w:rsidRDefault="00A259F2" w:rsidP="002D3ADB">
      <w:pPr>
        <w:pStyle w:val="Heading3"/>
        <w:spacing w:line="360" w:lineRule="auto"/>
        <w:rPr>
          <w:rFonts w:ascii="Times New Roman" w:hAnsi="Times New Roman" w:cs="Times New Roman"/>
        </w:rPr>
      </w:pPr>
      <w:bookmarkStart w:id="30" w:name="_Toc61893747"/>
      <w:r w:rsidRPr="002D3ADB">
        <w:rPr>
          <w:rFonts w:ascii="Times New Roman" w:hAnsi="Times New Roman" w:cs="Times New Roman"/>
        </w:rPr>
        <w:t xml:space="preserve">Advantages </w:t>
      </w:r>
      <w:r w:rsidR="00930809" w:rsidRPr="002D3ADB">
        <w:rPr>
          <w:rFonts w:ascii="Times New Roman" w:hAnsi="Times New Roman" w:cs="Times New Roman"/>
        </w:rPr>
        <w:t xml:space="preserve">and Disadvantages </w:t>
      </w:r>
      <w:r w:rsidRPr="002D3ADB">
        <w:rPr>
          <w:rFonts w:ascii="Times New Roman" w:hAnsi="Times New Roman" w:cs="Times New Roman"/>
        </w:rPr>
        <w:t>of Payback Period (PBP) Method</w:t>
      </w:r>
      <w:bookmarkEnd w:id="30"/>
    </w:p>
    <w:p w14:paraId="209F4858" w14:textId="77777777" w:rsidR="00A259F2" w:rsidRPr="002D3ADB" w:rsidRDefault="00A259F2" w:rsidP="002D3ADB">
      <w:pPr>
        <w:spacing w:line="360" w:lineRule="auto"/>
      </w:pPr>
    </w:p>
    <w:p w14:paraId="52EA9984" w14:textId="2D450F4C" w:rsidR="006B442C" w:rsidRPr="002D3ADB" w:rsidRDefault="0033364B" w:rsidP="002D3ADB">
      <w:pPr>
        <w:spacing w:line="360" w:lineRule="auto"/>
        <w:jc w:val="both"/>
      </w:pPr>
      <w:r w:rsidRPr="002D3ADB">
        <w:t xml:space="preserve">Payback Period (PBP) method is </w:t>
      </w:r>
      <w:r w:rsidR="00871359" w:rsidRPr="002D3ADB">
        <w:t>one of the most used method in appraising potential investment undertakings because of its uncomplicatedness. It is easy to calculate</w:t>
      </w:r>
      <w:r w:rsidR="0028579F" w:rsidRPr="002D3ADB">
        <w:t>, which makes comparison of a large number of potential investments</w:t>
      </w:r>
      <w:r w:rsidR="00861923" w:rsidRPr="002D3ADB">
        <w:t xml:space="preserve"> </w:t>
      </w:r>
      <w:r w:rsidR="0028579F" w:rsidRPr="002D3ADB">
        <w:t>easier</w:t>
      </w:r>
      <w:r w:rsidR="00BE3058" w:rsidRPr="002D3ADB">
        <w:t xml:space="preserve"> especially those </w:t>
      </w:r>
      <w:r w:rsidR="00B303A6" w:rsidRPr="002D3ADB">
        <w:t>with consistent cash flows</w:t>
      </w:r>
      <w:r w:rsidR="005B1C61" w:rsidRPr="002D3ADB">
        <w:t xml:space="preserve">. </w:t>
      </w:r>
      <w:r w:rsidR="00FC619D" w:rsidRPr="002D3ADB">
        <w:t xml:space="preserve">However, </w:t>
      </w:r>
      <w:r w:rsidR="00245E6F" w:rsidRPr="002D3ADB">
        <w:t xml:space="preserve">there are also drawbacks in using this method. </w:t>
      </w:r>
      <w:r w:rsidR="007408A3" w:rsidRPr="002D3ADB">
        <w:t xml:space="preserve">First, it does not </w:t>
      </w:r>
      <w:r w:rsidR="00D008D4" w:rsidRPr="002D3ADB">
        <w:t xml:space="preserve">consider </w:t>
      </w:r>
      <w:r w:rsidR="00774BEA" w:rsidRPr="002D3ADB">
        <w:t>the future cash flows</w:t>
      </w:r>
      <w:r w:rsidR="003C0201" w:rsidRPr="002D3ADB">
        <w:t xml:space="preserve"> </w:t>
      </w:r>
      <w:r w:rsidR="00C84E6C" w:rsidRPr="002D3ADB">
        <w:t xml:space="preserve">as it only </w:t>
      </w:r>
      <w:r w:rsidR="000C4515" w:rsidRPr="002D3ADB">
        <w:t>examines the breakeven period.</w:t>
      </w:r>
      <w:r w:rsidR="00326CC7" w:rsidRPr="002D3ADB">
        <w:t xml:space="preserve"> It disregards </w:t>
      </w:r>
      <w:r w:rsidR="00695D84" w:rsidRPr="002D3ADB">
        <w:t>the time value of money</w:t>
      </w:r>
      <w:r w:rsidR="00CF16E1" w:rsidRPr="002D3ADB">
        <w:t xml:space="preserve"> which </w:t>
      </w:r>
      <w:r w:rsidR="003E74C4" w:rsidRPr="002D3ADB">
        <w:t xml:space="preserve">is important to consider when </w:t>
      </w:r>
      <w:r w:rsidR="00A26023" w:rsidRPr="002D3ADB">
        <w:t>making investments</w:t>
      </w:r>
      <w:r w:rsidR="00BE71F9" w:rsidRPr="002D3ADB">
        <w:t xml:space="preserve"> </w:t>
      </w:r>
      <w:r w:rsidR="00A828B8" w:rsidRPr="002D3ADB">
        <w:t>because</w:t>
      </w:r>
      <w:r w:rsidR="00BE71F9" w:rsidRPr="002D3ADB">
        <w:t xml:space="preserve"> money </w:t>
      </w:r>
      <w:r w:rsidR="00245AA6" w:rsidRPr="002D3ADB">
        <w:t>today is</w:t>
      </w:r>
      <w:r w:rsidR="00C66F4F" w:rsidRPr="002D3ADB">
        <w:t xml:space="preserve"> not worth </w:t>
      </w:r>
      <w:r w:rsidR="00245AA6" w:rsidRPr="002D3ADB">
        <w:t>the same as</w:t>
      </w:r>
      <w:r w:rsidR="00BF3C1A" w:rsidRPr="002D3ADB">
        <w:t xml:space="preserve"> </w:t>
      </w:r>
      <w:r w:rsidR="00A828B8" w:rsidRPr="002D3ADB">
        <w:t xml:space="preserve">it will be </w:t>
      </w:r>
      <w:r w:rsidR="00906875" w:rsidRPr="002D3ADB">
        <w:t xml:space="preserve">in the future years. </w:t>
      </w:r>
      <w:r w:rsidR="005563C3" w:rsidRPr="002D3ADB">
        <w:t xml:space="preserve">Second, the </w:t>
      </w:r>
      <w:r w:rsidR="00D75434" w:rsidRPr="002D3ADB">
        <w:t>length</w:t>
      </w:r>
      <w:r w:rsidR="00DF06ED" w:rsidRPr="002D3ADB">
        <w:t xml:space="preserve"> of payback does not </w:t>
      </w:r>
      <w:r w:rsidR="00D75434" w:rsidRPr="002D3ADB">
        <w:t>equate to the</w:t>
      </w:r>
      <w:r w:rsidR="00DF06ED" w:rsidRPr="002D3ADB">
        <w:t xml:space="preserve"> pro</w:t>
      </w:r>
      <w:r w:rsidR="00D75434" w:rsidRPr="002D3ADB">
        <w:t>fitability of the project. This means that the project with shorter period does not necessarily mean that it is much more profitable than the others</w:t>
      </w:r>
      <w:r w:rsidR="00E8092C" w:rsidRPr="002D3ADB">
        <w:t xml:space="preserve"> (Woodruff, 2019)</w:t>
      </w:r>
      <w:r w:rsidR="00D75434" w:rsidRPr="002D3ADB">
        <w:t xml:space="preserve">. </w:t>
      </w:r>
    </w:p>
    <w:p w14:paraId="153C586C" w14:textId="77777777" w:rsidR="00774BEA" w:rsidRPr="002D3ADB" w:rsidRDefault="00774BEA" w:rsidP="002D3ADB">
      <w:pPr>
        <w:spacing w:line="360" w:lineRule="auto"/>
        <w:jc w:val="both"/>
        <w:rPr>
          <w:rFonts w:eastAsiaTheme="majorEastAsia"/>
          <w:color w:val="1F3763" w:themeColor="accent1" w:themeShade="7F"/>
          <w:lang w:eastAsia="en-US"/>
        </w:rPr>
      </w:pPr>
    </w:p>
    <w:p w14:paraId="71AA3DF5" w14:textId="4ED31D8A" w:rsidR="0060575E" w:rsidRPr="002D3ADB" w:rsidRDefault="00AC73F2" w:rsidP="002D3ADB">
      <w:pPr>
        <w:pStyle w:val="Heading3"/>
        <w:spacing w:line="360" w:lineRule="auto"/>
        <w:rPr>
          <w:rFonts w:ascii="Times New Roman" w:hAnsi="Times New Roman" w:cs="Times New Roman"/>
        </w:rPr>
      </w:pPr>
      <w:bookmarkStart w:id="31" w:name="_Toc61893748"/>
      <w:r w:rsidRPr="002D3ADB">
        <w:rPr>
          <w:rFonts w:ascii="Times New Roman" w:hAnsi="Times New Roman" w:cs="Times New Roman"/>
        </w:rPr>
        <w:t>Project A</w:t>
      </w:r>
      <w:bookmarkEnd w:id="31"/>
    </w:p>
    <w:p w14:paraId="207CE001" w14:textId="77777777" w:rsidR="00AC73F2" w:rsidRPr="002D3ADB" w:rsidRDefault="00AC73F2" w:rsidP="002D3ADB">
      <w:pPr>
        <w:spacing w:line="360" w:lineRule="auto"/>
        <w:rPr>
          <w:lang w:eastAsia="en-US"/>
        </w:rPr>
      </w:pPr>
    </w:p>
    <w:tbl>
      <w:tblPr>
        <w:tblW w:w="7500" w:type="dxa"/>
        <w:jc w:val="center"/>
        <w:tblLook w:val="04A0" w:firstRow="1" w:lastRow="0" w:firstColumn="1" w:lastColumn="0" w:noHBand="0" w:noVBand="1"/>
      </w:tblPr>
      <w:tblGrid>
        <w:gridCol w:w="2500"/>
        <w:gridCol w:w="2500"/>
        <w:gridCol w:w="2500"/>
      </w:tblGrid>
      <w:tr w:rsidR="00EA211B" w:rsidRPr="002D3ADB" w14:paraId="5CC2047D" w14:textId="77777777" w:rsidTr="00EA211B">
        <w:trPr>
          <w:trHeight w:val="340"/>
          <w:jc w:val="center"/>
        </w:trPr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vAlign w:val="center"/>
            <w:hideMark/>
          </w:tcPr>
          <w:p w14:paraId="0F32B20C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Project A</w:t>
            </w:r>
          </w:p>
        </w:tc>
        <w:tc>
          <w:tcPr>
            <w:tcW w:w="2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vAlign w:val="center"/>
            <w:hideMark/>
          </w:tcPr>
          <w:p w14:paraId="26E526B1" w14:textId="4D103876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Inflow/(Outflow)</w:t>
            </w:r>
          </w:p>
        </w:tc>
        <w:tc>
          <w:tcPr>
            <w:tcW w:w="2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vAlign w:val="center"/>
            <w:hideMark/>
          </w:tcPr>
          <w:p w14:paraId="400A0DD9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Running Balance</w:t>
            </w:r>
          </w:p>
        </w:tc>
      </w:tr>
      <w:tr w:rsidR="00EA211B" w:rsidRPr="002D3ADB" w14:paraId="3CF877A8" w14:textId="77777777" w:rsidTr="00CB2706">
        <w:trPr>
          <w:trHeight w:val="567"/>
          <w:jc w:val="center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A331444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Year 0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49D3AE9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(85)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EE9DE0E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(85)</w:t>
            </w:r>
          </w:p>
        </w:tc>
      </w:tr>
      <w:tr w:rsidR="00EA211B" w:rsidRPr="002D3ADB" w14:paraId="39FAFB5A" w14:textId="77777777" w:rsidTr="00CB2706">
        <w:trPr>
          <w:trHeight w:val="567"/>
          <w:jc w:val="center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3134731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Year 1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59EF081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  10 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D7D4634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(75)</w:t>
            </w:r>
          </w:p>
        </w:tc>
      </w:tr>
      <w:tr w:rsidR="00EA211B" w:rsidRPr="002D3ADB" w14:paraId="23B43B30" w14:textId="77777777" w:rsidTr="00CB2706">
        <w:trPr>
          <w:trHeight w:val="567"/>
          <w:jc w:val="center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C8989F4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Year 2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7E42CF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  20 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DD5F210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(55)</w:t>
            </w:r>
          </w:p>
        </w:tc>
      </w:tr>
      <w:tr w:rsidR="00EA211B" w:rsidRPr="002D3ADB" w14:paraId="02915D63" w14:textId="77777777" w:rsidTr="00CB2706">
        <w:trPr>
          <w:trHeight w:val="567"/>
          <w:jc w:val="center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44F5F14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FF0000"/>
              </w:rPr>
              <w:t>Year 3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3FF566A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  40 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5A2D34E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FF0000"/>
              </w:rPr>
            </w:pPr>
            <w:r w:rsidRPr="002D3ADB">
              <w:rPr>
                <w:b/>
                <w:bCs/>
                <w:color w:val="FF0000"/>
              </w:rPr>
              <w:t xml:space="preserve">                                 (15)</w:t>
            </w:r>
          </w:p>
        </w:tc>
      </w:tr>
      <w:tr w:rsidR="00EA211B" w:rsidRPr="002D3ADB" w14:paraId="6535B3A4" w14:textId="77777777" w:rsidTr="00CB2706">
        <w:trPr>
          <w:trHeight w:val="567"/>
          <w:jc w:val="center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DB850CB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Year 4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3004D92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  55 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DACB200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  40 </w:t>
            </w:r>
          </w:p>
        </w:tc>
      </w:tr>
    </w:tbl>
    <w:p w14:paraId="688538E4" w14:textId="0C5FA802" w:rsidR="00AF6425" w:rsidRPr="002D3ADB" w:rsidRDefault="00B44CA1" w:rsidP="002D3ADB">
      <w:pPr>
        <w:pStyle w:val="Caption"/>
        <w:spacing w:line="360" w:lineRule="auto"/>
        <w:jc w:val="center"/>
        <w:rPr>
          <w:sz w:val="24"/>
          <w:szCs w:val="24"/>
          <w:lang w:eastAsia="en-US"/>
        </w:rPr>
      </w:pPr>
      <w:bookmarkStart w:id="32" w:name="_Toc61893773"/>
      <w:r w:rsidRPr="002D3ADB">
        <w:rPr>
          <w:sz w:val="24"/>
          <w:szCs w:val="24"/>
        </w:rPr>
        <w:t xml:space="preserve">Table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Table \* ARABIC </w:instrText>
      </w:r>
      <w:r w:rsidRPr="002D3ADB">
        <w:rPr>
          <w:sz w:val="24"/>
          <w:szCs w:val="24"/>
        </w:rPr>
        <w:fldChar w:fldCharType="separate"/>
      </w:r>
      <w:r w:rsidR="00D7286B">
        <w:rPr>
          <w:noProof/>
          <w:sz w:val="24"/>
          <w:szCs w:val="24"/>
        </w:rPr>
        <w:t>7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>: Project A's Payback Period Computation</w:t>
      </w:r>
      <w:bookmarkEnd w:id="32"/>
    </w:p>
    <w:p w14:paraId="4A4E4B15" w14:textId="57C84779" w:rsidR="00B2027A" w:rsidRPr="002D3ADB" w:rsidRDefault="00CA2BC9" w:rsidP="002D3ADB">
      <w:pPr>
        <w:spacing w:line="360" w:lineRule="auto"/>
        <w:jc w:val="both"/>
      </w:pPr>
      <w:r w:rsidRPr="002D3ADB">
        <w:t xml:space="preserve">Table 7 illustrates the </w:t>
      </w:r>
      <w:r w:rsidR="008B3918" w:rsidRPr="002D3ADB">
        <w:t>cash flows of Project A as well as the number of years it will take for AstraZeneca to breakeven.</w:t>
      </w:r>
      <w:r w:rsidR="00B2027A" w:rsidRPr="002D3ADB">
        <w:t xml:space="preserve"> </w:t>
      </w:r>
      <w:r w:rsidR="00EC68FF" w:rsidRPr="002D3ADB">
        <w:t>The cumulative cash inflow for the first three years of Project A</w:t>
      </w:r>
      <w:r w:rsidR="009254B5" w:rsidRPr="002D3ADB">
        <w:t xml:space="preserve"> is £70m (£10m + £20m + </w:t>
      </w:r>
      <w:r w:rsidR="009254B5" w:rsidRPr="002D3ADB">
        <w:lastRenderedPageBreak/>
        <w:t>£40m).</w:t>
      </w:r>
      <w:r w:rsidR="005B451D" w:rsidRPr="002D3ADB">
        <w:t xml:space="preserve"> This means that</w:t>
      </w:r>
      <w:r w:rsidR="007113AB" w:rsidRPr="002D3ADB">
        <w:t xml:space="preserve"> Project A needs to yield £15m (£85m-£70m) more in order to breakeven. </w:t>
      </w:r>
      <w:r w:rsidR="00A94ADD" w:rsidRPr="002D3ADB">
        <w:t xml:space="preserve">Year 4’s </w:t>
      </w:r>
      <w:r w:rsidR="001C6F05" w:rsidRPr="002D3ADB">
        <w:t xml:space="preserve">cash inflow is £55m which indicates </w:t>
      </w:r>
      <w:r w:rsidR="00CD5044" w:rsidRPr="002D3ADB">
        <w:t>that</w:t>
      </w:r>
      <w:r w:rsidR="0029719D" w:rsidRPr="002D3ADB">
        <w:t xml:space="preserve"> Project A yielded more than the £15m required to breakeven</w:t>
      </w:r>
      <w:r w:rsidR="00CD5044" w:rsidRPr="002D3ADB">
        <w:t xml:space="preserve">, assuming that the </w:t>
      </w:r>
      <w:r w:rsidR="0029719D" w:rsidRPr="002D3ADB">
        <w:t>cash inflow is distributed evenly during the year.</w:t>
      </w:r>
      <w:r w:rsidR="00FA604A" w:rsidRPr="002D3ADB">
        <w:t xml:space="preserve"> The detailed computation is shown below:</w:t>
      </w:r>
    </w:p>
    <w:p w14:paraId="0E9430BE" w14:textId="77777777" w:rsidR="009254B5" w:rsidRPr="002D3ADB" w:rsidRDefault="009254B5" w:rsidP="002D3ADB">
      <w:pPr>
        <w:spacing w:line="360" w:lineRule="auto"/>
        <w:jc w:val="both"/>
      </w:pPr>
    </w:p>
    <w:p w14:paraId="19BF63A5" w14:textId="4FD8C6C5" w:rsidR="002B2711" w:rsidRPr="002D3ADB" w:rsidRDefault="002B2711" w:rsidP="002D3ADB">
      <w:pPr>
        <w:spacing w:line="360" w:lineRule="auto"/>
      </w:pPr>
      <w:r w:rsidRPr="002D3ADB">
        <w:t>Cumulative inflow for Year 1 to Year 3 = £70m</w:t>
      </w:r>
    </w:p>
    <w:p w14:paraId="5E5E67B6" w14:textId="42E26B9E" w:rsidR="002B2711" w:rsidRPr="002D3ADB" w:rsidRDefault="002B2711" w:rsidP="002D3ADB">
      <w:pPr>
        <w:spacing w:line="360" w:lineRule="auto"/>
      </w:pPr>
      <w:r w:rsidRPr="002D3ADB">
        <w:t xml:space="preserve">£85m – £70m = £15m </w:t>
      </w:r>
      <w:r w:rsidR="00883998" w:rsidRPr="002D3ADB">
        <w:t xml:space="preserve">more </w:t>
      </w:r>
      <w:r w:rsidRPr="002D3ADB">
        <w:t>to breakeven</w:t>
      </w:r>
    </w:p>
    <w:p w14:paraId="66BDA8DA" w14:textId="77777777" w:rsidR="002B2711" w:rsidRPr="002D3ADB" w:rsidRDefault="002B2711" w:rsidP="002D3ADB">
      <w:pPr>
        <w:spacing w:line="360" w:lineRule="auto"/>
        <w:rPr>
          <w:lang w:eastAsia="en-US"/>
        </w:rPr>
      </w:pPr>
      <w:r w:rsidRPr="002D3ADB">
        <w:t xml:space="preserve">£15m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£55m = 0.27</w:t>
      </w:r>
    </w:p>
    <w:p w14:paraId="4BA5BD6D" w14:textId="5C29E1AE" w:rsidR="00007857" w:rsidRPr="002D3ADB" w:rsidRDefault="00007857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>0.27 of 1 year = 0.27 x 12 months = 3.24 months</w:t>
      </w:r>
      <w:r w:rsidR="001D51AC" w:rsidRPr="002D3ADB">
        <w:rPr>
          <w:lang w:eastAsia="en-US"/>
        </w:rPr>
        <w:t xml:space="preserve"> </w:t>
      </w:r>
      <w:r w:rsidR="001D51AC" w:rsidRPr="002D3ADB">
        <w:rPr>
          <w:lang w:eastAsia="en-US"/>
        </w:rPr>
        <w:sym w:font="Symbol" w:char="F0BB"/>
      </w:r>
      <w:r w:rsidR="001D51AC" w:rsidRPr="002D3ADB">
        <w:rPr>
          <w:lang w:eastAsia="en-US"/>
        </w:rPr>
        <w:t xml:space="preserve"> 4 months</w:t>
      </w:r>
    </w:p>
    <w:p w14:paraId="15039714" w14:textId="59B705AF" w:rsidR="002B2711" w:rsidRPr="002D3ADB" w:rsidRDefault="002B2711" w:rsidP="002D3ADB">
      <w:pPr>
        <w:spacing w:line="360" w:lineRule="auto"/>
      </w:pPr>
      <w:r w:rsidRPr="002D3ADB">
        <w:rPr>
          <w:lang w:eastAsia="en-US"/>
        </w:rPr>
        <w:t xml:space="preserve">Therefore, </w:t>
      </w:r>
      <w:r w:rsidR="00D47698" w:rsidRPr="002D3ADB">
        <w:rPr>
          <w:lang w:eastAsia="en-US"/>
        </w:rPr>
        <w:t xml:space="preserve">AstraZeneca can breakeven in about 3 years and 4 months as the </w:t>
      </w:r>
      <w:r w:rsidRPr="002D3ADB">
        <w:rPr>
          <w:lang w:eastAsia="en-US"/>
        </w:rPr>
        <w:t>payback period for Project A is 3.27 years</w:t>
      </w:r>
      <w:r w:rsidR="00D47698" w:rsidRPr="002D3ADB">
        <w:rPr>
          <w:lang w:eastAsia="en-US"/>
        </w:rPr>
        <w:t>.</w:t>
      </w:r>
    </w:p>
    <w:p w14:paraId="3E25976F" w14:textId="598EF91A" w:rsidR="001E3931" w:rsidRPr="002D3ADB" w:rsidRDefault="001E3931" w:rsidP="002D3ADB">
      <w:pPr>
        <w:spacing w:line="360" w:lineRule="auto"/>
        <w:rPr>
          <w:rFonts w:eastAsiaTheme="majorEastAsia"/>
          <w:color w:val="1F3763" w:themeColor="accent1" w:themeShade="7F"/>
          <w:lang w:eastAsia="en-US"/>
        </w:rPr>
      </w:pPr>
    </w:p>
    <w:p w14:paraId="014D6FD4" w14:textId="5F2FE586" w:rsidR="00AC73F2" w:rsidRPr="002D3ADB" w:rsidRDefault="00AC73F2" w:rsidP="002D3ADB">
      <w:pPr>
        <w:pStyle w:val="Heading3"/>
        <w:spacing w:line="360" w:lineRule="auto"/>
        <w:rPr>
          <w:rFonts w:ascii="Times New Roman" w:hAnsi="Times New Roman" w:cs="Times New Roman"/>
        </w:rPr>
      </w:pPr>
      <w:bookmarkStart w:id="33" w:name="_Toc61893749"/>
      <w:r w:rsidRPr="002D3ADB">
        <w:rPr>
          <w:rFonts w:ascii="Times New Roman" w:hAnsi="Times New Roman" w:cs="Times New Roman"/>
        </w:rPr>
        <w:t>Project B</w:t>
      </w:r>
      <w:bookmarkEnd w:id="33"/>
    </w:p>
    <w:p w14:paraId="4CB971BE" w14:textId="77777777" w:rsidR="00AC73F2" w:rsidRPr="002D3ADB" w:rsidRDefault="00AC73F2" w:rsidP="002D3ADB">
      <w:pPr>
        <w:spacing w:line="360" w:lineRule="auto"/>
        <w:rPr>
          <w:lang w:eastAsia="en-US"/>
        </w:rPr>
      </w:pPr>
    </w:p>
    <w:tbl>
      <w:tblPr>
        <w:tblW w:w="7500" w:type="dxa"/>
        <w:jc w:val="center"/>
        <w:tblLook w:val="04A0" w:firstRow="1" w:lastRow="0" w:firstColumn="1" w:lastColumn="0" w:noHBand="0" w:noVBand="1"/>
      </w:tblPr>
      <w:tblGrid>
        <w:gridCol w:w="2500"/>
        <w:gridCol w:w="2500"/>
        <w:gridCol w:w="2500"/>
      </w:tblGrid>
      <w:tr w:rsidR="00EA211B" w:rsidRPr="002D3ADB" w14:paraId="0729CBB4" w14:textId="77777777" w:rsidTr="00EA211B">
        <w:trPr>
          <w:trHeight w:val="340"/>
          <w:jc w:val="center"/>
        </w:trPr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vAlign w:val="center"/>
            <w:hideMark/>
          </w:tcPr>
          <w:p w14:paraId="261FB774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Project B</w:t>
            </w:r>
          </w:p>
        </w:tc>
        <w:tc>
          <w:tcPr>
            <w:tcW w:w="2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vAlign w:val="center"/>
            <w:hideMark/>
          </w:tcPr>
          <w:p w14:paraId="29CD99AF" w14:textId="0252D3AC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Inflow/(Outflow)</w:t>
            </w:r>
          </w:p>
        </w:tc>
        <w:tc>
          <w:tcPr>
            <w:tcW w:w="2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vAlign w:val="center"/>
            <w:hideMark/>
          </w:tcPr>
          <w:p w14:paraId="4F8D9F6C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Running Balance</w:t>
            </w:r>
          </w:p>
        </w:tc>
      </w:tr>
      <w:tr w:rsidR="00EA211B" w:rsidRPr="002D3ADB" w14:paraId="7D4B5A5C" w14:textId="77777777" w:rsidTr="00EA211B">
        <w:trPr>
          <w:trHeight w:val="340"/>
          <w:jc w:val="center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9786738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Year 0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B1CBD57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(90)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8987EF6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(90)</w:t>
            </w:r>
          </w:p>
        </w:tc>
      </w:tr>
      <w:tr w:rsidR="00EA211B" w:rsidRPr="002D3ADB" w14:paraId="67951146" w14:textId="77777777" w:rsidTr="00EA211B">
        <w:trPr>
          <w:trHeight w:val="340"/>
          <w:jc w:val="center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ED68810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Year 1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72EA568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  25 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8C4737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(65)</w:t>
            </w:r>
          </w:p>
        </w:tc>
      </w:tr>
      <w:tr w:rsidR="00EA211B" w:rsidRPr="002D3ADB" w14:paraId="1C39E333" w14:textId="77777777" w:rsidTr="00EA211B">
        <w:trPr>
          <w:trHeight w:val="340"/>
          <w:jc w:val="center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CC493DA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Year 2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C6901D6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  30 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378614E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(35)</w:t>
            </w:r>
          </w:p>
        </w:tc>
      </w:tr>
      <w:tr w:rsidR="00EA211B" w:rsidRPr="002D3ADB" w14:paraId="4DC08950" w14:textId="77777777" w:rsidTr="00EA211B">
        <w:trPr>
          <w:trHeight w:val="340"/>
          <w:jc w:val="center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CDEAA6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FF0000"/>
              </w:rPr>
              <w:t>Year 3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DAFDB50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  35 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E7D7364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FF0000"/>
              </w:rPr>
            </w:pPr>
            <w:r w:rsidRPr="002D3ADB">
              <w:rPr>
                <w:b/>
                <w:bCs/>
                <w:color w:val="FF0000"/>
              </w:rPr>
              <w:t xml:space="preserve">                                   -   </w:t>
            </w:r>
          </w:p>
        </w:tc>
      </w:tr>
      <w:tr w:rsidR="00EA211B" w:rsidRPr="002D3ADB" w14:paraId="0031FB06" w14:textId="77777777" w:rsidTr="00EA211B">
        <w:trPr>
          <w:trHeight w:val="340"/>
          <w:jc w:val="center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608E90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Year 4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94A159D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  40 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A2BDFB4" w14:textId="77777777" w:rsidR="00EA211B" w:rsidRPr="002D3ADB" w:rsidRDefault="00EA211B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                                   40 </w:t>
            </w:r>
          </w:p>
        </w:tc>
      </w:tr>
    </w:tbl>
    <w:p w14:paraId="225CFD7A" w14:textId="7DD14159" w:rsidR="00E75A4B" w:rsidRPr="002D3ADB" w:rsidRDefault="008409F9" w:rsidP="002D3ADB">
      <w:pPr>
        <w:pStyle w:val="Caption"/>
        <w:spacing w:line="360" w:lineRule="auto"/>
        <w:jc w:val="center"/>
        <w:rPr>
          <w:rFonts w:eastAsiaTheme="majorEastAsia"/>
          <w:color w:val="2F5496" w:themeColor="accent1" w:themeShade="BF"/>
          <w:sz w:val="24"/>
          <w:szCs w:val="24"/>
          <w:lang w:eastAsia="en-US"/>
        </w:rPr>
      </w:pPr>
      <w:bookmarkStart w:id="34" w:name="_Toc61893774"/>
      <w:r w:rsidRPr="002D3ADB">
        <w:rPr>
          <w:sz w:val="24"/>
          <w:szCs w:val="24"/>
        </w:rPr>
        <w:t xml:space="preserve">Table </w:t>
      </w:r>
      <w:r w:rsidRPr="002D3ADB">
        <w:rPr>
          <w:sz w:val="24"/>
          <w:szCs w:val="24"/>
        </w:rPr>
        <w:fldChar w:fldCharType="begin"/>
      </w:r>
      <w:r w:rsidRPr="002D3ADB">
        <w:rPr>
          <w:sz w:val="24"/>
          <w:szCs w:val="24"/>
        </w:rPr>
        <w:instrText xml:space="preserve"> SEQ Table \* ARABIC </w:instrText>
      </w:r>
      <w:r w:rsidRPr="002D3ADB">
        <w:rPr>
          <w:sz w:val="24"/>
          <w:szCs w:val="24"/>
        </w:rPr>
        <w:fldChar w:fldCharType="separate"/>
      </w:r>
      <w:r w:rsidR="00D7286B">
        <w:rPr>
          <w:noProof/>
          <w:sz w:val="24"/>
          <w:szCs w:val="24"/>
        </w:rPr>
        <w:t>8</w:t>
      </w:r>
      <w:r w:rsidRPr="002D3ADB">
        <w:rPr>
          <w:sz w:val="24"/>
          <w:szCs w:val="24"/>
        </w:rPr>
        <w:fldChar w:fldCharType="end"/>
      </w:r>
      <w:r w:rsidRPr="002D3ADB">
        <w:rPr>
          <w:sz w:val="24"/>
          <w:szCs w:val="24"/>
        </w:rPr>
        <w:t>: Project B's Payback Period Computatio</w:t>
      </w:r>
      <w:r w:rsidR="00D979A6" w:rsidRPr="002D3ADB">
        <w:rPr>
          <w:sz w:val="24"/>
          <w:szCs w:val="24"/>
        </w:rPr>
        <w:t>n</w:t>
      </w:r>
      <w:bookmarkEnd w:id="34"/>
    </w:p>
    <w:p w14:paraId="4E3511B0" w14:textId="17FC7474" w:rsidR="00E75A4B" w:rsidRPr="002D3ADB" w:rsidRDefault="00E75A4B" w:rsidP="002D3ADB">
      <w:pPr>
        <w:spacing w:line="360" w:lineRule="auto"/>
        <w:jc w:val="both"/>
      </w:pPr>
      <w:r w:rsidRPr="002D3ADB">
        <w:t xml:space="preserve">Table 8 </w:t>
      </w:r>
      <w:r w:rsidR="00980786" w:rsidRPr="002D3ADB">
        <w:t xml:space="preserve">presents the </w:t>
      </w:r>
      <w:r w:rsidR="00510D45" w:rsidRPr="002D3ADB">
        <w:t>cash flows of Project B as well as the number of years it will take for AstraZeneca to breakeven.</w:t>
      </w:r>
      <w:r w:rsidR="00A02C60" w:rsidRPr="002D3ADB">
        <w:t xml:space="preserve"> </w:t>
      </w:r>
      <w:r w:rsidR="00700F56" w:rsidRPr="002D3ADB">
        <w:t xml:space="preserve">The cumulative cash inflow in 3 years is exactly £90m which is equal to the investment cost. This means that Project B can yield back </w:t>
      </w:r>
      <w:r w:rsidR="00714D5D" w:rsidRPr="002D3ADB">
        <w:t xml:space="preserve">the cash outflow in exactly 3 years. </w:t>
      </w:r>
    </w:p>
    <w:p w14:paraId="65312A41" w14:textId="2DDA3CF0" w:rsidR="00EA1F4F" w:rsidRPr="002D3ADB" w:rsidRDefault="00EA1F4F" w:rsidP="002D3ADB">
      <w:pPr>
        <w:spacing w:line="360" w:lineRule="auto"/>
        <w:jc w:val="both"/>
      </w:pPr>
    </w:p>
    <w:p w14:paraId="1B52BFCA" w14:textId="50AEFEB6" w:rsidR="00885501" w:rsidRPr="002D3ADB" w:rsidRDefault="00885501" w:rsidP="002D3ADB">
      <w:pPr>
        <w:pStyle w:val="Heading3"/>
        <w:spacing w:line="360" w:lineRule="auto"/>
        <w:rPr>
          <w:rFonts w:ascii="Times New Roman" w:hAnsi="Times New Roman" w:cs="Times New Roman"/>
        </w:rPr>
      </w:pPr>
      <w:bookmarkStart w:id="35" w:name="_Toc61893750"/>
      <w:r w:rsidRPr="002D3ADB">
        <w:rPr>
          <w:rFonts w:ascii="Times New Roman" w:hAnsi="Times New Roman" w:cs="Times New Roman"/>
        </w:rPr>
        <w:lastRenderedPageBreak/>
        <w:t>Decision</w:t>
      </w:r>
      <w:r w:rsidR="00A97EE2" w:rsidRPr="002D3ADB">
        <w:rPr>
          <w:rFonts w:ascii="Times New Roman" w:hAnsi="Times New Roman" w:cs="Times New Roman"/>
        </w:rPr>
        <w:t xml:space="preserve"> using Payback Period (PBP) Method</w:t>
      </w:r>
      <w:bookmarkEnd w:id="35"/>
    </w:p>
    <w:p w14:paraId="28608ECB" w14:textId="77777777" w:rsidR="00885501" w:rsidRPr="002D3ADB" w:rsidRDefault="00885501" w:rsidP="002D3ADB">
      <w:pPr>
        <w:spacing w:line="360" w:lineRule="auto"/>
        <w:jc w:val="both"/>
      </w:pPr>
    </w:p>
    <w:p w14:paraId="6675197A" w14:textId="17E038D7" w:rsidR="00EA1F4F" w:rsidRPr="002D3ADB" w:rsidRDefault="00B068F0" w:rsidP="002D3ADB">
      <w:pPr>
        <w:spacing w:line="360" w:lineRule="auto"/>
        <w:jc w:val="both"/>
        <w:rPr>
          <w:lang w:eastAsia="en-US"/>
        </w:rPr>
      </w:pPr>
      <w:r w:rsidRPr="002D3ADB">
        <w:t xml:space="preserve">Based on the </w:t>
      </w:r>
      <w:r w:rsidR="00EA1F4F" w:rsidRPr="002D3ADB">
        <w:rPr>
          <w:lang w:eastAsia="en-US"/>
        </w:rPr>
        <w:t>Payback Period</w:t>
      </w:r>
      <w:r w:rsidR="00ED0F79" w:rsidRPr="002D3ADB">
        <w:rPr>
          <w:lang w:eastAsia="en-US"/>
        </w:rPr>
        <w:t xml:space="preserve"> (PBP)</w:t>
      </w:r>
      <w:r w:rsidR="00EA1F4F" w:rsidRPr="002D3ADB">
        <w:rPr>
          <w:lang w:eastAsia="en-US"/>
        </w:rPr>
        <w:t xml:space="preserve"> Method</w:t>
      </w:r>
      <w:r w:rsidRPr="002D3ADB">
        <w:rPr>
          <w:lang w:eastAsia="en-US"/>
        </w:rPr>
        <w:t xml:space="preserve"> computation</w:t>
      </w:r>
      <w:r w:rsidR="00EA1F4F" w:rsidRPr="002D3ADB">
        <w:rPr>
          <w:lang w:eastAsia="en-US"/>
        </w:rPr>
        <w:t xml:space="preserve">, it can be concluded that </w:t>
      </w:r>
      <w:r w:rsidR="009379D8" w:rsidRPr="002D3ADB">
        <w:rPr>
          <w:lang w:eastAsia="en-US"/>
        </w:rPr>
        <w:t xml:space="preserve">Project B is more feasible </w:t>
      </w:r>
      <w:r w:rsidR="002C15E1" w:rsidRPr="002D3ADB">
        <w:rPr>
          <w:lang w:eastAsia="en-US"/>
        </w:rPr>
        <w:t xml:space="preserve">than Project A because </w:t>
      </w:r>
      <w:r w:rsidR="00FA6A01" w:rsidRPr="002D3ADB">
        <w:rPr>
          <w:lang w:eastAsia="en-US"/>
        </w:rPr>
        <w:t xml:space="preserve">it will only take exactly 3 years </w:t>
      </w:r>
      <w:r w:rsidR="00C17F37" w:rsidRPr="002D3ADB">
        <w:rPr>
          <w:lang w:eastAsia="en-US"/>
        </w:rPr>
        <w:t xml:space="preserve">to breakeven while Project A has longer payback period. </w:t>
      </w:r>
    </w:p>
    <w:p w14:paraId="239C87CC" w14:textId="012A4968" w:rsidR="00F4094F" w:rsidRPr="002D3ADB" w:rsidRDefault="00F4094F" w:rsidP="002D3ADB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36" w:name="_Toc61893751"/>
      <w:r w:rsidRPr="002D3ADB">
        <w:rPr>
          <w:rFonts w:ascii="Times New Roman" w:hAnsi="Times New Roman" w:cs="Times New Roman"/>
          <w:sz w:val="24"/>
          <w:szCs w:val="24"/>
        </w:rPr>
        <w:t>Accounting Rate of Return</w:t>
      </w:r>
      <w:r w:rsidR="00230EBD" w:rsidRPr="002D3ADB">
        <w:rPr>
          <w:rFonts w:ascii="Times New Roman" w:hAnsi="Times New Roman" w:cs="Times New Roman"/>
          <w:sz w:val="24"/>
          <w:szCs w:val="24"/>
        </w:rPr>
        <w:t xml:space="preserve"> (ARR Method)</w:t>
      </w:r>
      <w:bookmarkEnd w:id="36"/>
    </w:p>
    <w:p w14:paraId="4E4ED05B" w14:textId="1270A083" w:rsidR="0032327C" w:rsidRPr="002D3ADB" w:rsidRDefault="0032327C" w:rsidP="002D3ADB">
      <w:pPr>
        <w:spacing w:line="360" w:lineRule="auto"/>
        <w:rPr>
          <w:lang w:eastAsia="en-US"/>
        </w:rPr>
      </w:pPr>
    </w:p>
    <w:p w14:paraId="3E313C34" w14:textId="07EE67CC" w:rsidR="005E01BA" w:rsidRPr="002D3ADB" w:rsidRDefault="001A4DB1" w:rsidP="002D3ADB">
      <w:pPr>
        <w:spacing w:line="360" w:lineRule="auto"/>
        <w:jc w:val="both"/>
        <w:rPr>
          <w:lang w:eastAsia="en-US"/>
        </w:rPr>
      </w:pPr>
      <w:r w:rsidRPr="002D3ADB">
        <w:rPr>
          <w:lang w:eastAsia="en-US"/>
        </w:rPr>
        <w:t>Another way of appraising potential investment</w:t>
      </w:r>
      <w:r w:rsidR="00B73FC0" w:rsidRPr="002D3ADB">
        <w:rPr>
          <w:lang w:eastAsia="en-US"/>
        </w:rPr>
        <w:t>s</w:t>
      </w:r>
      <w:r w:rsidRPr="002D3ADB">
        <w:rPr>
          <w:lang w:eastAsia="en-US"/>
        </w:rPr>
        <w:t xml:space="preserve"> is the Accounting Rate of Return which </w:t>
      </w:r>
      <w:r w:rsidR="00B73FC0" w:rsidRPr="002D3ADB">
        <w:rPr>
          <w:lang w:eastAsia="en-US"/>
        </w:rPr>
        <w:t xml:space="preserve">compares the </w:t>
      </w:r>
      <w:r w:rsidR="00C30084" w:rsidRPr="002D3ADB">
        <w:rPr>
          <w:lang w:eastAsia="en-US"/>
        </w:rPr>
        <w:t xml:space="preserve">profitability </w:t>
      </w:r>
      <w:r w:rsidR="00DE3F86" w:rsidRPr="002D3ADB">
        <w:rPr>
          <w:lang w:eastAsia="en-US"/>
        </w:rPr>
        <w:t xml:space="preserve">of </w:t>
      </w:r>
      <w:r w:rsidR="00D96278" w:rsidRPr="002D3ADB">
        <w:rPr>
          <w:lang w:eastAsia="en-US"/>
        </w:rPr>
        <w:t xml:space="preserve">individual projects </w:t>
      </w:r>
      <w:r w:rsidR="004E0F69" w:rsidRPr="002D3ADB">
        <w:rPr>
          <w:lang w:eastAsia="en-US"/>
        </w:rPr>
        <w:t xml:space="preserve">over their </w:t>
      </w:r>
      <w:r w:rsidR="00853E95" w:rsidRPr="002D3ADB">
        <w:rPr>
          <w:lang w:eastAsia="en-US"/>
        </w:rPr>
        <w:t xml:space="preserve">lifespan. </w:t>
      </w:r>
      <w:r w:rsidR="00087A45" w:rsidRPr="002D3ADB">
        <w:rPr>
          <w:lang w:eastAsia="en-US"/>
        </w:rPr>
        <w:t xml:space="preserve">The ARR is simply the ratio of the average yearly profits against </w:t>
      </w:r>
      <w:r w:rsidR="00A47077" w:rsidRPr="002D3ADB">
        <w:rPr>
          <w:lang w:eastAsia="en-US"/>
        </w:rPr>
        <w:t>the initial cost of the project</w:t>
      </w:r>
      <w:r w:rsidR="00C76F7A" w:rsidRPr="002D3ADB">
        <w:rPr>
          <w:lang w:eastAsia="en-US"/>
        </w:rPr>
        <w:t xml:space="preserve"> (BBC, 2021)</w:t>
      </w:r>
      <w:r w:rsidR="00A47077" w:rsidRPr="002D3ADB">
        <w:rPr>
          <w:lang w:eastAsia="en-US"/>
        </w:rPr>
        <w:t>.</w:t>
      </w:r>
      <w:r w:rsidR="005361F8">
        <w:rPr>
          <w:lang w:eastAsia="en-US"/>
        </w:rPr>
        <w:t xml:space="preserve"> </w:t>
      </w:r>
      <w:r w:rsidR="00CB0E26">
        <w:rPr>
          <w:lang w:eastAsia="en-US"/>
        </w:rPr>
        <w:t xml:space="preserve">This means that </w:t>
      </w:r>
      <w:r w:rsidR="005C29B1">
        <w:rPr>
          <w:lang w:eastAsia="en-US"/>
        </w:rPr>
        <w:t xml:space="preserve">the first step to </w:t>
      </w:r>
      <w:r w:rsidR="00CE618D">
        <w:rPr>
          <w:lang w:eastAsia="en-US"/>
        </w:rPr>
        <w:t xml:space="preserve">do is to calculate </w:t>
      </w:r>
      <w:r w:rsidR="00414E1C">
        <w:rPr>
          <w:lang w:eastAsia="en-US"/>
        </w:rPr>
        <w:t xml:space="preserve">the average </w:t>
      </w:r>
      <w:r w:rsidR="00D22BDC">
        <w:rPr>
          <w:lang w:eastAsia="en-US"/>
        </w:rPr>
        <w:t>annual profit</w:t>
      </w:r>
      <w:r w:rsidR="0067369F">
        <w:rPr>
          <w:lang w:eastAsia="en-US"/>
        </w:rPr>
        <w:t xml:space="preserve"> and then compare it against the </w:t>
      </w:r>
      <w:r w:rsidR="00764DD9">
        <w:rPr>
          <w:lang w:eastAsia="en-US"/>
        </w:rPr>
        <w:t>investment cost.</w:t>
      </w:r>
      <w:r w:rsidR="005E01BA">
        <w:rPr>
          <w:lang w:eastAsia="en-US"/>
        </w:rPr>
        <w:t xml:space="preserve"> The following formulas are be used to calculate the accounting rate of return. </w:t>
      </w:r>
    </w:p>
    <w:p w14:paraId="4AE5D8A9" w14:textId="77777777" w:rsidR="00D1272B" w:rsidRDefault="00D1272B" w:rsidP="00D1272B">
      <w:pPr>
        <w:spacing w:line="360" w:lineRule="auto"/>
        <w:rPr>
          <w:lang w:eastAsia="en-US"/>
        </w:rPr>
      </w:pPr>
    </w:p>
    <w:p w14:paraId="2B5880FC" w14:textId="70035521" w:rsidR="00D1272B" w:rsidRPr="002D3ADB" w:rsidRDefault="00D1272B" w:rsidP="00D1272B">
      <w:pPr>
        <w:spacing w:line="360" w:lineRule="auto"/>
        <w:rPr>
          <w:lang w:eastAsia="en-US"/>
        </w:rPr>
      </w:pPr>
      <w:r w:rsidRPr="002D3ADB">
        <w:rPr>
          <w:lang w:eastAsia="en-US"/>
        </w:rPr>
        <w:t>Accounting Rate of Return (Approach 1):</w:t>
      </w:r>
    </w:p>
    <w:p w14:paraId="7D590628" w14:textId="77777777" w:rsidR="00D1272B" w:rsidRPr="002D3ADB" w:rsidRDefault="00D1272B" w:rsidP="00D1272B">
      <w:pPr>
        <w:spacing w:line="360" w:lineRule="auto"/>
        <w:rPr>
          <w:lang w:eastAsia="en-US"/>
        </w:rPr>
      </w:pPr>
      <w:r w:rsidRPr="002D3ADB">
        <w:rPr>
          <w:lang w:eastAsia="en-US"/>
        </w:rPr>
        <w:t>ARR</w:t>
      </w:r>
      <w:r w:rsidRPr="002D3ADB">
        <w:rPr>
          <w:vertAlign w:val="subscript"/>
          <w:lang w:eastAsia="en-US"/>
        </w:rPr>
        <w:t>1</w:t>
      </w:r>
      <w:r w:rsidRPr="002D3ADB">
        <w:rPr>
          <w:lang w:eastAsia="en-US"/>
        </w:rPr>
        <w:t xml:space="preserve"> = Average Annual Profit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((Project Cost + Scrap Value)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2)</w:t>
      </w:r>
    </w:p>
    <w:p w14:paraId="5B4E18BA" w14:textId="77777777" w:rsidR="00D1272B" w:rsidRPr="002D3ADB" w:rsidRDefault="00D1272B" w:rsidP="00D1272B">
      <w:pPr>
        <w:spacing w:line="360" w:lineRule="auto"/>
      </w:pPr>
    </w:p>
    <w:p w14:paraId="5E177C7F" w14:textId="77777777" w:rsidR="00D1272B" w:rsidRPr="002D3ADB" w:rsidRDefault="00D1272B" w:rsidP="00D1272B">
      <w:pPr>
        <w:spacing w:line="360" w:lineRule="auto"/>
        <w:rPr>
          <w:lang w:eastAsia="en-US"/>
        </w:rPr>
      </w:pPr>
      <w:r w:rsidRPr="002D3ADB">
        <w:rPr>
          <w:lang w:eastAsia="en-US"/>
        </w:rPr>
        <w:t>Accounting Rate of Return (Approach 2):</w:t>
      </w:r>
    </w:p>
    <w:p w14:paraId="461007AD" w14:textId="77777777" w:rsidR="00D1272B" w:rsidRPr="002D3ADB" w:rsidRDefault="00D1272B" w:rsidP="00D1272B">
      <w:pPr>
        <w:spacing w:line="360" w:lineRule="auto"/>
        <w:rPr>
          <w:lang w:eastAsia="en-US"/>
        </w:rPr>
      </w:pPr>
      <w:r w:rsidRPr="002D3ADB">
        <w:rPr>
          <w:lang w:eastAsia="en-US"/>
        </w:rPr>
        <w:t>ARR</w:t>
      </w:r>
      <w:r w:rsidRPr="002D3ADB">
        <w:rPr>
          <w:vertAlign w:val="subscript"/>
          <w:lang w:eastAsia="en-US"/>
        </w:rPr>
        <w:t>2</w:t>
      </w:r>
      <w:r w:rsidRPr="002D3ADB">
        <w:rPr>
          <w:lang w:eastAsia="en-US"/>
        </w:rPr>
        <w:t xml:space="preserve"> = Average Annual Profit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(Project Cost + Scrap Value)</w:t>
      </w:r>
    </w:p>
    <w:p w14:paraId="3248BBC7" w14:textId="77777777" w:rsidR="00D1272B" w:rsidRPr="002D3ADB" w:rsidRDefault="00D1272B" w:rsidP="002D3ADB">
      <w:pPr>
        <w:spacing w:line="360" w:lineRule="auto"/>
        <w:jc w:val="both"/>
        <w:rPr>
          <w:lang w:eastAsia="en-US"/>
        </w:rPr>
      </w:pPr>
    </w:p>
    <w:p w14:paraId="17F0558A" w14:textId="4666A78A" w:rsidR="00586854" w:rsidRPr="00466FE6" w:rsidRDefault="00586854" w:rsidP="002D3ADB">
      <w:pPr>
        <w:pStyle w:val="Heading3"/>
        <w:spacing w:line="360" w:lineRule="auto"/>
        <w:rPr>
          <w:rFonts w:ascii="Times New Roman" w:hAnsi="Times New Roman" w:cs="Times New Roman"/>
        </w:rPr>
      </w:pPr>
      <w:bookmarkStart w:id="37" w:name="_Toc61893752"/>
      <w:r w:rsidRPr="00466FE6">
        <w:rPr>
          <w:rFonts w:ascii="Times New Roman" w:hAnsi="Times New Roman" w:cs="Times New Roman"/>
        </w:rPr>
        <w:t>Advantages and Disadvantages of Accounting Rate of Return (ARR) Method</w:t>
      </w:r>
      <w:bookmarkEnd w:id="37"/>
    </w:p>
    <w:p w14:paraId="3DB84E9D" w14:textId="6B362F99" w:rsidR="00586854" w:rsidRPr="002D3ADB" w:rsidRDefault="00586854" w:rsidP="002D3ADB">
      <w:pPr>
        <w:spacing w:line="360" w:lineRule="auto"/>
        <w:jc w:val="both"/>
        <w:rPr>
          <w:lang w:eastAsia="en-US"/>
        </w:rPr>
      </w:pPr>
    </w:p>
    <w:p w14:paraId="68DCF78D" w14:textId="466D5A9E" w:rsidR="009D5249" w:rsidRPr="002D3ADB" w:rsidRDefault="00B51388" w:rsidP="002D3ADB">
      <w:pPr>
        <w:spacing w:line="360" w:lineRule="auto"/>
        <w:jc w:val="both"/>
        <w:rPr>
          <w:lang w:eastAsia="en-US"/>
        </w:rPr>
      </w:pPr>
      <w:r w:rsidRPr="002D3ADB">
        <w:rPr>
          <w:lang w:eastAsia="en-US"/>
        </w:rPr>
        <w:t xml:space="preserve">According to </w:t>
      </w:r>
      <w:proofErr w:type="spellStart"/>
      <w:r w:rsidR="003B344C" w:rsidRPr="002D3ADB">
        <w:rPr>
          <w:lang w:eastAsia="en-US"/>
        </w:rPr>
        <w:t>Javed</w:t>
      </w:r>
      <w:proofErr w:type="spellEnd"/>
      <w:r w:rsidR="003B344C" w:rsidRPr="002D3ADB">
        <w:rPr>
          <w:lang w:eastAsia="en-US"/>
        </w:rPr>
        <w:t xml:space="preserve"> (2020), </w:t>
      </w:r>
      <w:r w:rsidR="00F50EA8">
        <w:rPr>
          <w:lang w:eastAsia="en-US"/>
        </w:rPr>
        <w:t>using the ARR method in evaluating which projects to pursue is advantageous because it is not complicated</w:t>
      </w:r>
      <w:r w:rsidR="0095266C">
        <w:rPr>
          <w:lang w:eastAsia="en-US"/>
        </w:rPr>
        <w:t xml:space="preserve">, it </w:t>
      </w:r>
      <w:r w:rsidR="007D6582">
        <w:rPr>
          <w:lang w:eastAsia="en-US"/>
        </w:rPr>
        <w:t xml:space="preserve">considers all the </w:t>
      </w:r>
      <w:r w:rsidR="00B43CF2">
        <w:rPr>
          <w:lang w:eastAsia="en-US"/>
        </w:rPr>
        <w:t>future income</w:t>
      </w:r>
      <w:r w:rsidR="0095266C">
        <w:rPr>
          <w:lang w:eastAsia="en-US"/>
        </w:rPr>
        <w:t xml:space="preserve"> </w:t>
      </w:r>
      <w:r w:rsidR="00034EA1">
        <w:rPr>
          <w:lang w:eastAsia="en-US"/>
        </w:rPr>
        <w:t>as well as</w:t>
      </w:r>
      <w:r w:rsidR="0095266C">
        <w:rPr>
          <w:lang w:eastAsia="en-US"/>
        </w:rPr>
        <w:t xml:space="preserve"> </w:t>
      </w:r>
      <w:r w:rsidR="000A15D4">
        <w:rPr>
          <w:lang w:eastAsia="en-US"/>
        </w:rPr>
        <w:t xml:space="preserve">the profitability of </w:t>
      </w:r>
      <w:r w:rsidR="00EC17F8">
        <w:rPr>
          <w:lang w:eastAsia="en-US"/>
        </w:rPr>
        <w:t>each projects</w:t>
      </w:r>
      <w:r w:rsidR="00B43CF2">
        <w:rPr>
          <w:lang w:eastAsia="en-US"/>
        </w:rPr>
        <w:t xml:space="preserve">, unlike </w:t>
      </w:r>
      <w:r w:rsidR="005266FA">
        <w:rPr>
          <w:lang w:eastAsia="en-US"/>
        </w:rPr>
        <w:t>using Payback Period method.</w:t>
      </w:r>
      <w:r w:rsidR="00466D41">
        <w:rPr>
          <w:lang w:eastAsia="en-US"/>
        </w:rPr>
        <w:t xml:space="preserve"> </w:t>
      </w:r>
      <w:r w:rsidR="008972D3">
        <w:rPr>
          <w:lang w:eastAsia="en-US"/>
        </w:rPr>
        <w:t xml:space="preserve">This way, </w:t>
      </w:r>
      <w:r w:rsidR="002B5A94">
        <w:rPr>
          <w:lang w:eastAsia="en-US"/>
        </w:rPr>
        <w:t xml:space="preserve">the management of </w:t>
      </w:r>
      <w:r w:rsidR="00BB55E9">
        <w:rPr>
          <w:lang w:eastAsia="en-US"/>
        </w:rPr>
        <w:t xml:space="preserve">AstraZeneca can easily compare each </w:t>
      </w:r>
      <w:r w:rsidR="00C17714">
        <w:rPr>
          <w:lang w:eastAsia="en-US"/>
        </w:rPr>
        <w:lastRenderedPageBreak/>
        <w:t>investment</w:t>
      </w:r>
      <w:r w:rsidR="00BB55E9">
        <w:rPr>
          <w:lang w:eastAsia="en-US"/>
        </w:rPr>
        <w:t xml:space="preserve"> </w:t>
      </w:r>
      <w:r w:rsidR="00F33B83">
        <w:rPr>
          <w:lang w:eastAsia="en-US"/>
        </w:rPr>
        <w:t>against the other</w:t>
      </w:r>
      <w:r w:rsidR="00C17714">
        <w:rPr>
          <w:lang w:eastAsia="en-US"/>
        </w:rPr>
        <w:t>s</w:t>
      </w:r>
      <w:r w:rsidR="00F33B83">
        <w:rPr>
          <w:lang w:eastAsia="en-US"/>
        </w:rPr>
        <w:t xml:space="preserve">. </w:t>
      </w:r>
      <w:r w:rsidR="00466D41">
        <w:rPr>
          <w:lang w:eastAsia="en-US"/>
        </w:rPr>
        <w:t xml:space="preserve">However, </w:t>
      </w:r>
      <w:r w:rsidR="00021200">
        <w:rPr>
          <w:lang w:eastAsia="en-US"/>
        </w:rPr>
        <w:t xml:space="preserve">just like PBP method, </w:t>
      </w:r>
      <w:r w:rsidR="00C97B5B">
        <w:rPr>
          <w:lang w:eastAsia="en-US"/>
        </w:rPr>
        <w:t xml:space="preserve">ARR method </w:t>
      </w:r>
      <w:r w:rsidR="009D1F05">
        <w:rPr>
          <w:lang w:eastAsia="en-US"/>
        </w:rPr>
        <w:t xml:space="preserve">also </w:t>
      </w:r>
      <w:r w:rsidR="00C97B5B">
        <w:rPr>
          <w:lang w:eastAsia="en-US"/>
        </w:rPr>
        <w:t>disregards the time value of money</w:t>
      </w:r>
      <w:r w:rsidR="009D1F05">
        <w:rPr>
          <w:lang w:eastAsia="en-US"/>
        </w:rPr>
        <w:t>.</w:t>
      </w:r>
      <w:r w:rsidR="005266FA">
        <w:rPr>
          <w:lang w:eastAsia="en-US"/>
        </w:rPr>
        <w:t xml:space="preserve"> </w:t>
      </w:r>
      <w:r w:rsidR="0000648F">
        <w:rPr>
          <w:lang w:eastAsia="en-US"/>
        </w:rPr>
        <w:t xml:space="preserve">Moreover, this </w:t>
      </w:r>
      <w:r w:rsidR="00B157F1">
        <w:rPr>
          <w:lang w:eastAsia="en-US"/>
        </w:rPr>
        <w:t xml:space="preserve">method assumes </w:t>
      </w:r>
      <w:r w:rsidR="00C54FD4">
        <w:rPr>
          <w:lang w:eastAsia="en-US"/>
        </w:rPr>
        <w:t xml:space="preserve">that the rate of return is constant over the </w:t>
      </w:r>
      <w:r w:rsidR="006E6B6F">
        <w:rPr>
          <w:lang w:eastAsia="en-US"/>
        </w:rPr>
        <w:t xml:space="preserve">years or </w:t>
      </w:r>
      <w:r w:rsidR="000D1DDE">
        <w:rPr>
          <w:lang w:eastAsia="en-US"/>
        </w:rPr>
        <w:t>life of the project.</w:t>
      </w:r>
    </w:p>
    <w:p w14:paraId="44FAB908" w14:textId="77777777" w:rsidR="009D5249" w:rsidRPr="002D3ADB" w:rsidRDefault="009D5249" w:rsidP="002D3ADB">
      <w:pPr>
        <w:spacing w:line="360" w:lineRule="auto"/>
        <w:rPr>
          <w:lang w:eastAsia="en-US"/>
        </w:rPr>
      </w:pPr>
    </w:p>
    <w:p w14:paraId="2F765E6F" w14:textId="08759B86" w:rsidR="00B417B2" w:rsidRPr="002D3ADB" w:rsidRDefault="00262AAF" w:rsidP="002F6464">
      <w:pPr>
        <w:spacing w:line="360" w:lineRule="auto"/>
        <w:jc w:val="center"/>
        <w:rPr>
          <w:lang w:eastAsia="en-US"/>
        </w:rPr>
      </w:pPr>
      <w:r w:rsidRPr="002D3ADB">
        <w:rPr>
          <w:noProof/>
        </w:rPr>
        <w:drawing>
          <wp:inline distT="0" distB="0" distL="0" distR="0" wp14:anchorId="22DC1DFA" wp14:editId="7209F65E">
            <wp:extent cx="5654841" cy="17145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9936" cy="174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79032" w14:textId="213AAE46" w:rsidR="00C034E0" w:rsidRDefault="008065AA" w:rsidP="002D3ADB">
      <w:pPr>
        <w:pStyle w:val="Heading3"/>
        <w:spacing w:line="360" w:lineRule="auto"/>
        <w:rPr>
          <w:rFonts w:ascii="Times New Roman" w:hAnsi="Times New Roman" w:cs="Times New Roman"/>
        </w:rPr>
      </w:pPr>
      <w:bookmarkStart w:id="38" w:name="_Toc61893753"/>
      <w:r w:rsidRPr="002D3ADB">
        <w:rPr>
          <w:rFonts w:ascii="Times New Roman" w:hAnsi="Times New Roman" w:cs="Times New Roman"/>
        </w:rPr>
        <w:t>Project A</w:t>
      </w:r>
      <w:bookmarkEnd w:id="38"/>
    </w:p>
    <w:p w14:paraId="01F890C0" w14:textId="53F4CDF8" w:rsidR="00EF4F60" w:rsidRDefault="00EF4F60" w:rsidP="00547E9C">
      <w:pPr>
        <w:spacing w:line="360" w:lineRule="auto"/>
        <w:rPr>
          <w:lang w:eastAsia="en-US"/>
        </w:rPr>
      </w:pPr>
    </w:p>
    <w:p w14:paraId="19F2B55C" w14:textId="13C4DCAA" w:rsidR="00C034E0" w:rsidRPr="002D3ADB" w:rsidRDefault="00005008" w:rsidP="00547E9C">
      <w:pPr>
        <w:spacing w:line="360" w:lineRule="auto"/>
        <w:rPr>
          <w:lang w:eastAsia="en-US"/>
        </w:rPr>
      </w:pPr>
      <w:r>
        <w:rPr>
          <w:lang w:eastAsia="en-US"/>
        </w:rPr>
        <w:t xml:space="preserve">Project A costs </w:t>
      </w:r>
      <w:r w:rsidRPr="00005008">
        <w:rPr>
          <w:b/>
          <w:bCs/>
          <w:lang w:eastAsia="en-US"/>
        </w:rPr>
        <w:t>£85m</w:t>
      </w:r>
      <w:r>
        <w:rPr>
          <w:lang w:eastAsia="en-US"/>
        </w:rPr>
        <w:t xml:space="preserve"> and t</w:t>
      </w:r>
      <w:r w:rsidR="00EF4F60">
        <w:rPr>
          <w:lang w:eastAsia="en-US"/>
        </w:rPr>
        <w:t xml:space="preserve">he average annual income for Project A is </w:t>
      </w:r>
      <w:r w:rsidR="00547E9C">
        <w:rPr>
          <w:lang w:eastAsia="en-US"/>
        </w:rPr>
        <w:t>calculated as follows:</w:t>
      </w:r>
    </w:p>
    <w:p w14:paraId="32AF645E" w14:textId="1010DC78" w:rsidR="00C034E0" w:rsidRDefault="00C034E0" w:rsidP="00547E9C">
      <w:pPr>
        <w:spacing w:line="360" w:lineRule="auto"/>
        <w:rPr>
          <w:b/>
          <w:bCs/>
          <w:lang w:eastAsia="en-US"/>
        </w:rPr>
      </w:pPr>
      <w:r w:rsidRPr="002D3ADB">
        <w:rPr>
          <w:lang w:eastAsia="en-US"/>
        </w:rPr>
        <w:t xml:space="preserve">Projected Cash Inflows from the Project: £10m + £20m + £45m + £55m = </w:t>
      </w:r>
      <w:r w:rsidRPr="002D3ADB">
        <w:rPr>
          <w:b/>
          <w:bCs/>
          <w:lang w:eastAsia="en-US"/>
        </w:rPr>
        <w:t>£125m</w:t>
      </w:r>
    </w:p>
    <w:p w14:paraId="20CA5F3A" w14:textId="77777777" w:rsidR="004623A0" w:rsidRPr="002D3ADB" w:rsidRDefault="004623A0" w:rsidP="004623A0">
      <w:pPr>
        <w:spacing w:line="360" w:lineRule="auto"/>
        <w:rPr>
          <w:b/>
          <w:bCs/>
          <w:lang w:eastAsia="en-US"/>
        </w:rPr>
      </w:pPr>
      <w:r w:rsidRPr="002D3ADB">
        <w:rPr>
          <w:lang w:eastAsia="en-US"/>
        </w:rPr>
        <w:t xml:space="preserve">Project Profit: £125m - £85m = </w:t>
      </w:r>
      <w:r w:rsidRPr="002D3ADB">
        <w:rPr>
          <w:b/>
          <w:bCs/>
          <w:lang w:eastAsia="en-US"/>
        </w:rPr>
        <w:t>£40m</w:t>
      </w:r>
    </w:p>
    <w:p w14:paraId="1BB822A2" w14:textId="16A4519B" w:rsidR="004623A0" w:rsidRDefault="004623A0" w:rsidP="00547E9C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Project Average Annual Profit = £40m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4 years = </w:t>
      </w:r>
      <w:r w:rsidRPr="002D3ADB">
        <w:rPr>
          <w:b/>
          <w:bCs/>
          <w:lang w:eastAsia="en-US"/>
        </w:rPr>
        <w:t>£10m</w:t>
      </w:r>
    </w:p>
    <w:p w14:paraId="5DBA2C08" w14:textId="77777777" w:rsidR="00690A25" w:rsidRPr="002D3ADB" w:rsidRDefault="00690A25" w:rsidP="00547E9C">
      <w:pPr>
        <w:spacing w:line="360" w:lineRule="auto"/>
        <w:rPr>
          <w:lang w:eastAsia="en-US"/>
        </w:rPr>
      </w:pPr>
    </w:p>
    <w:p w14:paraId="4EC094BE" w14:textId="2A5A6AE4" w:rsidR="009D5249" w:rsidRPr="002D3ADB" w:rsidRDefault="00642EEC" w:rsidP="002D3ADB">
      <w:pPr>
        <w:spacing w:line="360" w:lineRule="auto"/>
        <w:rPr>
          <w:lang w:eastAsia="en-US"/>
        </w:rPr>
      </w:pPr>
      <w:r>
        <w:rPr>
          <w:lang w:eastAsia="en-US"/>
        </w:rPr>
        <w:t xml:space="preserve">Using the </w:t>
      </w:r>
      <w:r w:rsidR="009D5249" w:rsidRPr="002D3ADB">
        <w:rPr>
          <w:lang w:eastAsia="en-US"/>
        </w:rPr>
        <w:t>Accounting Rate of Return Approach 1</w:t>
      </w:r>
      <w:r>
        <w:rPr>
          <w:lang w:eastAsia="en-US"/>
        </w:rPr>
        <w:t xml:space="preserve">, </w:t>
      </w:r>
      <w:r w:rsidR="00F82B36">
        <w:rPr>
          <w:lang w:eastAsia="en-US"/>
        </w:rPr>
        <w:t xml:space="preserve">the ARR is </w:t>
      </w:r>
      <w:r w:rsidR="00F82B36" w:rsidRPr="002D3ADB">
        <w:rPr>
          <w:lang w:eastAsia="en-US"/>
        </w:rPr>
        <w:t>23.53%</w:t>
      </w:r>
      <w:r w:rsidR="00F82B36">
        <w:rPr>
          <w:lang w:eastAsia="en-US"/>
        </w:rPr>
        <w:t xml:space="preserve"> which is calculated as follows: </w:t>
      </w:r>
    </w:p>
    <w:p w14:paraId="44EE9052" w14:textId="77777777" w:rsidR="008677F7" w:rsidRPr="002D3ADB" w:rsidRDefault="008677F7" w:rsidP="002D3ADB">
      <w:pPr>
        <w:spacing w:line="360" w:lineRule="auto"/>
        <w:rPr>
          <w:lang w:eastAsia="en-US"/>
        </w:rPr>
      </w:pPr>
    </w:p>
    <w:p w14:paraId="4D1714B0" w14:textId="70AA00D3" w:rsidR="009D5249" w:rsidRPr="002D3ADB" w:rsidRDefault="009D5249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>ARR</w:t>
      </w:r>
      <w:r w:rsidRPr="002D3ADB">
        <w:rPr>
          <w:vertAlign w:val="subscript"/>
          <w:lang w:eastAsia="en-US"/>
        </w:rPr>
        <w:t>1</w:t>
      </w:r>
      <w:r w:rsidRPr="002D3ADB">
        <w:rPr>
          <w:lang w:eastAsia="en-US"/>
        </w:rPr>
        <w:t xml:space="preserve"> = Average Annual Profit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((Project Cost + Scrap Value)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2)</w:t>
      </w:r>
    </w:p>
    <w:p w14:paraId="3F042327" w14:textId="25A14B47" w:rsidR="009D5249" w:rsidRPr="002D3ADB" w:rsidRDefault="009D5249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</w:t>
      </w:r>
      <w:r w:rsidR="00944411" w:rsidRPr="002D3ADB">
        <w:rPr>
          <w:lang w:eastAsia="en-US"/>
        </w:rPr>
        <w:t xml:space="preserve">£10m </w:t>
      </w:r>
      <w:r w:rsidR="00944411" w:rsidRPr="002D3ADB">
        <w:rPr>
          <w:lang w:eastAsia="en-US"/>
        </w:rPr>
        <w:sym w:font="Symbol" w:char="F0B8"/>
      </w:r>
      <w:r w:rsidR="00944411" w:rsidRPr="002D3ADB">
        <w:rPr>
          <w:lang w:eastAsia="en-US"/>
        </w:rPr>
        <w:t xml:space="preserve"> </w:t>
      </w:r>
      <w:r w:rsidR="008677F7" w:rsidRPr="002D3ADB">
        <w:rPr>
          <w:lang w:eastAsia="en-US"/>
        </w:rPr>
        <w:t xml:space="preserve">((£85m + 0) </w:t>
      </w:r>
      <w:r w:rsidR="008677F7" w:rsidRPr="002D3ADB">
        <w:rPr>
          <w:lang w:eastAsia="en-US"/>
        </w:rPr>
        <w:sym w:font="Symbol" w:char="F0B8"/>
      </w:r>
      <w:r w:rsidR="008677F7" w:rsidRPr="002D3ADB">
        <w:rPr>
          <w:lang w:eastAsia="en-US"/>
        </w:rPr>
        <w:t xml:space="preserve"> 2)</w:t>
      </w:r>
    </w:p>
    <w:p w14:paraId="62F10198" w14:textId="554B5F4F" w:rsidR="008677F7" w:rsidRPr="002D3ADB" w:rsidRDefault="008677F7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£10m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(£85m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2)</w:t>
      </w:r>
    </w:p>
    <w:p w14:paraId="47943569" w14:textId="0D24D6DA" w:rsidR="008677F7" w:rsidRPr="002D3ADB" w:rsidRDefault="008677F7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£10m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£42.5m</w:t>
      </w:r>
    </w:p>
    <w:p w14:paraId="58210310" w14:textId="01755404" w:rsidR="008677F7" w:rsidRPr="002D3ADB" w:rsidRDefault="008677F7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lastRenderedPageBreak/>
        <w:t xml:space="preserve">          = 0.2352941176</w:t>
      </w:r>
    </w:p>
    <w:p w14:paraId="3E082DA1" w14:textId="595321EA" w:rsidR="008677F7" w:rsidRPr="004B56D0" w:rsidRDefault="008677F7" w:rsidP="002D3ADB">
      <w:pPr>
        <w:spacing w:line="360" w:lineRule="auto"/>
        <w:rPr>
          <w:b/>
          <w:bCs/>
          <w:lang w:eastAsia="en-US"/>
        </w:rPr>
      </w:pPr>
      <w:r w:rsidRPr="004B56D0">
        <w:rPr>
          <w:b/>
          <w:bCs/>
          <w:lang w:eastAsia="en-US"/>
        </w:rPr>
        <w:t>ARR</w:t>
      </w:r>
      <w:r w:rsidRPr="004B56D0">
        <w:rPr>
          <w:b/>
          <w:bCs/>
          <w:vertAlign w:val="subscript"/>
          <w:lang w:eastAsia="en-US"/>
        </w:rPr>
        <w:t>1</w:t>
      </w:r>
      <w:r w:rsidRPr="004B56D0">
        <w:rPr>
          <w:b/>
          <w:bCs/>
          <w:lang w:eastAsia="en-US"/>
        </w:rPr>
        <w:t xml:space="preserve"> = 23.53%</w:t>
      </w:r>
    </w:p>
    <w:p w14:paraId="6549069A" w14:textId="3D8F3C61" w:rsidR="008677F7" w:rsidRPr="002D3ADB" w:rsidRDefault="008677F7" w:rsidP="002D3ADB">
      <w:pPr>
        <w:spacing w:line="360" w:lineRule="auto"/>
        <w:rPr>
          <w:lang w:eastAsia="en-US"/>
        </w:rPr>
      </w:pPr>
    </w:p>
    <w:p w14:paraId="10AAB958" w14:textId="509A985E" w:rsidR="004B56D0" w:rsidRPr="002D3ADB" w:rsidRDefault="004B56D0" w:rsidP="004B56D0">
      <w:pPr>
        <w:spacing w:line="360" w:lineRule="auto"/>
        <w:rPr>
          <w:lang w:eastAsia="en-US"/>
        </w:rPr>
      </w:pPr>
      <w:r>
        <w:rPr>
          <w:lang w:eastAsia="en-US"/>
        </w:rPr>
        <w:t xml:space="preserve">Using the </w:t>
      </w:r>
      <w:r w:rsidR="008677F7" w:rsidRPr="002D3ADB">
        <w:rPr>
          <w:lang w:eastAsia="en-US"/>
        </w:rPr>
        <w:t>Accounting Rate of Return Approach 2:</w:t>
      </w:r>
      <w:r>
        <w:rPr>
          <w:lang w:eastAsia="en-US"/>
        </w:rPr>
        <w:t xml:space="preserve"> the ARR is 11.</w:t>
      </w:r>
      <w:r w:rsidR="00185F00">
        <w:rPr>
          <w:lang w:eastAsia="en-US"/>
        </w:rPr>
        <w:t>7</w:t>
      </w:r>
      <w:r>
        <w:rPr>
          <w:lang w:eastAsia="en-US"/>
        </w:rPr>
        <w:t>6</w:t>
      </w:r>
      <w:r w:rsidRPr="002D3ADB">
        <w:rPr>
          <w:lang w:eastAsia="en-US"/>
        </w:rPr>
        <w:t>%</w:t>
      </w:r>
      <w:r>
        <w:rPr>
          <w:lang w:eastAsia="en-US"/>
        </w:rPr>
        <w:t xml:space="preserve"> which is calculated as follows: </w:t>
      </w:r>
    </w:p>
    <w:p w14:paraId="64A1FA63" w14:textId="0095178D" w:rsidR="008677F7" w:rsidRPr="002D3ADB" w:rsidRDefault="008677F7" w:rsidP="002D3ADB">
      <w:pPr>
        <w:spacing w:line="360" w:lineRule="auto"/>
        <w:rPr>
          <w:lang w:eastAsia="en-US"/>
        </w:rPr>
      </w:pPr>
    </w:p>
    <w:p w14:paraId="350F9224" w14:textId="77777777" w:rsidR="008677F7" w:rsidRPr="002D3ADB" w:rsidRDefault="008677F7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>ARR</w:t>
      </w:r>
      <w:r w:rsidRPr="002D3ADB">
        <w:rPr>
          <w:vertAlign w:val="subscript"/>
          <w:lang w:eastAsia="en-US"/>
        </w:rPr>
        <w:t>2</w:t>
      </w:r>
      <w:r w:rsidRPr="002D3ADB">
        <w:rPr>
          <w:lang w:eastAsia="en-US"/>
        </w:rPr>
        <w:t xml:space="preserve"> = Average Annual Profit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(Project Cost + Scrap Value)</w:t>
      </w:r>
    </w:p>
    <w:p w14:paraId="36D6DDB9" w14:textId="3CED9969" w:rsidR="00E956A5" w:rsidRPr="002D3ADB" w:rsidRDefault="00E956A5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£10m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(£85m + 0)</w:t>
      </w:r>
    </w:p>
    <w:p w14:paraId="6C04E376" w14:textId="33A99978" w:rsidR="00E956A5" w:rsidRPr="002D3ADB" w:rsidRDefault="00E956A5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£10m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£85m</w:t>
      </w:r>
    </w:p>
    <w:p w14:paraId="4A49218C" w14:textId="0697A7CA" w:rsidR="00E956A5" w:rsidRPr="002D3ADB" w:rsidRDefault="00E956A5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0.1176470588</w:t>
      </w:r>
    </w:p>
    <w:p w14:paraId="7298CBC7" w14:textId="2502A39E" w:rsidR="00E956A5" w:rsidRPr="004B56D0" w:rsidRDefault="00E956A5" w:rsidP="002D3ADB">
      <w:pPr>
        <w:spacing w:line="360" w:lineRule="auto"/>
        <w:rPr>
          <w:b/>
          <w:bCs/>
          <w:lang w:eastAsia="en-US"/>
        </w:rPr>
      </w:pPr>
      <w:r w:rsidRPr="004B56D0">
        <w:rPr>
          <w:b/>
          <w:bCs/>
          <w:lang w:eastAsia="en-US"/>
        </w:rPr>
        <w:t>ARR</w:t>
      </w:r>
      <w:r w:rsidRPr="004B56D0">
        <w:rPr>
          <w:b/>
          <w:bCs/>
          <w:vertAlign w:val="subscript"/>
          <w:lang w:eastAsia="en-US"/>
        </w:rPr>
        <w:t>2</w:t>
      </w:r>
      <w:r w:rsidRPr="004B56D0">
        <w:rPr>
          <w:b/>
          <w:bCs/>
          <w:lang w:eastAsia="en-US"/>
        </w:rPr>
        <w:t xml:space="preserve"> = 11.76%</w:t>
      </w:r>
    </w:p>
    <w:p w14:paraId="31063614" w14:textId="6377C7E4" w:rsidR="002B4103" w:rsidRDefault="002B4103">
      <w:pPr>
        <w:rPr>
          <w:rFonts w:eastAsiaTheme="majorEastAsia"/>
          <w:color w:val="1F3763" w:themeColor="accent1" w:themeShade="7F"/>
          <w:lang w:eastAsia="en-US"/>
        </w:rPr>
      </w:pPr>
    </w:p>
    <w:p w14:paraId="0BBA0D4F" w14:textId="4F19EF82" w:rsidR="00D56270" w:rsidRPr="002D3ADB" w:rsidRDefault="00D56270" w:rsidP="002D3ADB">
      <w:pPr>
        <w:pStyle w:val="Heading3"/>
        <w:spacing w:line="360" w:lineRule="auto"/>
        <w:rPr>
          <w:rFonts w:ascii="Times New Roman" w:hAnsi="Times New Roman" w:cs="Times New Roman"/>
        </w:rPr>
      </w:pPr>
      <w:bookmarkStart w:id="39" w:name="_Toc61893754"/>
      <w:r w:rsidRPr="002D3ADB">
        <w:rPr>
          <w:rFonts w:ascii="Times New Roman" w:hAnsi="Times New Roman" w:cs="Times New Roman"/>
        </w:rPr>
        <w:t>Project B</w:t>
      </w:r>
      <w:bookmarkEnd w:id="39"/>
    </w:p>
    <w:p w14:paraId="7B9D44E5" w14:textId="77777777" w:rsidR="00D56270" w:rsidRPr="002D3ADB" w:rsidRDefault="00D56270" w:rsidP="002D3ADB">
      <w:pPr>
        <w:spacing w:line="360" w:lineRule="auto"/>
        <w:rPr>
          <w:lang w:eastAsia="en-US"/>
        </w:rPr>
      </w:pPr>
    </w:p>
    <w:p w14:paraId="5B69040B" w14:textId="12D73E30" w:rsidR="00D56270" w:rsidRPr="002D3ADB" w:rsidRDefault="005A1A96" w:rsidP="002D3ADB">
      <w:pPr>
        <w:spacing w:line="360" w:lineRule="auto"/>
        <w:rPr>
          <w:lang w:eastAsia="en-US"/>
        </w:rPr>
      </w:pPr>
      <w:r>
        <w:rPr>
          <w:lang w:eastAsia="en-US"/>
        </w:rPr>
        <w:t xml:space="preserve">Project B costs </w:t>
      </w:r>
      <w:r w:rsidR="00D56270" w:rsidRPr="002D3ADB">
        <w:rPr>
          <w:b/>
          <w:bCs/>
          <w:lang w:eastAsia="en-US"/>
        </w:rPr>
        <w:t>£90m</w:t>
      </w:r>
      <w:r>
        <w:rPr>
          <w:b/>
          <w:bCs/>
          <w:lang w:eastAsia="en-US"/>
        </w:rPr>
        <w:t xml:space="preserve"> </w:t>
      </w:r>
      <w:r>
        <w:rPr>
          <w:lang w:eastAsia="en-US"/>
        </w:rPr>
        <w:t>and the average annual income for Project B is calculated as follows:</w:t>
      </w:r>
    </w:p>
    <w:p w14:paraId="66CD07C4" w14:textId="4532D7A0" w:rsidR="00D56270" w:rsidRPr="002D3ADB" w:rsidRDefault="00D56270" w:rsidP="002D3ADB">
      <w:pPr>
        <w:spacing w:line="360" w:lineRule="auto"/>
        <w:rPr>
          <w:b/>
          <w:bCs/>
          <w:lang w:eastAsia="en-US"/>
        </w:rPr>
      </w:pPr>
      <w:r w:rsidRPr="002D3ADB">
        <w:rPr>
          <w:lang w:eastAsia="en-US"/>
        </w:rPr>
        <w:t xml:space="preserve">Projected Cash Inflows from the Project: £25m + £30m + £35m + £40m = </w:t>
      </w:r>
      <w:r w:rsidRPr="002D3ADB">
        <w:rPr>
          <w:b/>
          <w:bCs/>
          <w:lang w:eastAsia="en-US"/>
        </w:rPr>
        <w:t>£130m</w:t>
      </w:r>
    </w:p>
    <w:p w14:paraId="62AFC803" w14:textId="330B73A5" w:rsidR="00D56270" w:rsidRPr="002D3ADB" w:rsidRDefault="00D56270" w:rsidP="002D3ADB">
      <w:pPr>
        <w:spacing w:line="360" w:lineRule="auto"/>
        <w:rPr>
          <w:b/>
          <w:bCs/>
          <w:lang w:eastAsia="en-US"/>
        </w:rPr>
      </w:pPr>
      <w:r w:rsidRPr="002D3ADB">
        <w:rPr>
          <w:lang w:eastAsia="en-US"/>
        </w:rPr>
        <w:t xml:space="preserve">Project Profit: £130m - £90m = </w:t>
      </w:r>
      <w:r w:rsidRPr="002D3ADB">
        <w:rPr>
          <w:b/>
          <w:bCs/>
          <w:lang w:eastAsia="en-US"/>
        </w:rPr>
        <w:t>£40m</w:t>
      </w:r>
    </w:p>
    <w:p w14:paraId="0C9904D1" w14:textId="77777777" w:rsidR="00D56270" w:rsidRPr="002D3ADB" w:rsidRDefault="00D56270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Project Average Annual Profit = £40m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4 years = </w:t>
      </w:r>
      <w:r w:rsidRPr="002D3ADB">
        <w:rPr>
          <w:b/>
          <w:bCs/>
          <w:lang w:eastAsia="en-US"/>
        </w:rPr>
        <w:t>£10m</w:t>
      </w:r>
    </w:p>
    <w:p w14:paraId="655A84B7" w14:textId="77777777" w:rsidR="00D56270" w:rsidRPr="002D3ADB" w:rsidRDefault="00D56270" w:rsidP="002D3ADB">
      <w:pPr>
        <w:spacing w:line="360" w:lineRule="auto"/>
        <w:rPr>
          <w:lang w:eastAsia="en-US"/>
        </w:rPr>
      </w:pPr>
    </w:p>
    <w:p w14:paraId="5F41A12D" w14:textId="78AFF099" w:rsidR="005A1A96" w:rsidRPr="002D3ADB" w:rsidRDefault="005A1A96" w:rsidP="005A1A96">
      <w:pPr>
        <w:spacing w:line="360" w:lineRule="auto"/>
        <w:rPr>
          <w:lang w:eastAsia="en-US"/>
        </w:rPr>
      </w:pPr>
      <w:r>
        <w:rPr>
          <w:lang w:eastAsia="en-US"/>
        </w:rPr>
        <w:t xml:space="preserve">Using the </w:t>
      </w:r>
      <w:r w:rsidRPr="002D3ADB">
        <w:rPr>
          <w:lang w:eastAsia="en-US"/>
        </w:rPr>
        <w:t>Accounting Rate of Return Approach 1</w:t>
      </w:r>
      <w:r>
        <w:rPr>
          <w:lang w:eastAsia="en-US"/>
        </w:rPr>
        <w:t xml:space="preserve">, the ARR is </w:t>
      </w:r>
      <w:r w:rsidRPr="002D3ADB">
        <w:rPr>
          <w:lang w:eastAsia="en-US"/>
        </w:rPr>
        <w:t>2</w:t>
      </w:r>
      <w:r>
        <w:rPr>
          <w:lang w:eastAsia="en-US"/>
        </w:rPr>
        <w:t>2.22</w:t>
      </w:r>
      <w:r w:rsidRPr="002D3ADB">
        <w:rPr>
          <w:lang w:eastAsia="en-US"/>
        </w:rPr>
        <w:t>%</w:t>
      </w:r>
      <w:r>
        <w:rPr>
          <w:lang w:eastAsia="en-US"/>
        </w:rPr>
        <w:t xml:space="preserve"> which is calculated as follows: </w:t>
      </w:r>
    </w:p>
    <w:p w14:paraId="55B2613B" w14:textId="77777777" w:rsidR="00D56270" w:rsidRPr="002D3ADB" w:rsidRDefault="00D56270" w:rsidP="002D3ADB">
      <w:pPr>
        <w:spacing w:line="360" w:lineRule="auto"/>
        <w:rPr>
          <w:lang w:eastAsia="en-US"/>
        </w:rPr>
      </w:pPr>
    </w:p>
    <w:p w14:paraId="3748E582" w14:textId="77777777" w:rsidR="00D56270" w:rsidRPr="002D3ADB" w:rsidRDefault="00D56270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>ARR</w:t>
      </w:r>
      <w:r w:rsidRPr="002D3ADB">
        <w:rPr>
          <w:vertAlign w:val="subscript"/>
          <w:lang w:eastAsia="en-US"/>
        </w:rPr>
        <w:t>1</w:t>
      </w:r>
      <w:r w:rsidRPr="002D3ADB">
        <w:rPr>
          <w:lang w:eastAsia="en-US"/>
        </w:rPr>
        <w:t xml:space="preserve"> = Average Annual Profit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((Project Cost + Scrap Value)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2)</w:t>
      </w:r>
    </w:p>
    <w:p w14:paraId="0299743D" w14:textId="1BE03F32" w:rsidR="00D56270" w:rsidRPr="002D3ADB" w:rsidRDefault="00D56270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£10m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((£</w:t>
      </w:r>
      <w:r w:rsidR="00AC690A" w:rsidRPr="002D3ADB">
        <w:rPr>
          <w:lang w:eastAsia="en-US"/>
        </w:rPr>
        <w:t>90</w:t>
      </w:r>
      <w:r w:rsidRPr="002D3ADB">
        <w:rPr>
          <w:lang w:eastAsia="en-US"/>
        </w:rPr>
        <w:t xml:space="preserve">m + 0)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2)</w:t>
      </w:r>
    </w:p>
    <w:p w14:paraId="540CEAA0" w14:textId="7E106E16" w:rsidR="00D56270" w:rsidRPr="002D3ADB" w:rsidRDefault="00D56270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£10m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(£</w:t>
      </w:r>
      <w:r w:rsidR="00AC690A" w:rsidRPr="002D3ADB">
        <w:rPr>
          <w:lang w:eastAsia="en-US"/>
        </w:rPr>
        <w:t>90</w:t>
      </w:r>
      <w:r w:rsidRPr="002D3ADB">
        <w:rPr>
          <w:lang w:eastAsia="en-US"/>
        </w:rPr>
        <w:t xml:space="preserve">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2)</w:t>
      </w:r>
    </w:p>
    <w:p w14:paraId="0E91EB40" w14:textId="0A1681E5" w:rsidR="00D56270" w:rsidRPr="002D3ADB" w:rsidRDefault="00D56270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£10m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£4</w:t>
      </w:r>
      <w:r w:rsidR="00AC690A" w:rsidRPr="002D3ADB">
        <w:rPr>
          <w:lang w:eastAsia="en-US"/>
        </w:rPr>
        <w:t>5</w:t>
      </w:r>
      <w:r w:rsidRPr="002D3ADB">
        <w:rPr>
          <w:lang w:eastAsia="en-US"/>
        </w:rPr>
        <w:t>m</w:t>
      </w:r>
    </w:p>
    <w:p w14:paraId="0EFAA8AE" w14:textId="04B9A23D" w:rsidR="00D56270" w:rsidRPr="002D3ADB" w:rsidRDefault="00D56270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lastRenderedPageBreak/>
        <w:t xml:space="preserve">          = 0.2</w:t>
      </w:r>
      <w:r w:rsidR="00AC690A" w:rsidRPr="002D3ADB">
        <w:rPr>
          <w:lang w:eastAsia="en-US"/>
        </w:rPr>
        <w:t>2222222</w:t>
      </w:r>
    </w:p>
    <w:p w14:paraId="4125D80E" w14:textId="10AE1CF7" w:rsidR="00D56270" w:rsidRDefault="00D56270" w:rsidP="002D3ADB">
      <w:pPr>
        <w:spacing w:line="360" w:lineRule="auto"/>
        <w:rPr>
          <w:b/>
          <w:bCs/>
          <w:lang w:eastAsia="en-US"/>
        </w:rPr>
      </w:pPr>
      <w:r w:rsidRPr="005A1A96">
        <w:rPr>
          <w:b/>
          <w:bCs/>
          <w:lang w:eastAsia="en-US"/>
        </w:rPr>
        <w:t>ARR</w:t>
      </w:r>
      <w:r w:rsidRPr="005A1A96">
        <w:rPr>
          <w:b/>
          <w:bCs/>
          <w:vertAlign w:val="subscript"/>
          <w:lang w:eastAsia="en-US"/>
        </w:rPr>
        <w:t>1</w:t>
      </w:r>
      <w:r w:rsidRPr="005A1A96">
        <w:rPr>
          <w:b/>
          <w:bCs/>
          <w:lang w:eastAsia="en-US"/>
        </w:rPr>
        <w:t xml:space="preserve"> = </w:t>
      </w:r>
      <w:r w:rsidR="00AC690A" w:rsidRPr="005A1A96">
        <w:rPr>
          <w:b/>
          <w:bCs/>
          <w:lang w:eastAsia="en-US"/>
        </w:rPr>
        <w:t>22.22</w:t>
      </w:r>
      <w:r w:rsidRPr="005A1A96">
        <w:rPr>
          <w:b/>
          <w:bCs/>
          <w:lang w:eastAsia="en-US"/>
        </w:rPr>
        <w:t>%</w:t>
      </w:r>
    </w:p>
    <w:p w14:paraId="0299DB1E" w14:textId="77777777" w:rsidR="005A1A96" w:rsidRPr="005A1A96" w:rsidRDefault="005A1A96" w:rsidP="002D3ADB">
      <w:pPr>
        <w:spacing w:line="360" w:lineRule="auto"/>
        <w:rPr>
          <w:b/>
          <w:bCs/>
          <w:lang w:eastAsia="en-US"/>
        </w:rPr>
      </w:pPr>
    </w:p>
    <w:p w14:paraId="1034B5EB" w14:textId="4492A37F" w:rsidR="00CF3DB5" w:rsidRPr="002D3ADB" w:rsidRDefault="00CF3DB5" w:rsidP="00CF3DB5">
      <w:pPr>
        <w:spacing w:line="360" w:lineRule="auto"/>
        <w:rPr>
          <w:lang w:eastAsia="en-US"/>
        </w:rPr>
      </w:pPr>
      <w:r>
        <w:rPr>
          <w:lang w:eastAsia="en-US"/>
        </w:rPr>
        <w:t xml:space="preserve">Using the </w:t>
      </w:r>
      <w:r w:rsidRPr="002D3ADB">
        <w:rPr>
          <w:lang w:eastAsia="en-US"/>
        </w:rPr>
        <w:t>Accounting Rate of Return Approach 2:</w:t>
      </w:r>
      <w:r>
        <w:rPr>
          <w:lang w:eastAsia="en-US"/>
        </w:rPr>
        <w:t xml:space="preserve"> the ARR is 11.11</w:t>
      </w:r>
      <w:r w:rsidRPr="002D3ADB">
        <w:rPr>
          <w:lang w:eastAsia="en-US"/>
        </w:rPr>
        <w:t>%</w:t>
      </w:r>
      <w:r>
        <w:rPr>
          <w:lang w:eastAsia="en-US"/>
        </w:rPr>
        <w:t xml:space="preserve"> which is calculated as follows: </w:t>
      </w:r>
    </w:p>
    <w:p w14:paraId="449409AE" w14:textId="77777777" w:rsidR="00CF3DB5" w:rsidRDefault="00CF3DB5" w:rsidP="002D3ADB">
      <w:pPr>
        <w:spacing w:line="360" w:lineRule="auto"/>
        <w:rPr>
          <w:lang w:eastAsia="en-US"/>
        </w:rPr>
      </w:pPr>
    </w:p>
    <w:p w14:paraId="5CB6EE62" w14:textId="5133A028" w:rsidR="00D56270" w:rsidRPr="002D3ADB" w:rsidRDefault="00D56270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>ARR</w:t>
      </w:r>
      <w:r w:rsidRPr="002D3ADB">
        <w:rPr>
          <w:vertAlign w:val="subscript"/>
          <w:lang w:eastAsia="en-US"/>
        </w:rPr>
        <w:t>2</w:t>
      </w:r>
      <w:r w:rsidRPr="002D3ADB">
        <w:rPr>
          <w:lang w:eastAsia="en-US"/>
        </w:rPr>
        <w:t xml:space="preserve"> = Average Annual Profit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(Project Cost + Scrap Value)</w:t>
      </w:r>
    </w:p>
    <w:p w14:paraId="70E40582" w14:textId="472FB5DB" w:rsidR="00D56270" w:rsidRPr="002D3ADB" w:rsidRDefault="00D56270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£10m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(£</w:t>
      </w:r>
      <w:r w:rsidR="005900A3" w:rsidRPr="002D3ADB">
        <w:rPr>
          <w:lang w:eastAsia="en-US"/>
        </w:rPr>
        <w:t>90</w:t>
      </w:r>
      <w:r w:rsidRPr="002D3ADB">
        <w:rPr>
          <w:lang w:eastAsia="en-US"/>
        </w:rPr>
        <w:t>m + 0)</w:t>
      </w:r>
    </w:p>
    <w:p w14:paraId="76B4393F" w14:textId="7EA28F74" w:rsidR="00D56270" w:rsidRPr="002D3ADB" w:rsidRDefault="00D56270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£10m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£</w:t>
      </w:r>
      <w:r w:rsidR="005900A3" w:rsidRPr="002D3ADB">
        <w:rPr>
          <w:lang w:eastAsia="en-US"/>
        </w:rPr>
        <w:t>90</w:t>
      </w:r>
      <w:r w:rsidRPr="002D3ADB">
        <w:rPr>
          <w:lang w:eastAsia="en-US"/>
        </w:rPr>
        <w:t>m</w:t>
      </w:r>
    </w:p>
    <w:p w14:paraId="7B050AD0" w14:textId="740996FD" w:rsidR="00D56270" w:rsidRPr="002D3ADB" w:rsidRDefault="00D56270" w:rsidP="002D3ADB">
      <w:pPr>
        <w:spacing w:line="360" w:lineRule="auto"/>
        <w:rPr>
          <w:lang w:eastAsia="en-US"/>
        </w:rPr>
      </w:pPr>
      <w:r w:rsidRPr="002D3ADB">
        <w:rPr>
          <w:lang w:eastAsia="en-US"/>
        </w:rPr>
        <w:t xml:space="preserve">          = 0.11</w:t>
      </w:r>
      <w:r w:rsidR="005900A3" w:rsidRPr="002D3ADB">
        <w:rPr>
          <w:lang w:eastAsia="en-US"/>
        </w:rPr>
        <w:t>111111</w:t>
      </w:r>
    </w:p>
    <w:p w14:paraId="0B7CC12E" w14:textId="46030F1F" w:rsidR="00D56270" w:rsidRPr="00CF3DB5" w:rsidRDefault="00D56270" w:rsidP="002D3ADB">
      <w:pPr>
        <w:spacing w:line="360" w:lineRule="auto"/>
        <w:rPr>
          <w:b/>
          <w:bCs/>
          <w:lang w:eastAsia="en-US"/>
        </w:rPr>
      </w:pPr>
      <w:r w:rsidRPr="00CF3DB5">
        <w:rPr>
          <w:b/>
          <w:bCs/>
          <w:lang w:eastAsia="en-US"/>
        </w:rPr>
        <w:t>ARR</w:t>
      </w:r>
      <w:r w:rsidRPr="00CF3DB5">
        <w:rPr>
          <w:b/>
          <w:bCs/>
          <w:vertAlign w:val="subscript"/>
          <w:lang w:eastAsia="en-US"/>
        </w:rPr>
        <w:t>2</w:t>
      </w:r>
      <w:r w:rsidRPr="00CF3DB5">
        <w:rPr>
          <w:b/>
          <w:bCs/>
          <w:lang w:eastAsia="en-US"/>
        </w:rPr>
        <w:t xml:space="preserve"> = 11.</w:t>
      </w:r>
      <w:r w:rsidR="005900A3" w:rsidRPr="00CF3DB5">
        <w:rPr>
          <w:b/>
          <w:bCs/>
          <w:lang w:eastAsia="en-US"/>
        </w:rPr>
        <w:t>11</w:t>
      </w:r>
      <w:r w:rsidRPr="00CF3DB5">
        <w:rPr>
          <w:b/>
          <w:bCs/>
          <w:lang w:eastAsia="en-US"/>
        </w:rPr>
        <w:t>%</w:t>
      </w:r>
    </w:p>
    <w:p w14:paraId="645DC5EB" w14:textId="77F4CE3D" w:rsidR="00690A25" w:rsidRPr="002D3ADB" w:rsidRDefault="00690A25" w:rsidP="002D3ADB">
      <w:pPr>
        <w:spacing w:line="360" w:lineRule="auto"/>
        <w:jc w:val="both"/>
        <w:rPr>
          <w:lang w:eastAsia="en-US"/>
        </w:rPr>
      </w:pPr>
    </w:p>
    <w:p w14:paraId="1738EE22" w14:textId="13680E55" w:rsidR="00EA451C" w:rsidRPr="002D3ADB" w:rsidRDefault="00EA451C" w:rsidP="00EA451C">
      <w:pPr>
        <w:pStyle w:val="Heading3"/>
        <w:spacing w:line="360" w:lineRule="auto"/>
        <w:rPr>
          <w:rFonts w:ascii="Times New Roman" w:hAnsi="Times New Roman" w:cs="Times New Roman"/>
        </w:rPr>
      </w:pPr>
      <w:bookmarkStart w:id="40" w:name="_Toc61893755"/>
      <w:r w:rsidRPr="002D3ADB">
        <w:rPr>
          <w:rFonts w:ascii="Times New Roman" w:hAnsi="Times New Roman" w:cs="Times New Roman"/>
        </w:rPr>
        <w:t xml:space="preserve">Decision using </w:t>
      </w:r>
      <w:r w:rsidR="00ED136B">
        <w:rPr>
          <w:rFonts w:ascii="Times New Roman" w:hAnsi="Times New Roman" w:cs="Times New Roman"/>
        </w:rPr>
        <w:t>Accounting Rate of Return</w:t>
      </w:r>
      <w:r w:rsidRPr="002D3ADB">
        <w:rPr>
          <w:rFonts w:ascii="Times New Roman" w:hAnsi="Times New Roman" w:cs="Times New Roman"/>
        </w:rPr>
        <w:t xml:space="preserve"> (</w:t>
      </w:r>
      <w:r w:rsidR="003C36DE">
        <w:rPr>
          <w:rFonts w:ascii="Times New Roman" w:hAnsi="Times New Roman" w:cs="Times New Roman"/>
        </w:rPr>
        <w:t>ARR</w:t>
      </w:r>
      <w:r w:rsidRPr="002D3ADB">
        <w:rPr>
          <w:rFonts w:ascii="Times New Roman" w:hAnsi="Times New Roman" w:cs="Times New Roman"/>
        </w:rPr>
        <w:t>) Method</w:t>
      </w:r>
      <w:bookmarkEnd w:id="40"/>
    </w:p>
    <w:p w14:paraId="7BF8AB2A" w14:textId="77777777" w:rsidR="004D3372" w:rsidRDefault="004D3372"/>
    <w:p w14:paraId="7491C4D4" w14:textId="7FF2DEEA" w:rsidR="00EA451C" w:rsidRDefault="00035479" w:rsidP="00114780">
      <w:pPr>
        <w:spacing w:line="360" w:lineRule="auto"/>
        <w:jc w:val="both"/>
        <w:rPr>
          <w:lang w:eastAsia="en-US"/>
        </w:rPr>
      </w:pPr>
      <w:r>
        <w:rPr>
          <w:lang w:eastAsia="en-US"/>
        </w:rPr>
        <w:t>Based on the calculation</w:t>
      </w:r>
      <w:r w:rsidR="00BF34E6">
        <w:rPr>
          <w:lang w:eastAsia="en-US"/>
        </w:rPr>
        <w:t>s,</w:t>
      </w:r>
      <w:r>
        <w:rPr>
          <w:lang w:eastAsia="en-US"/>
        </w:rPr>
        <w:t xml:space="preserve"> u</w:t>
      </w:r>
      <w:r w:rsidR="00C77762" w:rsidRPr="002D3ADB">
        <w:rPr>
          <w:lang w:eastAsia="en-US"/>
        </w:rPr>
        <w:t>sing the Accounting Rate of Return Method</w:t>
      </w:r>
      <w:r w:rsidR="00BF34E6">
        <w:rPr>
          <w:lang w:eastAsia="en-US"/>
        </w:rPr>
        <w:t xml:space="preserve"> and </w:t>
      </w:r>
      <w:r w:rsidR="000D210A">
        <w:rPr>
          <w:lang w:eastAsia="en-US"/>
        </w:rPr>
        <w:t>applying</w:t>
      </w:r>
      <w:r>
        <w:rPr>
          <w:lang w:eastAsia="en-US"/>
        </w:rPr>
        <w:t xml:space="preserve"> two approaches</w:t>
      </w:r>
      <w:r w:rsidR="00917CFD">
        <w:rPr>
          <w:lang w:eastAsia="en-US"/>
        </w:rPr>
        <w:t xml:space="preserve"> </w:t>
      </w:r>
      <w:r>
        <w:rPr>
          <w:lang w:eastAsia="en-US"/>
        </w:rPr>
        <w:t>for the two projects</w:t>
      </w:r>
      <w:r w:rsidR="00C77762" w:rsidRPr="002D3ADB">
        <w:rPr>
          <w:lang w:eastAsia="en-US"/>
        </w:rPr>
        <w:t>, it can be concluded that Project A is more feasible as it</w:t>
      </w:r>
      <w:r w:rsidR="00715C35">
        <w:rPr>
          <w:lang w:eastAsia="en-US"/>
        </w:rPr>
        <w:t xml:space="preserve"> </w:t>
      </w:r>
      <w:r w:rsidR="009519F4">
        <w:rPr>
          <w:lang w:eastAsia="en-US"/>
        </w:rPr>
        <w:t>yield</w:t>
      </w:r>
      <w:r w:rsidR="00114780">
        <w:rPr>
          <w:lang w:eastAsia="en-US"/>
        </w:rPr>
        <w:t xml:space="preserve">s </w:t>
      </w:r>
      <w:r w:rsidR="005077B3">
        <w:rPr>
          <w:lang w:eastAsia="en-US"/>
        </w:rPr>
        <w:t xml:space="preserve">higher rate of return than Project B does. </w:t>
      </w:r>
      <w:r w:rsidR="00114780">
        <w:rPr>
          <w:lang w:eastAsia="en-US"/>
        </w:rPr>
        <w:t xml:space="preserve">However, the </w:t>
      </w:r>
      <w:r w:rsidR="00132087">
        <w:rPr>
          <w:lang w:eastAsia="en-US"/>
        </w:rPr>
        <w:t>discrepanc</w:t>
      </w:r>
      <w:r w:rsidR="007C5F24">
        <w:rPr>
          <w:lang w:eastAsia="en-US"/>
        </w:rPr>
        <w:t>ies</w:t>
      </w:r>
      <w:r w:rsidR="00132087">
        <w:rPr>
          <w:lang w:eastAsia="en-US"/>
        </w:rPr>
        <w:t xml:space="preserve"> between </w:t>
      </w:r>
      <w:r w:rsidR="00955030">
        <w:rPr>
          <w:lang w:eastAsia="en-US"/>
        </w:rPr>
        <w:t>the rate</w:t>
      </w:r>
      <w:r w:rsidR="007C5F24">
        <w:rPr>
          <w:lang w:eastAsia="en-US"/>
        </w:rPr>
        <w:t>s</w:t>
      </w:r>
      <w:r w:rsidR="00955030">
        <w:rPr>
          <w:lang w:eastAsia="en-US"/>
        </w:rPr>
        <w:t xml:space="preserve"> of return</w:t>
      </w:r>
      <w:r w:rsidR="007C5F24">
        <w:rPr>
          <w:lang w:eastAsia="en-US"/>
        </w:rPr>
        <w:t xml:space="preserve"> are too small to be significant and further assessment of the projects must be executed.</w:t>
      </w:r>
    </w:p>
    <w:p w14:paraId="074E8BC3" w14:textId="77777777" w:rsidR="007C5F24" w:rsidRDefault="007C5F24">
      <w:pPr>
        <w:rPr>
          <w:rFonts w:eastAsiaTheme="majorEastAsia"/>
          <w:color w:val="2F5496" w:themeColor="accent1" w:themeShade="BF"/>
          <w:lang w:eastAsia="en-US"/>
        </w:rPr>
      </w:pPr>
      <w:r>
        <w:br w:type="page"/>
      </w:r>
    </w:p>
    <w:p w14:paraId="0E287AE6" w14:textId="0BF661D7" w:rsidR="005268CB" w:rsidRDefault="005268CB" w:rsidP="00882191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41" w:name="_Toc61893756"/>
      <w:r w:rsidRPr="002D3ADB">
        <w:rPr>
          <w:rFonts w:ascii="Times New Roman" w:hAnsi="Times New Roman" w:cs="Times New Roman"/>
          <w:sz w:val="24"/>
          <w:szCs w:val="24"/>
        </w:rPr>
        <w:lastRenderedPageBreak/>
        <w:t>Net Present Value</w:t>
      </w:r>
      <w:r w:rsidR="00D353E5" w:rsidRPr="002D3ADB">
        <w:rPr>
          <w:rFonts w:ascii="Times New Roman" w:hAnsi="Times New Roman" w:cs="Times New Roman"/>
          <w:sz w:val="24"/>
          <w:szCs w:val="24"/>
        </w:rPr>
        <w:t xml:space="preserve"> (NPV)</w:t>
      </w:r>
      <w:r w:rsidR="00BA1460">
        <w:rPr>
          <w:rFonts w:ascii="Times New Roman" w:hAnsi="Times New Roman" w:cs="Times New Roman"/>
          <w:sz w:val="24"/>
          <w:szCs w:val="24"/>
        </w:rPr>
        <w:t xml:space="preserve"> Method</w:t>
      </w:r>
      <w:bookmarkEnd w:id="41"/>
    </w:p>
    <w:p w14:paraId="4809F2B4" w14:textId="40B0BC7B" w:rsidR="001B2907" w:rsidRDefault="001B2907" w:rsidP="00882191">
      <w:pPr>
        <w:spacing w:line="360" w:lineRule="auto"/>
        <w:jc w:val="both"/>
        <w:rPr>
          <w:lang w:eastAsia="en-US"/>
        </w:rPr>
      </w:pPr>
    </w:p>
    <w:p w14:paraId="573B9366" w14:textId="3D7AC03A" w:rsidR="001B2907" w:rsidRPr="001B2907" w:rsidRDefault="001B2907" w:rsidP="00882191">
      <w:pPr>
        <w:spacing w:line="360" w:lineRule="auto"/>
        <w:jc w:val="both"/>
        <w:rPr>
          <w:lang w:eastAsia="en-US"/>
        </w:rPr>
      </w:pPr>
      <w:r>
        <w:rPr>
          <w:lang w:eastAsia="en-US"/>
        </w:rPr>
        <w:t xml:space="preserve">According to </w:t>
      </w:r>
      <w:proofErr w:type="spellStart"/>
      <w:r>
        <w:rPr>
          <w:lang w:eastAsia="en-US"/>
        </w:rPr>
        <w:t>Mendell</w:t>
      </w:r>
      <w:proofErr w:type="spellEnd"/>
      <w:r>
        <w:rPr>
          <w:lang w:eastAsia="en-US"/>
        </w:rPr>
        <w:t xml:space="preserve"> (2020)</w:t>
      </w:r>
      <w:r w:rsidR="00224927">
        <w:rPr>
          <w:lang w:eastAsia="en-US"/>
        </w:rPr>
        <w:t>,</w:t>
      </w:r>
      <w:r w:rsidR="000B268B">
        <w:rPr>
          <w:lang w:eastAsia="en-US"/>
        </w:rPr>
        <w:t xml:space="preserve"> </w:t>
      </w:r>
      <w:r w:rsidR="00BA1460">
        <w:rPr>
          <w:lang w:eastAsia="en-US"/>
        </w:rPr>
        <w:t>Net Present Va</w:t>
      </w:r>
      <w:r w:rsidR="005319FB">
        <w:rPr>
          <w:lang w:eastAsia="en-US"/>
        </w:rPr>
        <w:t>lue or NPV method</w:t>
      </w:r>
      <w:r w:rsidR="0080217F">
        <w:rPr>
          <w:lang w:eastAsia="en-US"/>
        </w:rPr>
        <w:t xml:space="preserve"> </w:t>
      </w:r>
      <w:r w:rsidR="00DE50BB">
        <w:rPr>
          <w:lang w:eastAsia="en-US"/>
        </w:rPr>
        <w:t xml:space="preserve">compares </w:t>
      </w:r>
      <w:r w:rsidR="006952AD">
        <w:rPr>
          <w:lang w:eastAsia="en-US"/>
        </w:rPr>
        <w:t xml:space="preserve">the </w:t>
      </w:r>
      <w:r w:rsidR="00882191">
        <w:rPr>
          <w:lang w:eastAsia="en-US"/>
        </w:rPr>
        <w:t xml:space="preserve">value of all the cash inflows </w:t>
      </w:r>
      <w:r w:rsidR="00DD1A0B">
        <w:rPr>
          <w:lang w:eastAsia="en-US"/>
        </w:rPr>
        <w:t xml:space="preserve">as well as the </w:t>
      </w:r>
      <w:r w:rsidR="00AE04E8">
        <w:rPr>
          <w:lang w:eastAsia="en-US"/>
        </w:rPr>
        <w:t>required investment cost</w:t>
      </w:r>
      <w:r w:rsidR="004B60CA">
        <w:rPr>
          <w:lang w:eastAsia="en-US"/>
        </w:rPr>
        <w:t>.</w:t>
      </w:r>
      <w:r w:rsidR="009E74DA">
        <w:rPr>
          <w:lang w:eastAsia="en-US"/>
        </w:rPr>
        <w:t xml:space="preserve"> In a</w:t>
      </w:r>
      <w:r w:rsidR="009E1A68">
        <w:rPr>
          <w:lang w:eastAsia="en-US"/>
        </w:rPr>
        <w:t xml:space="preserve">n individual project, </w:t>
      </w:r>
      <w:r w:rsidR="00116976">
        <w:rPr>
          <w:lang w:eastAsia="en-US"/>
        </w:rPr>
        <w:t xml:space="preserve">the management decides to continue with it if </w:t>
      </w:r>
      <w:r w:rsidR="009E3140">
        <w:rPr>
          <w:lang w:eastAsia="en-US"/>
        </w:rPr>
        <w:t xml:space="preserve">the net present value exceeds 0. </w:t>
      </w:r>
      <w:r w:rsidR="00253060">
        <w:rPr>
          <w:lang w:eastAsia="en-US"/>
        </w:rPr>
        <w:t xml:space="preserve">This means that </w:t>
      </w:r>
      <w:r w:rsidR="00DC1021">
        <w:rPr>
          <w:lang w:eastAsia="en-US"/>
        </w:rPr>
        <w:t xml:space="preserve">the cost of </w:t>
      </w:r>
      <w:r w:rsidR="00DC7B5E">
        <w:rPr>
          <w:lang w:eastAsia="en-US"/>
        </w:rPr>
        <w:t xml:space="preserve">the investment is </w:t>
      </w:r>
      <w:r w:rsidR="00744CE0">
        <w:rPr>
          <w:lang w:eastAsia="en-US"/>
        </w:rPr>
        <w:t xml:space="preserve">less than the total </w:t>
      </w:r>
      <w:r w:rsidR="002B2F5A">
        <w:rPr>
          <w:lang w:eastAsia="en-US"/>
        </w:rPr>
        <w:t>income generated from it</w:t>
      </w:r>
      <w:r w:rsidR="00752A61">
        <w:rPr>
          <w:lang w:eastAsia="en-US"/>
        </w:rPr>
        <w:t xml:space="preserve"> therefore, a profit is earned. </w:t>
      </w:r>
      <w:r w:rsidR="0068138C">
        <w:rPr>
          <w:lang w:eastAsia="en-US"/>
        </w:rPr>
        <w:t xml:space="preserve">Otherwise, </w:t>
      </w:r>
      <w:r w:rsidR="0069154C">
        <w:rPr>
          <w:lang w:eastAsia="en-US"/>
        </w:rPr>
        <w:t xml:space="preserve">the project is rejected if it </w:t>
      </w:r>
      <w:r w:rsidR="000C38F5">
        <w:rPr>
          <w:lang w:eastAsia="en-US"/>
        </w:rPr>
        <w:t xml:space="preserve">is less than 0 which means that the company is investing money for a </w:t>
      </w:r>
      <w:r w:rsidR="00735E0E">
        <w:rPr>
          <w:lang w:eastAsia="en-US"/>
        </w:rPr>
        <w:t>project which will not generate income.</w:t>
      </w:r>
      <w:r w:rsidR="00864C79">
        <w:rPr>
          <w:lang w:eastAsia="en-US"/>
        </w:rPr>
        <w:t xml:space="preserve"> In examining multiple projects, </w:t>
      </w:r>
      <w:r w:rsidR="00085461">
        <w:rPr>
          <w:lang w:eastAsia="en-US"/>
        </w:rPr>
        <w:t xml:space="preserve">the decision to accept lies on </w:t>
      </w:r>
      <w:r w:rsidR="00344EE1">
        <w:rPr>
          <w:lang w:eastAsia="en-US"/>
        </w:rPr>
        <w:t xml:space="preserve">which project </w:t>
      </w:r>
      <w:r w:rsidR="002B0511">
        <w:rPr>
          <w:lang w:eastAsia="en-US"/>
        </w:rPr>
        <w:t xml:space="preserve">generates </w:t>
      </w:r>
      <w:r w:rsidR="00EC27AA">
        <w:rPr>
          <w:lang w:eastAsia="en-US"/>
        </w:rPr>
        <w:t>higher net present value.</w:t>
      </w:r>
      <w:r w:rsidR="00B277AF">
        <w:rPr>
          <w:lang w:eastAsia="en-US"/>
        </w:rPr>
        <w:t xml:space="preserve"> The </w:t>
      </w:r>
      <w:r w:rsidR="000F54C3">
        <w:rPr>
          <w:lang w:eastAsia="en-US"/>
        </w:rPr>
        <w:t>formula in computing the net present value of a project is stated below:</w:t>
      </w:r>
    </w:p>
    <w:p w14:paraId="0598FFFC" w14:textId="25980382" w:rsidR="00690A25" w:rsidRPr="002D3ADB" w:rsidRDefault="00690A25" w:rsidP="00882191">
      <w:pPr>
        <w:spacing w:line="360" w:lineRule="auto"/>
        <w:jc w:val="both"/>
      </w:pPr>
    </w:p>
    <w:p w14:paraId="53CB56C9" w14:textId="6D2AB8D3" w:rsidR="000940C6" w:rsidRPr="002D3ADB" w:rsidRDefault="00ED2A13" w:rsidP="000F54C3">
      <w:pPr>
        <w:spacing w:line="360" w:lineRule="auto"/>
        <w:jc w:val="center"/>
        <w:rPr>
          <w:vertAlign w:val="superscript"/>
        </w:rPr>
      </w:pPr>
      <w:r w:rsidRPr="002D3ADB">
        <w:t xml:space="preserve">Net Present Value = Future Value </w:t>
      </w:r>
      <w:r w:rsidRPr="002D3ADB">
        <w:rPr>
          <w:lang w:eastAsia="en-US"/>
        </w:rPr>
        <w:sym w:font="Symbol" w:char="F0B8"/>
      </w:r>
      <w:r w:rsidRPr="002D3ADB">
        <w:rPr>
          <w:lang w:eastAsia="en-US"/>
        </w:rPr>
        <w:t xml:space="preserve"> (1 + Cost of Capital Rate</w:t>
      </w:r>
      <w:proofErr w:type="gramStart"/>
      <w:r w:rsidRPr="002D3ADB">
        <w:rPr>
          <w:lang w:eastAsia="en-US"/>
        </w:rPr>
        <w:t>)</w:t>
      </w:r>
      <w:r w:rsidRPr="002D3ADB">
        <w:rPr>
          <w:vertAlign w:val="superscript"/>
          <w:lang w:eastAsia="en-US"/>
        </w:rPr>
        <w:t>time</w:t>
      </w:r>
      <w:proofErr w:type="gramEnd"/>
    </w:p>
    <w:p w14:paraId="3B0C276F" w14:textId="292D4C2F" w:rsidR="008677F7" w:rsidRDefault="008677F7" w:rsidP="00882191">
      <w:pPr>
        <w:spacing w:line="360" w:lineRule="auto"/>
        <w:jc w:val="both"/>
        <w:rPr>
          <w:lang w:eastAsia="en-US"/>
        </w:rPr>
      </w:pPr>
    </w:p>
    <w:p w14:paraId="2220AEE6" w14:textId="7A3AC598" w:rsidR="00D15429" w:rsidRPr="00466FE6" w:rsidRDefault="00D15429" w:rsidP="00D15429">
      <w:pPr>
        <w:pStyle w:val="Heading3"/>
        <w:spacing w:line="360" w:lineRule="auto"/>
        <w:rPr>
          <w:rFonts w:ascii="Times New Roman" w:hAnsi="Times New Roman" w:cs="Times New Roman"/>
        </w:rPr>
      </w:pPr>
      <w:bookmarkStart w:id="42" w:name="_Toc61893757"/>
      <w:r w:rsidRPr="00466FE6">
        <w:rPr>
          <w:rFonts w:ascii="Times New Roman" w:hAnsi="Times New Roman" w:cs="Times New Roman"/>
        </w:rPr>
        <w:t xml:space="preserve">Advantages and Disadvantages of </w:t>
      </w:r>
      <w:r>
        <w:rPr>
          <w:rFonts w:ascii="Times New Roman" w:hAnsi="Times New Roman" w:cs="Times New Roman"/>
        </w:rPr>
        <w:t>Net Present Value</w:t>
      </w:r>
      <w:r w:rsidRPr="00466FE6">
        <w:rPr>
          <w:rFonts w:ascii="Times New Roman" w:hAnsi="Times New Roman" w:cs="Times New Roman"/>
        </w:rPr>
        <w:t xml:space="preserve"> (</w:t>
      </w:r>
      <w:r>
        <w:rPr>
          <w:rFonts w:ascii="Times New Roman" w:hAnsi="Times New Roman" w:cs="Times New Roman"/>
        </w:rPr>
        <w:t>NPV</w:t>
      </w:r>
      <w:r w:rsidRPr="00466FE6">
        <w:rPr>
          <w:rFonts w:ascii="Times New Roman" w:hAnsi="Times New Roman" w:cs="Times New Roman"/>
        </w:rPr>
        <w:t>) Method</w:t>
      </w:r>
      <w:bookmarkEnd w:id="42"/>
    </w:p>
    <w:p w14:paraId="3B12D1AC" w14:textId="77777777" w:rsidR="00D15429" w:rsidRDefault="00D15429" w:rsidP="00882191">
      <w:pPr>
        <w:spacing w:line="360" w:lineRule="auto"/>
        <w:jc w:val="both"/>
        <w:rPr>
          <w:lang w:eastAsia="en-US"/>
        </w:rPr>
      </w:pPr>
    </w:p>
    <w:p w14:paraId="5E4BC041" w14:textId="68E9C517" w:rsidR="00917CE2" w:rsidRDefault="0055193F" w:rsidP="00882191">
      <w:pPr>
        <w:spacing w:line="360" w:lineRule="auto"/>
        <w:jc w:val="both"/>
        <w:rPr>
          <w:lang w:eastAsia="en-US"/>
        </w:rPr>
      </w:pPr>
      <w:r>
        <w:rPr>
          <w:lang w:eastAsia="en-US"/>
        </w:rPr>
        <w:t>Just like the two other</w:t>
      </w:r>
      <w:r w:rsidR="00D774E3">
        <w:rPr>
          <w:lang w:eastAsia="en-US"/>
        </w:rPr>
        <w:t xml:space="preserve"> </w:t>
      </w:r>
      <w:r w:rsidR="00FB5CD0">
        <w:rPr>
          <w:lang w:eastAsia="en-US"/>
        </w:rPr>
        <w:t xml:space="preserve">methods of investment appraisal mentioned in this study, </w:t>
      </w:r>
      <w:r w:rsidR="00B11548">
        <w:rPr>
          <w:lang w:eastAsia="en-US"/>
        </w:rPr>
        <w:t>net present value</w:t>
      </w:r>
      <w:r>
        <w:rPr>
          <w:lang w:eastAsia="en-US"/>
        </w:rPr>
        <w:t xml:space="preserve"> </w:t>
      </w:r>
      <w:r w:rsidR="00B11548">
        <w:rPr>
          <w:lang w:eastAsia="en-US"/>
        </w:rPr>
        <w:t xml:space="preserve">(NPV) </w:t>
      </w:r>
      <w:r>
        <w:rPr>
          <w:lang w:eastAsia="en-US"/>
        </w:rPr>
        <w:t>also has its advantages and disadvantages.</w:t>
      </w:r>
      <w:r w:rsidR="005C5371">
        <w:rPr>
          <w:lang w:eastAsia="en-US"/>
        </w:rPr>
        <w:t xml:space="preserve"> NPV is advantageous because </w:t>
      </w:r>
      <w:r w:rsidR="0084611C">
        <w:rPr>
          <w:lang w:eastAsia="en-US"/>
        </w:rPr>
        <w:t xml:space="preserve">it </w:t>
      </w:r>
      <w:r w:rsidR="009572C8">
        <w:rPr>
          <w:lang w:eastAsia="en-US"/>
        </w:rPr>
        <w:t>considers the time value of money</w:t>
      </w:r>
      <w:r w:rsidR="006F65C6">
        <w:rPr>
          <w:lang w:eastAsia="en-US"/>
        </w:rPr>
        <w:t xml:space="preserve">, unlike </w:t>
      </w:r>
      <w:r w:rsidR="002D44C4">
        <w:rPr>
          <w:lang w:eastAsia="en-US"/>
        </w:rPr>
        <w:t>the Payback Period and Accounting Rate of Return methods.</w:t>
      </w:r>
      <w:r w:rsidR="00CB4A21">
        <w:rPr>
          <w:lang w:eastAsia="en-US"/>
        </w:rPr>
        <w:t xml:space="preserve"> Moreover, it </w:t>
      </w:r>
      <w:r w:rsidR="00A552AE">
        <w:rPr>
          <w:lang w:eastAsia="en-US"/>
        </w:rPr>
        <w:t xml:space="preserve">also </w:t>
      </w:r>
      <w:r w:rsidR="00FB590D">
        <w:rPr>
          <w:lang w:eastAsia="en-US"/>
        </w:rPr>
        <w:t xml:space="preserve">values the </w:t>
      </w:r>
      <w:r w:rsidR="001A5842">
        <w:rPr>
          <w:lang w:eastAsia="en-US"/>
        </w:rPr>
        <w:t xml:space="preserve">cash inflows </w:t>
      </w:r>
      <w:r w:rsidR="00E732C3">
        <w:rPr>
          <w:lang w:eastAsia="en-US"/>
        </w:rPr>
        <w:t>rather than just the profit</w:t>
      </w:r>
      <w:r w:rsidR="009C2A90">
        <w:rPr>
          <w:lang w:eastAsia="en-US"/>
        </w:rPr>
        <w:t xml:space="preserve">. </w:t>
      </w:r>
      <w:r w:rsidR="00890D4A">
        <w:rPr>
          <w:lang w:eastAsia="en-US"/>
        </w:rPr>
        <w:t xml:space="preserve">It can also be used </w:t>
      </w:r>
      <w:r w:rsidR="00DD405C">
        <w:rPr>
          <w:lang w:eastAsia="en-US"/>
        </w:rPr>
        <w:t xml:space="preserve">in </w:t>
      </w:r>
      <w:r w:rsidR="00F01D7A">
        <w:rPr>
          <w:lang w:eastAsia="en-US"/>
        </w:rPr>
        <w:t>aggregating multi</w:t>
      </w:r>
      <w:r w:rsidR="00D105AE">
        <w:rPr>
          <w:lang w:eastAsia="en-US"/>
        </w:rPr>
        <w:t>pl</w:t>
      </w:r>
      <w:r w:rsidR="00042048">
        <w:rPr>
          <w:lang w:eastAsia="en-US"/>
        </w:rPr>
        <w:t xml:space="preserve">e projects which is beneficial to </w:t>
      </w:r>
      <w:r w:rsidR="0076410E">
        <w:rPr>
          <w:lang w:eastAsia="en-US"/>
        </w:rPr>
        <w:t xml:space="preserve">the company as NPV can be easily </w:t>
      </w:r>
      <w:r w:rsidR="00C46F82">
        <w:rPr>
          <w:lang w:eastAsia="en-US"/>
        </w:rPr>
        <w:t>totalled</w:t>
      </w:r>
      <w:r w:rsidR="0076410E">
        <w:rPr>
          <w:lang w:eastAsia="en-US"/>
        </w:rPr>
        <w:t xml:space="preserve">. </w:t>
      </w:r>
      <w:r w:rsidR="007D3889">
        <w:rPr>
          <w:lang w:eastAsia="en-US"/>
        </w:rPr>
        <w:t xml:space="preserve">However, there are also </w:t>
      </w:r>
      <w:r w:rsidR="007C025C">
        <w:rPr>
          <w:lang w:eastAsia="en-US"/>
        </w:rPr>
        <w:t>drawbacks in using this method</w:t>
      </w:r>
      <w:r w:rsidR="00116B81">
        <w:rPr>
          <w:lang w:eastAsia="en-US"/>
        </w:rPr>
        <w:t xml:space="preserve">. </w:t>
      </w:r>
      <w:r w:rsidR="007B0064">
        <w:rPr>
          <w:lang w:eastAsia="en-US"/>
        </w:rPr>
        <w:t xml:space="preserve">Like ARR method, </w:t>
      </w:r>
      <w:r w:rsidR="00742AE7">
        <w:rPr>
          <w:lang w:eastAsia="en-US"/>
        </w:rPr>
        <w:t>NPV also assume</w:t>
      </w:r>
      <w:r w:rsidR="00656DEE">
        <w:rPr>
          <w:lang w:eastAsia="en-US"/>
        </w:rPr>
        <w:t>s</w:t>
      </w:r>
      <w:r w:rsidR="00742AE7">
        <w:rPr>
          <w:lang w:eastAsia="en-US"/>
        </w:rPr>
        <w:t xml:space="preserve"> that the discount rate is constant over the lifespan of the project.</w:t>
      </w:r>
      <w:r w:rsidR="00C17183">
        <w:rPr>
          <w:lang w:eastAsia="en-US"/>
        </w:rPr>
        <w:t xml:space="preserve"> </w:t>
      </w:r>
      <w:r w:rsidR="007E6771">
        <w:rPr>
          <w:lang w:eastAsia="en-US"/>
        </w:rPr>
        <w:t xml:space="preserve">NPV does </w:t>
      </w:r>
      <w:r w:rsidR="002D3651">
        <w:rPr>
          <w:lang w:eastAsia="en-US"/>
        </w:rPr>
        <w:t xml:space="preserve">not </w:t>
      </w:r>
      <w:r w:rsidR="00671D34">
        <w:rPr>
          <w:lang w:eastAsia="en-US"/>
        </w:rPr>
        <w:t xml:space="preserve">distinguish the size of projects being compared. This </w:t>
      </w:r>
      <w:r w:rsidR="00FC2C9F">
        <w:rPr>
          <w:lang w:eastAsia="en-US"/>
        </w:rPr>
        <w:t>implies</w:t>
      </w:r>
      <w:r w:rsidR="00671D34">
        <w:rPr>
          <w:lang w:eastAsia="en-US"/>
        </w:rPr>
        <w:t xml:space="preserve"> that higher NPV does </w:t>
      </w:r>
      <w:r w:rsidR="00D32DE6">
        <w:rPr>
          <w:lang w:eastAsia="en-US"/>
        </w:rPr>
        <w:t xml:space="preserve">not </w:t>
      </w:r>
      <w:r w:rsidR="001A1FF9">
        <w:rPr>
          <w:lang w:eastAsia="en-US"/>
        </w:rPr>
        <w:t>mean that a project is better.</w:t>
      </w:r>
    </w:p>
    <w:p w14:paraId="47677887" w14:textId="77777777" w:rsidR="00050581" w:rsidRDefault="00050581" w:rsidP="00882191">
      <w:pPr>
        <w:spacing w:line="360" w:lineRule="auto"/>
        <w:jc w:val="both"/>
        <w:rPr>
          <w:lang w:eastAsia="en-US"/>
        </w:rPr>
      </w:pPr>
    </w:p>
    <w:p w14:paraId="49D07C1E" w14:textId="1BD37584" w:rsidR="000F54C3" w:rsidRDefault="000F54C3" w:rsidP="00882191">
      <w:pPr>
        <w:spacing w:line="360" w:lineRule="auto"/>
        <w:jc w:val="both"/>
        <w:rPr>
          <w:lang w:eastAsia="en-US"/>
        </w:rPr>
      </w:pPr>
      <w:r>
        <w:rPr>
          <w:lang w:eastAsia="en-US"/>
        </w:rPr>
        <w:t xml:space="preserve">Tables </w:t>
      </w:r>
      <w:r w:rsidR="001103AB">
        <w:rPr>
          <w:lang w:eastAsia="en-US"/>
        </w:rPr>
        <w:t>9 and 10 shows the NPV computation for Projects A and B, respectively.</w:t>
      </w:r>
    </w:p>
    <w:p w14:paraId="4E7E9F6A" w14:textId="77777777" w:rsidR="001103AB" w:rsidRPr="002D3ADB" w:rsidRDefault="001103AB" w:rsidP="00882191">
      <w:pPr>
        <w:spacing w:line="360" w:lineRule="auto"/>
        <w:jc w:val="both"/>
        <w:rPr>
          <w:lang w:eastAsia="en-US"/>
        </w:rPr>
      </w:pPr>
    </w:p>
    <w:p w14:paraId="2AEBDEE5" w14:textId="77777777" w:rsidR="00D96EFA" w:rsidRDefault="00D96EFA">
      <w:pPr>
        <w:rPr>
          <w:rFonts w:eastAsiaTheme="majorEastAsia"/>
          <w:color w:val="1F3763" w:themeColor="accent1" w:themeShade="7F"/>
          <w:lang w:eastAsia="en-US"/>
        </w:rPr>
      </w:pPr>
      <w:bookmarkStart w:id="43" w:name="_Toc61893758"/>
      <w:r>
        <w:br w:type="page"/>
      </w:r>
    </w:p>
    <w:p w14:paraId="6F28A6C2" w14:textId="39624A3E" w:rsidR="00F84564" w:rsidRPr="002D3ADB" w:rsidRDefault="00F84564" w:rsidP="00D7562A">
      <w:pPr>
        <w:pStyle w:val="Heading3"/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lastRenderedPageBreak/>
        <w:t>Project A</w:t>
      </w:r>
      <w:bookmarkEnd w:id="43"/>
    </w:p>
    <w:tbl>
      <w:tblPr>
        <w:tblW w:w="8492" w:type="dxa"/>
        <w:jc w:val="center"/>
        <w:tblLook w:val="04A0" w:firstRow="1" w:lastRow="0" w:firstColumn="1" w:lastColumn="0" w:noHBand="0" w:noVBand="1"/>
      </w:tblPr>
      <w:tblGrid>
        <w:gridCol w:w="2865"/>
        <w:gridCol w:w="1950"/>
        <w:gridCol w:w="1957"/>
        <w:gridCol w:w="1720"/>
      </w:tblGrid>
      <w:tr w:rsidR="00F84564" w:rsidRPr="002D3ADB" w14:paraId="2614EE8E" w14:textId="77777777" w:rsidTr="00A0485A">
        <w:trPr>
          <w:trHeight w:val="680"/>
          <w:jc w:val="center"/>
        </w:trPr>
        <w:tc>
          <w:tcPr>
            <w:tcW w:w="2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vAlign w:val="center"/>
            <w:hideMark/>
          </w:tcPr>
          <w:p w14:paraId="5705EB77" w14:textId="77777777" w:rsidR="00F84564" w:rsidRPr="002D3ADB" w:rsidRDefault="00F84564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Project A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vAlign w:val="center"/>
            <w:hideMark/>
          </w:tcPr>
          <w:p w14:paraId="192729CC" w14:textId="59BCBA8C" w:rsidR="00F84564" w:rsidRPr="002D3ADB" w:rsidRDefault="00F84564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Inflow</w:t>
            </w:r>
            <w:r w:rsidR="00A0485A" w:rsidRPr="002D3ADB">
              <w:rPr>
                <w:b/>
                <w:bCs/>
                <w:color w:val="000000"/>
              </w:rPr>
              <w:t>/</w:t>
            </w:r>
            <w:r w:rsidRPr="002D3ADB">
              <w:rPr>
                <w:b/>
                <w:bCs/>
                <w:color w:val="000000"/>
              </w:rPr>
              <w:t xml:space="preserve">(Outflow) (£m) </w:t>
            </w:r>
          </w:p>
        </w:tc>
        <w:tc>
          <w:tcPr>
            <w:tcW w:w="3688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vAlign w:val="center"/>
            <w:hideMark/>
          </w:tcPr>
          <w:p w14:paraId="0E7B2A5D" w14:textId="77777777" w:rsidR="00F84564" w:rsidRPr="002D3ADB" w:rsidRDefault="00F84564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Net Present Value (£m)</w:t>
            </w:r>
          </w:p>
        </w:tc>
      </w:tr>
      <w:tr w:rsidR="00F84564" w:rsidRPr="002D3ADB" w14:paraId="5F23D06E" w14:textId="77777777" w:rsidTr="00A0485A">
        <w:trPr>
          <w:trHeight w:val="340"/>
          <w:jc w:val="center"/>
        </w:trPr>
        <w:tc>
          <w:tcPr>
            <w:tcW w:w="2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C107CFB" w14:textId="7777777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Year 0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F974FEB" w14:textId="5C172656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(85)</w:t>
            </w:r>
          </w:p>
        </w:tc>
        <w:tc>
          <w:tcPr>
            <w:tcW w:w="19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AE1E70E" w14:textId="7777777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 xml:space="preserve"> -85/(1+10.5%)^0 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69C127" w14:textId="0D66CEAA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(85.00)</w:t>
            </w:r>
          </w:p>
        </w:tc>
      </w:tr>
      <w:tr w:rsidR="00F84564" w:rsidRPr="002D3ADB" w14:paraId="527B0914" w14:textId="77777777" w:rsidTr="00A0485A">
        <w:trPr>
          <w:trHeight w:val="340"/>
          <w:jc w:val="center"/>
        </w:trPr>
        <w:tc>
          <w:tcPr>
            <w:tcW w:w="2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BFFEEF0" w14:textId="7777777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Year 1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7E6B5E" w14:textId="0585BCD6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10</w:t>
            </w:r>
          </w:p>
        </w:tc>
        <w:tc>
          <w:tcPr>
            <w:tcW w:w="19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0E9CA7E" w14:textId="7777777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 xml:space="preserve"> 10/(1+10.5%)^1 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40A1957" w14:textId="3FA98F64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9.05</w:t>
            </w:r>
          </w:p>
        </w:tc>
      </w:tr>
      <w:tr w:rsidR="00F84564" w:rsidRPr="002D3ADB" w14:paraId="1FD1B3DA" w14:textId="77777777" w:rsidTr="00A0485A">
        <w:trPr>
          <w:trHeight w:val="340"/>
          <w:jc w:val="center"/>
        </w:trPr>
        <w:tc>
          <w:tcPr>
            <w:tcW w:w="2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5182260" w14:textId="7777777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Year 2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9EB9C1D" w14:textId="76775699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20</w:t>
            </w:r>
          </w:p>
        </w:tc>
        <w:tc>
          <w:tcPr>
            <w:tcW w:w="19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ED0B2D6" w14:textId="7777777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 xml:space="preserve"> 20/(1+10.5%)^2 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769C5B0" w14:textId="73F58DC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16.38</w:t>
            </w:r>
          </w:p>
        </w:tc>
      </w:tr>
      <w:tr w:rsidR="00F84564" w:rsidRPr="002D3ADB" w14:paraId="3384D9DE" w14:textId="77777777" w:rsidTr="00A0485A">
        <w:trPr>
          <w:trHeight w:val="340"/>
          <w:jc w:val="center"/>
        </w:trPr>
        <w:tc>
          <w:tcPr>
            <w:tcW w:w="2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AED6D8A" w14:textId="7777777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Year 3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901B95" w14:textId="12BF24FB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40</w:t>
            </w:r>
          </w:p>
        </w:tc>
        <w:tc>
          <w:tcPr>
            <w:tcW w:w="19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07ECB70" w14:textId="7777777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 xml:space="preserve"> 40/(1+10.5%)^3 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B4F7D3F" w14:textId="5C8DFB28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29.65</w:t>
            </w:r>
          </w:p>
        </w:tc>
      </w:tr>
      <w:tr w:rsidR="00F84564" w:rsidRPr="002D3ADB" w14:paraId="58F1F794" w14:textId="77777777" w:rsidTr="00A0485A">
        <w:trPr>
          <w:trHeight w:val="340"/>
          <w:jc w:val="center"/>
        </w:trPr>
        <w:tc>
          <w:tcPr>
            <w:tcW w:w="2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AA6D66B" w14:textId="7777777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Year 4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D7C8643" w14:textId="24BB272A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55</w:t>
            </w:r>
          </w:p>
        </w:tc>
        <w:tc>
          <w:tcPr>
            <w:tcW w:w="19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378570" w14:textId="7777777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 xml:space="preserve"> 55/(1+10.5%)^4 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607165F" w14:textId="00D22D6B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36.89</w:t>
            </w:r>
          </w:p>
        </w:tc>
      </w:tr>
      <w:tr w:rsidR="00F84564" w:rsidRPr="002D3ADB" w14:paraId="12328841" w14:textId="77777777" w:rsidTr="00A0485A">
        <w:trPr>
          <w:trHeight w:val="360"/>
          <w:jc w:val="center"/>
        </w:trPr>
        <w:tc>
          <w:tcPr>
            <w:tcW w:w="2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5B3C407" w14:textId="77777777" w:rsidR="00F84564" w:rsidRPr="002D3ADB" w:rsidRDefault="00F84564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Total Net Present Value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C742385" w14:textId="77777777" w:rsidR="00F84564" w:rsidRPr="002D3ADB" w:rsidRDefault="00F84564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 </w:t>
            </w:r>
          </w:p>
        </w:tc>
        <w:tc>
          <w:tcPr>
            <w:tcW w:w="19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E83A37F" w14:textId="77777777" w:rsidR="00F84564" w:rsidRPr="002D3ADB" w:rsidRDefault="00F84564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 </w:t>
            </w:r>
          </w:p>
        </w:tc>
        <w:tc>
          <w:tcPr>
            <w:tcW w:w="172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24147B" w14:textId="1CEA1AE9" w:rsidR="00F84564" w:rsidRPr="002D3ADB" w:rsidRDefault="00F84564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6.97</w:t>
            </w:r>
          </w:p>
        </w:tc>
      </w:tr>
    </w:tbl>
    <w:p w14:paraId="5A54B33D" w14:textId="0E28B9FB" w:rsidR="00F84564" w:rsidRPr="005712F9" w:rsidRDefault="005712F9" w:rsidP="005712F9">
      <w:pPr>
        <w:pStyle w:val="Caption"/>
        <w:jc w:val="center"/>
        <w:rPr>
          <w:sz w:val="24"/>
          <w:szCs w:val="24"/>
          <w:lang w:eastAsia="en-US"/>
        </w:rPr>
      </w:pPr>
      <w:bookmarkStart w:id="44" w:name="_Toc61893775"/>
      <w:r w:rsidRPr="005712F9">
        <w:rPr>
          <w:sz w:val="24"/>
          <w:szCs w:val="24"/>
        </w:rPr>
        <w:t xml:space="preserve">Table </w:t>
      </w:r>
      <w:r w:rsidRPr="005712F9">
        <w:rPr>
          <w:sz w:val="24"/>
          <w:szCs w:val="24"/>
        </w:rPr>
        <w:fldChar w:fldCharType="begin"/>
      </w:r>
      <w:r w:rsidRPr="005712F9">
        <w:rPr>
          <w:sz w:val="24"/>
          <w:szCs w:val="24"/>
        </w:rPr>
        <w:instrText xml:space="preserve"> SEQ Table \* ARABIC </w:instrText>
      </w:r>
      <w:r w:rsidRPr="005712F9">
        <w:rPr>
          <w:sz w:val="24"/>
          <w:szCs w:val="24"/>
        </w:rPr>
        <w:fldChar w:fldCharType="separate"/>
      </w:r>
      <w:r w:rsidR="00D7286B">
        <w:rPr>
          <w:noProof/>
          <w:sz w:val="24"/>
          <w:szCs w:val="24"/>
        </w:rPr>
        <w:t>9</w:t>
      </w:r>
      <w:r w:rsidRPr="005712F9">
        <w:rPr>
          <w:sz w:val="24"/>
          <w:szCs w:val="24"/>
        </w:rPr>
        <w:fldChar w:fldCharType="end"/>
      </w:r>
      <w:r w:rsidRPr="005712F9">
        <w:rPr>
          <w:sz w:val="24"/>
          <w:szCs w:val="24"/>
        </w:rPr>
        <w:t xml:space="preserve">: Project </w:t>
      </w:r>
      <w:r>
        <w:rPr>
          <w:sz w:val="24"/>
          <w:szCs w:val="24"/>
        </w:rPr>
        <w:t>A</w:t>
      </w:r>
      <w:r w:rsidRPr="005712F9">
        <w:rPr>
          <w:sz w:val="24"/>
          <w:szCs w:val="24"/>
        </w:rPr>
        <w:t xml:space="preserve">'s </w:t>
      </w:r>
      <w:r>
        <w:rPr>
          <w:sz w:val="24"/>
          <w:szCs w:val="24"/>
        </w:rPr>
        <w:t>Net Present Value (NPV)</w:t>
      </w:r>
      <w:r w:rsidRPr="005712F9">
        <w:rPr>
          <w:sz w:val="24"/>
          <w:szCs w:val="24"/>
        </w:rPr>
        <w:t xml:space="preserve"> Computation</w:t>
      </w:r>
      <w:bookmarkEnd w:id="44"/>
    </w:p>
    <w:p w14:paraId="7056E5CF" w14:textId="77777777" w:rsidR="005712F9" w:rsidRPr="002D3ADB" w:rsidRDefault="005712F9" w:rsidP="002D3ADB">
      <w:pPr>
        <w:spacing w:line="360" w:lineRule="auto"/>
        <w:rPr>
          <w:lang w:eastAsia="en-US"/>
        </w:rPr>
      </w:pPr>
    </w:p>
    <w:p w14:paraId="5C097ECE" w14:textId="70CD2FC6" w:rsidR="00F84564" w:rsidRPr="002D3ADB" w:rsidRDefault="000D2115" w:rsidP="002D3ADB">
      <w:pPr>
        <w:spacing w:line="360" w:lineRule="auto"/>
        <w:rPr>
          <w:lang w:eastAsia="en-US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NPV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=-85+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10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1+10.5%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1</m:t>
                  </m:r>
                </m:sup>
              </m:sSup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20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1+10.5%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40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1+10.5%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55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1+10.5%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£6.97</m:t>
          </m:r>
          <m:r>
            <m:rPr>
              <m:sty m:val="bi"/>
            </m:rPr>
            <w:rPr>
              <w:rFonts w:ascii="Cambria Math" w:hAnsi="Cambria Math"/>
            </w:rPr>
            <m:t>m</m:t>
          </m:r>
        </m:oMath>
      </m:oMathPara>
    </w:p>
    <w:p w14:paraId="49771770" w14:textId="11D5A1F1" w:rsidR="008C33F6" w:rsidRDefault="008C33F6">
      <w:pPr>
        <w:rPr>
          <w:rFonts w:eastAsiaTheme="majorEastAsia"/>
          <w:color w:val="1F3763" w:themeColor="accent1" w:themeShade="7F"/>
          <w:lang w:eastAsia="en-US"/>
        </w:rPr>
      </w:pPr>
      <w:bookmarkStart w:id="45" w:name="_Toc61893759"/>
    </w:p>
    <w:p w14:paraId="3A90A631" w14:textId="3BB98E0B" w:rsidR="00736049" w:rsidRPr="002D3ADB" w:rsidRDefault="00736049" w:rsidP="00D7562A">
      <w:pPr>
        <w:pStyle w:val="Heading3"/>
        <w:spacing w:line="360" w:lineRule="auto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>Project B</w:t>
      </w:r>
      <w:bookmarkStart w:id="46" w:name="_Toc61440716"/>
      <w:bookmarkEnd w:id="45"/>
    </w:p>
    <w:tbl>
      <w:tblPr>
        <w:tblW w:w="8571" w:type="dxa"/>
        <w:jc w:val="center"/>
        <w:tblLook w:val="04A0" w:firstRow="1" w:lastRow="0" w:firstColumn="1" w:lastColumn="0" w:noHBand="0" w:noVBand="1"/>
      </w:tblPr>
      <w:tblGrid>
        <w:gridCol w:w="2746"/>
        <w:gridCol w:w="1950"/>
        <w:gridCol w:w="2155"/>
        <w:gridCol w:w="1720"/>
      </w:tblGrid>
      <w:tr w:rsidR="00A0485A" w:rsidRPr="002D3ADB" w14:paraId="759604C9" w14:textId="77777777" w:rsidTr="00A0485A">
        <w:trPr>
          <w:trHeight w:val="680"/>
          <w:jc w:val="center"/>
        </w:trPr>
        <w:tc>
          <w:tcPr>
            <w:tcW w:w="28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vAlign w:val="center"/>
            <w:hideMark/>
          </w:tcPr>
          <w:p w14:paraId="29B6A0BF" w14:textId="77777777" w:rsidR="00A0485A" w:rsidRPr="002D3ADB" w:rsidRDefault="00A0485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Project B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vAlign w:val="center"/>
            <w:hideMark/>
          </w:tcPr>
          <w:p w14:paraId="5E417A21" w14:textId="0C9A9081" w:rsidR="00A0485A" w:rsidRPr="002D3ADB" w:rsidRDefault="00A0485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 xml:space="preserve">Inflow/(Outflow) (£m) </w:t>
            </w:r>
          </w:p>
        </w:tc>
        <w:tc>
          <w:tcPr>
            <w:tcW w:w="3898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vAlign w:val="center"/>
            <w:hideMark/>
          </w:tcPr>
          <w:p w14:paraId="10F72D6A" w14:textId="77777777" w:rsidR="00A0485A" w:rsidRPr="002D3ADB" w:rsidRDefault="00A0485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Net Present Value (£m)</w:t>
            </w:r>
          </w:p>
        </w:tc>
      </w:tr>
      <w:tr w:rsidR="00A0485A" w:rsidRPr="002D3ADB" w14:paraId="0F7DA248" w14:textId="77777777" w:rsidTr="00A0485A">
        <w:trPr>
          <w:trHeight w:val="340"/>
          <w:jc w:val="center"/>
        </w:trPr>
        <w:tc>
          <w:tcPr>
            <w:tcW w:w="285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7428596" w14:textId="77777777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Year 0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0B9AFD" w14:textId="0EDE0D58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(90)</w:t>
            </w:r>
          </w:p>
        </w:tc>
        <w:tc>
          <w:tcPr>
            <w:tcW w:w="21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E45D166" w14:textId="1BACA1A1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-90/(1+10.5%)^0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7F08B3" w14:textId="793EB3C5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(90.00)</w:t>
            </w:r>
          </w:p>
        </w:tc>
      </w:tr>
      <w:tr w:rsidR="00A0485A" w:rsidRPr="002D3ADB" w14:paraId="1A5696C9" w14:textId="77777777" w:rsidTr="00A0485A">
        <w:trPr>
          <w:trHeight w:val="340"/>
          <w:jc w:val="center"/>
        </w:trPr>
        <w:tc>
          <w:tcPr>
            <w:tcW w:w="285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C7632B" w14:textId="77777777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Year 1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9345F9C" w14:textId="3E1A8512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25</w:t>
            </w:r>
          </w:p>
        </w:tc>
        <w:tc>
          <w:tcPr>
            <w:tcW w:w="21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944A83C" w14:textId="51501B1D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25/(1+10.5%)^1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F6C0FD" w14:textId="51D021E8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22.62</w:t>
            </w:r>
          </w:p>
        </w:tc>
      </w:tr>
      <w:tr w:rsidR="00A0485A" w:rsidRPr="002D3ADB" w14:paraId="6A2B4FFD" w14:textId="77777777" w:rsidTr="00A0485A">
        <w:trPr>
          <w:trHeight w:val="340"/>
          <w:jc w:val="center"/>
        </w:trPr>
        <w:tc>
          <w:tcPr>
            <w:tcW w:w="285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6E34D94" w14:textId="77777777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Year 2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923CEDA" w14:textId="2288A449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30</w:t>
            </w:r>
          </w:p>
        </w:tc>
        <w:tc>
          <w:tcPr>
            <w:tcW w:w="21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DC361DA" w14:textId="5196E971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30/(1+10.5%)^2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B8DCE2C" w14:textId="102B8ADA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24.57</w:t>
            </w:r>
          </w:p>
        </w:tc>
      </w:tr>
      <w:tr w:rsidR="00A0485A" w:rsidRPr="002D3ADB" w14:paraId="2820E426" w14:textId="77777777" w:rsidTr="00A0485A">
        <w:trPr>
          <w:trHeight w:val="340"/>
          <w:jc w:val="center"/>
        </w:trPr>
        <w:tc>
          <w:tcPr>
            <w:tcW w:w="285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AA88D3B" w14:textId="77777777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Year 3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F3ECEA0" w14:textId="341DF3E0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35</w:t>
            </w:r>
          </w:p>
        </w:tc>
        <w:tc>
          <w:tcPr>
            <w:tcW w:w="21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789A0D3" w14:textId="3414F5C6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35/(1+10.5%)^3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5EB8A2E" w14:textId="040E9381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25.94</w:t>
            </w:r>
          </w:p>
        </w:tc>
      </w:tr>
      <w:tr w:rsidR="00A0485A" w:rsidRPr="002D3ADB" w14:paraId="28B5EF0D" w14:textId="77777777" w:rsidTr="00A0485A">
        <w:trPr>
          <w:trHeight w:val="340"/>
          <w:jc w:val="center"/>
        </w:trPr>
        <w:tc>
          <w:tcPr>
            <w:tcW w:w="285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0DD4CB1" w14:textId="77777777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Year 4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4D3CF56" w14:textId="705714C1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40</w:t>
            </w:r>
          </w:p>
        </w:tc>
        <w:tc>
          <w:tcPr>
            <w:tcW w:w="21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CC5D017" w14:textId="1BCC2D31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40/(1+10.5%)^4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BCCBE85" w14:textId="569D2600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  <w:r w:rsidRPr="002D3ADB">
              <w:rPr>
                <w:color w:val="000000"/>
              </w:rPr>
              <w:t>26.83</w:t>
            </w:r>
          </w:p>
        </w:tc>
      </w:tr>
      <w:tr w:rsidR="00A0485A" w:rsidRPr="002D3ADB" w14:paraId="0CDF9AB4" w14:textId="77777777" w:rsidTr="00A0485A">
        <w:trPr>
          <w:trHeight w:val="360"/>
          <w:jc w:val="center"/>
        </w:trPr>
        <w:tc>
          <w:tcPr>
            <w:tcW w:w="285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6A08D94" w14:textId="77777777" w:rsidR="00A0485A" w:rsidRPr="002D3ADB" w:rsidRDefault="00A0485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Total Net Present Value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644806" w14:textId="02EE8420" w:rsidR="00A0485A" w:rsidRPr="002D3ADB" w:rsidRDefault="00A0485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</w:p>
        </w:tc>
        <w:tc>
          <w:tcPr>
            <w:tcW w:w="21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A2BDF2D" w14:textId="134F7281" w:rsidR="00A0485A" w:rsidRPr="002D3ADB" w:rsidRDefault="00A0485A" w:rsidP="002D3ADB">
            <w:pPr>
              <w:spacing w:line="360" w:lineRule="auto"/>
              <w:jc w:val="center"/>
              <w:rPr>
                <w:color w:val="000000"/>
              </w:rPr>
            </w:pPr>
          </w:p>
        </w:tc>
        <w:tc>
          <w:tcPr>
            <w:tcW w:w="172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1DA8C1" w14:textId="38256D47" w:rsidR="00A0485A" w:rsidRPr="002D3ADB" w:rsidRDefault="00A0485A" w:rsidP="002D3ADB">
            <w:pPr>
              <w:spacing w:line="360" w:lineRule="auto"/>
              <w:jc w:val="center"/>
              <w:rPr>
                <w:b/>
                <w:bCs/>
                <w:color w:val="000000"/>
              </w:rPr>
            </w:pPr>
            <w:r w:rsidRPr="002D3ADB">
              <w:rPr>
                <w:b/>
                <w:bCs/>
                <w:color w:val="000000"/>
              </w:rPr>
              <w:t>9.96</w:t>
            </w:r>
          </w:p>
        </w:tc>
      </w:tr>
    </w:tbl>
    <w:p w14:paraId="0E2FA74B" w14:textId="43D4B1BA" w:rsidR="00736049" w:rsidRPr="00D7286B" w:rsidRDefault="00D7286B" w:rsidP="00D7286B">
      <w:pPr>
        <w:pStyle w:val="Caption"/>
        <w:jc w:val="center"/>
        <w:rPr>
          <w:sz w:val="24"/>
          <w:szCs w:val="24"/>
          <w:lang w:eastAsia="en-US"/>
        </w:rPr>
      </w:pPr>
      <w:bookmarkStart w:id="47" w:name="_Toc61893776"/>
      <w:r w:rsidRPr="00D7286B">
        <w:rPr>
          <w:sz w:val="24"/>
          <w:szCs w:val="24"/>
        </w:rPr>
        <w:t xml:space="preserve">Table </w:t>
      </w:r>
      <w:r w:rsidRPr="00D7286B">
        <w:rPr>
          <w:sz w:val="24"/>
          <w:szCs w:val="24"/>
        </w:rPr>
        <w:fldChar w:fldCharType="begin"/>
      </w:r>
      <w:r w:rsidRPr="00D7286B">
        <w:rPr>
          <w:sz w:val="24"/>
          <w:szCs w:val="24"/>
        </w:rPr>
        <w:instrText xml:space="preserve"> SEQ Table \* ARABIC </w:instrText>
      </w:r>
      <w:r w:rsidRPr="00D7286B">
        <w:rPr>
          <w:sz w:val="24"/>
          <w:szCs w:val="24"/>
        </w:rPr>
        <w:fldChar w:fldCharType="separate"/>
      </w:r>
      <w:r w:rsidRPr="00D7286B">
        <w:rPr>
          <w:noProof/>
          <w:sz w:val="24"/>
          <w:szCs w:val="24"/>
        </w:rPr>
        <w:t>10</w:t>
      </w:r>
      <w:r w:rsidRPr="00D7286B">
        <w:rPr>
          <w:sz w:val="24"/>
          <w:szCs w:val="24"/>
        </w:rPr>
        <w:fldChar w:fldCharType="end"/>
      </w:r>
      <w:r w:rsidRPr="00D7286B">
        <w:rPr>
          <w:sz w:val="24"/>
          <w:szCs w:val="24"/>
        </w:rPr>
        <w:t>: Project B's Net Present Value (NPV) Computation</w:t>
      </w:r>
      <w:bookmarkEnd w:id="47"/>
    </w:p>
    <w:p w14:paraId="6F9C44A8" w14:textId="77777777" w:rsidR="005C01A7" w:rsidRDefault="000D2115" w:rsidP="002D3ADB">
      <w:pPr>
        <w:spacing w:line="360" w:lineRule="auto"/>
        <w:jc w:val="center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NPV</m:t>
            </m:r>
          </m:e>
          <m:sub>
            <m:r>
              <w:rPr>
                <w:rFonts w:ascii="Cambria Math" w:hAnsi="Cambria Math"/>
              </w:rPr>
              <m:t>B</m:t>
            </m:r>
          </m:sub>
        </m:sSub>
        <m:r>
          <w:rPr>
            <w:rFonts w:ascii="Cambria Math" w:hAnsi="Cambria Math"/>
          </w:rPr>
          <m:t>=-90+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25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1+10.5%</m:t>
                    </m:r>
                  </m:e>
                </m:d>
              </m:e>
              <m:sup>
                <m:r>
                  <w:rPr>
                    <w:rFonts w:ascii="Cambria Math" w:hAnsi="Cambria Math"/>
                  </w:rPr>
                  <m:t>1</m:t>
                </m:r>
              </m:sup>
            </m:sSup>
          </m:den>
        </m:f>
        <m:r>
          <w:rPr>
            <w:rFonts w:ascii="Cambria Math" w:hAnsi="Cambria Math"/>
          </w:rPr>
          <m:t>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30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1+10.5%</m:t>
                    </m:r>
                  </m:e>
                </m:d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den>
        </m:f>
        <m:r>
          <w:rPr>
            <w:rFonts w:ascii="Cambria Math" w:hAnsi="Cambria Math"/>
          </w:rPr>
          <m:t>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35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1+10.5%</m:t>
                    </m:r>
                  </m:e>
                </m:d>
              </m:e>
              <m:sup>
                <m:r>
                  <w:rPr>
                    <w:rFonts w:ascii="Cambria Math" w:hAnsi="Cambria Math"/>
                  </w:rPr>
                  <m:t>3</m:t>
                </m:r>
              </m:sup>
            </m:sSup>
          </m:den>
        </m:f>
        <m:r>
          <w:rPr>
            <w:rFonts w:ascii="Cambria Math" w:hAnsi="Cambria Math"/>
          </w:rPr>
          <m:t>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40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1+10.5%</m:t>
                    </m:r>
                  </m:e>
                </m:d>
              </m:e>
              <m:sup>
                <m:r>
                  <w:rPr>
                    <w:rFonts w:ascii="Cambria Math" w:hAnsi="Cambria Math"/>
                  </w:rPr>
                  <m:t>4</m:t>
                </m:r>
              </m:sup>
            </m:sSup>
          </m:den>
        </m:f>
        <m:r>
          <w:rPr>
            <w:rFonts w:ascii="Cambria Math" w:hAnsi="Cambria Math"/>
          </w:rPr>
          <m:t>=</m:t>
        </m:r>
        <m:r>
          <m:rPr>
            <m:sty m:val="bi"/>
          </m:rPr>
          <w:rPr>
            <w:rFonts w:ascii="Cambria Math" w:hAnsi="Cambria Math"/>
          </w:rPr>
          <m:t>£9.96</m:t>
        </m:r>
        <m:r>
          <m:rPr>
            <m:sty m:val="bi"/>
          </m:rPr>
          <w:rPr>
            <w:rFonts w:ascii="Cambria Math" w:hAnsi="Cambria Math"/>
          </w:rPr>
          <m:t>m</m:t>
        </m:r>
      </m:oMath>
      <w:r w:rsidR="00325B84" w:rsidRPr="002D3ADB">
        <w:t xml:space="preserve"> </w:t>
      </w:r>
    </w:p>
    <w:p w14:paraId="5BFC79DF" w14:textId="77777777" w:rsidR="005C01A7" w:rsidRDefault="005C01A7" w:rsidP="002D3ADB">
      <w:pPr>
        <w:spacing w:line="360" w:lineRule="auto"/>
        <w:jc w:val="center"/>
      </w:pPr>
    </w:p>
    <w:p w14:paraId="7FDC508D" w14:textId="56EF6E58" w:rsidR="005C01A7" w:rsidRPr="002D3ADB" w:rsidRDefault="005C01A7" w:rsidP="005C01A7">
      <w:pPr>
        <w:pStyle w:val="Heading3"/>
        <w:spacing w:line="360" w:lineRule="auto"/>
        <w:rPr>
          <w:rFonts w:ascii="Times New Roman" w:hAnsi="Times New Roman" w:cs="Times New Roman"/>
        </w:rPr>
      </w:pPr>
      <w:bookmarkStart w:id="48" w:name="_Toc61893760"/>
      <w:r w:rsidRPr="002D3ADB">
        <w:rPr>
          <w:rFonts w:ascii="Times New Roman" w:hAnsi="Times New Roman" w:cs="Times New Roman"/>
        </w:rPr>
        <w:lastRenderedPageBreak/>
        <w:t xml:space="preserve">Decision using </w:t>
      </w:r>
      <w:r>
        <w:rPr>
          <w:rFonts w:ascii="Times New Roman" w:hAnsi="Times New Roman" w:cs="Times New Roman"/>
        </w:rPr>
        <w:t>Net Present Value</w:t>
      </w:r>
      <w:r w:rsidRPr="002D3ADB">
        <w:rPr>
          <w:rFonts w:ascii="Times New Roman" w:hAnsi="Times New Roman" w:cs="Times New Roman"/>
        </w:rPr>
        <w:t xml:space="preserve"> (</w:t>
      </w:r>
      <w:r>
        <w:rPr>
          <w:rFonts w:ascii="Times New Roman" w:hAnsi="Times New Roman" w:cs="Times New Roman"/>
        </w:rPr>
        <w:t>NPV</w:t>
      </w:r>
      <w:r w:rsidRPr="002D3ADB">
        <w:rPr>
          <w:rFonts w:ascii="Times New Roman" w:hAnsi="Times New Roman" w:cs="Times New Roman"/>
        </w:rPr>
        <w:t>) Method</w:t>
      </w:r>
      <w:bookmarkEnd w:id="48"/>
    </w:p>
    <w:p w14:paraId="2FE1E87C" w14:textId="77777777" w:rsidR="00771086" w:rsidRDefault="00771086" w:rsidP="005C01A7">
      <w:pPr>
        <w:spacing w:line="360" w:lineRule="auto"/>
      </w:pPr>
    </w:p>
    <w:p w14:paraId="4F91DE29" w14:textId="722F4E7B" w:rsidR="005632C5" w:rsidRPr="00561BCD" w:rsidRDefault="00771086" w:rsidP="00561BCD">
      <w:pPr>
        <w:spacing w:line="360" w:lineRule="auto"/>
        <w:jc w:val="both"/>
        <w:rPr>
          <w:lang w:eastAsia="en-US"/>
        </w:rPr>
      </w:pPr>
      <w:r>
        <w:rPr>
          <w:lang w:eastAsia="en-US"/>
        </w:rPr>
        <w:t>Based on the calculations, u</w:t>
      </w:r>
      <w:r w:rsidRPr="002D3ADB">
        <w:rPr>
          <w:lang w:eastAsia="en-US"/>
        </w:rPr>
        <w:t xml:space="preserve">sing the </w:t>
      </w:r>
      <w:r w:rsidR="00257A88">
        <w:rPr>
          <w:lang w:eastAsia="en-US"/>
        </w:rPr>
        <w:t>Net Present Value (NPV)</w:t>
      </w:r>
      <w:r w:rsidRPr="002D3ADB">
        <w:rPr>
          <w:lang w:eastAsia="en-US"/>
        </w:rPr>
        <w:t xml:space="preserve"> Method, it can be concluded that </w:t>
      </w:r>
      <w:r w:rsidR="00561BCD">
        <w:rPr>
          <w:lang w:eastAsia="en-US"/>
        </w:rPr>
        <w:t>AstraZeneca should purse Project B because it yields higher NPV than Project A.</w:t>
      </w:r>
      <w:r w:rsidR="00A949A6" w:rsidRPr="002D3ADB">
        <w:br w:type="page"/>
      </w:r>
    </w:p>
    <w:p w14:paraId="466300FA" w14:textId="608453DB" w:rsidR="00816FF6" w:rsidRPr="002D3ADB" w:rsidRDefault="00941F17" w:rsidP="002D3ADB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49" w:name="_Toc61893761"/>
      <w:r w:rsidRPr="002D3ADB">
        <w:rPr>
          <w:rFonts w:ascii="Times New Roman" w:hAnsi="Times New Roman" w:cs="Times New Roman"/>
          <w:sz w:val="24"/>
          <w:szCs w:val="24"/>
        </w:rPr>
        <w:lastRenderedPageBreak/>
        <w:t>References</w:t>
      </w:r>
      <w:bookmarkEnd w:id="46"/>
      <w:bookmarkEnd w:id="49"/>
    </w:p>
    <w:p w14:paraId="4853D014" w14:textId="26AF6F43" w:rsidR="006807FD" w:rsidRPr="002D3ADB" w:rsidRDefault="006807FD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Accounting Tools (2020) </w:t>
      </w:r>
      <w:r w:rsidRPr="002D3ADB">
        <w:rPr>
          <w:rFonts w:ascii="Times New Roman" w:hAnsi="Times New Roman" w:cs="Times New Roman"/>
          <w:i/>
          <w:iCs/>
        </w:rPr>
        <w:t xml:space="preserve">Efficiency Ratios.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14" w:history="1">
        <w:r w:rsidR="00AC1987" w:rsidRPr="002D3ADB">
          <w:rPr>
            <w:rStyle w:val="Hyperlink"/>
            <w:rFonts w:ascii="Times New Roman" w:hAnsi="Times New Roman" w:cs="Times New Roman"/>
          </w:rPr>
          <w:t>https://www.accountingtools.com/articles/efficiency-ratios.html</w:t>
        </w:r>
      </w:hyperlink>
      <w:r w:rsidR="00AC1987" w:rsidRPr="002D3ADB">
        <w:rPr>
          <w:rFonts w:ascii="Times New Roman" w:hAnsi="Times New Roman" w:cs="Times New Roman"/>
        </w:rPr>
        <w:t xml:space="preserve"> (Accessed: 13</w:t>
      </w:r>
      <w:r w:rsidR="00AC1987" w:rsidRPr="002D3ADB">
        <w:rPr>
          <w:rFonts w:ascii="Times New Roman" w:hAnsi="Times New Roman" w:cs="Times New Roman"/>
          <w:vertAlign w:val="superscript"/>
        </w:rPr>
        <w:t>th</w:t>
      </w:r>
      <w:r w:rsidR="00AC1987" w:rsidRPr="002D3ADB">
        <w:rPr>
          <w:rFonts w:ascii="Times New Roman" w:hAnsi="Times New Roman" w:cs="Times New Roman"/>
        </w:rPr>
        <w:t xml:space="preserve"> January 2021).</w:t>
      </w:r>
    </w:p>
    <w:p w14:paraId="5F295993" w14:textId="3339B7FA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AstraZeneca (2017) </w:t>
      </w:r>
      <w:r w:rsidRPr="002D3ADB">
        <w:rPr>
          <w:rFonts w:ascii="Times New Roman" w:hAnsi="Times New Roman" w:cs="Times New Roman"/>
          <w:i/>
          <w:iCs/>
        </w:rPr>
        <w:t xml:space="preserve">Annual Report.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15" w:history="1">
        <w:r w:rsidRPr="002D3ADB">
          <w:rPr>
            <w:rStyle w:val="Hyperlink"/>
            <w:rFonts w:ascii="Times New Roman" w:hAnsi="Times New Roman" w:cs="Times New Roman"/>
          </w:rPr>
          <w:t>https://www.astrazeneca.com/content/dam/az/Investor_Relations/annual-reports-homepage/AstraZeneca_AR_2017%20(1).pdf</w:t>
        </w:r>
      </w:hyperlink>
      <w:r w:rsidRPr="002D3ADB">
        <w:rPr>
          <w:rFonts w:ascii="Times New Roman" w:hAnsi="Times New Roman" w:cs="Times New Roman"/>
        </w:rPr>
        <w:t xml:space="preserve"> (Accessed: 10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505E45AD" w14:textId="77777777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AstraZeneca (2019) </w:t>
      </w:r>
      <w:r w:rsidRPr="002D3ADB">
        <w:rPr>
          <w:rFonts w:ascii="Times New Roman" w:hAnsi="Times New Roman" w:cs="Times New Roman"/>
          <w:i/>
          <w:iCs/>
        </w:rPr>
        <w:t xml:space="preserve">Annual Report.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16" w:history="1">
        <w:r w:rsidRPr="002D3ADB">
          <w:rPr>
            <w:rStyle w:val="Hyperlink"/>
            <w:rFonts w:ascii="Times New Roman" w:hAnsi="Times New Roman" w:cs="Times New Roman"/>
            <w:i/>
            <w:iCs/>
          </w:rPr>
          <w:t>https://www.astrazeneca.com/content/dam/az/Investor_Relations/annual-report-2019/pdf/AstraZeneca_AR_2019.pdf</w:t>
        </w:r>
      </w:hyperlink>
      <w:r w:rsidRPr="002D3ADB">
        <w:rPr>
          <w:rFonts w:ascii="Times New Roman" w:hAnsi="Times New Roman" w:cs="Times New Roman"/>
          <w:i/>
          <w:iCs/>
        </w:rPr>
        <w:t xml:space="preserve"> </w:t>
      </w:r>
      <w:r w:rsidRPr="002D3ADB">
        <w:rPr>
          <w:rFonts w:ascii="Times New Roman" w:hAnsi="Times New Roman" w:cs="Times New Roman"/>
        </w:rPr>
        <w:t>(Accessed: 10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4BA3DF8E" w14:textId="44BC74DF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AstraZeneca (2021) </w:t>
      </w:r>
      <w:r w:rsidRPr="002D3ADB">
        <w:rPr>
          <w:rFonts w:ascii="Times New Roman" w:hAnsi="Times New Roman" w:cs="Times New Roman"/>
          <w:i/>
          <w:iCs/>
        </w:rPr>
        <w:t xml:space="preserve">Our Company.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17" w:history="1">
        <w:r w:rsidRPr="002D3ADB">
          <w:rPr>
            <w:rStyle w:val="Hyperlink"/>
            <w:rFonts w:ascii="Times New Roman" w:hAnsi="Times New Roman" w:cs="Times New Roman"/>
          </w:rPr>
          <w:t>https://www.astrazeneca.com/our-company.html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0CDC6F13" w14:textId="54BB18DA" w:rsidR="00EE3761" w:rsidRPr="002D3ADB" w:rsidRDefault="00EE3761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BBC (2021) </w:t>
      </w:r>
      <w:r w:rsidR="00CA1F9D" w:rsidRPr="002D3ADB">
        <w:rPr>
          <w:rFonts w:ascii="Times New Roman" w:hAnsi="Times New Roman" w:cs="Times New Roman"/>
          <w:i/>
          <w:iCs/>
        </w:rPr>
        <w:t xml:space="preserve">Revenue and Costs. </w:t>
      </w:r>
      <w:r w:rsidR="00CA1F9D" w:rsidRPr="002D3ADB">
        <w:rPr>
          <w:rFonts w:ascii="Times New Roman" w:hAnsi="Times New Roman" w:cs="Times New Roman"/>
        </w:rPr>
        <w:t xml:space="preserve">Available at: </w:t>
      </w:r>
      <w:hyperlink r:id="rId18" w:history="1">
        <w:r w:rsidR="00CA1F9D" w:rsidRPr="002D3ADB">
          <w:rPr>
            <w:rStyle w:val="Hyperlink"/>
            <w:rFonts w:ascii="Times New Roman" w:hAnsi="Times New Roman" w:cs="Times New Roman"/>
          </w:rPr>
          <w:t>https://www.bbc.co.uk/bitesize/guides/znf88xs/revision/5</w:t>
        </w:r>
      </w:hyperlink>
      <w:r w:rsidR="00CA1F9D" w:rsidRPr="002D3ADB">
        <w:rPr>
          <w:rFonts w:ascii="Times New Roman" w:hAnsi="Times New Roman" w:cs="Times New Roman"/>
        </w:rPr>
        <w:t xml:space="preserve"> (Accessed: 13</w:t>
      </w:r>
      <w:r w:rsidR="00CA1F9D" w:rsidRPr="002D3ADB">
        <w:rPr>
          <w:rFonts w:ascii="Times New Roman" w:hAnsi="Times New Roman" w:cs="Times New Roman"/>
          <w:vertAlign w:val="superscript"/>
        </w:rPr>
        <w:t>th</w:t>
      </w:r>
      <w:r w:rsidR="00CA1F9D" w:rsidRPr="002D3ADB">
        <w:rPr>
          <w:rFonts w:ascii="Times New Roman" w:hAnsi="Times New Roman" w:cs="Times New Roman"/>
        </w:rPr>
        <w:t xml:space="preserve"> January 2021).</w:t>
      </w:r>
    </w:p>
    <w:p w14:paraId="5FCAA5FE" w14:textId="1660B594" w:rsidR="00BB5991" w:rsidRPr="002D3ADB" w:rsidRDefault="00BB5991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2D3ADB">
        <w:rPr>
          <w:rFonts w:ascii="Times New Roman" w:hAnsi="Times New Roman" w:cs="Times New Roman"/>
        </w:rPr>
        <w:t>Bloomenthal</w:t>
      </w:r>
      <w:proofErr w:type="spellEnd"/>
      <w:r w:rsidRPr="002D3ADB">
        <w:rPr>
          <w:rFonts w:ascii="Times New Roman" w:hAnsi="Times New Roman" w:cs="Times New Roman"/>
        </w:rPr>
        <w:t xml:space="preserve">, A. (2020) </w:t>
      </w:r>
      <w:r w:rsidRPr="002D3ADB">
        <w:rPr>
          <w:rFonts w:ascii="Times New Roman" w:hAnsi="Times New Roman" w:cs="Times New Roman"/>
          <w:i/>
          <w:iCs/>
        </w:rPr>
        <w:t xml:space="preserve">Ratio Analysis.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19" w:history="1">
        <w:r w:rsidRPr="002D3ADB">
          <w:rPr>
            <w:rStyle w:val="Hyperlink"/>
            <w:rFonts w:ascii="Times New Roman" w:hAnsi="Times New Roman" w:cs="Times New Roman"/>
          </w:rPr>
          <w:t>https://www.investopedia.com/terms/r/ratioanalysis.asp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68C41F07" w14:textId="73F60F3E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Carroll, J. (2013) </w:t>
      </w:r>
      <w:r w:rsidRPr="002D3ADB">
        <w:rPr>
          <w:rFonts w:ascii="Times New Roman" w:hAnsi="Times New Roman" w:cs="Times New Roman"/>
          <w:i/>
          <w:iCs/>
        </w:rPr>
        <w:t xml:space="preserve">Updated: AstraZeneca to </w:t>
      </w:r>
      <w:proofErr w:type="spellStart"/>
      <w:r w:rsidRPr="002D3ADB">
        <w:rPr>
          <w:rFonts w:ascii="Times New Roman" w:hAnsi="Times New Roman" w:cs="Times New Roman"/>
          <w:i/>
          <w:iCs/>
        </w:rPr>
        <w:t>ax</w:t>
      </w:r>
      <w:proofErr w:type="spellEnd"/>
      <w:r w:rsidRPr="002D3ADB">
        <w:rPr>
          <w:rFonts w:ascii="Times New Roman" w:hAnsi="Times New Roman" w:cs="Times New Roman"/>
          <w:i/>
          <w:iCs/>
        </w:rPr>
        <w:t xml:space="preserve"> 1,600, relocate thousands in global R&amp;D reshuffle.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20" w:history="1">
        <w:r w:rsidRPr="002D3ADB">
          <w:rPr>
            <w:rStyle w:val="Hyperlink"/>
            <w:rFonts w:ascii="Times New Roman" w:hAnsi="Times New Roman" w:cs="Times New Roman"/>
          </w:rPr>
          <w:t>https://www.fiercebiotech.com/r-d/updated-astrazeneca-to-ax-1-600-relocate-thousands-global-r-d-reshuffle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41B3BFF9" w14:textId="148B0ECB" w:rsidR="009C2A78" w:rsidRPr="002D3ADB" w:rsidRDefault="009C2A78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CFI Education Inc. (2021) </w:t>
      </w:r>
      <w:r w:rsidR="00C244E3" w:rsidRPr="002D3ADB">
        <w:rPr>
          <w:rFonts w:ascii="Times New Roman" w:hAnsi="Times New Roman" w:cs="Times New Roman"/>
          <w:i/>
          <w:iCs/>
        </w:rPr>
        <w:t xml:space="preserve">What is Operating Margin? </w:t>
      </w:r>
      <w:r w:rsidR="00C244E3" w:rsidRPr="002D3ADB">
        <w:rPr>
          <w:rFonts w:ascii="Times New Roman" w:hAnsi="Times New Roman" w:cs="Times New Roman"/>
        </w:rPr>
        <w:t xml:space="preserve">Available at: </w:t>
      </w:r>
      <w:hyperlink r:id="rId21" w:history="1">
        <w:r w:rsidR="00C244E3" w:rsidRPr="002D3ADB">
          <w:rPr>
            <w:rStyle w:val="Hyperlink"/>
            <w:rFonts w:ascii="Times New Roman" w:hAnsi="Times New Roman" w:cs="Times New Roman"/>
          </w:rPr>
          <w:t>https://corporatefinanceinstitute.com/resources/knowledge/accounting/operating-margin/</w:t>
        </w:r>
      </w:hyperlink>
      <w:r w:rsidR="00C244E3" w:rsidRPr="002D3ADB">
        <w:rPr>
          <w:rFonts w:ascii="Times New Roman" w:hAnsi="Times New Roman" w:cs="Times New Roman"/>
        </w:rPr>
        <w:t xml:space="preserve"> (Accessed: 13</w:t>
      </w:r>
      <w:r w:rsidR="00C244E3" w:rsidRPr="002D3ADB">
        <w:rPr>
          <w:rFonts w:ascii="Times New Roman" w:hAnsi="Times New Roman" w:cs="Times New Roman"/>
          <w:vertAlign w:val="superscript"/>
        </w:rPr>
        <w:t>th</w:t>
      </w:r>
      <w:r w:rsidR="00C244E3" w:rsidRPr="002D3ADB">
        <w:rPr>
          <w:rFonts w:ascii="Times New Roman" w:hAnsi="Times New Roman" w:cs="Times New Roman"/>
        </w:rPr>
        <w:t xml:space="preserve"> January 2021).</w:t>
      </w:r>
    </w:p>
    <w:p w14:paraId="35C33467" w14:textId="76ABA614" w:rsidR="00CA021F" w:rsidRPr="002D3ADB" w:rsidRDefault="00CA021F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Chen, J. (2020) </w:t>
      </w:r>
      <w:r w:rsidRPr="002D3ADB">
        <w:rPr>
          <w:rFonts w:ascii="Times New Roman" w:hAnsi="Times New Roman" w:cs="Times New Roman"/>
          <w:i/>
          <w:iCs/>
        </w:rPr>
        <w:t xml:space="preserve">Liquidity.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22" w:history="1">
        <w:r w:rsidRPr="002D3ADB">
          <w:rPr>
            <w:rStyle w:val="Hyperlink"/>
            <w:rFonts w:ascii="Times New Roman" w:hAnsi="Times New Roman" w:cs="Times New Roman"/>
          </w:rPr>
          <w:t>https://www.investopedia.com/terms/l/liquidity.asp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46E74495" w14:textId="77777777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lastRenderedPageBreak/>
        <w:t xml:space="preserve">Christel, M. (2017) ‘Pharm Exec’s Top 50 Companies 2017’, </w:t>
      </w:r>
      <w:r w:rsidRPr="002D3ADB">
        <w:rPr>
          <w:rFonts w:ascii="Times New Roman" w:hAnsi="Times New Roman" w:cs="Times New Roman"/>
          <w:i/>
          <w:iCs/>
        </w:rPr>
        <w:t xml:space="preserve">Pharmaceutical Executive, </w:t>
      </w:r>
      <w:r w:rsidRPr="002D3ADB">
        <w:rPr>
          <w:rFonts w:ascii="Times New Roman" w:hAnsi="Times New Roman" w:cs="Times New Roman"/>
        </w:rPr>
        <w:t xml:space="preserve">Vol. 37, No. 6. Available at: </w:t>
      </w:r>
      <w:hyperlink r:id="rId23" w:history="1">
        <w:r w:rsidRPr="002D3ADB">
          <w:rPr>
            <w:rStyle w:val="Hyperlink"/>
            <w:rFonts w:ascii="Times New Roman" w:hAnsi="Times New Roman" w:cs="Times New Roman"/>
          </w:rPr>
          <w:t>https://www.pharmexec.com/view/pharm-execs-top-50-companies-2017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313ED754" w14:textId="0AA870CF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Da Silva, C. (2020) </w:t>
      </w:r>
      <w:r w:rsidRPr="002D3ADB">
        <w:rPr>
          <w:rFonts w:ascii="Times New Roman" w:hAnsi="Times New Roman" w:cs="Times New Roman"/>
          <w:i/>
          <w:iCs/>
        </w:rPr>
        <w:t xml:space="preserve">Oxford Vaccine Researchers Have Found ‘Winning Formula’, AstraZeneca Chief Says.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24" w:history="1">
        <w:r w:rsidRPr="002D3ADB">
          <w:rPr>
            <w:rStyle w:val="Hyperlink"/>
            <w:rFonts w:ascii="Times New Roman" w:hAnsi="Times New Roman" w:cs="Times New Roman"/>
          </w:rPr>
          <w:t>https://www.independent.co.uk/news/uk/home-news/oxford-vaccine-coronavirus-variant-b1779212.html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7AFC5F02" w14:textId="04FCE563" w:rsidR="008D260A" w:rsidRPr="002D3ADB" w:rsidRDefault="008D260A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Farrell, S. (2020) </w:t>
      </w:r>
      <w:r w:rsidRPr="002D3ADB">
        <w:rPr>
          <w:rFonts w:ascii="Times New Roman" w:hAnsi="Times New Roman" w:cs="Times New Roman"/>
          <w:i/>
          <w:iCs/>
        </w:rPr>
        <w:t xml:space="preserve">AstraZeneca profit falls as costs and </w:t>
      </w:r>
      <w:proofErr w:type="spellStart"/>
      <w:r w:rsidRPr="002D3ADB">
        <w:rPr>
          <w:rFonts w:ascii="Times New Roman" w:hAnsi="Times New Roman" w:cs="Times New Roman"/>
          <w:i/>
          <w:iCs/>
        </w:rPr>
        <w:t>writedowns</w:t>
      </w:r>
      <w:proofErr w:type="spellEnd"/>
      <w:r w:rsidRPr="002D3ADB">
        <w:rPr>
          <w:rFonts w:ascii="Times New Roman" w:hAnsi="Times New Roman" w:cs="Times New Roman"/>
          <w:i/>
          <w:iCs/>
        </w:rPr>
        <w:t xml:space="preserve"> increase.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25" w:history="1">
        <w:r w:rsidRPr="002D3ADB">
          <w:rPr>
            <w:rStyle w:val="Hyperlink"/>
            <w:rFonts w:ascii="Times New Roman" w:hAnsi="Times New Roman" w:cs="Times New Roman"/>
          </w:rPr>
          <w:t>https://www.sharecast.com/news/news-and-announcements/astrazeneca-profit-falls-as-costs-and-writedowns-increase--7313558.html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6383D3C1" w14:textId="14C60AF7" w:rsidR="00C743EB" w:rsidRPr="002D3ADB" w:rsidRDefault="00C743EB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Farris, P.W., </w:t>
      </w:r>
      <w:proofErr w:type="spellStart"/>
      <w:r w:rsidRPr="002D3ADB">
        <w:rPr>
          <w:rFonts w:ascii="Times New Roman" w:hAnsi="Times New Roman" w:cs="Times New Roman"/>
        </w:rPr>
        <w:t>Bendle</w:t>
      </w:r>
      <w:proofErr w:type="spellEnd"/>
      <w:r w:rsidRPr="002D3ADB">
        <w:rPr>
          <w:rFonts w:ascii="Times New Roman" w:hAnsi="Times New Roman" w:cs="Times New Roman"/>
        </w:rPr>
        <w:t xml:space="preserve">, N.T., Pfeifer, P.E. and </w:t>
      </w:r>
      <w:proofErr w:type="spellStart"/>
      <w:r w:rsidRPr="002D3ADB">
        <w:rPr>
          <w:rFonts w:ascii="Times New Roman" w:hAnsi="Times New Roman" w:cs="Times New Roman"/>
        </w:rPr>
        <w:t>Reibstein</w:t>
      </w:r>
      <w:proofErr w:type="spellEnd"/>
      <w:r w:rsidRPr="002D3ADB">
        <w:rPr>
          <w:rFonts w:ascii="Times New Roman" w:hAnsi="Times New Roman" w:cs="Times New Roman"/>
        </w:rPr>
        <w:t>, D.J. (2010)</w:t>
      </w:r>
      <w:r w:rsidR="002777D8" w:rsidRPr="002D3ADB">
        <w:rPr>
          <w:rFonts w:ascii="Times New Roman" w:hAnsi="Times New Roman" w:cs="Times New Roman"/>
        </w:rPr>
        <w:t xml:space="preserve"> </w:t>
      </w:r>
      <w:r w:rsidR="000823BC" w:rsidRPr="002D3ADB">
        <w:rPr>
          <w:rFonts w:ascii="Times New Roman" w:hAnsi="Times New Roman" w:cs="Times New Roman"/>
          <w:i/>
          <w:iCs/>
        </w:rPr>
        <w:t xml:space="preserve">Marketing Metrics: The Definitive Guide to Measuring </w:t>
      </w:r>
      <w:r w:rsidR="00AC6A8C" w:rsidRPr="002D3ADB">
        <w:rPr>
          <w:rFonts w:ascii="Times New Roman" w:hAnsi="Times New Roman" w:cs="Times New Roman"/>
          <w:i/>
          <w:iCs/>
        </w:rPr>
        <w:t>Marketing</w:t>
      </w:r>
      <w:r w:rsidR="000823BC" w:rsidRPr="002D3ADB">
        <w:rPr>
          <w:rFonts w:ascii="Times New Roman" w:hAnsi="Times New Roman" w:cs="Times New Roman"/>
          <w:i/>
          <w:iCs/>
        </w:rPr>
        <w:t xml:space="preserve"> Performance. </w:t>
      </w:r>
      <w:r w:rsidR="000823BC" w:rsidRPr="002D3ADB">
        <w:rPr>
          <w:rFonts w:ascii="Times New Roman" w:hAnsi="Times New Roman" w:cs="Times New Roman"/>
        </w:rPr>
        <w:t>New Jersey: Pearson.</w:t>
      </w:r>
    </w:p>
    <w:p w14:paraId="52D78B21" w14:textId="0C6474A6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Gallagher, J. and </w:t>
      </w:r>
      <w:proofErr w:type="spellStart"/>
      <w:r w:rsidRPr="002D3ADB">
        <w:rPr>
          <w:rFonts w:ascii="Times New Roman" w:hAnsi="Times New Roman" w:cs="Times New Roman"/>
        </w:rPr>
        <w:t>Triggle</w:t>
      </w:r>
      <w:proofErr w:type="spellEnd"/>
      <w:r w:rsidRPr="002D3ADB">
        <w:rPr>
          <w:rFonts w:ascii="Times New Roman" w:hAnsi="Times New Roman" w:cs="Times New Roman"/>
        </w:rPr>
        <w:t xml:space="preserve">, N. (2020) </w:t>
      </w:r>
      <w:r w:rsidRPr="002D3ADB">
        <w:rPr>
          <w:rFonts w:ascii="Times New Roman" w:hAnsi="Times New Roman" w:cs="Times New Roman"/>
          <w:i/>
          <w:iCs/>
        </w:rPr>
        <w:t xml:space="preserve">Covid-19: Oxford-AstraZeneca vaccine approved for use in UK.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26" w:history="1">
        <w:r w:rsidRPr="002D3ADB">
          <w:rPr>
            <w:rStyle w:val="Hyperlink"/>
            <w:rFonts w:ascii="Times New Roman" w:hAnsi="Times New Roman" w:cs="Times New Roman"/>
          </w:rPr>
          <w:t>https://www.bbc.co.uk/news/health-55280671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04DBBA7B" w14:textId="7D5F44D0" w:rsidR="00F65D49" w:rsidRPr="002D3ADB" w:rsidRDefault="00F65D49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Grant, M. (2020) </w:t>
      </w:r>
      <w:r w:rsidR="004078FF" w:rsidRPr="002D3ADB">
        <w:rPr>
          <w:rFonts w:ascii="Times New Roman" w:hAnsi="Times New Roman" w:cs="Times New Roman"/>
          <w:i/>
          <w:iCs/>
        </w:rPr>
        <w:t xml:space="preserve">Vertical Analysis. </w:t>
      </w:r>
      <w:r w:rsidR="004078FF" w:rsidRPr="002D3ADB">
        <w:rPr>
          <w:rFonts w:ascii="Times New Roman" w:hAnsi="Times New Roman" w:cs="Times New Roman"/>
        </w:rPr>
        <w:t xml:space="preserve">Available at: </w:t>
      </w:r>
      <w:hyperlink r:id="rId27" w:history="1">
        <w:r w:rsidR="004078FF" w:rsidRPr="002D3ADB">
          <w:rPr>
            <w:rStyle w:val="Hyperlink"/>
            <w:rFonts w:ascii="Times New Roman" w:hAnsi="Times New Roman" w:cs="Times New Roman"/>
          </w:rPr>
          <w:t>https://www.investopedia.com/terms/v/vertical_analysis.asp</w:t>
        </w:r>
      </w:hyperlink>
      <w:r w:rsidR="004078FF" w:rsidRPr="002D3ADB">
        <w:rPr>
          <w:rFonts w:ascii="Times New Roman" w:hAnsi="Times New Roman" w:cs="Times New Roman"/>
        </w:rPr>
        <w:t xml:space="preserve"> (Accessed: 13</w:t>
      </w:r>
      <w:r w:rsidR="004078FF" w:rsidRPr="002D3ADB">
        <w:rPr>
          <w:rFonts w:ascii="Times New Roman" w:hAnsi="Times New Roman" w:cs="Times New Roman"/>
          <w:vertAlign w:val="superscript"/>
        </w:rPr>
        <w:t>th</w:t>
      </w:r>
      <w:r w:rsidR="004078FF" w:rsidRPr="002D3ADB">
        <w:rPr>
          <w:rFonts w:ascii="Times New Roman" w:hAnsi="Times New Roman" w:cs="Times New Roman"/>
        </w:rPr>
        <w:t xml:space="preserve"> January 2021).</w:t>
      </w:r>
    </w:p>
    <w:p w14:paraId="4ADFEA2E" w14:textId="6DE1A520" w:rsidR="00F16394" w:rsidRPr="002D3ADB" w:rsidRDefault="00F16394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Green, L. (2019) </w:t>
      </w:r>
      <w:r w:rsidR="009E5A59" w:rsidRPr="002D3ADB">
        <w:rPr>
          <w:rFonts w:ascii="Times New Roman" w:hAnsi="Times New Roman" w:cs="Times New Roman"/>
          <w:i/>
          <w:iCs/>
        </w:rPr>
        <w:t xml:space="preserve">Fixed Asset Turnover Ratio. </w:t>
      </w:r>
      <w:r w:rsidR="009E5A59" w:rsidRPr="002D3ADB">
        <w:rPr>
          <w:rFonts w:ascii="Times New Roman" w:hAnsi="Times New Roman" w:cs="Times New Roman"/>
        </w:rPr>
        <w:t xml:space="preserve">Available at: </w:t>
      </w:r>
      <w:hyperlink r:id="rId28" w:anchor=":~:text=A%20high%20fixed%20asset%20turnover,full%20potential%20to%20generate%20revenue" w:history="1">
        <w:r w:rsidR="009E5A59" w:rsidRPr="002D3ADB">
          <w:rPr>
            <w:rStyle w:val="Hyperlink"/>
            <w:rFonts w:ascii="Times New Roman" w:hAnsi="Times New Roman" w:cs="Times New Roman"/>
          </w:rPr>
          <w:t>https://www.investopedia.com/ask/answers/033015/what-considered-be-good-fixed-asset-turnover-ratio.asp#:~:text=A%20high%20fixed%20asset%20turnover,full%20potential%20to%20generate%20revenue</w:t>
        </w:r>
      </w:hyperlink>
      <w:r w:rsidR="009E5A59" w:rsidRPr="002D3ADB">
        <w:rPr>
          <w:rFonts w:ascii="Times New Roman" w:hAnsi="Times New Roman" w:cs="Times New Roman"/>
        </w:rPr>
        <w:t>. (Accessed: 13</w:t>
      </w:r>
      <w:r w:rsidR="009E5A59" w:rsidRPr="002D3ADB">
        <w:rPr>
          <w:rFonts w:ascii="Times New Roman" w:hAnsi="Times New Roman" w:cs="Times New Roman"/>
          <w:vertAlign w:val="superscript"/>
        </w:rPr>
        <w:t>th</w:t>
      </w:r>
      <w:r w:rsidR="009E5A59" w:rsidRPr="002D3ADB">
        <w:rPr>
          <w:rFonts w:ascii="Times New Roman" w:hAnsi="Times New Roman" w:cs="Times New Roman"/>
        </w:rPr>
        <w:t xml:space="preserve"> January 2021).</w:t>
      </w:r>
    </w:p>
    <w:p w14:paraId="3201541F" w14:textId="7FA7050C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Hammond, E., </w:t>
      </w:r>
      <w:proofErr w:type="spellStart"/>
      <w:r w:rsidRPr="002D3ADB">
        <w:rPr>
          <w:rFonts w:ascii="Times New Roman" w:hAnsi="Times New Roman" w:cs="Times New Roman"/>
        </w:rPr>
        <w:t>Kirchfeld</w:t>
      </w:r>
      <w:proofErr w:type="spellEnd"/>
      <w:r w:rsidRPr="002D3ADB">
        <w:rPr>
          <w:rFonts w:ascii="Times New Roman" w:hAnsi="Times New Roman" w:cs="Times New Roman"/>
        </w:rPr>
        <w:t xml:space="preserve">, A. and Nair, D. (2020) </w:t>
      </w:r>
      <w:r w:rsidRPr="002D3ADB">
        <w:rPr>
          <w:rFonts w:ascii="Times New Roman" w:hAnsi="Times New Roman" w:cs="Times New Roman"/>
          <w:i/>
          <w:iCs/>
        </w:rPr>
        <w:t xml:space="preserve">AstraZeneca Approaches Gilead About Potential Merger.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29" w:history="1">
        <w:r w:rsidRPr="002D3ADB">
          <w:rPr>
            <w:rStyle w:val="Hyperlink"/>
            <w:rFonts w:ascii="Times New Roman" w:hAnsi="Times New Roman" w:cs="Times New Roman"/>
          </w:rPr>
          <w:t>https://www.bloomberg.com/news/articles/2020-06-07/astrazeneca-is-said-to-approach-gilead-about-potential-merger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45799612" w14:textId="6AB690E7" w:rsidR="00AB749D" w:rsidRPr="002D3ADB" w:rsidRDefault="00AB749D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Hayes, D. (2020) </w:t>
      </w:r>
      <w:r w:rsidRPr="002D3ADB">
        <w:rPr>
          <w:rFonts w:ascii="Times New Roman" w:hAnsi="Times New Roman" w:cs="Times New Roman"/>
          <w:i/>
          <w:iCs/>
        </w:rPr>
        <w:t xml:space="preserve">Leverage Ratio Definition.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30" w:history="1">
        <w:r w:rsidRPr="002D3ADB">
          <w:rPr>
            <w:rStyle w:val="Hyperlink"/>
            <w:rFonts w:ascii="Times New Roman" w:hAnsi="Times New Roman" w:cs="Times New Roman"/>
          </w:rPr>
          <w:t>https://www.investopedia.com/terms/l/leverageratio.asp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7804E8A6" w14:textId="1BFBCD74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2D3ADB">
        <w:rPr>
          <w:rFonts w:ascii="Times New Roman" w:hAnsi="Times New Roman" w:cs="Times New Roman"/>
        </w:rPr>
        <w:lastRenderedPageBreak/>
        <w:t>Hirschler</w:t>
      </w:r>
      <w:proofErr w:type="spellEnd"/>
      <w:r w:rsidRPr="002D3ADB">
        <w:rPr>
          <w:rFonts w:ascii="Times New Roman" w:hAnsi="Times New Roman" w:cs="Times New Roman"/>
        </w:rPr>
        <w:t xml:space="preserve">, B. (2018) </w:t>
      </w:r>
      <w:r w:rsidRPr="002D3ADB">
        <w:rPr>
          <w:rFonts w:ascii="Times New Roman" w:hAnsi="Times New Roman" w:cs="Times New Roman"/>
          <w:i/>
          <w:iCs/>
        </w:rPr>
        <w:t xml:space="preserve">AstraZeneca spins off autoimmune drugs into new biotech company.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31" w:history="1">
        <w:r w:rsidRPr="002D3ADB">
          <w:rPr>
            <w:rStyle w:val="Hyperlink"/>
            <w:rFonts w:ascii="Times New Roman" w:hAnsi="Times New Roman" w:cs="Times New Roman"/>
          </w:rPr>
          <w:t>https://www.reuters.com/article/us-astrazeneca-biotech/astrazeneca-spins-off-autoimmune-drugs-into-new-biotech-company-idUSKCN1GC0OL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2605AD6A" w14:textId="5F0A0D59" w:rsidR="00F24A49" w:rsidRPr="002D3ADB" w:rsidRDefault="00F24A49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2D3ADB">
        <w:rPr>
          <w:rFonts w:ascii="Times New Roman" w:hAnsi="Times New Roman" w:cs="Times New Roman"/>
        </w:rPr>
        <w:t>Javed</w:t>
      </w:r>
      <w:proofErr w:type="spellEnd"/>
      <w:r w:rsidRPr="002D3ADB">
        <w:rPr>
          <w:rFonts w:ascii="Times New Roman" w:hAnsi="Times New Roman" w:cs="Times New Roman"/>
        </w:rPr>
        <w:t xml:space="preserve">, R. (2020) </w:t>
      </w:r>
      <w:r w:rsidRPr="002D3ADB">
        <w:rPr>
          <w:rFonts w:ascii="Times New Roman" w:hAnsi="Times New Roman" w:cs="Times New Roman"/>
          <w:i/>
          <w:iCs/>
        </w:rPr>
        <w:t xml:space="preserve">Accounting Rate of Return Method.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32" w:history="1">
        <w:r w:rsidRPr="002D3ADB">
          <w:rPr>
            <w:rStyle w:val="Hyperlink"/>
            <w:rFonts w:ascii="Times New Roman" w:hAnsi="Times New Roman" w:cs="Times New Roman"/>
          </w:rPr>
          <w:t>https://www.accountingformanagement.org/accounting-rate-of-return-method/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0D9260AD" w14:textId="60E5E985" w:rsidR="008B6313" w:rsidRPr="002D3ADB" w:rsidRDefault="008B6313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Kagan, J. (2020) </w:t>
      </w:r>
      <w:r w:rsidRPr="002D3ADB">
        <w:rPr>
          <w:rFonts w:ascii="Times New Roman" w:hAnsi="Times New Roman" w:cs="Times New Roman"/>
          <w:i/>
          <w:iCs/>
        </w:rPr>
        <w:t xml:space="preserve">Payback Period.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33" w:anchor=":~:text=The%20payback%20period%20disregards%20the,payback%20method%20for%20its%20simplicity" w:history="1">
        <w:r w:rsidRPr="002D3ADB">
          <w:rPr>
            <w:rStyle w:val="Hyperlink"/>
            <w:rFonts w:ascii="Times New Roman" w:hAnsi="Times New Roman" w:cs="Times New Roman"/>
          </w:rPr>
          <w:t>https://www.investopedia.com/terms/p/paybackperiod.asp#:~:text=The%20payback%20period%20disregards%20the,payback%20method%20for%20its%20simplicity</w:t>
        </w:r>
      </w:hyperlink>
      <w:r w:rsidRPr="002D3ADB">
        <w:rPr>
          <w:rFonts w:ascii="Times New Roman" w:hAnsi="Times New Roman" w:cs="Times New Roman"/>
        </w:rPr>
        <w:t>.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049C64B8" w14:textId="118F836A" w:rsidR="00A14E60" w:rsidRPr="002D3ADB" w:rsidRDefault="00A14E60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>Kenton, W. (2020</w:t>
      </w:r>
      <w:r w:rsidR="00ED69B8" w:rsidRPr="002D3ADB">
        <w:rPr>
          <w:rFonts w:ascii="Times New Roman" w:hAnsi="Times New Roman" w:cs="Times New Roman"/>
        </w:rPr>
        <w:t>a</w:t>
      </w:r>
      <w:r w:rsidRPr="002D3ADB">
        <w:rPr>
          <w:rFonts w:ascii="Times New Roman" w:hAnsi="Times New Roman" w:cs="Times New Roman"/>
        </w:rPr>
        <w:t xml:space="preserve">) </w:t>
      </w:r>
      <w:r w:rsidRPr="002D3ADB">
        <w:rPr>
          <w:rFonts w:ascii="Times New Roman" w:hAnsi="Times New Roman" w:cs="Times New Roman"/>
          <w:i/>
          <w:iCs/>
        </w:rPr>
        <w:t xml:space="preserve">Financial Statement Analysis.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34" w:history="1">
        <w:r w:rsidRPr="002D3ADB">
          <w:rPr>
            <w:rStyle w:val="Hyperlink"/>
            <w:rFonts w:ascii="Times New Roman" w:hAnsi="Times New Roman" w:cs="Times New Roman"/>
          </w:rPr>
          <w:t>https://www.investopedia.com/terms/f/financial-statement-analysis.asp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49B12B2F" w14:textId="065EA4C0" w:rsidR="00ED69B8" w:rsidRPr="002D3ADB" w:rsidRDefault="00ED69B8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Kenton, W. (2020b) </w:t>
      </w:r>
      <w:r w:rsidR="00D86263" w:rsidRPr="002D3ADB">
        <w:rPr>
          <w:rFonts w:ascii="Times New Roman" w:hAnsi="Times New Roman" w:cs="Times New Roman"/>
          <w:i/>
          <w:iCs/>
        </w:rPr>
        <w:t>Profitability Ratios</w:t>
      </w:r>
      <w:r w:rsidR="00D86263" w:rsidRPr="002D3ADB">
        <w:rPr>
          <w:rFonts w:ascii="Times New Roman" w:hAnsi="Times New Roman" w:cs="Times New Roman"/>
        </w:rPr>
        <w:t xml:space="preserve">. Available at: </w:t>
      </w:r>
      <w:hyperlink r:id="rId35" w:history="1">
        <w:r w:rsidR="00D86263" w:rsidRPr="002D3ADB">
          <w:rPr>
            <w:rStyle w:val="Hyperlink"/>
            <w:rFonts w:ascii="Times New Roman" w:hAnsi="Times New Roman" w:cs="Times New Roman"/>
          </w:rPr>
          <w:t>https://www.investopedia.com/terms/p/profitabilityratios.asp</w:t>
        </w:r>
      </w:hyperlink>
      <w:r w:rsidR="00D86263" w:rsidRPr="002D3ADB">
        <w:rPr>
          <w:rFonts w:ascii="Times New Roman" w:hAnsi="Times New Roman" w:cs="Times New Roman"/>
        </w:rPr>
        <w:t xml:space="preserve"> (Accessed: 13</w:t>
      </w:r>
      <w:r w:rsidR="00D86263" w:rsidRPr="002D3ADB">
        <w:rPr>
          <w:rFonts w:ascii="Times New Roman" w:hAnsi="Times New Roman" w:cs="Times New Roman"/>
          <w:vertAlign w:val="superscript"/>
        </w:rPr>
        <w:t>th</w:t>
      </w:r>
      <w:r w:rsidR="00D86263" w:rsidRPr="002D3ADB">
        <w:rPr>
          <w:rFonts w:ascii="Times New Roman" w:hAnsi="Times New Roman" w:cs="Times New Roman"/>
        </w:rPr>
        <w:t xml:space="preserve"> January 2021).</w:t>
      </w:r>
    </w:p>
    <w:p w14:paraId="77E31816" w14:textId="75D74C9D" w:rsidR="006B42F5" w:rsidRDefault="006B42F5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>Kurt, D. (2019)</w:t>
      </w:r>
      <w:r w:rsidR="002A2690" w:rsidRPr="002D3ADB">
        <w:rPr>
          <w:rFonts w:ascii="Times New Roman" w:hAnsi="Times New Roman" w:cs="Times New Roman"/>
        </w:rPr>
        <w:t xml:space="preserve"> </w:t>
      </w:r>
      <w:r w:rsidR="002A2690" w:rsidRPr="002D3ADB">
        <w:rPr>
          <w:rFonts w:ascii="Times New Roman" w:hAnsi="Times New Roman" w:cs="Times New Roman"/>
          <w:i/>
          <w:iCs/>
        </w:rPr>
        <w:t xml:space="preserve">How Investors Use Leverage Ratios to Gauge Financial Health. </w:t>
      </w:r>
      <w:r w:rsidR="002A2690" w:rsidRPr="002D3ADB">
        <w:rPr>
          <w:rFonts w:ascii="Times New Roman" w:hAnsi="Times New Roman" w:cs="Times New Roman"/>
        </w:rPr>
        <w:t xml:space="preserve">Available at: </w:t>
      </w:r>
      <w:hyperlink r:id="rId36" w:anchor=":~:text=A%20figure%20of%200.5%20or,investors%20tolerate%20significantly%20higher%20ratios" w:history="1">
        <w:r w:rsidR="002A2690" w:rsidRPr="002D3ADB">
          <w:rPr>
            <w:rStyle w:val="Hyperlink"/>
            <w:rFonts w:ascii="Times New Roman" w:hAnsi="Times New Roman" w:cs="Times New Roman"/>
          </w:rPr>
          <w:t>https://www.investopedia.com/articles/investing/080113/understanding-leverage-ratios.asp#:~:text=A%20figure%20of%200.5%20or,investors%20tolerate%20significantly%20higher%20ratios</w:t>
        </w:r>
      </w:hyperlink>
      <w:r w:rsidR="002A2690" w:rsidRPr="002D3ADB">
        <w:rPr>
          <w:rFonts w:ascii="Times New Roman" w:hAnsi="Times New Roman" w:cs="Times New Roman"/>
        </w:rPr>
        <w:t>. (Accessed: 13</w:t>
      </w:r>
      <w:r w:rsidR="002A2690" w:rsidRPr="002D3ADB">
        <w:rPr>
          <w:rFonts w:ascii="Times New Roman" w:hAnsi="Times New Roman" w:cs="Times New Roman"/>
          <w:vertAlign w:val="superscript"/>
        </w:rPr>
        <w:t>th</w:t>
      </w:r>
      <w:r w:rsidR="002A2690" w:rsidRPr="002D3ADB">
        <w:rPr>
          <w:rFonts w:ascii="Times New Roman" w:hAnsi="Times New Roman" w:cs="Times New Roman"/>
        </w:rPr>
        <w:t xml:space="preserve"> January 2021).</w:t>
      </w:r>
    </w:p>
    <w:p w14:paraId="5FA31513" w14:textId="607BE49E" w:rsidR="00F811A1" w:rsidRPr="002D3ADB" w:rsidRDefault="00F811A1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Mendell</w:t>
      </w:r>
      <w:proofErr w:type="spellEnd"/>
      <w:r>
        <w:rPr>
          <w:rFonts w:ascii="Times New Roman" w:hAnsi="Times New Roman" w:cs="Times New Roman"/>
        </w:rPr>
        <w:t xml:space="preserve">, B. (2020) </w:t>
      </w:r>
      <w:r>
        <w:rPr>
          <w:rFonts w:ascii="Times New Roman" w:hAnsi="Times New Roman" w:cs="Times New Roman"/>
          <w:i/>
          <w:iCs/>
        </w:rPr>
        <w:t xml:space="preserve">Pros and Cons of Using Net Present Value. </w:t>
      </w:r>
      <w:r w:rsidRPr="002D3ADB">
        <w:rPr>
          <w:rFonts w:ascii="Times New Roman" w:hAnsi="Times New Roman" w:cs="Times New Roman"/>
        </w:rPr>
        <w:t>Available at:</w:t>
      </w:r>
      <w:r>
        <w:rPr>
          <w:rFonts w:ascii="Times New Roman" w:hAnsi="Times New Roman" w:cs="Times New Roman"/>
        </w:rPr>
        <w:t xml:space="preserve"> </w:t>
      </w:r>
      <w:hyperlink r:id="rId37" w:history="1">
        <w:r w:rsidRPr="00123981">
          <w:rPr>
            <w:rStyle w:val="Hyperlink"/>
            <w:rFonts w:ascii="Times New Roman" w:hAnsi="Times New Roman" w:cs="Times New Roman"/>
          </w:rPr>
          <w:t>https://forisk.com/blog/2020/05/31/pros-and-cons-of-using-net-present-value-npv/</w:t>
        </w:r>
      </w:hyperlink>
      <w:r>
        <w:rPr>
          <w:rFonts w:ascii="Times New Roman" w:hAnsi="Times New Roman" w:cs="Times New Roman"/>
        </w:rPr>
        <w:t xml:space="preserve"> </w:t>
      </w:r>
      <w:r w:rsidRPr="002D3ADB">
        <w:rPr>
          <w:rFonts w:ascii="Times New Roman" w:hAnsi="Times New Roman" w:cs="Times New Roman"/>
        </w:rPr>
        <w:t>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7203F3DC" w14:textId="106EA2B1" w:rsidR="00F96AA5" w:rsidRPr="002D3ADB" w:rsidRDefault="00F96AA5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Murphy, C.B. (2020) </w:t>
      </w:r>
      <w:r w:rsidRPr="002D3ADB">
        <w:rPr>
          <w:rFonts w:ascii="Times New Roman" w:hAnsi="Times New Roman" w:cs="Times New Roman"/>
          <w:i/>
          <w:iCs/>
        </w:rPr>
        <w:t xml:space="preserve">Net Profit Margin. </w:t>
      </w:r>
      <w:r w:rsidR="00524ED2" w:rsidRPr="002D3ADB">
        <w:rPr>
          <w:rFonts w:ascii="Times New Roman" w:hAnsi="Times New Roman" w:cs="Times New Roman"/>
        </w:rPr>
        <w:t>Available</w:t>
      </w:r>
      <w:r w:rsidRPr="002D3ADB">
        <w:rPr>
          <w:rFonts w:ascii="Times New Roman" w:hAnsi="Times New Roman" w:cs="Times New Roman"/>
        </w:rPr>
        <w:t xml:space="preserve"> at: </w:t>
      </w:r>
      <w:hyperlink r:id="rId38" w:history="1">
        <w:r w:rsidRPr="002D3ADB">
          <w:rPr>
            <w:rStyle w:val="Hyperlink"/>
            <w:rFonts w:ascii="Times New Roman" w:hAnsi="Times New Roman" w:cs="Times New Roman"/>
          </w:rPr>
          <w:t>https://www.investopedia.com/terms/n/net_margin.asp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65B3317B" w14:textId="03CB416A" w:rsidR="00524ED2" w:rsidRPr="002D3ADB" w:rsidRDefault="00524ED2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Nasdaq (2016) </w:t>
      </w:r>
      <w:r w:rsidRPr="002D3ADB">
        <w:rPr>
          <w:rFonts w:ascii="Times New Roman" w:hAnsi="Times New Roman" w:cs="Times New Roman"/>
          <w:i/>
          <w:iCs/>
        </w:rPr>
        <w:t xml:space="preserve">5 Promising Liquid Stocks to Boost Your Portfolio.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39" w:history="1">
        <w:r w:rsidRPr="002D3ADB">
          <w:rPr>
            <w:rStyle w:val="Hyperlink"/>
            <w:rFonts w:ascii="Times New Roman" w:hAnsi="Times New Roman" w:cs="Times New Roman"/>
          </w:rPr>
          <w:t>https://www.nasdaq.com/articles/5-promising-liquid-stocks-to-boost-your-portfolio-2016-09-23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6F5E1BC4" w14:textId="77777777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lastRenderedPageBreak/>
        <w:t xml:space="preserve">Neville, S. (2017) </w:t>
      </w:r>
      <w:r w:rsidRPr="002D3ADB">
        <w:rPr>
          <w:rFonts w:ascii="Times New Roman" w:hAnsi="Times New Roman" w:cs="Times New Roman"/>
          <w:i/>
          <w:iCs/>
        </w:rPr>
        <w:t xml:space="preserve">AstraZeneca Chief Demands Clarity on Post-Brexit Landscape.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40" w:history="1">
        <w:r w:rsidRPr="002D3ADB">
          <w:rPr>
            <w:rStyle w:val="Hyperlink"/>
            <w:rFonts w:ascii="Times New Roman" w:hAnsi="Times New Roman" w:cs="Times New Roman"/>
          </w:rPr>
          <w:t>https://www.ft.com/content/bc38b9f8-73b0-11e7-93ff-99f383b09ff9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085C2AF6" w14:textId="77777777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Ralph, A. (2020) </w:t>
      </w:r>
      <w:r w:rsidRPr="002D3ADB">
        <w:rPr>
          <w:rFonts w:ascii="Times New Roman" w:hAnsi="Times New Roman" w:cs="Times New Roman"/>
          <w:i/>
          <w:iCs/>
        </w:rPr>
        <w:t xml:space="preserve">AstraZeneca ‘drops interest’ in Gilead Sciences.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41" w:history="1">
        <w:r w:rsidRPr="002D3ADB">
          <w:rPr>
            <w:rStyle w:val="Hyperlink"/>
            <w:rFonts w:ascii="Times New Roman" w:hAnsi="Times New Roman" w:cs="Times New Roman"/>
          </w:rPr>
          <w:t>https://www.thetimes.co.uk/article/astrazeneca-drops-interest-in-gilead-sciences-9rszkdqlr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52E8E37A" w14:textId="1E4D80DC" w:rsidR="00816FF6" w:rsidRPr="002D3ADB" w:rsidRDefault="00816FF6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The Local (2017) </w:t>
      </w:r>
      <w:r w:rsidRPr="002D3ADB">
        <w:rPr>
          <w:rFonts w:ascii="Times New Roman" w:hAnsi="Times New Roman" w:cs="Times New Roman"/>
          <w:i/>
          <w:iCs/>
        </w:rPr>
        <w:t xml:space="preserve">AstraZeneca gears up for Brexit 'uncertainty’.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42" w:history="1">
        <w:r w:rsidRPr="002D3ADB">
          <w:rPr>
            <w:rStyle w:val="Hyperlink"/>
            <w:rFonts w:ascii="Times New Roman" w:hAnsi="Times New Roman" w:cs="Times New Roman"/>
          </w:rPr>
          <w:t>https://www.thelocal.se/20170928/astrazeneca-has-started-preparing-for-hard-brexit-including-operations-move-from-uk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1E554301" w14:textId="7D4C1C0D" w:rsidR="00594108" w:rsidRPr="002D3ADB" w:rsidRDefault="00594108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2D3ADB">
        <w:rPr>
          <w:rFonts w:ascii="Times New Roman" w:hAnsi="Times New Roman" w:cs="Times New Roman"/>
        </w:rPr>
        <w:t>Trendshare</w:t>
      </w:r>
      <w:proofErr w:type="spellEnd"/>
      <w:r w:rsidRPr="002D3ADB">
        <w:rPr>
          <w:rFonts w:ascii="Times New Roman" w:hAnsi="Times New Roman" w:cs="Times New Roman"/>
        </w:rPr>
        <w:t xml:space="preserve"> (2020) </w:t>
      </w:r>
      <w:r w:rsidRPr="002D3ADB">
        <w:rPr>
          <w:rFonts w:ascii="Times New Roman" w:hAnsi="Times New Roman" w:cs="Times New Roman"/>
          <w:i/>
          <w:iCs/>
        </w:rPr>
        <w:t xml:space="preserve">What is current ratio?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43" w:history="1">
        <w:r w:rsidRPr="002D3ADB">
          <w:rPr>
            <w:rStyle w:val="Hyperlink"/>
            <w:rFonts w:ascii="Times New Roman" w:hAnsi="Times New Roman" w:cs="Times New Roman"/>
          </w:rPr>
          <w:t>https://trendshare.org/how-to-invest/what-is-the-current-ratio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18B79B9E" w14:textId="2E2016FC" w:rsidR="00CF66DF" w:rsidRPr="002D3ADB" w:rsidRDefault="00CF66DF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2D3ADB">
        <w:rPr>
          <w:rFonts w:ascii="Times New Roman" w:hAnsi="Times New Roman" w:cs="Times New Roman"/>
        </w:rPr>
        <w:t>Tuovila</w:t>
      </w:r>
      <w:proofErr w:type="spellEnd"/>
      <w:r w:rsidRPr="002D3ADB">
        <w:rPr>
          <w:rFonts w:ascii="Times New Roman" w:hAnsi="Times New Roman" w:cs="Times New Roman"/>
        </w:rPr>
        <w:t xml:space="preserve">, A. (2020) </w:t>
      </w:r>
      <w:r w:rsidRPr="002D3ADB">
        <w:rPr>
          <w:rFonts w:ascii="Times New Roman" w:hAnsi="Times New Roman" w:cs="Times New Roman"/>
          <w:i/>
          <w:iCs/>
        </w:rPr>
        <w:t xml:space="preserve">Horizontal Analysis.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44" w:history="1">
        <w:r w:rsidRPr="002D3ADB">
          <w:rPr>
            <w:rStyle w:val="Hyperlink"/>
            <w:rFonts w:ascii="Times New Roman" w:hAnsi="Times New Roman" w:cs="Times New Roman"/>
          </w:rPr>
          <w:t>https://www.investopedia.com/terms/h/horizontalanalysis.asp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647461C1" w14:textId="2A7A25F7" w:rsidR="003D4315" w:rsidRPr="002D3ADB" w:rsidRDefault="003D4315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Verma, S. (2020) </w:t>
      </w:r>
      <w:r w:rsidRPr="002D3ADB">
        <w:rPr>
          <w:rFonts w:ascii="Times New Roman" w:hAnsi="Times New Roman" w:cs="Times New Roman"/>
          <w:i/>
          <w:iCs/>
        </w:rPr>
        <w:t xml:space="preserve">Financial Performance – Understanding its Concepts and Importance. </w:t>
      </w:r>
      <w:r w:rsidRPr="002D3ADB">
        <w:rPr>
          <w:rFonts w:ascii="Times New Roman" w:hAnsi="Times New Roman" w:cs="Times New Roman"/>
        </w:rPr>
        <w:t xml:space="preserve">Available at: </w:t>
      </w:r>
      <w:hyperlink r:id="rId45" w:history="1">
        <w:r w:rsidRPr="002D3ADB">
          <w:rPr>
            <w:rStyle w:val="Hyperlink"/>
            <w:rFonts w:ascii="Times New Roman" w:hAnsi="Times New Roman" w:cs="Times New Roman"/>
          </w:rPr>
          <w:t>https://www.simplilearn.com/financial-performance-rar21-article</w:t>
        </w:r>
      </w:hyperlink>
      <w:r w:rsidRPr="002D3ADB">
        <w:rPr>
          <w:rFonts w:ascii="Times New Roman" w:hAnsi="Times New Roman" w:cs="Times New Roman"/>
        </w:rPr>
        <w:t xml:space="preserve"> (Accessed: 13</w:t>
      </w:r>
      <w:r w:rsidRPr="002D3ADB">
        <w:rPr>
          <w:rFonts w:ascii="Times New Roman" w:hAnsi="Times New Roman" w:cs="Times New Roman"/>
          <w:vertAlign w:val="superscript"/>
        </w:rPr>
        <w:t>th</w:t>
      </w:r>
      <w:r w:rsidRPr="002D3ADB">
        <w:rPr>
          <w:rFonts w:ascii="Times New Roman" w:hAnsi="Times New Roman" w:cs="Times New Roman"/>
        </w:rPr>
        <w:t xml:space="preserve"> January 2021).</w:t>
      </w:r>
    </w:p>
    <w:p w14:paraId="2B0F4A73" w14:textId="0E0F5C12" w:rsidR="009F5149" w:rsidRPr="002D3ADB" w:rsidRDefault="009F5149" w:rsidP="002D3AD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  <w:r w:rsidRPr="002D3ADB">
        <w:rPr>
          <w:rFonts w:ascii="Times New Roman" w:hAnsi="Times New Roman" w:cs="Times New Roman"/>
        </w:rPr>
        <w:t xml:space="preserve">Woodruff, J. (2019) </w:t>
      </w:r>
      <w:r w:rsidR="0090153E" w:rsidRPr="002D3ADB">
        <w:rPr>
          <w:rFonts w:ascii="Times New Roman" w:hAnsi="Times New Roman" w:cs="Times New Roman"/>
          <w:i/>
          <w:iCs/>
        </w:rPr>
        <w:t xml:space="preserve">Advantages &amp; Disadvantages of Payback Capital Budgeting Method. </w:t>
      </w:r>
      <w:r w:rsidR="00741766" w:rsidRPr="002D3ADB">
        <w:rPr>
          <w:rFonts w:ascii="Times New Roman" w:hAnsi="Times New Roman" w:cs="Times New Roman"/>
        </w:rPr>
        <w:t xml:space="preserve">Available at: </w:t>
      </w:r>
      <w:hyperlink r:id="rId46" w:history="1">
        <w:r w:rsidR="00741766" w:rsidRPr="002D3ADB">
          <w:rPr>
            <w:rStyle w:val="Hyperlink"/>
            <w:rFonts w:ascii="Times New Roman" w:hAnsi="Times New Roman" w:cs="Times New Roman"/>
          </w:rPr>
          <w:t>https://smallbusiness.chron.com/various-capital-budgeting-methods-67245.html</w:t>
        </w:r>
      </w:hyperlink>
      <w:r w:rsidR="00741766" w:rsidRPr="002D3ADB">
        <w:rPr>
          <w:rFonts w:ascii="Times New Roman" w:hAnsi="Times New Roman" w:cs="Times New Roman"/>
        </w:rPr>
        <w:t xml:space="preserve"> (Accessed: 13</w:t>
      </w:r>
      <w:r w:rsidR="00741766" w:rsidRPr="002D3ADB">
        <w:rPr>
          <w:rFonts w:ascii="Times New Roman" w:hAnsi="Times New Roman" w:cs="Times New Roman"/>
          <w:vertAlign w:val="superscript"/>
        </w:rPr>
        <w:t>th</w:t>
      </w:r>
      <w:r w:rsidR="00741766" w:rsidRPr="002D3ADB">
        <w:rPr>
          <w:rFonts w:ascii="Times New Roman" w:hAnsi="Times New Roman" w:cs="Times New Roman"/>
        </w:rPr>
        <w:t xml:space="preserve"> January 2021).</w:t>
      </w:r>
    </w:p>
    <w:sectPr w:rsidR="009F5149" w:rsidRPr="002D3ADB" w:rsidSect="0093711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BB5841"/>
    <w:multiLevelType w:val="hybridMultilevel"/>
    <w:tmpl w:val="0EDED2D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D983002"/>
    <w:multiLevelType w:val="hybridMultilevel"/>
    <w:tmpl w:val="13A63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E22203"/>
    <w:multiLevelType w:val="hybridMultilevel"/>
    <w:tmpl w:val="ED707804"/>
    <w:lvl w:ilvl="0" w:tplc="9A147EF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4FE0D6FC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FF2A7A2A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06E6E31A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1CF43F84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13282598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7E1A4A2A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B992B540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DC36B22E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E696454"/>
    <w:multiLevelType w:val="hybridMultilevel"/>
    <w:tmpl w:val="6AFC9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AB762F"/>
    <w:multiLevelType w:val="hybridMultilevel"/>
    <w:tmpl w:val="88328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B05C59"/>
    <w:multiLevelType w:val="hybridMultilevel"/>
    <w:tmpl w:val="FCFC1D64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6" w15:restartNumberingAfterBreak="0">
    <w:nsid w:val="3A0E5DCA"/>
    <w:multiLevelType w:val="hybridMultilevel"/>
    <w:tmpl w:val="9BF224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42599B"/>
    <w:multiLevelType w:val="hybridMultilevel"/>
    <w:tmpl w:val="A48610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DA57242"/>
    <w:multiLevelType w:val="hybridMultilevel"/>
    <w:tmpl w:val="3C62F1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BA1D7C"/>
    <w:multiLevelType w:val="hybridMultilevel"/>
    <w:tmpl w:val="99E8FF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6E23D97"/>
    <w:multiLevelType w:val="hybridMultilevel"/>
    <w:tmpl w:val="136EAB2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1" w15:restartNumberingAfterBreak="0">
    <w:nsid w:val="6C193C4A"/>
    <w:multiLevelType w:val="hybridMultilevel"/>
    <w:tmpl w:val="201E90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393E8C"/>
    <w:multiLevelType w:val="hybridMultilevel"/>
    <w:tmpl w:val="673E1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02D3816"/>
    <w:multiLevelType w:val="hybridMultilevel"/>
    <w:tmpl w:val="BC06A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5CD0881"/>
    <w:multiLevelType w:val="hybridMultilevel"/>
    <w:tmpl w:val="E56603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AB8304F"/>
    <w:multiLevelType w:val="hybridMultilevel"/>
    <w:tmpl w:val="A8CAF5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5"/>
  </w:num>
  <w:num w:numId="5">
    <w:abstractNumId w:val="3"/>
  </w:num>
  <w:num w:numId="6">
    <w:abstractNumId w:val="13"/>
  </w:num>
  <w:num w:numId="7">
    <w:abstractNumId w:val="10"/>
  </w:num>
  <w:num w:numId="8">
    <w:abstractNumId w:val="15"/>
  </w:num>
  <w:num w:numId="9">
    <w:abstractNumId w:val="7"/>
  </w:num>
  <w:num w:numId="10">
    <w:abstractNumId w:val="2"/>
  </w:num>
  <w:num w:numId="11">
    <w:abstractNumId w:val="12"/>
  </w:num>
  <w:num w:numId="12">
    <w:abstractNumId w:val="9"/>
  </w:num>
  <w:num w:numId="13">
    <w:abstractNumId w:val="8"/>
  </w:num>
  <w:num w:numId="14">
    <w:abstractNumId w:val="4"/>
  </w:num>
  <w:num w:numId="15">
    <w:abstractNumId w:val="14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2152"/>
    <w:rsid w:val="000007E1"/>
    <w:rsid w:val="00000A9F"/>
    <w:rsid w:val="000018EA"/>
    <w:rsid w:val="00004104"/>
    <w:rsid w:val="00004559"/>
    <w:rsid w:val="00004839"/>
    <w:rsid w:val="00004CF9"/>
    <w:rsid w:val="00005008"/>
    <w:rsid w:val="000053DB"/>
    <w:rsid w:val="0000648F"/>
    <w:rsid w:val="00007857"/>
    <w:rsid w:val="00007EBF"/>
    <w:rsid w:val="00011E17"/>
    <w:rsid w:val="0001278C"/>
    <w:rsid w:val="00013E51"/>
    <w:rsid w:val="00014307"/>
    <w:rsid w:val="00014B18"/>
    <w:rsid w:val="00016010"/>
    <w:rsid w:val="00016821"/>
    <w:rsid w:val="00016CA1"/>
    <w:rsid w:val="00016FAD"/>
    <w:rsid w:val="00017550"/>
    <w:rsid w:val="00020E23"/>
    <w:rsid w:val="00021200"/>
    <w:rsid w:val="00022085"/>
    <w:rsid w:val="00022EAC"/>
    <w:rsid w:val="00023432"/>
    <w:rsid w:val="00023B1B"/>
    <w:rsid w:val="00023C84"/>
    <w:rsid w:val="00023F27"/>
    <w:rsid w:val="00024634"/>
    <w:rsid w:val="00024D48"/>
    <w:rsid w:val="000259ED"/>
    <w:rsid w:val="00027353"/>
    <w:rsid w:val="00031980"/>
    <w:rsid w:val="00034122"/>
    <w:rsid w:val="00034EA1"/>
    <w:rsid w:val="00035479"/>
    <w:rsid w:val="00035851"/>
    <w:rsid w:val="00035A61"/>
    <w:rsid w:val="0003652D"/>
    <w:rsid w:val="00036B5A"/>
    <w:rsid w:val="0003786E"/>
    <w:rsid w:val="00037C9C"/>
    <w:rsid w:val="0004063A"/>
    <w:rsid w:val="000410ED"/>
    <w:rsid w:val="00042048"/>
    <w:rsid w:val="0004245F"/>
    <w:rsid w:val="000437C9"/>
    <w:rsid w:val="0004386F"/>
    <w:rsid w:val="000438DF"/>
    <w:rsid w:val="00043964"/>
    <w:rsid w:val="00043C63"/>
    <w:rsid w:val="00045BED"/>
    <w:rsid w:val="00046FF7"/>
    <w:rsid w:val="00050581"/>
    <w:rsid w:val="0005093F"/>
    <w:rsid w:val="00050E2A"/>
    <w:rsid w:val="0005101C"/>
    <w:rsid w:val="00051083"/>
    <w:rsid w:val="0005242A"/>
    <w:rsid w:val="00052A3A"/>
    <w:rsid w:val="00054589"/>
    <w:rsid w:val="000547AB"/>
    <w:rsid w:val="00055320"/>
    <w:rsid w:val="0005574C"/>
    <w:rsid w:val="000560C4"/>
    <w:rsid w:val="000562BA"/>
    <w:rsid w:val="00056318"/>
    <w:rsid w:val="000563E9"/>
    <w:rsid w:val="00056ECB"/>
    <w:rsid w:val="000610D3"/>
    <w:rsid w:val="00061BD2"/>
    <w:rsid w:val="00062F61"/>
    <w:rsid w:val="00063B13"/>
    <w:rsid w:val="00066F55"/>
    <w:rsid w:val="00070BA7"/>
    <w:rsid w:val="00071BFE"/>
    <w:rsid w:val="00071D45"/>
    <w:rsid w:val="00072718"/>
    <w:rsid w:val="000728D5"/>
    <w:rsid w:val="00072D09"/>
    <w:rsid w:val="00073FBF"/>
    <w:rsid w:val="000744DA"/>
    <w:rsid w:val="00075C1C"/>
    <w:rsid w:val="00076554"/>
    <w:rsid w:val="00076EB4"/>
    <w:rsid w:val="0008058F"/>
    <w:rsid w:val="0008109E"/>
    <w:rsid w:val="0008124F"/>
    <w:rsid w:val="000823BC"/>
    <w:rsid w:val="000828C2"/>
    <w:rsid w:val="00084543"/>
    <w:rsid w:val="00085461"/>
    <w:rsid w:val="000864AF"/>
    <w:rsid w:val="000865EE"/>
    <w:rsid w:val="0008674D"/>
    <w:rsid w:val="00086B67"/>
    <w:rsid w:val="00087A45"/>
    <w:rsid w:val="000904B4"/>
    <w:rsid w:val="000909BB"/>
    <w:rsid w:val="00092AD5"/>
    <w:rsid w:val="00093012"/>
    <w:rsid w:val="000937BC"/>
    <w:rsid w:val="000940C6"/>
    <w:rsid w:val="000942AB"/>
    <w:rsid w:val="0009464B"/>
    <w:rsid w:val="000957DF"/>
    <w:rsid w:val="0009628A"/>
    <w:rsid w:val="00096F5E"/>
    <w:rsid w:val="000A0B52"/>
    <w:rsid w:val="000A0D63"/>
    <w:rsid w:val="000A15D4"/>
    <w:rsid w:val="000A2C21"/>
    <w:rsid w:val="000A3286"/>
    <w:rsid w:val="000A7223"/>
    <w:rsid w:val="000A72D7"/>
    <w:rsid w:val="000A7A41"/>
    <w:rsid w:val="000A7C70"/>
    <w:rsid w:val="000B0AEB"/>
    <w:rsid w:val="000B12BD"/>
    <w:rsid w:val="000B22D8"/>
    <w:rsid w:val="000B268B"/>
    <w:rsid w:val="000B4668"/>
    <w:rsid w:val="000B553E"/>
    <w:rsid w:val="000B56D6"/>
    <w:rsid w:val="000B6313"/>
    <w:rsid w:val="000B6447"/>
    <w:rsid w:val="000B6C6C"/>
    <w:rsid w:val="000C05DB"/>
    <w:rsid w:val="000C076E"/>
    <w:rsid w:val="000C1070"/>
    <w:rsid w:val="000C164B"/>
    <w:rsid w:val="000C2A88"/>
    <w:rsid w:val="000C2EB4"/>
    <w:rsid w:val="000C38F5"/>
    <w:rsid w:val="000C4515"/>
    <w:rsid w:val="000C58FF"/>
    <w:rsid w:val="000D0BF8"/>
    <w:rsid w:val="000D1DDE"/>
    <w:rsid w:val="000D1F12"/>
    <w:rsid w:val="000D200B"/>
    <w:rsid w:val="000D208D"/>
    <w:rsid w:val="000D210A"/>
    <w:rsid w:val="000D2115"/>
    <w:rsid w:val="000D27C0"/>
    <w:rsid w:val="000D37E0"/>
    <w:rsid w:val="000D3E30"/>
    <w:rsid w:val="000D5167"/>
    <w:rsid w:val="000D5366"/>
    <w:rsid w:val="000D5A62"/>
    <w:rsid w:val="000D6A8C"/>
    <w:rsid w:val="000D6D55"/>
    <w:rsid w:val="000E0E95"/>
    <w:rsid w:val="000E1520"/>
    <w:rsid w:val="000E1CC5"/>
    <w:rsid w:val="000E24D4"/>
    <w:rsid w:val="000E27C3"/>
    <w:rsid w:val="000E2D78"/>
    <w:rsid w:val="000E3320"/>
    <w:rsid w:val="000E36CB"/>
    <w:rsid w:val="000E465D"/>
    <w:rsid w:val="000E5A4F"/>
    <w:rsid w:val="000E5E2E"/>
    <w:rsid w:val="000E71E8"/>
    <w:rsid w:val="000E7216"/>
    <w:rsid w:val="000F078B"/>
    <w:rsid w:val="000F0DC7"/>
    <w:rsid w:val="000F18CB"/>
    <w:rsid w:val="000F1CEE"/>
    <w:rsid w:val="000F3516"/>
    <w:rsid w:val="000F3684"/>
    <w:rsid w:val="000F39B1"/>
    <w:rsid w:val="000F4671"/>
    <w:rsid w:val="000F54C3"/>
    <w:rsid w:val="000F5A51"/>
    <w:rsid w:val="000F6092"/>
    <w:rsid w:val="000F61B6"/>
    <w:rsid w:val="000F6EC8"/>
    <w:rsid w:val="001000A8"/>
    <w:rsid w:val="00100857"/>
    <w:rsid w:val="001017E6"/>
    <w:rsid w:val="0010212B"/>
    <w:rsid w:val="00102D21"/>
    <w:rsid w:val="00102E87"/>
    <w:rsid w:val="00103095"/>
    <w:rsid w:val="00103113"/>
    <w:rsid w:val="0010338E"/>
    <w:rsid w:val="00105EFE"/>
    <w:rsid w:val="00106B9D"/>
    <w:rsid w:val="001078E1"/>
    <w:rsid w:val="001103AB"/>
    <w:rsid w:val="00110959"/>
    <w:rsid w:val="00111FAD"/>
    <w:rsid w:val="00112B28"/>
    <w:rsid w:val="00113096"/>
    <w:rsid w:val="001131CB"/>
    <w:rsid w:val="00114780"/>
    <w:rsid w:val="001159AA"/>
    <w:rsid w:val="00116976"/>
    <w:rsid w:val="00116B81"/>
    <w:rsid w:val="001176D7"/>
    <w:rsid w:val="00117734"/>
    <w:rsid w:val="00117818"/>
    <w:rsid w:val="00117A90"/>
    <w:rsid w:val="00117C2F"/>
    <w:rsid w:val="001230A6"/>
    <w:rsid w:val="0012383A"/>
    <w:rsid w:val="00125527"/>
    <w:rsid w:val="00126A32"/>
    <w:rsid w:val="00126B13"/>
    <w:rsid w:val="00131A24"/>
    <w:rsid w:val="00131E4A"/>
    <w:rsid w:val="00132080"/>
    <w:rsid w:val="00132087"/>
    <w:rsid w:val="00132662"/>
    <w:rsid w:val="001338A1"/>
    <w:rsid w:val="00134D73"/>
    <w:rsid w:val="00136720"/>
    <w:rsid w:val="00140564"/>
    <w:rsid w:val="001405B7"/>
    <w:rsid w:val="00140AE1"/>
    <w:rsid w:val="00140B8B"/>
    <w:rsid w:val="00141139"/>
    <w:rsid w:val="0014558A"/>
    <w:rsid w:val="00145642"/>
    <w:rsid w:val="001473DF"/>
    <w:rsid w:val="00150E03"/>
    <w:rsid w:val="00152A6E"/>
    <w:rsid w:val="00152D71"/>
    <w:rsid w:val="001541CB"/>
    <w:rsid w:val="001546F8"/>
    <w:rsid w:val="00155F06"/>
    <w:rsid w:val="0015659F"/>
    <w:rsid w:val="00156931"/>
    <w:rsid w:val="00156AE3"/>
    <w:rsid w:val="00160D4A"/>
    <w:rsid w:val="00160D56"/>
    <w:rsid w:val="00161673"/>
    <w:rsid w:val="00161868"/>
    <w:rsid w:val="001618B8"/>
    <w:rsid w:val="0016210F"/>
    <w:rsid w:val="00162590"/>
    <w:rsid w:val="00162899"/>
    <w:rsid w:val="00162AF2"/>
    <w:rsid w:val="00163003"/>
    <w:rsid w:val="00164BA9"/>
    <w:rsid w:val="00164E2A"/>
    <w:rsid w:val="00164F28"/>
    <w:rsid w:val="0016573F"/>
    <w:rsid w:val="00167241"/>
    <w:rsid w:val="0016751B"/>
    <w:rsid w:val="001711BD"/>
    <w:rsid w:val="001724CF"/>
    <w:rsid w:val="00172705"/>
    <w:rsid w:val="00172770"/>
    <w:rsid w:val="00172A75"/>
    <w:rsid w:val="001749D5"/>
    <w:rsid w:val="00174CC5"/>
    <w:rsid w:val="00174E1A"/>
    <w:rsid w:val="00174F6E"/>
    <w:rsid w:val="00175FE5"/>
    <w:rsid w:val="00176BD3"/>
    <w:rsid w:val="0018008D"/>
    <w:rsid w:val="00180119"/>
    <w:rsid w:val="00180740"/>
    <w:rsid w:val="00180852"/>
    <w:rsid w:val="00180B42"/>
    <w:rsid w:val="00181369"/>
    <w:rsid w:val="0018174B"/>
    <w:rsid w:val="00182234"/>
    <w:rsid w:val="00182D75"/>
    <w:rsid w:val="00183781"/>
    <w:rsid w:val="00183DBF"/>
    <w:rsid w:val="001854BD"/>
    <w:rsid w:val="00185675"/>
    <w:rsid w:val="00185F00"/>
    <w:rsid w:val="001868F9"/>
    <w:rsid w:val="00186A66"/>
    <w:rsid w:val="00190740"/>
    <w:rsid w:val="00191810"/>
    <w:rsid w:val="00191D7F"/>
    <w:rsid w:val="00191E56"/>
    <w:rsid w:val="00192240"/>
    <w:rsid w:val="00193EF8"/>
    <w:rsid w:val="00194A52"/>
    <w:rsid w:val="0019764B"/>
    <w:rsid w:val="001977CF"/>
    <w:rsid w:val="001A16E1"/>
    <w:rsid w:val="001A197E"/>
    <w:rsid w:val="001A1A46"/>
    <w:rsid w:val="001A1F72"/>
    <w:rsid w:val="001A1FF9"/>
    <w:rsid w:val="001A32C5"/>
    <w:rsid w:val="001A4150"/>
    <w:rsid w:val="001A4DB1"/>
    <w:rsid w:val="001A5391"/>
    <w:rsid w:val="001A53BA"/>
    <w:rsid w:val="001A5482"/>
    <w:rsid w:val="001A5842"/>
    <w:rsid w:val="001A6173"/>
    <w:rsid w:val="001A684E"/>
    <w:rsid w:val="001A6911"/>
    <w:rsid w:val="001B1B7D"/>
    <w:rsid w:val="001B20A4"/>
    <w:rsid w:val="001B2546"/>
    <w:rsid w:val="001B2907"/>
    <w:rsid w:val="001B604B"/>
    <w:rsid w:val="001B61F6"/>
    <w:rsid w:val="001B69EB"/>
    <w:rsid w:val="001B6C94"/>
    <w:rsid w:val="001B6D98"/>
    <w:rsid w:val="001B6FDC"/>
    <w:rsid w:val="001B7044"/>
    <w:rsid w:val="001B7BDA"/>
    <w:rsid w:val="001C01EE"/>
    <w:rsid w:val="001C0A66"/>
    <w:rsid w:val="001C1355"/>
    <w:rsid w:val="001C28E6"/>
    <w:rsid w:val="001C32BE"/>
    <w:rsid w:val="001C3535"/>
    <w:rsid w:val="001C47E3"/>
    <w:rsid w:val="001C49D5"/>
    <w:rsid w:val="001C4FF8"/>
    <w:rsid w:val="001C5140"/>
    <w:rsid w:val="001C5C98"/>
    <w:rsid w:val="001C6052"/>
    <w:rsid w:val="001C6F05"/>
    <w:rsid w:val="001C7E15"/>
    <w:rsid w:val="001D19E1"/>
    <w:rsid w:val="001D387E"/>
    <w:rsid w:val="001D3CC7"/>
    <w:rsid w:val="001D4022"/>
    <w:rsid w:val="001D412C"/>
    <w:rsid w:val="001D41D6"/>
    <w:rsid w:val="001D51AC"/>
    <w:rsid w:val="001D66E5"/>
    <w:rsid w:val="001D6792"/>
    <w:rsid w:val="001D73D8"/>
    <w:rsid w:val="001E0D65"/>
    <w:rsid w:val="001E187C"/>
    <w:rsid w:val="001E18E1"/>
    <w:rsid w:val="001E28D0"/>
    <w:rsid w:val="001E3931"/>
    <w:rsid w:val="001E48FB"/>
    <w:rsid w:val="001E67B5"/>
    <w:rsid w:val="001F0987"/>
    <w:rsid w:val="001F0E65"/>
    <w:rsid w:val="001F0E91"/>
    <w:rsid w:val="001F189E"/>
    <w:rsid w:val="001F1ADA"/>
    <w:rsid w:val="001F1BD8"/>
    <w:rsid w:val="001F1D1C"/>
    <w:rsid w:val="001F26BD"/>
    <w:rsid w:val="001F47DC"/>
    <w:rsid w:val="001F695D"/>
    <w:rsid w:val="002004A6"/>
    <w:rsid w:val="0020172F"/>
    <w:rsid w:val="00201AF4"/>
    <w:rsid w:val="00203C71"/>
    <w:rsid w:val="00205509"/>
    <w:rsid w:val="00207184"/>
    <w:rsid w:val="002106FB"/>
    <w:rsid w:val="00210827"/>
    <w:rsid w:val="00210E97"/>
    <w:rsid w:val="002114CD"/>
    <w:rsid w:val="00211CB3"/>
    <w:rsid w:val="0021280C"/>
    <w:rsid w:val="0021351A"/>
    <w:rsid w:val="00214075"/>
    <w:rsid w:val="00214126"/>
    <w:rsid w:val="00214C04"/>
    <w:rsid w:val="002152C4"/>
    <w:rsid w:val="00217334"/>
    <w:rsid w:val="00217C2A"/>
    <w:rsid w:val="00220E42"/>
    <w:rsid w:val="00222C78"/>
    <w:rsid w:val="002237B8"/>
    <w:rsid w:val="00224927"/>
    <w:rsid w:val="0022628C"/>
    <w:rsid w:val="00226331"/>
    <w:rsid w:val="002265DA"/>
    <w:rsid w:val="002267D4"/>
    <w:rsid w:val="00226926"/>
    <w:rsid w:val="0022708E"/>
    <w:rsid w:val="0022727C"/>
    <w:rsid w:val="00227EA7"/>
    <w:rsid w:val="00230C0F"/>
    <w:rsid w:val="00230EBD"/>
    <w:rsid w:val="00231A83"/>
    <w:rsid w:val="00232F95"/>
    <w:rsid w:val="00233D8E"/>
    <w:rsid w:val="002344D9"/>
    <w:rsid w:val="002352FF"/>
    <w:rsid w:val="002358B7"/>
    <w:rsid w:val="00235EC8"/>
    <w:rsid w:val="00236040"/>
    <w:rsid w:val="0023649E"/>
    <w:rsid w:val="00236552"/>
    <w:rsid w:val="002366DC"/>
    <w:rsid w:val="0023683C"/>
    <w:rsid w:val="00236A72"/>
    <w:rsid w:val="0023790F"/>
    <w:rsid w:val="00237912"/>
    <w:rsid w:val="00237B11"/>
    <w:rsid w:val="00237DB6"/>
    <w:rsid w:val="002414BA"/>
    <w:rsid w:val="00241D32"/>
    <w:rsid w:val="00242402"/>
    <w:rsid w:val="00242E2B"/>
    <w:rsid w:val="00242EB2"/>
    <w:rsid w:val="002453F1"/>
    <w:rsid w:val="002459C3"/>
    <w:rsid w:val="00245AA6"/>
    <w:rsid w:val="00245E6F"/>
    <w:rsid w:val="0024638F"/>
    <w:rsid w:val="0024740E"/>
    <w:rsid w:val="002500DD"/>
    <w:rsid w:val="00250986"/>
    <w:rsid w:val="00250B7F"/>
    <w:rsid w:val="002511B8"/>
    <w:rsid w:val="002517A8"/>
    <w:rsid w:val="00251AC3"/>
    <w:rsid w:val="00253060"/>
    <w:rsid w:val="00253225"/>
    <w:rsid w:val="002533CB"/>
    <w:rsid w:val="002540E9"/>
    <w:rsid w:val="0025486E"/>
    <w:rsid w:val="00254BBA"/>
    <w:rsid w:val="00254DE7"/>
    <w:rsid w:val="00255870"/>
    <w:rsid w:val="00256307"/>
    <w:rsid w:val="00257A88"/>
    <w:rsid w:val="00261944"/>
    <w:rsid w:val="00262AAF"/>
    <w:rsid w:val="00262ED9"/>
    <w:rsid w:val="00263D6A"/>
    <w:rsid w:val="00263DE1"/>
    <w:rsid w:val="00263E6D"/>
    <w:rsid w:val="0026452D"/>
    <w:rsid w:val="002648D7"/>
    <w:rsid w:val="0026579E"/>
    <w:rsid w:val="00271173"/>
    <w:rsid w:val="002746A1"/>
    <w:rsid w:val="00275A35"/>
    <w:rsid w:val="00276599"/>
    <w:rsid w:val="0027664B"/>
    <w:rsid w:val="002771AB"/>
    <w:rsid w:val="00277372"/>
    <w:rsid w:val="002775CD"/>
    <w:rsid w:val="002777D8"/>
    <w:rsid w:val="00277DB5"/>
    <w:rsid w:val="002804A0"/>
    <w:rsid w:val="002827BC"/>
    <w:rsid w:val="00282FB1"/>
    <w:rsid w:val="00283585"/>
    <w:rsid w:val="00285502"/>
    <w:rsid w:val="0028579F"/>
    <w:rsid w:val="00286C42"/>
    <w:rsid w:val="00287772"/>
    <w:rsid w:val="00287B86"/>
    <w:rsid w:val="00287E04"/>
    <w:rsid w:val="00287EAA"/>
    <w:rsid w:val="002900AA"/>
    <w:rsid w:val="00290166"/>
    <w:rsid w:val="0029052E"/>
    <w:rsid w:val="00290696"/>
    <w:rsid w:val="00291D99"/>
    <w:rsid w:val="002925EC"/>
    <w:rsid w:val="00292753"/>
    <w:rsid w:val="00292C1A"/>
    <w:rsid w:val="00292D2C"/>
    <w:rsid w:val="002940CB"/>
    <w:rsid w:val="00294FD0"/>
    <w:rsid w:val="00295256"/>
    <w:rsid w:val="002954F4"/>
    <w:rsid w:val="0029613A"/>
    <w:rsid w:val="00296786"/>
    <w:rsid w:val="0029719D"/>
    <w:rsid w:val="0029762D"/>
    <w:rsid w:val="002A1031"/>
    <w:rsid w:val="002A1B02"/>
    <w:rsid w:val="002A2690"/>
    <w:rsid w:val="002A368E"/>
    <w:rsid w:val="002A3EF2"/>
    <w:rsid w:val="002A5197"/>
    <w:rsid w:val="002A5AE1"/>
    <w:rsid w:val="002A7DD4"/>
    <w:rsid w:val="002B00F1"/>
    <w:rsid w:val="002B0511"/>
    <w:rsid w:val="002B0D87"/>
    <w:rsid w:val="002B118A"/>
    <w:rsid w:val="002B1B4E"/>
    <w:rsid w:val="002B1FA0"/>
    <w:rsid w:val="002B2711"/>
    <w:rsid w:val="002B2F5A"/>
    <w:rsid w:val="002B3E73"/>
    <w:rsid w:val="002B4103"/>
    <w:rsid w:val="002B4118"/>
    <w:rsid w:val="002B4240"/>
    <w:rsid w:val="002B5A94"/>
    <w:rsid w:val="002B72FC"/>
    <w:rsid w:val="002C0D08"/>
    <w:rsid w:val="002C0DF6"/>
    <w:rsid w:val="002C15E1"/>
    <w:rsid w:val="002C1D4E"/>
    <w:rsid w:val="002C21D9"/>
    <w:rsid w:val="002C288A"/>
    <w:rsid w:val="002C2F30"/>
    <w:rsid w:val="002C3FD4"/>
    <w:rsid w:val="002C41B9"/>
    <w:rsid w:val="002C4C97"/>
    <w:rsid w:val="002C5993"/>
    <w:rsid w:val="002C6909"/>
    <w:rsid w:val="002C75E1"/>
    <w:rsid w:val="002D0DF7"/>
    <w:rsid w:val="002D0F90"/>
    <w:rsid w:val="002D11B5"/>
    <w:rsid w:val="002D13EC"/>
    <w:rsid w:val="002D204A"/>
    <w:rsid w:val="002D222B"/>
    <w:rsid w:val="002D330D"/>
    <w:rsid w:val="002D3651"/>
    <w:rsid w:val="002D3ADB"/>
    <w:rsid w:val="002D4051"/>
    <w:rsid w:val="002D41DB"/>
    <w:rsid w:val="002D44C4"/>
    <w:rsid w:val="002D4CAF"/>
    <w:rsid w:val="002D5A43"/>
    <w:rsid w:val="002D6277"/>
    <w:rsid w:val="002D662C"/>
    <w:rsid w:val="002D7C67"/>
    <w:rsid w:val="002E00A7"/>
    <w:rsid w:val="002E06D6"/>
    <w:rsid w:val="002E1462"/>
    <w:rsid w:val="002E169F"/>
    <w:rsid w:val="002E23FE"/>
    <w:rsid w:val="002E2759"/>
    <w:rsid w:val="002E313F"/>
    <w:rsid w:val="002E3951"/>
    <w:rsid w:val="002E39D0"/>
    <w:rsid w:val="002E4FA1"/>
    <w:rsid w:val="002E6945"/>
    <w:rsid w:val="002E6AB6"/>
    <w:rsid w:val="002E6FF2"/>
    <w:rsid w:val="002E7395"/>
    <w:rsid w:val="002E78A7"/>
    <w:rsid w:val="002F0014"/>
    <w:rsid w:val="002F012E"/>
    <w:rsid w:val="002F2164"/>
    <w:rsid w:val="002F41AE"/>
    <w:rsid w:val="002F5118"/>
    <w:rsid w:val="002F5E8A"/>
    <w:rsid w:val="002F6464"/>
    <w:rsid w:val="002F667B"/>
    <w:rsid w:val="002F6D99"/>
    <w:rsid w:val="003005D2"/>
    <w:rsid w:val="00300EFE"/>
    <w:rsid w:val="00301283"/>
    <w:rsid w:val="0030167E"/>
    <w:rsid w:val="00302201"/>
    <w:rsid w:val="00302374"/>
    <w:rsid w:val="003024D7"/>
    <w:rsid w:val="00302A27"/>
    <w:rsid w:val="003060C6"/>
    <w:rsid w:val="00306EEB"/>
    <w:rsid w:val="00307B7E"/>
    <w:rsid w:val="00310B61"/>
    <w:rsid w:val="00310BC9"/>
    <w:rsid w:val="0031217D"/>
    <w:rsid w:val="0031283F"/>
    <w:rsid w:val="00312FDB"/>
    <w:rsid w:val="003137F0"/>
    <w:rsid w:val="00313A57"/>
    <w:rsid w:val="0031509F"/>
    <w:rsid w:val="00315FB7"/>
    <w:rsid w:val="003169E1"/>
    <w:rsid w:val="003175EB"/>
    <w:rsid w:val="00317AD5"/>
    <w:rsid w:val="003207A7"/>
    <w:rsid w:val="0032327C"/>
    <w:rsid w:val="00323A66"/>
    <w:rsid w:val="00323AEB"/>
    <w:rsid w:val="003249AD"/>
    <w:rsid w:val="00325809"/>
    <w:rsid w:val="00325B84"/>
    <w:rsid w:val="00326903"/>
    <w:rsid w:val="00326CC7"/>
    <w:rsid w:val="00330ED6"/>
    <w:rsid w:val="003313FE"/>
    <w:rsid w:val="00332608"/>
    <w:rsid w:val="00332645"/>
    <w:rsid w:val="003327C6"/>
    <w:rsid w:val="0033364B"/>
    <w:rsid w:val="0033433C"/>
    <w:rsid w:val="00334B13"/>
    <w:rsid w:val="00337BD3"/>
    <w:rsid w:val="00337E32"/>
    <w:rsid w:val="003406C8"/>
    <w:rsid w:val="0034123D"/>
    <w:rsid w:val="00341240"/>
    <w:rsid w:val="0034294C"/>
    <w:rsid w:val="0034385E"/>
    <w:rsid w:val="00343B5E"/>
    <w:rsid w:val="00344BBF"/>
    <w:rsid w:val="00344EE1"/>
    <w:rsid w:val="00345653"/>
    <w:rsid w:val="00345EBD"/>
    <w:rsid w:val="00346E68"/>
    <w:rsid w:val="003519A5"/>
    <w:rsid w:val="00352131"/>
    <w:rsid w:val="00355C1C"/>
    <w:rsid w:val="00355FC5"/>
    <w:rsid w:val="0035618E"/>
    <w:rsid w:val="00356951"/>
    <w:rsid w:val="00356D43"/>
    <w:rsid w:val="00357676"/>
    <w:rsid w:val="00361835"/>
    <w:rsid w:val="00362712"/>
    <w:rsid w:val="00362DE8"/>
    <w:rsid w:val="00362E2A"/>
    <w:rsid w:val="00363457"/>
    <w:rsid w:val="003671A6"/>
    <w:rsid w:val="00370726"/>
    <w:rsid w:val="00370856"/>
    <w:rsid w:val="00371B28"/>
    <w:rsid w:val="00371D94"/>
    <w:rsid w:val="003734DE"/>
    <w:rsid w:val="003740A7"/>
    <w:rsid w:val="00374A6C"/>
    <w:rsid w:val="00376391"/>
    <w:rsid w:val="00376476"/>
    <w:rsid w:val="003764A5"/>
    <w:rsid w:val="00376A71"/>
    <w:rsid w:val="0038095B"/>
    <w:rsid w:val="00380B88"/>
    <w:rsid w:val="00381C99"/>
    <w:rsid w:val="00381E68"/>
    <w:rsid w:val="0038377F"/>
    <w:rsid w:val="0038382E"/>
    <w:rsid w:val="00383BE5"/>
    <w:rsid w:val="00385B1E"/>
    <w:rsid w:val="00385C40"/>
    <w:rsid w:val="00385D89"/>
    <w:rsid w:val="003866B9"/>
    <w:rsid w:val="00386CCB"/>
    <w:rsid w:val="00387423"/>
    <w:rsid w:val="00390CBE"/>
    <w:rsid w:val="003925B9"/>
    <w:rsid w:val="00392E2C"/>
    <w:rsid w:val="003931BE"/>
    <w:rsid w:val="00393867"/>
    <w:rsid w:val="00393D59"/>
    <w:rsid w:val="00394873"/>
    <w:rsid w:val="003A124F"/>
    <w:rsid w:val="003A1259"/>
    <w:rsid w:val="003A1C81"/>
    <w:rsid w:val="003A20FF"/>
    <w:rsid w:val="003A22EC"/>
    <w:rsid w:val="003A4F03"/>
    <w:rsid w:val="003A68FA"/>
    <w:rsid w:val="003A76BA"/>
    <w:rsid w:val="003B0411"/>
    <w:rsid w:val="003B12C1"/>
    <w:rsid w:val="003B1DC6"/>
    <w:rsid w:val="003B21E8"/>
    <w:rsid w:val="003B2279"/>
    <w:rsid w:val="003B2D03"/>
    <w:rsid w:val="003B344C"/>
    <w:rsid w:val="003B39B5"/>
    <w:rsid w:val="003B46EA"/>
    <w:rsid w:val="003B49B4"/>
    <w:rsid w:val="003B64B5"/>
    <w:rsid w:val="003B7829"/>
    <w:rsid w:val="003C0201"/>
    <w:rsid w:val="003C0ADD"/>
    <w:rsid w:val="003C0BF7"/>
    <w:rsid w:val="003C1A08"/>
    <w:rsid w:val="003C1AC0"/>
    <w:rsid w:val="003C1AF7"/>
    <w:rsid w:val="003C1EDA"/>
    <w:rsid w:val="003C24C1"/>
    <w:rsid w:val="003C2991"/>
    <w:rsid w:val="003C36DE"/>
    <w:rsid w:val="003C5DC7"/>
    <w:rsid w:val="003C6218"/>
    <w:rsid w:val="003C73FD"/>
    <w:rsid w:val="003D01D4"/>
    <w:rsid w:val="003D04A8"/>
    <w:rsid w:val="003D11E4"/>
    <w:rsid w:val="003D25BB"/>
    <w:rsid w:val="003D3225"/>
    <w:rsid w:val="003D3A5F"/>
    <w:rsid w:val="003D4315"/>
    <w:rsid w:val="003D4829"/>
    <w:rsid w:val="003D5492"/>
    <w:rsid w:val="003D557D"/>
    <w:rsid w:val="003D6009"/>
    <w:rsid w:val="003D61E0"/>
    <w:rsid w:val="003D6BD0"/>
    <w:rsid w:val="003D6CF5"/>
    <w:rsid w:val="003D754D"/>
    <w:rsid w:val="003D7A6E"/>
    <w:rsid w:val="003D7DAD"/>
    <w:rsid w:val="003E095C"/>
    <w:rsid w:val="003E0D8B"/>
    <w:rsid w:val="003E114D"/>
    <w:rsid w:val="003E2F9A"/>
    <w:rsid w:val="003E3288"/>
    <w:rsid w:val="003E3B90"/>
    <w:rsid w:val="003E5018"/>
    <w:rsid w:val="003E74C4"/>
    <w:rsid w:val="003E781E"/>
    <w:rsid w:val="003E7D3E"/>
    <w:rsid w:val="003F00B5"/>
    <w:rsid w:val="003F0149"/>
    <w:rsid w:val="003F0521"/>
    <w:rsid w:val="003F2DEF"/>
    <w:rsid w:val="003F3DA1"/>
    <w:rsid w:val="003F466F"/>
    <w:rsid w:val="003F47D1"/>
    <w:rsid w:val="003F55DF"/>
    <w:rsid w:val="003F5B29"/>
    <w:rsid w:val="003F66B0"/>
    <w:rsid w:val="003F6AA4"/>
    <w:rsid w:val="003F6CED"/>
    <w:rsid w:val="003F7B1C"/>
    <w:rsid w:val="0040031F"/>
    <w:rsid w:val="0040033F"/>
    <w:rsid w:val="0040044B"/>
    <w:rsid w:val="0040051E"/>
    <w:rsid w:val="00403653"/>
    <w:rsid w:val="00403CFE"/>
    <w:rsid w:val="004057B4"/>
    <w:rsid w:val="004078FF"/>
    <w:rsid w:val="00412421"/>
    <w:rsid w:val="00414E1C"/>
    <w:rsid w:val="00415EDB"/>
    <w:rsid w:val="00416BAE"/>
    <w:rsid w:val="0041717E"/>
    <w:rsid w:val="00421A59"/>
    <w:rsid w:val="00421EB5"/>
    <w:rsid w:val="004223AA"/>
    <w:rsid w:val="00423919"/>
    <w:rsid w:val="004242F3"/>
    <w:rsid w:val="00424EE4"/>
    <w:rsid w:val="004269AA"/>
    <w:rsid w:val="0042746D"/>
    <w:rsid w:val="004300EE"/>
    <w:rsid w:val="00430302"/>
    <w:rsid w:val="0043055C"/>
    <w:rsid w:val="004317F6"/>
    <w:rsid w:val="00432F6E"/>
    <w:rsid w:val="0043313F"/>
    <w:rsid w:val="00433A4C"/>
    <w:rsid w:val="00433A5A"/>
    <w:rsid w:val="004347F5"/>
    <w:rsid w:val="00435783"/>
    <w:rsid w:val="00436613"/>
    <w:rsid w:val="00437614"/>
    <w:rsid w:val="004377ED"/>
    <w:rsid w:val="00440B08"/>
    <w:rsid w:val="00442B97"/>
    <w:rsid w:val="00443CA7"/>
    <w:rsid w:val="00444E50"/>
    <w:rsid w:val="004473C2"/>
    <w:rsid w:val="004501D7"/>
    <w:rsid w:val="00450793"/>
    <w:rsid w:val="00450C92"/>
    <w:rsid w:val="00451D4B"/>
    <w:rsid w:val="00452732"/>
    <w:rsid w:val="00452C6E"/>
    <w:rsid w:val="0045373D"/>
    <w:rsid w:val="004538F5"/>
    <w:rsid w:val="00455F8E"/>
    <w:rsid w:val="0045600B"/>
    <w:rsid w:val="00456265"/>
    <w:rsid w:val="0045626B"/>
    <w:rsid w:val="004614CE"/>
    <w:rsid w:val="00461FD0"/>
    <w:rsid w:val="004623A0"/>
    <w:rsid w:val="004623AC"/>
    <w:rsid w:val="00463916"/>
    <w:rsid w:val="00465605"/>
    <w:rsid w:val="00466604"/>
    <w:rsid w:val="00466CB7"/>
    <w:rsid w:val="00466D41"/>
    <w:rsid w:val="00466FE6"/>
    <w:rsid w:val="00466FED"/>
    <w:rsid w:val="0046749C"/>
    <w:rsid w:val="0047085A"/>
    <w:rsid w:val="00471EA1"/>
    <w:rsid w:val="004726E1"/>
    <w:rsid w:val="00476171"/>
    <w:rsid w:val="00480F27"/>
    <w:rsid w:val="00481A9D"/>
    <w:rsid w:val="00481E5E"/>
    <w:rsid w:val="0048224B"/>
    <w:rsid w:val="0048224C"/>
    <w:rsid w:val="00482AE0"/>
    <w:rsid w:val="004838FD"/>
    <w:rsid w:val="00483907"/>
    <w:rsid w:val="00485A4B"/>
    <w:rsid w:val="00485F2E"/>
    <w:rsid w:val="0048617E"/>
    <w:rsid w:val="00486818"/>
    <w:rsid w:val="00487342"/>
    <w:rsid w:val="00487A23"/>
    <w:rsid w:val="00487CAB"/>
    <w:rsid w:val="004904F6"/>
    <w:rsid w:val="00490FBE"/>
    <w:rsid w:val="00492335"/>
    <w:rsid w:val="00492AC8"/>
    <w:rsid w:val="004937E7"/>
    <w:rsid w:val="00493C1B"/>
    <w:rsid w:val="004947BA"/>
    <w:rsid w:val="004961B9"/>
    <w:rsid w:val="00496E2B"/>
    <w:rsid w:val="00497378"/>
    <w:rsid w:val="00497B18"/>
    <w:rsid w:val="00497CDA"/>
    <w:rsid w:val="004A1D16"/>
    <w:rsid w:val="004A23DB"/>
    <w:rsid w:val="004A2D24"/>
    <w:rsid w:val="004A3459"/>
    <w:rsid w:val="004A356A"/>
    <w:rsid w:val="004A3797"/>
    <w:rsid w:val="004A5831"/>
    <w:rsid w:val="004A616A"/>
    <w:rsid w:val="004A64BA"/>
    <w:rsid w:val="004A68FA"/>
    <w:rsid w:val="004A7B41"/>
    <w:rsid w:val="004B05B2"/>
    <w:rsid w:val="004B0DA5"/>
    <w:rsid w:val="004B1FFF"/>
    <w:rsid w:val="004B2C25"/>
    <w:rsid w:val="004B3B96"/>
    <w:rsid w:val="004B443C"/>
    <w:rsid w:val="004B56D0"/>
    <w:rsid w:val="004B5726"/>
    <w:rsid w:val="004B60CA"/>
    <w:rsid w:val="004B6875"/>
    <w:rsid w:val="004B6DBB"/>
    <w:rsid w:val="004B7CE4"/>
    <w:rsid w:val="004C1308"/>
    <w:rsid w:val="004C234B"/>
    <w:rsid w:val="004C2E4D"/>
    <w:rsid w:val="004C436F"/>
    <w:rsid w:val="004C4977"/>
    <w:rsid w:val="004C5F9E"/>
    <w:rsid w:val="004C6906"/>
    <w:rsid w:val="004C75F9"/>
    <w:rsid w:val="004C7846"/>
    <w:rsid w:val="004D0878"/>
    <w:rsid w:val="004D13CF"/>
    <w:rsid w:val="004D15D1"/>
    <w:rsid w:val="004D189F"/>
    <w:rsid w:val="004D24F6"/>
    <w:rsid w:val="004D28C9"/>
    <w:rsid w:val="004D3101"/>
    <w:rsid w:val="004D3372"/>
    <w:rsid w:val="004D38D8"/>
    <w:rsid w:val="004D3CD7"/>
    <w:rsid w:val="004D48F1"/>
    <w:rsid w:val="004D4D39"/>
    <w:rsid w:val="004D61B0"/>
    <w:rsid w:val="004D740A"/>
    <w:rsid w:val="004E0F69"/>
    <w:rsid w:val="004E14A1"/>
    <w:rsid w:val="004E1DBD"/>
    <w:rsid w:val="004E2ED1"/>
    <w:rsid w:val="004E4182"/>
    <w:rsid w:val="004E4996"/>
    <w:rsid w:val="004E54AF"/>
    <w:rsid w:val="004E5D2E"/>
    <w:rsid w:val="004E6B14"/>
    <w:rsid w:val="004F0C93"/>
    <w:rsid w:val="004F0F23"/>
    <w:rsid w:val="004F217F"/>
    <w:rsid w:val="004F233D"/>
    <w:rsid w:val="004F2805"/>
    <w:rsid w:val="004F3750"/>
    <w:rsid w:val="004F37F6"/>
    <w:rsid w:val="004F5C62"/>
    <w:rsid w:val="004F6152"/>
    <w:rsid w:val="005006EA"/>
    <w:rsid w:val="0050170B"/>
    <w:rsid w:val="00502554"/>
    <w:rsid w:val="005027E3"/>
    <w:rsid w:val="005027EF"/>
    <w:rsid w:val="00502CF9"/>
    <w:rsid w:val="00503775"/>
    <w:rsid w:val="00505B9C"/>
    <w:rsid w:val="00505DC9"/>
    <w:rsid w:val="00505F9D"/>
    <w:rsid w:val="005061D7"/>
    <w:rsid w:val="005075A2"/>
    <w:rsid w:val="005077B3"/>
    <w:rsid w:val="00510C15"/>
    <w:rsid w:val="00510D45"/>
    <w:rsid w:val="00511EB1"/>
    <w:rsid w:val="00512309"/>
    <w:rsid w:val="0051283E"/>
    <w:rsid w:val="00513DB6"/>
    <w:rsid w:val="00514983"/>
    <w:rsid w:val="00514A6B"/>
    <w:rsid w:val="00515BAB"/>
    <w:rsid w:val="00521A31"/>
    <w:rsid w:val="00523732"/>
    <w:rsid w:val="00524532"/>
    <w:rsid w:val="00524ED2"/>
    <w:rsid w:val="00525052"/>
    <w:rsid w:val="00526103"/>
    <w:rsid w:val="005266FA"/>
    <w:rsid w:val="005268CB"/>
    <w:rsid w:val="00526D0B"/>
    <w:rsid w:val="0052769E"/>
    <w:rsid w:val="005304D7"/>
    <w:rsid w:val="005309F1"/>
    <w:rsid w:val="005314DC"/>
    <w:rsid w:val="005319FB"/>
    <w:rsid w:val="005322C7"/>
    <w:rsid w:val="00532FDD"/>
    <w:rsid w:val="005335D0"/>
    <w:rsid w:val="0053371B"/>
    <w:rsid w:val="00534472"/>
    <w:rsid w:val="005345C1"/>
    <w:rsid w:val="00534752"/>
    <w:rsid w:val="005359CD"/>
    <w:rsid w:val="00535C7A"/>
    <w:rsid w:val="00535FAF"/>
    <w:rsid w:val="005361F8"/>
    <w:rsid w:val="005366C7"/>
    <w:rsid w:val="005366D5"/>
    <w:rsid w:val="00536A72"/>
    <w:rsid w:val="005376AF"/>
    <w:rsid w:val="00537DF1"/>
    <w:rsid w:val="00540708"/>
    <w:rsid w:val="00541101"/>
    <w:rsid w:val="0054311C"/>
    <w:rsid w:val="005431BF"/>
    <w:rsid w:val="00543D11"/>
    <w:rsid w:val="005453B1"/>
    <w:rsid w:val="00546A86"/>
    <w:rsid w:val="00546C39"/>
    <w:rsid w:val="00546D9B"/>
    <w:rsid w:val="005471FF"/>
    <w:rsid w:val="00547E9C"/>
    <w:rsid w:val="0055193F"/>
    <w:rsid w:val="005522C5"/>
    <w:rsid w:val="005522ED"/>
    <w:rsid w:val="00552393"/>
    <w:rsid w:val="0055260F"/>
    <w:rsid w:val="00553A0D"/>
    <w:rsid w:val="005551A1"/>
    <w:rsid w:val="00555673"/>
    <w:rsid w:val="005563AE"/>
    <w:rsid w:val="005563C3"/>
    <w:rsid w:val="005574E7"/>
    <w:rsid w:val="00560C0B"/>
    <w:rsid w:val="00560F0F"/>
    <w:rsid w:val="00561BCD"/>
    <w:rsid w:val="00562761"/>
    <w:rsid w:val="00562C43"/>
    <w:rsid w:val="005632C5"/>
    <w:rsid w:val="005632E9"/>
    <w:rsid w:val="00567305"/>
    <w:rsid w:val="005707ED"/>
    <w:rsid w:val="005712F9"/>
    <w:rsid w:val="00571F50"/>
    <w:rsid w:val="00573BC6"/>
    <w:rsid w:val="00574A28"/>
    <w:rsid w:val="005774BB"/>
    <w:rsid w:val="00577E86"/>
    <w:rsid w:val="005805B4"/>
    <w:rsid w:val="005816A4"/>
    <w:rsid w:val="0058363D"/>
    <w:rsid w:val="0058376B"/>
    <w:rsid w:val="0058466D"/>
    <w:rsid w:val="00585C02"/>
    <w:rsid w:val="0058639E"/>
    <w:rsid w:val="00586854"/>
    <w:rsid w:val="005900A3"/>
    <w:rsid w:val="00590B33"/>
    <w:rsid w:val="00591307"/>
    <w:rsid w:val="00592365"/>
    <w:rsid w:val="00592C5D"/>
    <w:rsid w:val="00593534"/>
    <w:rsid w:val="00593F64"/>
    <w:rsid w:val="005940F0"/>
    <w:rsid w:val="00594108"/>
    <w:rsid w:val="00594B99"/>
    <w:rsid w:val="00595B32"/>
    <w:rsid w:val="00595EC6"/>
    <w:rsid w:val="005961AD"/>
    <w:rsid w:val="005973B3"/>
    <w:rsid w:val="00597FA0"/>
    <w:rsid w:val="005A1058"/>
    <w:rsid w:val="005A10D2"/>
    <w:rsid w:val="005A13E3"/>
    <w:rsid w:val="005A1764"/>
    <w:rsid w:val="005A1A96"/>
    <w:rsid w:val="005A1E93"/>
    <w:rsid w:val="005A39FE"/>
    <w:rsid w:val="005A3FFE"/>
    <w:rsid w:val="005A44FE"/>
    <w:rsid w:val="005A6158"/>
    <w:rsid w:val="005A703E"/>
    <w:rsid w:val="005A70AE"/>
    <w:rsid w:val="005A74D7"/>
    <w:rsid w:val="005A7859"/>
    <w:rsid w:val="005B0105"/>
    <w:rsid w:val="005B0797"/>
    <w:rsid w:val="005B0A19"/>
    <w:rsid w:val="005B1248"/>
    <w:rsid w:val="005B1C61"/>
    <w:rsid w:val="005B3700"/>
    <w:rsid w:val="005B3C3A"/>
    <w:rsid w:val="005B451D"/>
    <w:rsid w:val="005B4693"/>
    <w:rsid w:val="005B498A"/>
    <w:rsid w:val="005B56E3"/>
    <w:rsid w:val="005B5C20"/>
    <w:rsid w:val="005B7DFC"/>
    <w:rsid w:val="005C0090"/>
    <w:rsid w:val="005C01A7"/>
    <w:rsid w:val="005C19FF"/>
    <w:rsid w:val="005C295C"/>
    <w:rsid w:val="005C29B1"/>
    <w:rsid w:val="005C3E97"/>
    <w:rsid w:val="005C49FF"/>
    <w:rsid w:val="005C4EF6"/>
    <w:rsid w:val="005C5371"/>
    <w:rsid w:val="005C56C3"/>
    <w:rsid w:val="005C577B"/>
    <w:rsid w:val="005C57AC"/>
    <w:rsid w:val="005C5A78"/>
    <w:rsid w:val="005C7660"/>
    <w:rsid w:val="005C773D"/>
    <w:rsid w:val="005D2994"/>
    <w:rsid w:val="005D3794"/>
    <w:rsid w:val="005D44CE"/>
    <w:rsid w:val="005D4F69"/>
    <w:rsid w:val="005D513D"/>
    <w:rsid w:val="005D751F"/>
    <w:rsid w:val="005D78AD"/>
    <w:rsid w:val="005D78B2"/>
    <w:rsid w:val="005E01BA"/>
    <w:rsid w:val="005E076E"/>
    <w:rsid w:val="005E13CB"/>
    <w:rsid w:val="005E14F3"/>
    <w:rsid w:val="005E2613"/>
    <w:rsid w:val="005E29B5"/>
    <w:rsid w:val="005E2A78"/>
    <w:rsid w:val="005E4BA8"/>
    <w:rsid w:val="005E5CE4"/>
    <w:rsid w:val="005E67D7"/>
    <w:rsid w:val="005E6CEE"/>
    <w:rsid w:val="005E6FDB"/>
    <w:rsid w:val="005E749F"/>
    <w:rsid w:val="005F1FDF"/>
    <w:rsid w:val="005F355B"/>
    <w:rsid w:val="005F39BC"/>
    <w:rsid w:val="005F42F4"/>
    <w:rsid w:val="005F540B"/>
    <w:rsid w:val="005F684D"/>
    <w:rsid w:val="005F6A45"/>
    <w:rsid w:val="005F70BE"/>
    <w:rsid w:val="0060077B"/>
    <w:rsid w:val="00601F3D"/>
    <w:rsid w:val="00602F51"/>
    <w:rsid w:val="00602F76"/>
    <w:rsid w:val="00603082"/>
    <w:rsid w:val="00604294"/>
    <w:rsid w:val="00604685"/>
    <w:rsid w:val="006054EF"/>
    <w:rsid w:val="0060575E"/>
    <w:rsid w:val="00605E2F"/>
    <w:rsid w:val="00605F27"/>
    <w:rsid w:val="00606A24"/>
    <w:rsid w:val="00606F10"/>
    <w:rsid w:val="00606F57"/>
    <w:rsid w:val="00607035"/>
    <w:rsid w:val="00607571"/>
    <w:rsid w:val="006075F2"/>
    <w:rsid w:val="006078AB"/>
    <w:rsid w:val="00607FF5"/>
    <w:rsid w:val="00610754"/>
    <w:rsid w:val="006112CB"/>
    <w:rsid w:val="0061238D"/>
    <w:rsid w:val="00613C7A"/>
    <w:rsid w:val="00613E2D"/>
    <w:rsid w:val="00615B71"/>
    <w:rsid w:val="0061647B"/>
    <w:rsid w:val="00616662"/>
    <w:rsid w:val="0062326F"/>
    <w:rsid w:val="00625011"/>
    <w:rsid w:val="00626958"/>
    <w:rsid w:val="00627913"/>
    <w:rsid w:val="00630E6E"/>
    <w:rsid w:val="00631542"/>
    <w:rsid w:val="006323BF"/>
    <w:rsid w:val="006324FA"/>
    <w:rsid w:val="00632EE7"/>
    <w:rsid w:val="00633D7B"/>
    <w:rsid w:val="00634170"/>
    <w:rsid w:val="006343E1"/>
    <w:rsid w:val="00634F9C"/>
    <w:rsid w:val="006360B6"/>
    <w:rsid w:val="006367AE"/>
    <w:rsid w:val="00636B6C"/>
    <w:rsid w:val="00637156"/>
    <w:rsid w:val="00641FB7"/>
    <w:rsid w:val="006420F8"/>
    <w:rsid w:val="00642CA2"/>
    <w:rsid w:val="00642EEC"/>
    <w:rsid w:val="006439F4"/>
    <w:rsid w:val="00643F2F"/>
    <w:rsid w:val="006451FA"/>
    <w:rsid w:val="00645369"/>
    <w:rsid w:val="00645D9C"/>
    <w:rsid w:val="00646598"/>
    <w:rsid w:val="006472F5"/>
    <w:rsid w:val="00647A5B"/>
    <w:rsid w:val="0065028B"/>
    <w:rsid w:val="0065062D"/>
    <w:rsid w:val="0065139A"/>
    <w:rsid w:val="00651B87"/>
    <w:rsid w:val="00651F6C"/>
    <w:rsid w:val="00652082"/>
    <w:rsid w:val="006525B9"/>
    <w:rsid w:val="0065356D"/>
    <w:rsid w:val="006538AB"/>
    <w:rsid w:val="00654041"/>
    <w:rsid w:val="006545B9"/>
    <w:rsid w:val="006546E4"/>
    <w:rsid w:val="006557E2"/>
    <w:rsid w:val="006563E3"/>
    <w:rsid w:val="00656D15"/>
    <w:rsid w:val="00656DEE"/>
    <w:rsid w:val="00660854"/>
    <w:rsid w:val="00660AB6"/>
    <w:rsid w:val="0066179A"/>
    <w:rsid w:val="00661814"/>
    <w:rsid w:val="006623F8"/>
    <w:rsid w:val="00662423"/>
    <w:rsid w:val="00662E83"/>
    <w:rsid w:val="00662F8C"/>
    <w:rsid w:val="00663EED"/>
    <w:rsid w:val="006646E5"/>
    <w:rsid w:val="006647C6"/>
    <w:rsid w:val="006655F2"/>
    <w:rsid w:val="00665874"/>
    <w:rsid w:val="006668D9"/>
    <w:rsid w:val="00670542"/>
    <w:rsid w:val="00671D34"/>
    <w:rsid w:val="006721EE"/>
    <w:rsid w:val="00672B42"/>
    <w:rsid w:val="00673082"/>
    <w:rsid w:val="0067369F"/>
    <w:rsid w:val="006756DA"/>
    <w:rsid w:val="00675BBE"/>
    <w:rsid w:val="006807FD"/>
    <w:rsid w:val="0068138C"/>
    <w:rsid w:val="0068186F"/>
    <w:rsid w:val="00681C88"/>
    <w:rsid w:val="00682808"/>
    <w:rsid w:val="00684F5D"/>
    <w:rsid w:val="00685048"/>
    <w:rsid w:val="0068546B"/>
    <w:rsid w:val="0068560B"/>
    <w:rsid w:val="0068642D"/>
    <w:rsid w:val="00686D8B"/>
    <w:rsid w:val="0068738E"/>
    <w:rsid w:val="00690971"/>
    <w:rsid w:val="00690A25"/>
    <w:rsid w:val="0069154C"/>
    <w:rsid w:val="00692393"/>
    <w:rsid w:val="00693044"/>
    <w:rsid w:val="0069425D"/>
    <w:rsid w:val="00694C3E"/>
    <w:rsid w:val="006952AD"/>
    <w:rsid w:val="00695946"/>
    <w:rsid w:val="00695D84"/>
    <w:rsid w:val="00696044"/>
    <w:rsid w:val="006A072D"/>
    <w:rsid w:val="006A1208"/>
    <w:rsid w:val="006A24FF"/>
    <w:rsid w:val="006A32E7"/>
    <w:rsid w:val="006A3812"/>
    <w:rsid w:val="006A3D7A"/>
    <w:rsid w:val="006A48E7"/>
    <w:rsid w:val="006A4CB7"/>
    <w:rsid w:val="006A5A22"/>
    <w:rsid w:val="006A7ACD"/>
    <w:rsid w:val="006A7B56"/>
    <w:rsid w:val="006B00CA"/>
    <w:rsid w:val="006B031E"/>
    <w:rsid w:val="006B1301"/>
    <w:rsid w:val="006B13F2"/>
    <w:rsid w:val="006B16FB"/>
    <w:rsid w:val="006B1733"/>
    <w:rsid w:val="006B17D0"/>
    <w:rsid w:val="006B19B9"/>
    <w:rsid w:val="006B290E"/>
    <w:rsid w:val="006B42F5"/>
    <w:rsid w:val="006B442C"/>
    <w:rsid w:val="006B44A2"/>
    <w:rsid w:val="006B4885"/>
    <w:rsid w:val="006B51DE"/>
    <w:rsid w:val="006B665C"/>
    <w:rsid w:val="006B6E7E"/>
    <w:rsid w:val="006B6FE5"/>
    <w:rsid w:val="006B7327"/>
    <w:rsid w:val="006C0660"/>
    <w:rsid w:val="006C0670"/>
    <w:rsid w:val="006C15A6"/>
    <w:rsid w:val="006C32A5"/>
    <w:rsid w:val="006C362F"/>
    <w:rsid w:val="006C36A5"/>
    <w:rsid w:val="006C52AE"/>
    <w:rsid w:val="006C5480"/>
    <w:rsid w:val="006C54EA"/>
    <w:rsid w:val="006C5C43"/>
    <w:rsid w:val="006C62E0"/>
    <w:rsid w:val="006C6BCA"/>
    <w:rsid w:val="006C704C"/>
    <w:rsid w:val="006C7179"/>
    <w:rsid w:val="006D06E8"/>
    <w:rsid w:val="006D0CE4"/>
    <w:rsid w:val="006D0E34"/>
    <w:rsid w:val="006D2B6E"/>
    <w:rsid w:val="006D3AFA"/>
    <w:rsid w:val="006D4C84"/>
    <w:rsid w:val="006D4C9F"/>
    <w:rsid w:val="006D4CE2"/>
    <w:rsid w:val="006D5958"/>
    <w:rsid w:val="006D6EEA"/>
    <w:rsid w:val="006E05A9"/>
    <w:rsid w:val="006E1797"/>
    <w:rsid w:val="006E32F1"/>
    <w:rsid w:val="006E5B93"/>
    <w:rsid w:val="006E6B6F"/>
    <w:rsid w:val="006E738E"/>
    <w:rsid w:val="006F11C2"/>
    <w:rsid w:val="006F1B64"/>
    <w:rsid w:val="006F1FF7"/>
    <w:rsid w:val="006F2152"/>
    <w:rsid w:val="006F21D4"/>
    <w:rsid w:val="006F3E0A"/>
    <w:rsid w:val="006F417C"/>
    <w:rsid w:val="006F54BA"/>
    <w:rsid w:val="006F65C6"/>
    <w:rsid w:val="006F6E1B"/>
    <w:rsid w:val="006F7C36"/>
    <w:rsid w:val="006F7C76"/>
    <w:rsid w:val="00700F56"/>
    <w:rsid w:val="00701048"/>
    <w:rsid w:val="007012B9"/>
    <w:rsid w:val="00701628"/>
    <w:rsid w:val="0070178D"/>
    <w:rsid w:val="007020AC"/>
    <w:rsid w:val="00702365"/>
    <w:rsid w:val="0070448C"/>
    <w:rsid w:val="00704969"/>
    <w:rsid w:val="00704A00"/>
    <w:rsid w:val="00705F01"/>
    <w:rsid w:val="007072B9"/>
    <w:rsid w:val="007101FF"/>
    <w:rsid w:val="00710736"/>
    <w:rsid w:val="00710AAF"/>
    <w:rsid w:val="007113AB"/>
    <w:rsid w:val="00711B19"/>
    <w:rsid w:val="00711DEE"/>
    <w:rsid w:val="007120F6"/>
    <w:rsid w:val="00714535"/>
    <w:rsid w:val="0071464D"/>
    <w:rsid w:val="007147A6"/>
    <w:rsid w:val="00714D5D"/>
    <w:rsid w:val="00715C35"/>
    <w:rsid w:val="00715DA0"/>
    <w:rsid w:val="00715F55"/>
    <w:rsid w:val="007164AC"/>
    <w:rsid w:val="00716522"/>
    <w:rsid w:val="00717A38"/>
    <w:rsid w:val="00717DC6"/>
    <w:rsid w:val="0072209E"/>
    <w:rsid w:val="0072499B"/>
    <w:rsid w:val="00727B9D"/>
    <w:rsid w:val="00730751"/>
    <w:rsid w:val="007335F7"/>
    <w:rsid w:val="00735E0E"/>
    <w:rsid w:val="00736049"/>
    <w:rsid w:val="00736AAC"/>
    <w:rsid w:val="00736F2A"/>
    <w:rsid w:val="00737E85"/>
    <w:rsid w:val="00737F1B"/>
    <w:rsid w:val="007401A0"/>
    <w:rsid w:val="007408A3"/>
    <w:rsid w:val="00740DB5"/>
    <w:rsid w:val="00741766"/>
    <w:rsid w:val="0074188C"/>
    <w:rsid w:val="00741D23"/>
    <w:rsid w:val="00742AE7"/>
    <w:rsid w:val="007437A8"/>
    <w:rsid w:val="00743C35"/>
    <w:rsid w:val="007448CC"/>
    <w:rsid w:val="00744CE0"/>
    <w:rsid w:val="0074543D"/>
    <w:rsid w:val="007469B1"/>
    <w:rsid w:val="007478CF"/>
    <w:rsid w:val="00747DEA"/>
    <w:rsid w:val="0075002F"/>
    <w:rsid w:val="0075165A"/>
    <w:rsid w:val="00752A1C"/>
    <w:rsid w:val="00752A61"/>
    <w:rsid w:val="007633AE"/>
    <w:rsid w:val="00763BB9"/>
    <w:rsid w:val="00763C9D"/>
    <w:rsid w:val="0076410E"/>
    <w:rsid w:val="00764634"/>
    <w:rsid w:val="00764BF3"/>
    <w:rsid w:val="00764DD9"/>
    <w:rsid w:val="00765E4C"/>
    <w:rsid w:val="00766827"/>
    <w:rsid w:val="00770DFF"/>
    <w:rsid w:val="00771086"/>
    <w:rsid w:val="00773D1E"/>
    <w:rsid w:val="00774BEA"/>
    <w:rsid w:val="00775CB7"/>
    <w:rsid w:val="00775FD3"/>
    <w:rsid w:val="007801D4"/>
    <w:rsid w:val="0078055E"/>
    <w:rsid w:val="00780A9A"/>
    <w:rsid w:val="007816FC"/>
    <w:rsid w:val="00782AFB"/>
    <w:rsid w:val="00785B8F"/>
    <w:rsid w:val="00785FFC"/>
    <w:rsid w:val="007868EA"/>
    <w:rsid w:val="00786A2C"/>
    <w:rsid w:val="0078745A"/>
    <w:rsid w:val="0078776B"/>
    <w:rsid w:val="0078797B"/>
    <w:rsid w:val="00790BC6"/>
    <w:rsid w:val="007919B2"/>
    <w:rsid w:val="00795171"/>
    <w:rsid w:val="00796150"/>
    <w:rsid w:val="007969E5"/>
    <w:rsid w:val="00796BF4"/>
    <w:rsid w:val="00797E76"/>
    <w:rsid w:val="007A059A"/>
    <w:rsid w:val="007A0F43"/>
    <w:rsid w:val="007A318C"/>
    <w:rsid w:val="007A3743"/>
    <w:rsid w:val="007A5BE7"/>
    <w:rsid w:val="007A6BEB"/>
    <w:rsid w:val="007A7318"/>
    <w:rsid w:val="007B004D"/>
    <w:rsid w:val="007B0064"/>
    <w:rsid w:val="007B098A"/>
    <w:rsid w:val="007B12A4"/>
    <w:rsid w:val="007B16AF"/>
    <w:rsid w:val="007B1AFF"/>
    <w:rsid w:val="007B2936"/>
    <w:rsid w:val="007B394E"/>
    <w:rsid w:val="007B3C09"/>
    <w:rsid w:val="007B4ECF"/>
    <w:rsid w:val="007B68AE"/>
    <w:rsid w:val="007B6FD5"/>
    <w:rsid w:val="007B74BA"/>
    <w:rsid w:val="007B76D8"/>
    <w:rsid w:val="007B786F"/>
    <w:rsid w:val="007C025C"/>
    <w:rsid w:val="007C04B6"/>
    <w:rsid w:val="007C0AB9"/>
    <w:rsid w:val="007C2AD5"/>
    <w:rsid w:val="007C339B"/>
    <w:rsid w:val="007C3844"/>
    <w:rsid w:val="007C4B0F"/>
    <w:rsid w:val="007C4D0B"/>
    <w:rsid w:val="007C4DC1"/>
    <w:rsid w:val="007C53E6"/>
    <w:rsid w:val="007C5F24"/>
    <w:rsid w:val="007C748C"/>
    <w:rsid w:val="007C772A"/>
    <w:rsid w:val="007C7B94"/>
    <w:rsid w:val="007D063F"/>
    <w:rsid w:val="007D153E"/>
    <w:rsid w:val="007D334C"/>
    <w:rsid w:val="007D3889"/>
    <w:rsid w:val="007D44B6"/>
    <w:rsid w:val="007D4708"/>
    <w:rsid w:val="007D53FD"/>
    <w:rsid w:val="007D5F3A"/>
    <w:rsid w:val="007D6582"/>
    <w:rsid w:val="007D772D"/>
    <w:rsid w:val="007D7769"/>
    <w:rsid w:val="007E1776"/>
    <w:rsid w:val="007E349F"/>
    <w:rsid w:val="007E350F"/>
    <w:rsid w:val="007E35A9"/>
    <w:rsid w:val="007E3673"/>
    <w:rsid w:val="007E37D2"/>
    <w:rsid w:val="007E4037"/>
    <w:rsid w:val="007E4920"/>
    <w:rsid w:val="007E6771"/>
    <w:rsid w:val="007E74BA"/>
    <w:rsid w:val="007E7972"/>
    <w:rsid w:val="007E7ACE"/>
    <w:rsid w:val="007F1FE8"/>
    <w:rsid w:val="007F211B"/>
    <w:rsid w:val="007F2ACA"/>
    <w:rsid w:val="007F3284"/>
    <w:rsid w:val="007F3F66"/>
    <w:rsid w:val="007F44C6"/>
    <w:rsid w:val="007F4C55"/>
    <w:rsid w:val="007F4C99"/>
    <w:rsid w:val="007F4DDE"/>
    <w:rsid w:val="007F56E7"/>
    <w:rsid w:val="007F626F"/>
    <w:rsid w:val="007F6DA4"/>
    <w:rsid w:val="007F6E66"/>
    <w:rsid w:val="007F7975"/>
    <w:rsid w:val="0080068A"/>
    <w:rsid w:val="008020A3"/>
    <w:rsid w:val="0080217F"/>
    <w:rsid w:val="008023D9"/>
    <w:rsid w:val="00802B01"/>
    <w:rsid w:val="008030F3"/>
    <w:rsid w:val="008031DE"/>
    <w:rsid w:val="0080326A"/>
    <w:rsid w:val="008037C7"/>
    <w:rsid w:val="00803F1C"/>
    <w:rsid w:val="00804164"/>
    <w:rsid w:val="00804230"/>
    <w:rsid w:val="00804E53"/>
    <w:rsid w:val="00805810"/>
    <w:rsid w:val="008065AA"/>
    <w:rsid w:val="00806FDE"/>
    <w:rsid w:val="00807616"/>
    <w:rsid w:val="00807CCB"/>
    <w:rsid w:val="008109DC"/>
    <w:rsid w:val="0081146F"/>
    <w:rsid w:val="00813B9C"/>
    <w:rsid w:val="0081639E"/>
    <w:rsid w:val="008164CC"/>
    <w:rsid w:val="00816C8F"/>
    <w:rsid w:val="00816FF6"/>
    <w:rsid w:val="00817BE5"/>
    <w:rsid w:val="00820084"/>
    <w:rsid w:val="00820375"/>
    <w:rsid w:val="00820C2A"/>
    <w:rsid w:val="00820DB7"/>
    <w:rsid w:val="00820F28"/>
    <w:rsid w:val="00821466"/>
    <w:rsid w:val="00821699"/>
    <w:rsid w:val="0082264B"/>
    <w:rsid w:val="0082296C"/>
    <w:rsid w:val="00823CFE"/>
    <w:rsid w:val="008240F9"/>
    <w:rsid w:val="00824A4F"/>
    <w:rsid w:val="00824A91"/>
    <w:rsid w:val="008273B8"/>
    <w:rsid w:val="00827551"/>
    <w:rsid w:val="00831201"/>
    <w:rsid w:val="008328FA"/>
    <w:rsid w:val="00832D03"/>
    <w:rsid w:val="00834C9C"/>
    <w:rsid w:val="008352BD"/>
    <w:rsid w:val="00835860"/>
    <w:rsid w:val="008364AA"/>
    <w:rsid w:val="00837BD5"/>
    <w:rsid w:val="00837DEF"/>
    <w:rsid w:val="008404F7"/>
    <w:rsid w:val="008409F9"/>
    <w:rsid w:val="008413F9"/>
    <w:rsid w:val="00841DDF"/>
    <w:rsid w:val="00842374"/>
    <w:rsid w:val="008424DC"/>
    <w:rsid w:val="0084326C"/>
    <w:rsid w:val="0084334B"/>
    <w:rsid w:val="00843B9E"/>
    <w:rsid w:val="00843BC3"/>
    <w:rsid w:val="0084453A"/>
    <w:rsid w:val="00845052"/>
    <w:rsid w:val="0084506C"/>
    <w:rsid w:val="00845635"/>
    <w:rsid w:val="00845AA0"/>
    <w:rsid w:val="0084611C"/>
    <w:rsid w:val="00846E0C"/>
    <w:rsid w:val="00847132"/>
    <w:rsid w:val="008504EF"/>
    <w:rsid w:val="00851180"/>
    <w:rsid w:val="00851F49"/>
    <w:rsid w:val="00851F68"/>
    <w:rsid w:val="00852FE3"/>
    <w:rsid w:val="00853E95"/>
    <w:rsid w:val="0086022B"/>
    <w:rsid w:val="00860EE1"/>
    <w:rsid w:val="008617EB"/>
    <w:rsid w:val="00861923"/>
    <w:rsid w:val="0086193B"/>
    <w:rsid w:val="008634EC"/>
    <w:rsid w:val="00863777"/>
    <w:rsid w:val="00863D7D"/>
    <w:rsid w:val="008646E7"/>
    <w:rsid w:val="00864A9C"/>
    <w:rsid w:val="00864C2C"/>
    <w:rsid w:val="00864C79"/>
    <w:rsid w:val="008654DA"/>
    <w:rsid w:val="008659BE"/>
    <w:rsid w:val="00865A5B"/>
    <w:rsid w:val="00866F48"/>
    <w:rsid w:val="00867113"/>
    <w:rsid w:val="0086777A"/>
    <w:rsid w:val="008677F7"/>
    <w:rsid w:val="00867B49"/>
    <w:rsid w:val="00867B85"/>
    <w:rsid w:val="008708F7"/>
    <w:rsid w:val="00870A53"/>
    <w:rsid w:val="0087124F"/>
    <w:rsid w:val="00871359"/>
    <w:rsid w:val="00872977"/>
    <w:rsid w:val="00873100"/>
    <w:rsid w:val="008766E0"/>
    <w:rsid w:val="00876F79"/>
    <w:rsid w:val="00877684"/>
    <w:rsid w:val="008800D1"/>
    <w:rsid w:val="00880922"/>
    <w:rsid w:val="00882191"/>
    <w:rsid w:val="00883998"/>
    <w:rsid w:val="0088477D"/>
    <w:rsid w:val="00885060"/>
    <w:rsid w:val="00885481"/>
    <w:rsid w:val="00885501"/>
    <w:rsid w:val="00886364"/>
    <w:rsid w:val="00887FB6"/>
    <w:rsid w:val="00890D4A"/>
    <w:rsid w:val="00890DF2"/>
    <w:rsid w:val="0089127D"/>
    <w:rsid w:val="00892080"/>
    <w:rsid w:val="008924E4"/>
    <w:rsid w:val="00892714"/>
    <w:rsid w:val="0089573F"/>
    <w:rsid w:val="0089598A"/>
    <w:rsid w:val="00896D91"/>
    <w:rsid w:val="008972D3"/>
    <w:rsid w:val="0089770D"/>
    <w:rsid w:val="008A20BC"/>
    <w:rsid w:val="008A270E"/>
    <w:rsid w:val="008A3649"/>
    <w:rsid w:val="008A3F5E"/>
    <w:rsid w:val="008A58EE"/>
    <w:rsid w:val="008A65BF"/>
    <w:rsid w:val="008A70E1"/>
    <w:rsid w:val="008A7C42"/>
    <w:rsid w:val="008B0011"/>
    <w:rsid w:val="008B0039"/>
    <w:rsid w:val="008B062D"/>
    <w:rsid w:val="008B2A32"/>
    <w:rsid w:val="008B3918"/>
    <w:rsid w:val="008B4038"/>
    <w:rsid w:val="008B417F"/>
    <w:rsid w:val="008B48AE"/>
    <w:rsid w:val="008B4BDE"/>
    <w:rsid w:val="008B56E0"/>
    <w:rsid w:val="008B5E1C"/>
    <w:rsid w:val="008B61F7"/>
    <w:rsid w:val="008B6313"/>
    <w:rsid w:val="008B69FC"/>
    <w:rsid w:val="008B721F"/>
    <w:rsid w:val="008C1857"/>
    <w:rsid w:val="008C18AD"/>
    <w:rsid w:val="008C1A9B"/>
    <w:rsid w:val="008C33F6"/>
    <w:rsid w:val="008C4D3C"/>
    <w:rsid w:val="008C5A1D"/>
    <w:rsid w:val="008C5DDA"/>
    <w:rsid w:val="008C5F2B"/>
    <w:rsid w:val="008C6A31"/>
    <w:rsid w:val="008C794E"/>
    <w:rsid w:val="008C7CFD"/>
    <w:rsid w:val="008D0EDE"/>
    <w:rsid w:val="008D11D5"/>
    <w:rsid w:val="008D1A49"/>
    <w:rsid w:val="008D259A"/>
    <w:rsid w:val="008D260A"/>
    <w:rsid w:val="008D2A29"/>
    <w:rsid w:val="008D3286"/>
    <w:rsid w:val="008D3620"/>
    <w:rsid w:val="008D37F6"/>
    <w:rsid w:val="008D4329"/>
    <w:rsid w:val="008D44C9"/>
    <w:rsid w:val="008D706A"/>
    <w:rsid w:val="008E0022"/>
    <w:rsid w:val="008E1619"/>
    <w:rsid w:val="008E1A43"/>
    <w:rsid w:val="008E1BC7"/>
    <w:rsid w:val="008E1D32"/>
    <w:rsid w:val="008E31B9"/>
    <w:rsid w:val="008E34B9"/>
    <w:rsid w:val="008E34FA"/>
    <w:rsid w:val="008E418D"/>
    <w:rsid w:val="008E4A84"/>
    <w:rsid w:val="008E544F"/>
    <w:rsid w:val="008E660A"/>
    <w:rsid w:val="008E6BB8"/>
    <w:rsid w:val="008E6F76"/>
    <w:rsid w:val="008E73DB"/>
    <w:rsid w:val="008E78B9"/>
    <w:rsid w:val="008E7C7C"/>
    <w:rsid w:val="008F0149"/>
    <w:rsid w:val="008F0200"/>
    <w:rsid w:val="008F0DEF"/>
    <w:rsid w:val="008F0E7D"/>
    <w:rsid w:val="008F131B"/>
    <w:rsid w:val="008F1F61"/>
    <w:rsid w:val="008F294B"/>
    <w:rsid w:val="008F2E24"/>
    <w:rsid w:val="008F35DB"/>
    <w:rsid w:val="008F457E"/>
    <w:rsid w:val="008F62B1"/>
    <w:rsid w:val="008F63DD"/>
    <w:rsid w:val="008F6883"/>
    <w:rsid w:val="008F694B"/>
    <w:rsid w:val="008F7EE8"/>
    <w:rsid w:val="00900F73"/>
    <w:rsid w:val="0090153E"/>
    <w:rsid w:val="00902FF1"/>
    <w:rsid w:val="009034F2"/>
    <w:rsid w:val="009036B5"/>
    <w:rsid w:val="00903EDD"/>
    <w:rsid w:val="009058FD"/>
    <w:rsid w:val="009065AE"/>
    <w:rsid w:val="009066EF"/>
    <w:rsid w:val="00906875"/>
    <w:rsid w:val="0091099D"/>
    <w:rsid w:val="0091121D"/>
    <w:rsid w:val="00911841"/>
    <w:rsid w:val="00912348"/>
    <w:rsid w:val="00912489"/>
    <w:rsid w:val="00912A04"/>
    <w:rsid w:val="00912C0E"/>
    <w:rsid w:val="009145A0"/>
    <w:rsid w:val="0091487E"/>
    <w:rsid w:val="009154D7"/>
    <w:rsid w:val="009160BF"/>
    <w:rsid w:val="00916D5B"/>
    <w:rsid w:val="00917CE2"/>
    <w:rsid w:val="00917CFD"/>
    <w:rsid w:val="00917DEB"/>
    <w:rsid w:val="00917FF7"/>
    <w:rsid w:val="009227BB"/>
    <w:rsid w:val="00924414"/>
    <w:rsid w:val="00924BF8"/>
    <w:rsid w:val="009254B5"/>
    <w:rsid w:val="00925D34"/>
    <w:rsid w:val="009303AB"/>
    <w:rsid w:val="00930526"/>
    <w:rsid w:val="00930809"/>
    <w:rsid w:val="00931B60"/>
    <w:rsid w:val="00932592"/>
    <w:rsid w:val="00934E32"/>
    <w:rsid w:val="0093711A"/>
    <w:rsid w:val="0093788C"/>
    <w:rsid w:val="009379D8"/>
    <w:rsid w:val="009401E5"/>
    <w:rsid w:val="00940E19"/>
    <w:rsid w:val="0094123B"/>
    <w:rsid w:val="00941F17"/>
    <w:rsid w:val="00941F7E"/>
    <w:rsid w:val="00943BA2"/>
    <w:rsid w:val="00944411"/>
    <w:rsid w:val="00946399"/>
    <w:rsid w:val="0094715E"/>
    <w:rsid w:val="00947708"/>
    <w:rsid w:val="00947833"/>
    <w:rsid w:val="00947ABA"/>
    <w:rsid w:val="009519F4"/>
    <w:rsid w:val="0095266C"/>
    <w:rsid w:val="00952DDF"/>
    <w:rsid w:val="00954383"/>
    <w:rsid w:val="00955030"/>
    <w:rsid w:val="00955771"/>
    <w:rsid w:val="0095656F"/>
    <w:rsid w:val="00956E24"/>
    <w:rsid w:val="00956E88"/>
    <w:rsid w:val="009572C8"/>
    <w:rsid w:val="009609D4"/>
    <w:rsid w:val="00961148"/>
    <w:rsid w:val="0096167B"/>
    <w:rsid w:val="00961D4E"/>
    <w:rsid w:val="009623FB"/>
    <w:rsid w:val="0096248D"/>
    <w:rsid w:val="00964068"/>
    <w:rsid w:val="0096420A"/>
    <w:rsid w:val="00965804"/>
    <w:rsid w:val="009658BB"/>
    <w:rsid w:val="00966790"/>
    <w:rsid w:val="00966AB8"/>
    <w:rsid w:val="009672D0"/>
    <w:rsid w:val="009708F0"/>
    <w:rsid w:val="009710E8"/>
    <w:rsid w:val="009716BA"/>
    <w:rsid w:val="0097174C"/>
    <w:rsid w:val="00973AF4"/>
    <w:rsid w:val="00974243"/>
    <w:rsid w:val="00975690"/>
    <w:rsid w:val="00976136"/>
    <w:rsid w:val="0097631E"/>
    <w:rsid w:val="009769CE"/>
    <w:rsid w:val="0098053E"/>
    <w:rsid w:val="00980786"/>
    <w:rsid w:val="009809B6"/>
    <w:rsid w:val="00980BB8"/>
    <w:rsid w:val="009811D4"/>
    <w:rsid w:val="0098354A"/>
    <w:rsid w:val="0098395E"/>
    <w:rsid w:val="0098552F"/>
    <w:rsid w:val="00986963"/>
    <w:rsid w:val="0099294D"/>
    <w:rsid w:val="00992A83"/>
    <w:rsid w:val="00992DCC"/>
    <w:rsid w:val="0099369F"/>
    <w:rsid w:val="009947B8"/>
    <w:rsid w:val="009955E0"/>
    <w:rsid w:val="009957FE"/>
    <w:rsid w:val="00995B7C"/>
    <w:rsid w:val="00996282"/>
    <w:rsid w:val="00996B73"/>
    <w:rsid w:val="00997E7C"/>
    <w:rsid w:val="009A07C6"/>
    <w:rsid w:val="009A0A83"/>
    <w:rsid w:val="009A0ACF"/>
    <w:rsid w:val="009A216A"/>
    <w:rsid w:val="009A227B"/>
    <w:rsid w:val="009A3DB2"/>
    <w:rsid w:val="009A4103"/>
    <w:rsid w:val="009A5624"/>
    <w:rsid w:val="009A586D"/>
    <w:rsid w:val="009A5891"/>
    <w:rsid w:val="009A6BF3"/>
    <w:rsid w:val="009A7692"/>
    <w:rsid w:val="009B07F5"/>
    <w:rsid w:val="009B122C"/>
    <w:rsid w:val="009B143A"/>
    <w:rsid w:val="009B24E7"/>
    <w:rsid w:val="009B3CC5"/>
    <w:rsid w:val="009B3ED4"/>
    <w:rsid w:val="009B4227"/>
    <w:rsid w:val="009B4B29"/>
    <w:rsid w:val="009B4B4F"/>
    <w:rsid w:val="009B4ED8"/>
    <w:rsid w:val="009B594D"/>
    <w:rsid w:val="009B7964"/>
    <w:rsid w:val="009C2A78"/>
    <w:rsid w:val="009C2A90"/>
    <w:rsid w:val="009C3E0B"/>
    <w:rsid w:val="009C4185"/>
    <w:rsid w:val="009C4BD3"/>
    <w:rsid w:val="009C5D5D"/>
    <w:rsid w:val="009D008F"/>
    <w:rsid w:val="009D04A9"/>
    <w:rsid w:val="009D04DE"/>
    <w:rsid w:val="009D0E4C"/>
    <w:rsid w:val="009D18DB"/>
    <w:rsid w:val="009D1F05"/>
    <w:rsid w:val="009D1F32"/>
    <w:rsid w:val="009D2266"/>
    <w:rsid w:val="009D25AF"/>
    <w:rsid w:val="009D28A5"/>
    <w:rsid w:val="009D2A24"/>
    <w:rsid w:val="009D2B8F"/>
    <w:rsid w:val="009D3113"/>
    <w:rsid w:val="009D4C8B"/>
    <w:rsid w:val="009D4EF2"/>
    <w:rsid w:val="009D5061"/>
    <w:rsid w:val="009D5249"/>
    <w:rsid w:val="009D544B"/>
    <w:rsid w:val="009D596A"/>
    <w:rsid w:val="009D6A15"/>
    <w:rsid w:val="009E016F"/>
    <w:rsid w:val="009E1A68"/>
    <w:rsid w:val="009E1B7A"/>
    <w:rsid w:val="009E1BAC"/>
    <w:rsid w:val="009E2373"/>
    <w:rsid w:val="009E3140"/>
    <w:rsid w:val="009E3169"/>
    <w:rsid w:val="009E320A"/>
    <w:rsid w:val="009E3468"/>
    <w:rsid w:val="009E354D"/>
    <w:rsid w:val="009E40FD"/>
    <w:rsid w:val="009E4672"/>
    <w:rsid w:val="009E5A59"/>
    <w:rsid w:val="009E5BBE"/>
    <w:rsid w:val="009E5EA3"/>
    <w:rsid w:val="009E6CC5"/>
    <w:rsid w:val="009E6CC6"/>
    <w:rsid w:val="009E74DA"/>
    <w:rsid w:val="009E7538"/>
    <w:rsid w:val="009E7812"/>
    <w:rsid w:val="009F0227"/>
    <w:rsid w:val="009F0C04"/>
    <w:rsid w:val="009F101B"/>
    <w:rsid w:val="009F193F"/>
    <w:rsid w:val="009F1B8C"/>
    <w:rsid w:val="009F1D80"/>
    <w:rsid w:val="009F2432"/>
    <w:rsid w:val="009F3439"/>
    <w:rsid w:val="009F3D10"/>
    <w:rsid w:val="009F4453"/>
    <w:rsid w:val="009F4D3C"/>
    <w:rsid w:val="009F5149"/>
    <w:rsid w:val="009F5B9B"/>
    <w:rsid w:val="009F638F"/>
    <w:rsid w:val="009F6940"/>
    <w:rsid w:val="009F6AE0"/>
    <w:rsid w:val="009F7DBF"/>
    <w:rsid w:val="00A00237"/>
    <w:rsid w:val="00A00D5A"/>
    <w:rsid w:val="00A010CA"/>
    <w:rsid w:val="00A02C60"/>
    <w:rsid w:val="00A039FD"/>
    <w:rsid w:val="00A041EB"/>
    <w:rsid w:val="00A04380"/>
    <w:rsid w:val="00A0485A"/>
    <w:rsid w:val="00A055E1"/>
    <w:rsid w:val="00A0601B"/>
    <w:rsid w:val="00A06093"/>
    <w:rsid w:val="00A108DB"/>
    <w:rsid w:val="00A10BAC"/>
    <w:rsid w:val="00A1115F"/>
    <w:rsid w:val="00A11783"/>
    <w:rsid w:val="00A12436"/>
    <w:rsid w:val="00A1330A"/>
    <w:rsid w:val="00A13DE3"/>
    <w:rsid w:val="00A14117"/>
    <w:rsid w:val="00A14E60"/>
    <w:rsid w:val="00A16647"/>
    <w:rsid w:val="00A16AA5"/>
    <w:rsid w:val="00A16E93"/>
    <w:rsid w:val="00A16F13"/>
    <w:rsid w:val="00A1716C"/>
    <w:rsid w:val="00A17796"/>
    <w:rsid w:val="00A17BC6"/>
    <w:rsid w:val="00A17F1E"/>
    <w:rsid w:val="00A2157D"/>
    <w:rsid w:val="00A22D25"/>
    <w:rsid w:val="00A23EAA"/>
    <w:rsid w:val="00A240DA"/>
    <w:rsid w:val="00A243F1"/>
    <w:rsid w:val="00A244A3"/>
    <w:rsid w:val="00A249DA"/>
    <w:rsid w:val="00A259F2"/>
    <w:rsid w:val="00A26023"/>
    <w:rsid w:val="00A27E86"/>
    <w:rsid w:val="00A30730"/>
    <w:rsid w:val="00A313B9"/>
    <w:rsid w:val="00A317EE"/>
    <w:rsid w:val="00A32EA9"/>
    <w:rsid w:val="00A335D7"/>
    <w:rsid w:val="00A34552"/>
    <w:rsid w:val="00A355D1"/>
    <w:rsid w:val="00A358F3"/>
    <w:rsid w:val="00A35BFF"/>
    <w:rsid w:val="00A35D39"/>
    <w:rsid w:val="00A360C8"/>
    <w:rsid w:val="00A36414"/>
    <w:rsid w:val="00A36BA8"/>
    <w:rsid w:val="00A41413"/>
    <w:rsid w:val="00A419EE"/>
    <w:rsid w:val="00A41A8D"/>
    <w:rsid w:val="00A41C47"/>
    <w:rsid w:val="00A44B97"/>
    <w:rsid w:val="00A45335"/>
    <w:rsid w:val="00A45656"/>
    <w:rsid w:val="00A463E9"/>
    <w:rsid w:val="00A46B8D"/>
    <w:rsid w:val="00A47077"/>
    <w:rsid w:val="00A470D1"/>
    <w:rsid w:val="00A50DD9"/>
    <w:rsid w:val="00A5128A"/>
    <w:rsid w:val="00A51D7F"/>
    <w:rsid w:val="00A521C6"/>
    <w:rsid w:val="00A52280"/>
    <w:rsid w:val="00A5283D"/>
    <w:rsid w:val="00A531BD"/>
    <w:rsid w:val="00A535CE"/>
    <w:rsid w:val="00A53E58"/>
    <w:rsid w:val="00A544BC"/>
    <w:rsid w:val="00A552AE"/>
    <w:rsid w:val="00A57372"/>
    <w:rsid w:val="00A61310"/>
    <w:rsid w:val="00A630B7"/>
    <w:rsid w:val="00A6347D"/>
    <w:rsid w:val="00A63B54"/>
    <w:rsid w:val="00A6438B"/>
    <w:rsid w:val="00A64D0A"/>
    <w:rsid w:val="00A6638D"/>
    <w:rsid w:val="00A66D30"/>
    <w:rsid w:val="00A66D73"/>
    <w:rsid w:val="00A66EE2"/>
    <w:rsid w:val="00A6747D"/>
    <w:rsid w:val="00A67DC7"/>
    <w:rsid w:val="00A67FF9"/>
    <w:rsid w:val="00A70FCD"/>
    <w:rsid w:val="00A71E89"/>
    <w:rsid w:val="00A7363F"/>
    <w:rsid w:val="00A74B84"/>
    <w:rsid w:val="00A7534F"/>
    <w:rsid w:val="00A76A45"/>
    <w:rsid w:val="00A76E57"/>
    <w:rsid w:val="00A77CBC"/>
    <w:rsid w:val="00A80439"/>
    <w:rsid w:val="00A816DC"/>
    <w:rsid w:val="00A818D0"/>
    <w:rsid w:val="00A81E77"/>
    <w:rsid w:val="00A826D2"/>
    <w:rsid w:val="00A828B8"/>
    <w:rsid w:val="00A829E5"/>
    <w:rsid w:val="00A84168"/>
    <w:rsid w:val="00A868BC"/>
    <w:rsid w:val="00A87328"/>
    <w:rsid w:val="00A875D8"/>
    <w:rsid w:val="00A90C0A"/>
    <w:rsid w:val="00A934D1"/>
    <w:rsid w:val="00A944A4"/>
    <w:rsid w:val="00A949A6"/>
    <w:rsid w:val="00A94ADD"/>
    <w:rsid w:val="00A94F6A"/>
    <w:rsid w:val="00A9601A"/>
    <w:rsid w:val="00A96BEE"/>
    <w:rsid w:val="00A978AE"/>
    <w:rsid w:val="00A97EE2"/>
    <w:rsid w:val="00AA1F75"/>
    <w:rsid w:val="00AA3CCA"/>
    <w:rsid w:val="00AA42D0"/>
    <w:rsid w:val="00AA5B95"/>
    <w:rsid w:val="00AA76C8"/>
    <w:rsid w:val="00AB0605"/>
    <w:rsid w:val="00AB0660"/>
    <w:rsid w:val="00AB10DB"/>
    <w:rsid w:val="00AB18CA"/>
    <w:rsid w:val="00AB1C2B"/>
    <w:rsid w:val="00AB2590"/>
    <w:rsid w:val="00AB2CF9"/>
    <w:rsid w:val="00AB390C"/>
    <w:rsid w:val="00AB3948"/>
    <w:rsid w:val="00AB42E7"/>
    <w:rsid w:val="00AB5D91"/>
    <w:rsid w:val="00AB6382"/>
    <w:rsid w:val="00AB6389"/>
    <w:rsid w:val="00AB6BE7"/>
    <w:rsid w:val="00AB6D62"/>
    <w:rsid w:val="00AB73E8"/>
    <w:rsid w:val="00AB749D"/>
    <w:rsid w:val="00AC16D1"/>
    <w:rsid w:val="00AC17C0"/>
    <w:rsid w:val="00AC1987"/>
    <w:rsid w:val="00AC27EB"/>
    <w:rsid w:val="00AC4D5D"/>
    <w:rsid w:val="00AC690A"/>
    <w:rsid w:val="00AC6A8C"/>
    <w:rsid w:val="00AC6B34"/>
    <w:rsid w:val="00AC6E63"/>
    <w:rsid w:val="00AC7209"/>
    <w:rsid w:val="00AC731C"/>
    <w:rsid w:val="00AC73F2"/>
    <w:rsid w:val="00AD0041"/>
    <w:rsid w:val="00AD075C"/>
    <w:rsid w:val="00AD1EF7"/>
    <w:rsid w:val="00AD23D8"/>
    <w:rsid w:val="00AD2FF8"/>
    <w:rsid w:val="00AD37CE"/>
    <w:rsid w:val="00AD3970"/>
    <w:rsid w:val="00AD3D96"/>
    <w:rsid w:val="00AD5639"/>
    <w:rsid w:val="00AD5645"/>
    <w:rsid w:val="00AD6B08"/>
    <w:rsid w:val="00AE04E8"/>
    <w:rsid w:val="00AE0F1D"/>
    <w:rsid w:val="00AE2200"/>
    <w:rsid w:val="00AE2822"/>
    <w:rsid w:val="00AE345A"/>
    <w:rsid w:val="00AE424D"/>
    <w:rsid w:val="00AE4EC6"/>
    <w:rsid w:val="00AE5552"/>
    <w:rsid w:val="00AE5A0F"/>
    <w:rsid w:val="00AE5ED2"/>
    <w:rsid w:val="00AE650A"/>
    <w:rsid w:val="00AE67DD"/>
    <w:rsid w:val="00AE67F8"/>
    <w:rsid w:val="00AE6DE1"/>
    <w:rsid w:val="00AE6E38"/>
    <w:rsid w:val="00AE73CC"/>
    <w:rsid w:val="00AE7894"/>
    <w:rsid w:val="00AF13F1"/>
    <w:rsid w:val="00AF14E1"/>
    <w:rsid w:val="00AF15D6"/>
    <w:rsid w:val="00AF2D2C"/>
    <w:rsid w:val="00AF3955"/>
    <w:rsid w:val="00AF4BFC"/>
    <w:rsid w:val="00AF6425"/>
    <w:rsid w:val="00AF6B03"/>
    <w:rsid w:val="00AF7755"/>
    <w:rsid w:val="00B000E0"/>
    <w:rsid w:val="00B00DB7"/>
    <w:rsid w:val="00B01A2A"/>
    <w:rsid w:val="00B02D00"/>
    <w:rsid w:val="00B0377F"/>
    <w:rsid w:val="00B04553"/>
    <w:rsid w:val="00B0527C"/>
    <w:rsid w:val="00B05B09"/>
    <w:rsid w:val="00B05C4D"/>
    <w:rsid w:val="00B0659F"/>
    <w:rsid w:val="00B06669"/>
    <w:rsid w:val="00B068F0"/>
    <w:rsid w:val="00B0706A"/>
    <w:rsid w:val="00B074A6"/>
    <w:rsid w:val="00B07783"/>
    <w:rsid w:val="00B07FFD"/>
    <w:rsid w:val="00B100AE"/>
    <w:rsid w:val="00B11548"/>
    <w:rsid w:val="00B115C0"/>
    <w:rsid w:val="00B11D8E"/>
    <w:rsid w:val="00B1296A"/>
    <w:rsid w:val="00B1413D"/>
    <w:rsid w:val="00B145AF"/>
    <w:rsid w:val="00B15311"/>
    <w:rsid w:val="00B157F1"/>
    <w:rsid w:val="00B15C1A"/>
    <w:rsid w:val="00B17DD2"/>
    <w:rsid w:val="00B2027A"/>
    <w:rsid w:val="00B20E26"/>
    <w:rsid w:val="00B21539"/>
    <w:rsid w:val="00B2174F"/>
    <w:rsid w:val="00B27584"/>
    <w:rsid w:val="00B276E4"/>
    <w:rsid w:val="00B277AF"/>
    <w:rsid w:val="00B27AD1"/>
    <w:rsid w:val="00B303A6"/>
    <w:rsid w:val="00B316E6"/>
    <w:rsid w:val="00B329DB"/>
    <w:rsid w:val="00B32B33"/>
    <w:rsid w:val="00B32F45"/>
    <w:rsid w:val="00B33272"/>
    <w:rsid w:val="00B34F22"/>
    <w:rsid w:val="00B360C7"/>
    <w:rsid w:val="00B36FBD"/>
    <w:rsid w:val="00B37F45"/>
    <w:rsid w:val="00B417B2"/>
    <w:rsid w:val="00B4299B"/>
    <w:rsid w:val="00B435BB"/>
    <w:rsid w:val="00B43CF2"/>
    <w:rsid w:val="00B44161"/>
    <w:rsid w:val="00B44CA1"/>
    <w:rsid w:val="00B44D1B"/>
    <w:rsid w:val="00B47D70"/>
    <w:rsid w:val="00B501B1"/>
    <w:rsid w:val="00B503B4"/>
    <w:rsid w:val="00B50DF8"/>
    <w:rsid w:val="00B50FE9"/>
    <w:rsid w:val="00B51388"/>
    <w:rsid w:val="00B516DF"/>
    <w:rsid w:val="00B52369"/>
    <w:rsid w:val="00B52CE9"/>
    <w:rsid w:val="00B53C44"/>
    <w:rsid w:val="00B55E39"/>
    <w:rsid w:val="00B57450"/>
    <w:rsid w:val="00B609EE"/>
    <w:rsid w:val="00B60BE5"/>
    <w:rsid w:val="00B61604"/>
    <w:rsid w:val="00B62770"/>
    <w:rsid w:val="00B6419B"/>
    <w:rsid w:val="00B656DF"/>
    <w:rsid w:val="00B65C77"/>
    <w:rsid w:val="00B67FE4"/>
    <w:rsid w:val="00B70E65"/>
    <w:rsid w:val="00B7272E"/>
    <w:rsid w:val="00B73451"/>
    <w:rsid w:val="00B73FC0"/>
    <w:rsid w:val="00B75059"/>
    <w:rsid w:val="00B7711D"/>
    <w:rsid w:val="00B7735A"/>
    <w:rsid w:val="00B773FB"/>
    <w:rsid w:val="00B829B9"/>
    <w:rsid w:val="00B83265"/>
    <w:rsid w:val="00B83977"/>
    <w:rsid w:val="00B840BD"/>
    <w:rsid w:val="00B842C3"/>
    <w:rsid w:val="00B855BB"/>
    <w:rsid w:val="00B856E9"/>
    <w:rsid w:val="00B86AB0"/>
    <w:rsid w:val="00B87666"/>
    <w:rsid w:val="00B879A2"/>
    <w:rsid w:val="00B90698"/>
    <w:rsid w:val="00B91C58"/>
    <w:rsid w:val="00B936F6"/>
    <w:rsid w:val="00B93FE2"/>
    <w:rsid w:val="00B94467"/>
    <w:rsid w:val="00BA0153"/>
    <w:rsid w:val="00BA0FD4"/>
    <w:rsid w:val="00BA1460"/>
    <w:rsid w:val="00BA1A14"/>
    <w:rsid w:val="00BA1B2D"/>
    <w:rsid w:val="00BA2047"/>
    <w:rsid w:val="00BA512D"/>
    <w:rsid w:val="00BA5722"/>
    <w:rsid w:val="00BA5B34"/>
    <w:rsid w:val="00BA5D59"/>
    <w:rsid w:val="00BA6405"/>
    <w:rsid w:val="00BA6BE9"/>
    <w:rsid w:val="00BA7013"/>
    <w:rsid w:val="00BA7A85"/>
    <w:rsid w:val="00BA7FC8"/>
    <w:rsid w:val="00BB0300"/>
    <w:rsid w:val="00BB0446"/>
    <w:rsid w:val="00BB0470"/>
    <w:rsid w:val="00BB0624"/>
    <w:rsid w:val="00BB11E9"/>
    <w:rsid w:val="00BB2162"/>
    <w:rsid w:val="00BB27A9"/>
    <w:rsid w:val="00BB454E"/>
    <w:rsid w:val="00BB54F5"/>
    <w:rsid w:val="00BB55E9"/>
    <w:rsid w:val="00BB5991"/>
    <w:rsid w:val="00BB6575"/>
    <w:rsid w:val="00BB6895"/>
    <w:rsid w:val="00BB6983"/>
    <w:rsid w:val="00BC1E90"/>
    <w:rsid w:val="00BC2C3F"/>
    <w:rsid w:val="00BC30CA"/>
    <w:rsid w:val="00BC4385"/>
    <w:rsid w:val="00BC4A16"/>
    <w:rsid w:val="00BC4E23"/>
    <w:rsid w:val="00BC503A"/>
    <w:rsid w:val="00BC7030"/>
    <w:rsid w:val="00BD055F"/>
    <w:rsid w:val="00BD0E53"/>
    <w:rsid w:val="00BD3543"/>
    <w:rsid w:val="00BD3CBC"/>
    <w:rsid w:val="00BD489D"/>
    <w:rsid w:val="00BD6998"/>
    <w:rsid w:val="00BD709E"/>
    <w:rsid w:val="00BD76ED"/>
    <w:rsid w:val="00BE29AB"/>
    <w:rsid w:val="00BE2A15"/>
    <w:rsid w:val="00BE2F56"/>
    <w:rsid w:val="00BE3058"/>
    <w:rsid w:val="00BE5416"/>
    <w:rsid w:val="00BE6436"/>
    <w:rsid w:val="00BE71F9"/>
    <w:rsid w:val="00BE7607"/>
    <w:rsid w:val="00BE795F"/>
    <w:rsid w:val="00BE7B85"/>
    <w:rsid w:val="00BE7C09"/>
    <w:rsid w:val="00BF1283"/>
    <w:rsid w:val="00BF161A"/>
    <w:rsid w:val="00BF2661"/>
    <w:rsid w:val="00BF34E6"/>
    <w:rsid w:val="00BF3C1A"/>
    <w:rsid w:val="00BF419D"/>
    <w:rsid w:val="00BF4798"/>
    <w:rsid w:val="00BF516D"/>
    <w:rsid w:val="00BF54A3"/>
    <w:rsid w:val="00BF5980"/>
    <w:rsid w:val="00BF5DC8"/>
    <w:rsid w:val="00BF6E7D"/>
    <w:rsid w:val="00BF711F"/>
    <w:rsid w:val="00BF78C1"/>
    <w:rsid w:val="00BF7B54"/>
    <w:rsid w:val="00C01AA5"/>
    <w:rsid w:val="00C034E0"/>
    <w:rsid w:val="00C03C79"/>
    <w:rsid w:val="00C03C7B"/>
    <w:rsid w:val="00C041EB"/>
    <w:rsid w:val="00C04F24"/>
    <w:rsid w:val="00C06B59"/>
    <w:rsid w:val="00C06D7F"/>
    <w:rsid w:val="00C073A7"/>
    <w:rsid w:val="00C07550"/>
    <w:rsid w:val="00C1005C"/>
    <w:rsid w:val="00C10786"/>
    <w:rsid w:val="00C1276E"/>
    <w:rsid w:val="00C13D5E"/>
    <w:rsid w:val="00C13D8B"/>
    <w:rsid w:val="00C146B9"/>
    <w:rsid w:val="00C154C5"/>
    <w:rsid w:val="00C155E2"/>
    <w:rsid w:val="00C15603"/>
    <w:rsid w:val="00C17183"/>
    <w:rsid w:val="00C1740F"/>
    <w:rsid w:val="00C17714"/>
    <w:rsid w:val="00C17F37"/>
    <w:rsid w:val="00C20A55"/>
    <w:rsid w:val="00C20C06"/>
    <w:rsid w:val="00C20DF5"/>
    <w:rsid w:val="00C211CA"/>
    <w:rsid w:val="00C21432"/>
    <w:rsid w:val="00C222D9"/>
    <w:rsid w:val="00C22A73"/>
    <w:rsid w:val="00C23628"/>
    <w:rsid w:val="00C236E5"/>
    <w:rsid w:val="00C2387E"/>
    <w:rsid w:val="00C238A2"/>
    <w:rsid w:val="00C244E3"/>
    <w:rsid w:val="00C24B1D"/>
    <w:rsid w:val="00C24C14"/>
    <w:rsid w:val="00C24F79"/>
    <w:rsid w:val="00C251BF"/>
    <w:rsid w:val="00C2578D"/>
    <w:rsid w:val="00C2650C"/>
    <w:rsid w:val="00C267CF"/>
    <w:rsid w:val="00C272B5"/>
    <w:rsid w:val="00C27D2F"/>
    <w:rsid w:val="00C30084"/>
    <w:rsid w:val="00C3075C"/>
    <w:rsid w:val="00C31EF4"/>
    <w:rsid w:val="00C31FE8"/>
    <w:rsid w:val="00C3227E"/>
    <w:rsid w:val="00C333CF"/>
    <w:rsid w:val="00C3544D"/>
    <w:rsid w:val="00C37509"/>
    <w:rsid w:val="00C4054A"/>
    <w:rsid w:val="00C405CC"/>
    <w:rsid w:val="00C40926"/>
    <w:rsid w:val="00C40EF5"/>
    <w:rsid w:val="00C410D5"/>
    <w:rsid w:val="00C427FF"/>
    <w:rsid w:val="00C428A2"/>
    <w:rsid w:val="00C431EB"/>
    <w:rsid w:val="00C44781"/>
    <w:rsid w:val="00C44A94"/>
    <w:rsid w:val="00C44B6F"/>
    <w:rsid w:val="00C4507D"/>
    <w:rsid w:val="00C46361"/>
    <w:rsid w:val="00C46F82"/>
    <w:rsid w:val="00C477AF"/>
    <w:rsid w:val="00C508C6"/>
    <w:rsid w:val="00C50C25"/>
    <w:rsid w:val="00C5178B"/>
    <w:rsid w:val="00C51831"/>
    <w:rsid w:val="00C540F3"/>
    <w:rsid w:val="00C546F7"/>
    <w:rsid w:val="00C54FD4"/>
    <w:rsid w:val="00C54FFA"/>
    <w:rsid w:val="00C55050"/>
    <w:rsid w:val="00C553A5"/>
    <w:rsid w:val="00C563A7"/>
    <w:rsid w:val="00C572D5"/>
    <w:rsid w:val="00C5762D"/>
    <w:rsid w:val="00C57F9C"/>
    <w:rsid w:val="00C60CFA"/>
    <w:rsid w:val="00C60E9F"/>
    <w:rsid w:val="00C61A0C"/>
    <w:rsid w:val="00C61BA9"/>
    <w:rsid w:val="00C61FB4"/>
    <w:rsid w:val="00C6257C"/>
    <w:rsid w:val="00C63C4D"/>
    <w:rsid w:val="00C64217"/>
    <w:rsid w:val="00C64825"/>
    <w:rsid w:val="00C65796"/>
    <w:rsid w:val="00C66A36"/>
    <w:rsid w:val="00C66AB9"/>
    <w:rsid w:val="00C66F4F"/>
    <w:rsid w:val="00C70C73"/>
    <w:rsid w:val="00C743EB"/>
    <w:rsid w:val="00C75E71"/>
    <w:rsid w:val="00C76563"/>
    <w:rsid w:val="00C76F7A"/>
    <w:rsid w:val="00C772FA"/>
    <w:rsid w:val="00C7734A"/>
    <w:rsid w:val="00C77762"/>
    <w:rsid w:val="00C77D93"/>
    <w:rsid w:val="00C809BB"/>
    <w:rsid w:val="00C80EF3"/>
    <w:rsid w:val="00C80FDC"/>
    <w:rsid w:val="00C82C4C"/>
    <w:rsid w:val="00C82E6A"/>
    <w:rsid w:val="00C83EC0"/>
    <w:rsid w:val="00C84E6C"/>
    <w:rsid w:val="00C8598D"/>
    <w:rsid w:val="00C8620E"/>
    <w:rsid w:val="00C87DFD"/>
    <w:rsid w:val="00C903A4"/>
    <w:rsid w:val="00C92032"/>
    <w:rsid w:val="00C924EE"/>
    <w:rsid w:val="00C94A91"/>
    <w:rsid w:val="00C955A2"/>
    <w:rsid w:val="00C95B02"/>
    <w:rsid w:val="00C95FA5"/>
    <w:rsid w:val="00C96DF4"/>
    <w:rsid w:val="00C97127"/>
    <w:rsid w:val="00C97568"/>
    <w:rsid w:val="00C975CD"/>
    <w:rsid w:val="00C976D5"/>
    <w:rsid w:val="00C9791A"/>
    <w:rsid w:val="00C97B5B"/>
    <w:rsid w:val="00CA021F"/>
    <w:rsid w:val="00CA0FAB"/>
    <w:rsid w:val="00CA188D"/>
    <w:rsid w:val="00CA1F9D"/>
    <w:rsid w:val="00CA2B70"/>
    <w:rsid w:val="00CA2BC9"/>
    <w:rsid w:val="00CA307C"/>
    <w:rsid w:val="00CA650D"/>
    <w:rsid w:val="00CA711E"/>
    <w:rsid w:val="00CA791D"/>
    <w:rsid w:val="00CB07EE"/>
    <w:rsid w:val="00CB0E26"/>
    <w:rsid w:val="00CB0F30"/>
    <w:rsid w:val="00CB1289"/>
    <w:rsid w:val="00CB2706"/>
    <w:rsid w:val="00CB4A21"/>
    <w:rsid w:val="00CB5521"/>
    <w:rsid w:val="00CB5A5D"/>
    <w:rsid w:val="00CB6057"/>
    <w:rsid w:val="00CB62FE"/>
    <w:rsid w:val="00CB652D"/>
    <w:rsid w:val="00CB6BD0"/>
    <w:rsid w:val="00CB731A"/>
    <w:rsid w:val="00CC14AD"/>
    <w:rsid w:val="00CC2599"/>
    <w:rsid w:val="00CC3307"/>
    <w:rsid w:val="00CC4033"/>
    <w:rsid w:val="00CC4336"/>
    <w:rsid w:val="00CC4B73"/>
    <w:rsid w:val="00CC60F0"/>
    <w:rsid w:val="00CC7985"/>
    <w:rsid w:val="00CC7A0E"/>
    <w:rsid w:val="00CD0B39"/>
    <w:rsid w:val="00CD0C75"/>
    <w:rsid w:val="00CD0E97"/>
    <w:rsid w:val="00CD13D8"/>
    <w:rsid w:val="00CD4F39"/>
    <w:rsid w:val="00CD5044"/>
    <w:rsid w:val="00CD6B8C"/>
    <w:rsid w:val="00CD6C2D"/>
    <w:rsid w:val="00CD7B8F"/>
    <w:rsid w:val="00CD7BFD"/>
    <w:rsid w:val="00CE010C"/>
    <w:rsid w:val="00CE0B34"/>
    <w:rsid w:val="00CE1486"/>
    <w:rsid w:val="00CE21D8"/>
    <w:rsid w:val="00CE3871"/>
    <w:rsid w:val="00CE3C23"/>
    <w:rsid w:val="00CE4BA6"/>
    <w:rsid w:val="00CE5061"/>
    <w:rsid w:val="00CE5B58"/>
    <w:rsid w:val="00CE5F0E"/>
    <w:rsid w:val="00CE618D"/>
    <w:rsid w:val="00CE7729"/>
    <w:rsid w:val="00CE7DDE"/>
    <w:rsid w:val="00CF08FC"/>
    <w:rsid w:val="00CF10A8"/>
    <w:rsid w:val="00CF134A"/>
    <w:rsid w:val="00CF16E1"/>
    <w:rsid w:val="00CF26FD"/>
    <w:rsid w:val="00CF2842"/>
    <w:rsid w:val="00CF2ABB"/>
    <w:rsid w:val="00CF3365"/>
    <w:rsid w:val="00CF3A09"/>
    <w:rsid w:val="00CF3DB5"/>
    <w:rsid w:val="00CF3FAB"/>
    <w:rsid w:val="00CF4AAA"/>
    <w:rsid w:val="00CF56A2"/>
    <w:rsid w:val="00CF5716"/>
    <w:rsid w:val="00CF66DF"/>
    <w:rsid w:val="00CF7B2F"/>
    <w:rsid w:val="00D00866"/>
    <w:rsid w:val="00D008D4"/>
    <w:rsid w:val="00D031F1"/>
    <w:rsid w:val="00D048D7"/>
    <w:rsid w:val="00D04929"/>
    <w:rsid w:val="00D04E94"/>
    <w:rsid w:val="00D056E8"/>
    <w:rsid w:val="00D057BC"/>
    <w:rsid w:val="00D05CC7"/>
    <w:rsid w:val="00D0774D"/>
    <w:rsid w:val="00D07FAD"/>
    <w:rsid w:val="00D105AE"/>
    <w:rsid w:val="00D10F02"/>
    <w:rsid w:val="00D10FAA"/>
    <w:rsid w:val="00D118FA"/>
    <w:rsid w:val="00D1272B"/>
    <w:rsid w:val="00D1352C"/>
    <w:rsid w:val="00D1366B"/>
    <w:rsid w:val="00D13859"/>
    <w:rsid w:val="00D13C13"/>
    <w:rsid w:val="00D13CEF"/>
    <w:rsid w:val="00D13D8D"/>
    <w:rsid w:val="00D15148"/>
    <w:rsid w:val="00D15415"/>
    <w:rsid w:val="00D15429"/>
    <w:rsid w:val="00D161D9"/>
    <w:rsid w:val="00D163B6"/>
    <w:rsid w:val="00D169F1"/>
    <w:rsid w:val="00D16DD5"/>
    <w:rsid w:val="00D17353"/>
    <w:rsid w:val="00D178AD"/>
    <w:rsid w:val="00D17E36"/>
    <w:rsid w:val="00D17EE9"/>
    <w:rsid w:val="00D214AE"/>
    <w:rsid w:val="00D21CDE"/>
    <w:rsid w:val="00D2252C"/>
    <w:rsid w:val="00D22956"/>
    <w:rsid w:val="00D22BDC"/>
    <w:rsid w:val="00D26585"/>
    <w:rsid w:val="00D26E00"/>
    <w:rsid w:val="00D30254"/>
    <w:rsid w:val="00D324CB"/>
    <w:rsid w:val="00D32DE6"/>
    <w:rsid w:val="00D33ACE"/>
    <w:rsid w:val="00D33BF4"/>
    <w:rsid w:val="00D34DF0"/>
    <w:rsid w:val="00D353E5"/>
    <w:rsid w:val="00D3639C"/>
    <w:rsid w:val="00D3693B"/>
    <w:rsid w:val="00D36C84"/>
    <w:rsid w:val="00D37C54"/>
    <w:rsid w:val="00D404CC"/>
    <w:rsid w:val="00D41ABA"/>
    <w:rsid w:val="00D41B78"/>
    <w:rsid w:val="00D4323F"/>
    <w:rsid w:val="00D44E87"/>
    <w:rsid w:val="00D45872"/>
    <w:rsid w:val="00D47171"/>
    <w:rsid w:val="00D47698"/>
    <w:rsid w:val="00D478C6"/>
    <w:rsid w:val="00D47AC8"/>
    <w:rsid w:val="00D47E36"/>
    <w:rsid w:val="00D507DA"/>
    <w:rsid w:val="00D513B5"/>
    <w:rsid w:val="00D5272B"/>
    <w:rsid w:val="00D52857"/>
    <w:rsid w:val="00D531B7"/>
    <w:rsid w:val="00D550E6"/>
    <w:rsid w:val="00D55567"/>
    <w:rsid w:val="00D55906"/>
    <w:rsid w:val="00D55ACF"/>
    <w:rsid w:val="00D56003"/>
    <w:rsid w:val="00D56270"/>
    <w:rsid w:val="00D605F7"/>
    <w:rsid w:val="00D61006"/>
    <w:rsid w:val="00D62237"/>
    <w:rsid w:val="00D63B6D"/>
    <w:rsid w:val="00D63F0D"/>
    <w:rsid w:val="00D6404B"/>
    <w:rsid w:val="00D64ADD"/>
    <w:rsid w:val="00D65642"/>
    <w:rsid w:val="00D66E89"/>
    <w:rsid w:val="00D6750E"/>
    <w:rsid w:val="00D715DC"/>
    <w:rsid w:val="00D7211F"/>
    <w:rsid w:val="00D7286B"/>
    <w:rsid w:val="00D72F79"/>
    <w:rsid w:val="00D75434"/>
    <w:rsid w:val="00D75586"/>
    <w:rsid w:val="00D7562A"/>
    <w:rsid w:val="00D762FE"/>
    <w:rsid w:val="00D7661A"/>
    <w:rsid w:val="00D76633"/>
    <w:rsid w:val="00D768E4"/>
    <w:rsid w:val="00D7723B"/>
    <w:rsid w:val="00D774E3"/>
    <w:rsid w:val="00D8094C"/>
    <w:rsid w:val="00D813E5"/>
    <w:rsid w:val="00D81788"/>
    <w:rsid w:val="00D8267E"/>
    <w:rsid w:val="00D834CF"/>
    <w:rsid w:val="00D83AE0"/>
    <w:rsid w:val="00D83F2B"/>
    <w:rsid w:val="00D84427"/>
    <w:rsid w:val="00D85AEA"/>
    <w:rsid w:val="00D86131"/>
    <w:rsid w:val="00D86263"/>
    <w:rsid w:val="00D86C9F"/>
    <w:rsid w:val="00D878E4"/>
    <w:rsid w:val="00D91453"/>
    <w:rsid w:val="00D92065"/>
    <w:rsid w:val="00D92BC6"/>
    <w:rsid w:val="00D93D6B"/>
    <w:rsid w:val="00D9429A"/>
    <w:rsid w:val="00D94ED3"/>
    <w:rsid w:val="00D96278"/>
    <w:rsid w:val="00D96EFA"/>
    <w:rsid w:val="00D979A6"/>
    <w:rsid w:val="00DA0DB8"/>
    <w:rsid w:val="00DA1587"/>
    <w:rsid w:val="00DA2DCE"/>
    <w:rsid w:val="00DA33CF"/>
    <w:rsid w:val="00DA3A06"/>
    <w:rsid w:val="00DA6DEC"/>
    <w:rsid w:val="00DA7A9B"/>
    <w:rsid w:val="00DB009B"/>
    <w:rsid w:val="00DB0A16"/>
    <w:rsid w:val="00DB0BA2"/>
    <w:rsid w:val="00DB16BF"/>
    <w:rsid w:val="00DB16DA"/>
    <w:rsid w:val="00DB32C3"/>
    <w:rsid w:val="00DB4035"/>
    <w:rsid w:val="00DB4726"/>
    <w:rsid w:val="00DB4EBD"/>
    <w:rsid w:val="00DB526A"/>
    <w:rsid w:val="00DB7D93"/>
    <w:rsid w:val="00DC0504"/>
    <w:rsid w:val="00DC1021"/>
    <w:rsid w:val="00DC1123"/>
    <w:rsid w:val="00DC11E7"/>
    <w:rsid w:val="00DC1A00"/>
    <w:rsid w:val="00DC2B31"/>
    <w:rsid w:val="00DC462C"/>
    <w:rsid w:val="00DC5562"/>
    <w:rsid w:val="00DC5B56"/>
    <w:rsid w:val="00DC5EA2"/>
    <w:rsid w:val="00DC62E6"/>
    <w:rsid w:val="00DC6B9C"/>
    <w:rsid w:val="00DC6F45"/>
    <w:rsid w:val="00DC7B5E"/>
    <w:rsid w:val="00DD0936"/>
    <w:rsid w:val="00DD1A0B"/>
    <w:rsid w:val="00DD1C88"/>
    <w:rsid w:val="00DD2061"/>
    <w:rsid w:val="00DD240A"/>
    <w:rsid w:val="00DD2C5E"/>
    <w:rsid w:val="00DD2C7A"/>
    <w:rsid w:val="00DD33ED"/>
    <w:rsid w:val="00DD3BFB"/>
    <w:rsid w:val="00DD405C"/>
    <w:rsid w:val="00DD7A5A"/>
    <w:rsid w:val="00DE0FAD"/>
    <w:rsid w:val="00DE0FE9"/>
    <w:rsid w:val="00DE1521"/>
    <w:rsid w:val="00DE16E1"/>
    <w:rsid w:val="00DE2D8B"/>
    <w:rsid w:val="00DE3C60"/>
    <w:rsid w:val="00DE3F61"/>
    <w:rsid w:val="00DE3F86"/>
    <w:rsid w:val="00DE44BF"/>
    <w:rsid w:val="00DE49E6"/>
    <w:rsid w:val="00DE50BB"/>
    <w:rsid w:val="00DE5735"/>
    <w:rsid w:val="00DE5A41"/>
    <w:rsid w:val="00DE5DC2"/>
    <w:rsid w:val="00DE6C87"/>
    <w:rsid w:val="00DE7019"/>
    <w:rsid w:val="00DE7285"/>
    <w:rsid w:val="00DE77B2"/>
    <w:rsid w:val="00DE7831"/>
    <w:rsid w:val="00DE7BDE"/>
    <w:rsid w:val="00DF0686"/>
    <w:rsid w:val="00DF06ED"/>
    <w:rsid w:val="00DF0AA1"/>
    <w:rsid w:val="00DF0CA6"/>
    <w:rsid w:val="00DF173A"/>
    <w:rsid w:val="00DF1DC3"/>
    <w:rsid w:val="00DF1E35"/>
    <w:rsid w:val="00DF20A5"/>
    <w:rsid w:val="00DF389A"/>
    <w:rsid w:val="00DF5320"/>
    <w:rsid w:val="00DF5402"/>
    <w:rsid w:val="00DF5445"/>
    <w:rsid w:val="00DF5C3B"/>
    <w:rsid w:val="00DF7CFD"/>
    <w:rsid w:val="00DF7D4A"/>
    <w:rsid w:val="00E00077"/>
    <w:rsid w:val="00E011F2"/>
    <w:rsid w:val="00E02929"/>
    <w:rsid w:val="00E0409F"/>
    <w:rsid w:val="00E05DAA"/>
    <w:rsid w:val="00E106F3"/>
    <w:rsid w:val="00E10A05"/>
    <w:rsid w:val="00E10FDD"/>
    <w:rsid w:val="00E10FF0"/>
    <w:rsid w:val="00E11742"/>
    <w:rsid w:val="00E11D3A"/>
    <w:rsid w:val="00E1320E"/>
    <w:rsid w:val="00E13917"/>
    <w:rsid w:val="00E13F6D"/>
    <w:rsid w:val="00E145CA"/>
    <w:rsid w:val="00E14FF7"/>
    <w:rsid w:val="00E154FC"/>
    <w:rsid w:val="00E1574D"/>
    <w:rsid w:val="00E1699F"/>
    <w:rsid w:val="00E169EF"/>
    <w:rsid w:val="00E1765B"/>
    <w:rsid w:val="00E17FAC"/>
    <w:rsid w:val="00E2145C"/>
    <w:rsid w:val="00E22306"/>
    <w:rsid w:val="00E229B2"/>
    <w:rsid w:val="00E22E48"/>
    <w:rsid w:val="00E231D9"/>
    <w:rsid w:val="00E2325E"/>
    <w:rsid w:val="00E23F01"/>
    <w:rsid w:val="00E258AA"/>
    <w:rsid w:val="00E25B85"/>
    <w:rsid w:val="00E25FDC"/>
    <w:rsid w:val="00E262C0"/>
    <w:rsid w:val="00E26A0C"/>
    <w:rsid w:val="00E2700C"/>
    <w:rsid w:val="00E2733F"/>
    <w:rsid w:val="00E30419"/>
    <w:rsid w:val="00E307A2"/>
    <w:rsid w:val="00E3128F"/>
    <w:rsid w:val="00E323B3"/>
    <w:rsid w:val="00E32576"/>
    <w:rsid w:val="00E33A75"/>
    <w:rsid w:val="00E34581"/>
    <w:rsid w:val="00E352CE"/>
    <w:rsid w:val="00E35A05"/>
    <w:rsid w:val="00E35F25"/>
    <w:rsid w:val="00E36015"/>
    <w:rsid w:val="00E361CF"/>
    <w:rsid w:val="00E3642F"/>
    <w:rsid w:val="00E36BE9"/>
    <w:rsid w:val="00E374A2"/>
    <w:rsid w:val="00E40D4A"/>
    <w:rsid w:val="00E4262E"/>
    <w:rsid w:val="00E42E34"/>
    <w:rsid w:val="00E438A6"/>
    <w:rsid w:val="00E43CF1"/>
    <w:rsid w:val="00E440B5"/>
    <w:rsid w:val="00E44BCB"/>
    <w:rsid w:val="00E44D06"/>
    <w:rsid w:val="00E44D12"/>
    <w:rsid w:val="00E44D34"/>
    <w:rsid w:val="00E4513C"/>
    <w:rsid w:val="00E45DEA"/>
    <w:rsid w:val="00E469CD"/>
    <w:rsid w:val="00E47327"/>
    <w:rsid w:val="00E47922"/>
    <w:rsid w:val="00E500FF"/>
    <w:rsid w:val="00E5096F"/>
    <w:rsid w:val="00E50F8D"/>
    <w:rsid w:val="00E541C4"/>
    <w:rsid w:val="00E5422A"/>
    <w:rsid w:val="00E55BC8"/>
    <w:rsid w:val="00E56695"/>
    <w:rsid w:val="00E56CF1"/>
    <w:rsid w:val="00E57201"/>
    <w:rsid w:val="00E618B6"/>
    <w:rsid w:val="00E61A62"/>
    <w:rsid w:val="00E61F12"/>
    <w:rsid w:val="00E62338"/>
    <w:rsid w:val="00E642D7"/>
    <w:rsid w:val="00E661D7"/>
    <w:rsid w:val="00E662F4"/>
    <w:rsid w:val="00E665A7"/>
    <w:rsid w:val="00E67BEF"/>
    <w:rsid w:val="00E732C3"/>
    <w:rsid w:val="00E73351"/>
    <w:rsid w:val="00E753F8"/>
    <w:rsid w:val="00E75A4B"/>
    <w:rsid w:val="00E767BB"/>
    <w:rsid w:val="00E768F7"/>
    <w:rsid w:val="00E774CB"/>
    <w:rsid w:val="00E8062E"/>
    <w:rsid w:val="00E8092C"/>
    <w:rsid w:val="00E80B50"/>
    <w:rsid w:val="00E82E32"/>
    <w:rsid w:val="00E836EF"/>
    <w:rsid w:val="00E837BA"/>
    <w:rsid w:val="00E83F9A"/>
    <w:rsid w:val="00E847A8"/>
    <w:rsid w:val="00E84F34"/>
    <w:rsid w:val="00E85657"/>
    <w:rsid w:val="00E857E5"/>
    <w:rsid w:val="00E8637F"/>
    <w:rsid w:val="00E86EA4"/>
    <w:rsid w:val="00E87F6F"/>
    <w:rsid w:val="00E90FA5"/>
    <w:rsid w:val="00E93FD6"/>
    <w:rsid w:val="00E956A5"/>
    <w:rsid w:val="00E96C94"/>
    <w:rsid w:val="00E976B6"/>
    <w:rsid w:val="00EA06F2"/>
    <w:rsid w:val="00EA170B"/>
    <w:rsid w:val="00EA1F4F"/>
    <w:rsid w:val="00EA211B"/>
    <w:rsid w:val="00EA2EE4"/>
    <w:rsid w:val="00EA451C"/>
    <w:rsid w:val="00EA4A92"/>
    <w:rsid w:val="00EA7CBB"/>
    <w:rsid w:val="00EB091E"/>
    <w:rsid w:val="00EB1E9B"/>
    <w:rsid w:val="00EB2790"/>
    <w:rsid w:val="00EB2BF2"/>
    <w:rsid w:val="00EB3F39"/>
    <w:rsid w:val="00EB53EC"/>
    <w:rsid w:val="00EB5730"/>
    <w:rsid w:val="00EB574B"/>
    <w:rsid w:val="00EB62D0"/>
    <w:rsid w:val="00EB765B"/>
    <w:rsid w:val="00EC0506"/>
    <w:rsid w:val="00EC0921"/>
    <w:rsid w:val="00EC0A42"/>
    <w:rsid w:val="00EC17F8"/>
    <w:rsid w:val="00EC1A59"/>
    <w:rsid w:val="00EC27AA"/>
    <w:rsid w:val="00EC4A7D"/>
    <w:rsid w:val="00EC4B1F"/>
    <w:rsid w:val="00EC50B2"/>
    <w:rsid w:val="00EC67EC"/>
    <w:rsid w:val="00EC68FF"/>
    <w:rsid w:val="00EC7756"/>
    <w:rsid w:val="00ED0143"/>
    <w:rsid w:val="00ED0331"/>
    <w:rsid w:val="00ED0C52"/>
    <w:rsid w:val="00ED0F79"/>
    <w:rsid w:val="00ED0FDB"/>
    <w:rsid w:val="00ED136B"/>
    <w:rsid w:val="00ED20D5"/>
    <w:rsid w:val="00ED2A13"/>
    <w:rsid w:val="00ED2EC1"/>
    <w:rsid w:val="00ED31D0"/>
    <w:rsid w:val="00ED3562"/>
    <w:rsid w:val="00ED6016"/>
    <w:rsid w:val="00ED69B8"/>
    <w:rsid w:val="00ED6CB0"/>
    <w:rsid w:val="00ED78F5"/>
    <w:rsid w:val="00EE1782"/>
    <w:rsid w:val="00EE1E57"/>
    <w:rsid w:val="00EE206D"/>
    <w:rsid w:val="00EE23EB"/>
    <w:rsid w:val="00EE2C8D"/>
    <w:rsid w:val="00EE33C7"/>
    <w:rsid w:val="00EE3761"/>
    <w:rsid w:val="00EE41AE"/>
    <w:rsid w:val="00EE42C7"/>
    <w:rsid w:val="00EE4AF5"/>
    <w:rsid w:val="00EE5058"/>
    <w:rsid w:val="00EE55C4"/>
    <w:rsid w:val="00EE56C9"/>
    <w:rsid w:val="00EE58D4"/>
    <w:rsid w:val="00EF040C"/>
    <w:rsid w:val="00EF2CE0"/>
    <w:rsid w:val="00EF3ADF"/>
    <w:rsid w:val="00EF41FA"/>
    <w:rsid w:val="00EF4D27"/>
    <w:rsid w:val="00EF4F60"/>
    <w:rsid w:val="00EF562D"/>
    <w:rsid w:val="00EF5DA5"/>
    <w:rsid w:val="00EF6247"/>
    <w:rsid w:val="00EF711C"/>
    <w:rsid w:val="00EF79F6"/>
    <w:rsid w:val="00F01D7A"/>
    <w:rsid w:val="00F0206B"/>
    <w:rsid w:val="00F0355C"/>
    <w:rsid w:val="00F0395A"/>
    <w:rsid w:val="00F039D8"/>
    <w:rsid w:val="00F05079"/>
    <w:rsid w:val="00F05A1E"/>
    <w:rsid w:val="00F05BC8"/>
    <w:rsid w:val="00F05E07"/>
    <w:rsid w:val="00F06C51"/>
    <w:rsid w:val="00F11E1E"/>
    <w:rsid w:val="00F120B7"/>
    <w:rsid w:val="00F121B7"/>
    <w:rsid w:val="00F124E5"/>
    <w:rsid w:val="00F12B84"/>
    <w:rsid w:val="00F15AF0"/>
    <w:rsid w:val="00F1632F"/>
    <w:rsid w:val="00F16394"/>
    <w:rsid w:val="00F16A03"/>
    <w:rsid w:val="00F1722F"/>
    <w:rsid w:val="00F21EFF"/>
    <w:rsid w:val="00F22A09"/>
    <w:rsid w:val="00F22D50"/>
    <w:rsid w:val="00F24A49"/>
    <w:rsid w:val="00F265BD"/>
    <w:rsid w:val="00F30091"/>
    <w:rsid w:val="00F32347"/>
    <w:rsid w:val="00F33B83"/>
    <w:rsid w:val="00F3544A"/>
    <w:rsid w:val="00F35AA3"/>
    <w:rsid w:val="00F35DEC"/>
    <w:rsid w:val="00F35DF4"/>
    <w:rsid w:val="00F4094F"/>
    <w:rsid w:val="00F40BC3"/>
    <w:rsid w:val="00F40F31"/>
    <w:rsid w:val="00F41A62"/>
    <w:rsid w:val="00F4260E"/>
    <w:rsid w:val="00F46448"/>
    <w:rsid w:val="00F47594"/>
    <w:rsid w:val="00F477A1"/>
    <w:rsid w:val="00F47BB1"/>
    <w:rsid w:val="00F47E8F"/>
    <w:rsid w:val="00F500DF"/>
    <w:rsid w:val="00F50EA8"/>
    <w:rsid w:val="00F52CB6"/>
    <w:rsid w:val="00F52DDB"/>
    <w:rsid w:val="00F5314D"/>
    <w:rsid w:val="00F53E35"/>
    <w:rsid w:val="00F54386"/>
    <w:rsid w:val="00F54900"/>
    <w:rsid w:val="00F55587"/>
    <w:rsid w:val="00F55629"/>
    <w:rsid w:val="00F5583E"/>
    <w:rsid w:val="00F5629D"/>
    <w:rsid w:val="00F60D41"/>
    <w:rsid w:val="00F60ED9"/>
    <w:rsid w:val="00F64167"/>
    <w:rsid w:val="00F64B23"/>
    <w:rsid w:val="00F64B3B"/>
    <w:rsid w:val="00F65D49"/>
    <w:rsid w:val="00F665EB"/>
    <w:rsid w:val="00F67AC4"/>
    <w:rsid w:val="00F7078F"/>
    <w:rsid w:val="00F71727"/>
    <w:rsid w:val="00F7522B"/>
    <w:rsid w:val="00F75B7B"/>
    <w:rsid w:val="00F76374"/>
    <w:rsid w:val="00F777C8"/>
    <w:rsid w:val="00F77945"/>
    <w:rsid w:val="00F811A1"/>
    <w:rsid w:val="00F8194F"/>
    <w:rsid w:val="00F82B36"/>
    <w:rsid w:val="00F84564"/>
    <w:rsid w:val="00F849E9"/>
    <w:rsid w:val="00F85185"/>
    <w:rsid w:val="00F851BC"/>
    <w:rsid w:val="00F856F2"/>
    <w:rsid w:val="00F90886"/>
    <w:rsid w:val="00F94681"/>
    <w:rsid w:val="00F9531E"/>
    <w:rsid w:val="00F95980"/>
    <w:rsid w:val="00F9646B"/>
    <w:rsid w:val="00F96AA5"/>
    <w:rsid w:val="00F96D98"/>
    <w:rsid w:val="00F97B3B"/>
    <w:rsid w:val="00F97DA3"/>
    <w:rsid w:val="00FA1377"/>
    <w:rsid w:val="00FA2E1E"/>
    <w:rsid w:val="00FA4607"/>
    <w:rsid w:val="00FA51AE"/>
    <w:rsid w:val="00FA5BD3"/>
    <w:rsid w:val="00FA604A"/>
    <w:rsid w:val="00FA61B8"/>
    <w:rsid w:val="00FA6A01"/>
    <w:rsid w:val="00FA7016"/>
    <w:rsid w:val="00FA75BA"/>
    <w:rsid w:val="00FA7954"/>
    <w:rsid w:val="00FA7BA4"/>
    <w:rsid w:val="00FA7FD4"/>
    <w:rsid w:val="00FB01CA"/>
    <w:rsid w:val="00FB0F3E"/>
    <w:rsid w:val="00FB0FC8"/>
    <w:rsid w:val="00FB274A"/>
    <w:rsid w:val="00FB2DCA"/>
    <w:rsid w:val="00FB31F3"/>
    <w:rsid w:val="00FB3A21"/>
    <w:rsid w:val="00FB4EDB"/>
    <w:rsid w:val="00FB572B"/>
    <w:rsid w:val="00FB590D"/>
    <w:rsid w:val="00FB5CD0"/>
    <w:rsid w:val="00FB5CFF"/>
    <w:rsid w:val="00FB64C0"/>
    <w:rsid w:val="00FB7B86"/>
    <w:rsid w:val="00FC05CA"/>
    <w:rsid w:val="00FC0739"/>
    <w:rsid w:val="00FC115E"/>
    <w:rsid w:val="00FC13A5"/>
    <w:rsid w:val="00FC1A53"/>
    <w:rsid w:val="00FC1B42"/>
    <w:rsid w:val="00FC2858"/>
    <w:rsid w:val="00FC2C9F"/>
    <w:rsid w:val="00FC2F19"/>
    <w:rsid w:val="00FC32D1"/>
    <w:rsid w:val="00FC4168"/>
    <w:rsid w:val="00FC4F8D"/>
    <w:rsid w:val="00FC523D"/>
    <w:rsid w:val="00FC57CB"/>
    <w:rsid w:val="00FC58D7"/>
    <w:rsid w:val="00FC619D"/>
    <w:rsid w:val="00FC7442"/>
    <w:rsid w:val="00FD0D2A"/>
    <w:rsid w:val="00FD1511"/>
    <w:rsid w:val="00FD1D7D"/>
    <w:rsid w:val="00FD2B4C"/>
    <w:rsid w:val="00FD3622"/>
    <w:rsid w:val="00FD4DF2"/>
    <w:rsid w:val="00FD5081"/>
    <w:rsid w:val="00FD569A"/>
    <w:rsid w:val="00FD79E8"/>
    <w:rsid w:val="00FE0038"/>
    <w:rsid w:val="00FE04ED"/>
    <w:rsid w:val="00FE3223"/>
    <w:rsid w:val="00FE4250"/>
    <w:rsid w:val="00FE5C20"/>
    <w:rsid w:val="00FE60B6"/>
    <w:rsid w:val="00FE644F"/>
    <w:rsid w:val="00FE6CA8"/>
    <w:rsid w:val="00FE6E58"/>
    <w:rsid w:val="00FE774D"/>
    <w:rsid w:val="00FF021A"/>
    <w:rsid w:val="00FF21F6"/>
    <w:rsid w:val="00FF3121"/>
    <w:rsid w:val="00FF33DE"/>
    <w:rsid w:val="00FF378A"/>
    <w:rsid w:val="00FF475D"/>
    <w:rsid w:val="00FF4A03"/>
    <w:rsid w:val="00FF4F4D"/>
    <w:rsid w:val="00FF526C"/>
    <w:rsid w:val="00FF5826"/>
    <w:rsid w:val="00FF6060"/>
    <w:rsid w:val="00FF68A7"/>
    <w:rsid w:val="00FF6E5C"/>
    <w:rsid w:val="00FF7CDA"/>
    <w:rsid w:val="00FF7E29"/>
    <w:rsid w:val="00FF7F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76971F"/>
  <w15:chartTrackingRefBased/>
  <w15:docId w15:val="{B4BC0E24-C724-834C-B2D7-79BFA9B920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84564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163B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B553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F66B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B526A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Hyperlink">
    <w:name w:val="Hyperlink"/>
    <w:basedOn w:val="DefaultParagraphFont"/>
    <w:uiPriority w:val="99"/>
    <w:unhideWhenUsed/>
    <w:rsid w:val="00BE7C09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E7C0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163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B553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B6447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05DC9"/>
    <w:pPr>
      <w:spacing w:before="120"/>
    </w:pPr>
    <w:rPr>
      <w:rFonts w:asciiTheme="minorHAnsi" w:hAnsiTheme="minorHAnsi"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0B6447"/>
    <w:pPr>
      <w:spacing w:before="120"/>
      <w:ind w:left="240"/>
    </w:pPr>
    <w:rPr>
      <w:rFonts w:asciiTheme="minorHAnsi" w:hAnsiTheme="minorHAnsi"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3B2D03"/>
    <w:pPr>
      <w:tabs>
        <w:tab w:val="right" w:leader="dot" w:pos="9350"/>
      </w:tabs>
      <w:spacing w:line="360" w:lineRule="auto"/>
      <w:ind w:left="480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B6447"/>
    <w:pPr>
      <w:ind w:left="72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B6447"/>
    <w:pPr>
      <w:ind w:left="96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B6447"/>
    <w:pPr>
      <w:ind w:left="12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B6447"/>
    <w:pPr>
      <w:ind w:left="144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B6447"/>
    <w:pPr>
      <w:ind w:left="168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B6447"/>
    <w:pPr>
      <w:ind w:left="1920"/>
    </w:pPr>
    <w:rPr>
      <w:rFonts w:asciiTheme="minorHAnsi" w:hAnsiTheme="minorHAnsi" w:cstheme="minorHAnsi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007EBF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3F66B0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NormalWeb">
    <w:name w:val="Normal (Web)"/>
    <w:basedOn w:val="Normal"/>
    <w:uiPriority w:val="99"/>
    <w:semiHidden/>
    <w:unhideWhenUsed/>
    <w:rsid w:val="00BE795F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4B3B96"/>
    <w:rPr>
      <w:i/>
      <w:iCs/>
    </w:rPr>
  </w:style>
  <w:style w:type="paragraph" w:styleId="Caption">
    <w:name w:val="caption"/>
    <w:basedOn w:val="Normal"/>
    <w:next w:val="Normal"/>
    <w:uiPriority w:val="35"/>
    <w:unhideWhenUsed/>
    <w:qFormat/>
    <w:rsid w:val="003B7829"/>
    <w:pPr>
      <w:spacing w:after="200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C577B"/>
    <w:pPr>
      <w:ind w:left="480" w:hanging="480"/>
    </w:pPr>
    <w:rPr>
      <w:rFonts w:asciiTheme="minorHAnsi" w:hAnsiTheme="minorHAnsi" w:cstheme="minorHAnsi"/>
      <w:smallCaps/>
      <w:sz w:val="20"/>
      <w:szCs w:val="20"/>
    </w:rPr>
  </w:style>
  <w:style w:type="table" w:styleId="TableGrid">
    <w:name w:val="Table Grid"/>
    <w:basedOn w:val="TableNormal"/>
    <w:uiPriority w:val="39"/>
    <w:rsid w:val="000563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C034E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875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4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3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4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98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26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4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74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74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86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43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2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43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3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1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11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99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5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2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8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9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66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1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9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55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67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79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8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67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06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8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34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0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6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2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3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7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0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25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2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52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9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8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64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717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947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9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70341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70449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390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85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8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64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4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1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15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0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65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84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8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73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35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8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3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37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5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33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2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3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0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8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1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6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9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2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9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14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9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706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224560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054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28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1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3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5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50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4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5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3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08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9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83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1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26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79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74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96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0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7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2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emf"/><Relationship Id="rId18" Type="http://schemas.openxmlformats.org/officeDocument/2006/relationships/hyperlink" Target="https://www.bbc.co.uk/bitesize/guides/znf88xs/revision/5" TargetMode="External"/><Relationship Id="rId26" Type="http://schemas.openxmlformats.org/officeDocument/2006/relationships/hyperlink" Target="https://www.bbc.co.uk/news/health-55280671" TargetMode="External"/><Relationship Id="rId39" Type="http://schemas.openxmlformats.org/officeDocument/2006/relationships/hyperlink" Target="https://www.nasdaq.com/articles/5-promising-liquid-stocks-to-boost-your-portfolio-2016-09-23" TargetMode="External"/><Relationship Id="rId3" Type="http://schemas.openxmlformats.org/officeDocument/2006/relationships/styles" Target="styles.xml"/><Relationship Id="rId21" Type="http://schemas.openxmlformats.org/officeDocument/2006/relationships/hyperlink" Target="https://corporatefinanceinstitute.com/resources/knowledge/accounting/operating-margin/" TargetMode="External"/><Relationship Id="rId34" Type="http://schemas.openxmlformats.org/officeDocument/2006/relationships/hyperlink" Target="https://www.investopedia.com/terms/f/financial-statement-analysis.asp" TargetMode="External"/><Relationship Id="rId42" Type="http://schemas.openxmlformats.org/officeDocument/2006/relationships/hyperlink" Target="https://www.thelocal.se/20170928/astrazeneca-has-started-preparing-for-hard-brexit-including-operations-move-from-uk" TargetMode="External"/><Relationship Id="rId47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emf"/><Relationship Id="rId17" Type="http://schemas.openxmlformats.org/officeDocument/2006/relationships/hyperlink" Target="https://www.astrazeneca.com/our-company.html" TargetMode="External"/><Relationship Id="rId25" Type="http://schemas.openxmlformats.org/officeDocument/2006/relationships/hyperlink" Target="https://www.sharecast.com/news/news-and-announcements/astrazeneca-profit-falls-as-costs-and-writedowns-increase--7313558.html" TargetMode="External"/><Relationship Id="rId33" Type="http://schemas.openxmlformats.org/officeDocument/2006/relationships/hyperlink" Target="https://www.investopedia.com/terms/p/paybackperiod.asp" TargetMode="External"/><Relationship Id="rId38" Type="http://schemas.openxmlformats.org/officeDocument/2006/relationships/hyperlink" Target="https://www.investopedia.com/terms/n/net_margin.asp" TargetMode="External"/><Relationship Id="rId46" Type="http://schemas.openxmlformats.org/officeDocument/2006/relationships/hyperlink" Target="https://smallbusiness.chron.com/various-capital-budgeting-methods-67245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strazeneca.com/content/dam/az/Investor_Relations/annual-report-2019/pdf/AstraZeneca_AR_2019.pdf" TargetMode="External"/><Relationship Id="rId20" Type="http://schemas.openxmlformats.org/officeDocument/2006/relationships/hyperlink" Target="https://www.fiercebiotech.com/r-d/updated-astrazeneca-to-ax-1-600-relocate-thousands-global-r-d-reshuffle" TargetMode="External"/><Relationship Id="rId29" Type="http://schemas.openxmlformats.org/officeDocument/2006/relationships/hyperlink" Target="https://www.bloomberg.com/news/articles/2020-06-07/astrazeneca-is-said-to-approach-gilead-about-potential-merger" TargetMode="External"/><Relationship Id="rId41" Type="http://schemas.openxmlformats.org/officeDocument/2006/relationships/hyperlink" Target="https://www.thetimes.co.uk/article/astrazeneca-drops-interest-in-gilead-sciences-9rszkdqlr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emf"/><Relationship Id="rId24" Type="http://schemas.openxmlformats.org/officeDocument/2006/relationships/hyperlink" Target="https://www.independent.co.uk/news/uk/home-news/oxford-vaccine-coronavirus-variant-b1779212.html" TargetMode="External"/><Relationship Id="rId32" Type="http://schemas.openxmlformats.org/officeDocument/2006/relationships/hyperlink" Target="https://www.accountingformanagement.org/accounting-rate-of-return-method/" TargetMode="External"/><Relationship Id="rId37" Type="http://schemas.openxmlformats.org/officeDocument/2006/relationships/hyperlink" Target="https://forisk.com/blog/2020/05/31/pros-and-cons-of-using-net-present-value-npv/" TargetMode="External"/><Relationship Id="rId40" Type="http://schemas.openxmlformats.org/officeDocument/2006/relationships/hyperlink" Target="https://www.ft.com/content/bc38b9f8-73b0-11e7-93ff-99f383b09ff9" TargetMode="External"/><Relationship Id="rId45" Type="http://schemas.openxmlformats.org/officeDocument/2006/relationships/hyperlink" Target="https://www.simplilearn.com/financial-performance-rar21-articl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astrazeneca.com/content/dam/az/Investor_Relations/annual-reports-homepage/AstraZeneca_AR_2017%20(1).pdf" TargetMode="External"/><Relationship Id="rId23" Type="http://schemas.openxmlformats.org/officeDocument/2006/relationships/hyperlink" Target="https://www.pharmexec.com/view/pharm-execs-top-50-companies-2017" TargetMode="External"/><Relationship Id="rId28" Type="http://schemas.openxmlformats.org/officeDocument/2006/relationships/hyperlink" Target="https://www.investopedia.com/ask/answers/033015/what-considered-be-good-fixed-asset-turnover-ratio.asp" TargetMode="External"/><Relationship Id="rId36" Type="http://schemas.openxmlformats.org/officeDocument/2006/relationships/hyperlink" Target="https://www.investopedia.com/articles/investing/080113/understanding-leverage-ratios.asp" TargetMode="External"/><Relationship Id="rId10" Type="http://schemas.openxmlformats.org/officeDocument/2006/relationships/image" Target="media/image5.png"/><Relationship Id="rId19" Type="http://schemas.openxmlformats.org/officeDocument/2006/relationships/hyperlink" Target="https://www.investopedia.com/terms/r/ratioanalysis.asp" TargetMode="External"/><Relationship Id="rId31" Type="http://schemas.openxmlformats.org/officeDocument/2006/relationships/hyperlink" Target="https://www.reuters.com/article/us-astrazeneca-biotech/astrazeneca-spins-off-autoimmune-drugs-into-new-biotech-company-idUSKCN1GC0OL" TargetMode="External"/><Relationship Id="rId44" Type="http://schemas.openxmlformats.org/officeDocument/2006/relationships/hyperlink" Target="https://www.investopedia.com/terms/h/horizontalanalysis.asp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www.accountingtools.com/articles/efficiency-ratios.html" TargetMode="External"/><Relationship Id="rId22" Type="http://schemas.openxmlformats.org/officeDocument/2006/relationships/hyperlink" Target="https://www.investopedia.com/terms/l/liquidity.asp" TargetMode="External"/><Relationship Id="rId27" Type="http://schemas.openxmlformats.org/officeDocument/2006/relationships/hyperlink" Target="https://www.investopedia.com/terms/v/vertical_analysis.asp" TargetMode="External"/><Relationship Id="rId30" Type="http://schemas.openxmlformats.org/officeDocument/2006/relationships/hyperlink" Target="https://www.investopedia.com/terms/l/leverageratio.asp" TargetMode="External"/><Relationship Id="rId35" Type="http://schemas.openxmlformats.org/officeDocument/2006/relationships/hyperlink" Target="https://www.investopedia.com/terms/p/profitabilityratios.asp" TargetMode="External"/><Relationship Id="rId43" Type="http://schemas.openxmlformats.org/officeDocument/2006/relationships/hyperlink" Target="https://trendshare.org/how-to-invest/what-is-the-current-ratio" TargetMode="External"/><Relationship Id="rId4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D913CEB-0855-4370-9A2E-B51F475CBC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28</Pages>
  <Words>6451</Words>
  <Characters>36775</Characters>
  <Application>Microsoft Office Word</Application>
  <DocSecurity>4</DocSecurity>
  <Lines>306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Erika Mae Pagaduan</dc:creator>
  <cp:keywords/>
  <dc:description/>
  <cp:lastModifiedBy>Bart Plange</cp:lastModifiedBy>
  <cp:revision>2</cp:revision>
  <cp:lastPrinted>2021-01-04T15:29:00Z</cp:lastPrinted>
  <dcterms:created xsi:type="dcterms:W3CDTF">2021-02-13T09:22:00Z</dcterms:created>
  <dcterms:modified xsi:type="dcterms:W3CDTF">2021-02-13T09:22:00Z</dcterms:modified>
</cp:coreProperties>
</file>