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E9ED27" w14:textId="77777777" w:rsidR="002D55CB" w:rsidRDefault="002D55CB" w:rsidP="00E97CCA">
      <w:pPr>
        <w:spacing w:line="360" w:lineRule="auto"/>
        <w:jc w:val="both"/>
        <w:rPr>
          <w:rFonts w:ascii="Times New Roman" w:hAnsi="Times New Roman" w:cs="Times New Roman"/>
          <w:b/>
          <w:bCs/>
        </w:rPr>
      </w:pPr>
    </w:p>
    <w:p w14:paraId="39650A0F" w14:textId="77777777" w:rsidR="00AB6B98" w:rsidRDefault="00AB6B98" w:rsidP="00E97CCA">
      <w:pPr>
        <w:spacing w:line="360" w:lineRule="auto"/>
        <w:jc w:val="both"/>
        <w:rPr>
          <w:rFonts w:ascii="Times New Roman" w:hAnsi="Times New Roman" w:cs="Times New Roman"/>
          <w:b/>
          <w:bCs/>
        </w:rPr>
      </w:pPr>
    </w:p>
    <w:p w14:paraId="4A5D2A70" w14:textId="77777777" w:rsidR="00AB6B98" w:rsidRDefault="00AB6B98" w:rsidP="00E97CCA">
      <w:pPr>
        <w:spacing w:line="360" w:lineRule="auto"/>
        <w:jc w:val="both"/>
        <w:rPr>
          <w:rFonts w:ascii="Times New Roman" w:hAnsi="Times New Roman" w:cs="Times New Roman"/>
          <w:b/>
          <w:bCs/>
        </w:rPr>
      </w:pPr>
    </w:p>
    <w:p w14:paraId="5A35F671" w14:textId="68C611EF" w:rsidR="00AB6B98" w:rsidRPr="00AB6B98" w:rsidRDefault="00AB6B98" w:rsidP="00AB6B98">
      <w:pPr>
        <w:spacing w:line="360" w:lineRule="auto"/>
        <w:jc w:val="center"/>
        <w:rPr>
          <w:rFonts w:ascii="Times New Roman" w:hAnsi="Times New Roman" w:cs="Times New Roman"/>
          <w:b/>
          <w:bCs/>
          <w:sz w:val="36"/>
          <w:szCs w:val="36"/>
        </w:rPr>
      </w:pPr>
      <w:r w:rsidRPr="00AB6B98">
        <w:rPr>
          <w:rFonts w:ascii="Times New Roman" w:hAnsi="Times New Roman" w:cs="Times New Roman"/>
          <w:b/>
          <w:bCs/>
          <w:sz w:val="36"/>
          <w:szCs w:val="36"/>
        </w:rPr>
        <w:t>Subject: Finance for Business Managers (BMMB7005)</w:t>
      </w:r>
    </w:p>
    <w:p w14:paraId="15E647EB" w14:textId="77777777" w:rsidR="00AB6B98" w:rsidRDefault="00AB6B98" w:rsidP="00E97CCA">
      <w:pPr>
        <w:spacing w:line="360" w:lineRule="auto"/>
        <w:jc w:val="both"/>
        <w:rPr>
          <w:rFonts w:ascii="Times New Roman" w:hAnsi="Times New Roman" w:cs="Times New Roman"/>
          <w:b/>
          <w:bCs/>
        </w:rPr>
      </w:pPr>
    </w:p>
    <w:p w14:paraId="449E621C" w14:textId="77777777" w:rsidR="00AB6B98" w:rsidRDefault="00AB6B98" w:rsidP="00E97CCA">
      <w:pPr>
        <w:spacing w:line="360" w:lineRule="auto"/>
        <w:jc w:val="both"/>
        <w:rPr>
          <w:rFonts w:ascii="Times New Roman" w:hAnsi="Times New Roman" w:cs="Times New Roman"/>
          <w:b/>
          <w:bCs/>
        </w:rPr>
      </w:pPr>
    </w:p>
    <w:p w14:paraId="6390A036" w14:textId="77777777" w:rsidR="00AB6B98" w:rsidRDefault="00AB6B98" w:rsidP="00E97CCA">
      <w:pPr>
        <w:spacing w:line="360" w:lineRule="auto"/>
        <w:jc w:val="both"/>
        <w:rPr>
          <w:rFonts w:ascii="Times New Roman" w:hAnsi="Times New Roman" w:cs="Times New Roman"/>
          <w:b/>
          <w:bCs/>
        </w:rPr>
      </w:pPr>
    </w:p>
    <w:p w14:paraId="61193C92" w14:textId="77777777" w:rsidR="00AB6B98" w:rsidRDefault="00AB6B98" w:rsidP="00E97CCA">
      <w:pPr>
        <w:spacing w:line="360" w:lineRule="auto"/>
        <w:jc w:val="both"/>
        <w:rPr>
          <w:rFonts w:ascii="Times New Roman" w:hAnsi="Times New Roman" w:cs="Times New Roman"/>
          <w:b/>
          <w:bCs/>
        </w:rPr>
      </w:pPr>
    </w:p>
    <w:p w14:paraId="418CAB83" w14:textId="77777777" w:rsidR="00AB6B98" w:rsidRDefault="00AB6B98" w:rsidP="00E97CCA">
      <w:pPr>
        <w:spacing w:line="360" w:lineRule="auto"/>
        <w:jc w:val="both"/>
        <w:rPr>
          <w:rFonts w:ascii="Times New Roman" w:hAnsi="Times New Roman" w:cs="Times New Roman"/>
          <w:b/>
          <w:bCs/>
        </w:rPr>
      </w:pPr>
    </w:p>
    <w:p w14:paraId="2F7878A7" w14:textId="77777777" w:rsidR="00AB6B98" w:rsidRDefault="00AB6B98" w:rsidP="00E97CCA">
      <w:pPr>
        <w:spacing w:line="360" w:lineRule="auto"/>
        <w:jc w:val="both"/>
        <w:rPr>
          <w:rFonts w:ascii="Times New Roman" w:hAnsi="Times New Roman" w:cs="Times New Roman"/>
          <w:b/>
          <w:bCs/>
        </w:rPr>
      </w:pPr>
    </w:p>
    <w:p w14:paraId="50A51AB3" w14:textId="77777777" w:rsidR="00AB6B98" w:rsidRDefault="00AB6B98" w:rsidP="00E97CCA">
      <w:pPr>
        <w:spacing w:line="360" w:lineRule="auto"/>
        <w:jc w:val="both"/>
        <w:rPr>
          <w:rFonts w:ascii="Times New Roman" w:hAnsi="Times New Roman" w:cs="Times New Roman"/>
          <w:b/>
          <w:bCs/>
        </w:rPr>
      </w:pPr>
    </w:p>
    <w:p w14:paraId="7615D1C9" w14:textId="299B6D5B" w:rsidR="00AB6B98" w:rsidRDefault="00AB6B98" w:rsidP="00E97CCA">
      <w:pPr>
        <w:spacing w:line="360" w:lineRule="auto"/>
        <w:jc w:val="both"/>
        <w:rPr>
          <w:rFonts w:ascii="Times New Roman" w:hAnsi="Times New Roman" w:cs="Times New Roman"/>
          <w:b/>
          <w:bCs/>
        </w:rPr>
      </w:pPr>
      <w:r>
        <w:rPr>
          <w:rFonts w:ascii="Times New Roman" w:hAnsi="Times New Roman" w:cs="Times New Roman"/>
          <w:b/>
          <w:bCs/>
        </w:rPr>
        <w:t>Student Name:</w:t>
      </w:r>
      <w:r w:rsidR="000D2E06">
        <w:rPr>
          <w:rFonts w:ascii="Times New Roman" w:hAnsi="Times New Roman" w:cs="Times New Roman"/>
          <w:b/>
          <w:bCs/>
        </w:rPr>
        <w:t xml:space="preserve"> Md Josim Uddin</w:t>
      </w:r>
    </w:p>
    <w:p w14:paraId="5BBBF7B3" w14:textId="4ECB01BE" w:rsidR="00AB6B98" w:rsidRDefault="00AB6B98" w:rsidP="00E97CCA">
      <w:pPr>
        <w:spacing w:line="360" w:lineRule="auto"/>
        <w:jc w:val="both"/>
        <w:rPr>
          <w:rFonts w:ascii="Times New Roman" w:hAnsi="Times New Roman" w:cs="Times New Roman"/>
          <w:b/>
          <w:bCs/>
        </w:rPr>
      </w:pPr>
      <w:r>
        <w:rPr>
          <w:rFonts w:ascii="Times New Roman" w:hAnsi="Times New Roman" w:cs="Times New Roman"/>
          <w:b/>
          <w:bCs/>
        </w:rPr>
        <w:t>ID:</w:t>
      </w:r>
      <w:r w:rsidR="000D2E06">
        <w:rPr>
          <w:rFonts w:ascii="Times New Roman" w:hAnsi="Times New Roman" w:cs="Times New Roman"/>
          <w:b/>
          <w:bCs/>
        </w:rPr>
        <w:t xml:space="preserve"> 2516714</w:t>
      </w:r>
    </w:p>
    <w:p w14:paraId="20BF445B" w14:textId="77777777" w:rsidR="00AB6B98" w:rsidRDefault="00AB6B98" w:rsidP="00E97CCA">
      <w:pPr>
        <w:spacing w:line="360" w:lineRule="auto"/>
        <w:jc w:val="both"/>
        <w:rPr>
          <w:rFonts w:ascii="Times New Roman" w:hAnsi="Times New Roman" w:cs="Times New Roman"/>
          <w:b/>
          <w:bCs/>
        </w:rPr>
      </w:pPr>
    </w:p>
    <w:p w14:paraId="042497F4" w14:textId="77777777" w:rsidR="00AB6B98" w:rsidRDefault="00AB6B98" w:rsidP="00E97CCA">
      <w:pPr>
        <w:spacing w:line="360" w:lineRule="auto"/>
        <w:jc w:val="both"/>
        <w:rPr>
          <w:rFonts w:ascii="Times New Roman" w:hAnsi="Times New Roman" w:cs="Times New Roman"/>
          <w:b/>
          <w:bCs/>
        </w:rPr>
      </w:pPr>
    </w:p>
    <w:p w14:paraId="39C5EDC0" w14:textId="77777777" w:rsidR="00AB6B98" w:rsidRDefault="00AB6B98" w:rsidP="00E97CCA">
      <w:pPr>
        <w:spacing w:line="360" w:lineRule="auto"/>
        <w:jc w:val="both"/>
        <w:rPr>
          <w:rFonts w:ascii="Times New Roman" w:hAnsi="Times New Roman" w:cs="Times New Roman"/>
          <w:b/>
          <w:bCs/>
        </w:rPr>
      </w:pPr>
    </w:p>
    <w:p w14:paraId="771F604F" w14:textId="77777777" w:rsidR="00AB6B98" w:rsidRDefault="00AB6B98" w:rsidP="00E97CCA">
      <w:pPr>
        <w:spacing w:line="360" w:lineRule="auto"/>
        <w:jc w:val="both"/>
        <w:rPr>
          <w:rFonts w:ascii="Times New Roman" w:hAnsi="Times New Roman" w:cs="Times New Roman"/>
          <w:b/>
          <w:bCs/>
        </w:rPr>
      </w:pPr>
    </w:p>
    <w:p w14:paraId="71A16E83" w14:textId="77777777" w:rsidR="00AB6B98" w:rsidRDefault="00AB6B98" w:rsidP="00E97CCA">
      <w:pPr>
        <w:spacing w:line="360" w:lineRule="auto"/>
        <w:jc w:val="both"/>
        <w:rPr>
          <w:rFonts w:ascii="Times New Roman" w:hAnsi="Times New Roman" w:cs="Times New Roman"/>
          <w:b/>
          <w:bCs/>
        </w:rPr>
      </w:pPr>
    </w:p>
    <w:p w14:paraId="42BF1C80" w14:textId="77777777" w:rsidR="00AB6B98" w:rsidRDefault="00AB6B98" w:rsidP="00E97CCA">
      <w:pPr>
        <w:spacing w:line="360" w:lineRule="auto"/>
        <w:jc w:val="both"/>
        <w:rPr>
          <w:rFonts w:ascii="Times New Roman" w:hAnsi="Times New Roman" w:cs="Times New Roman"/>
          <w:b/>
          <w:bCs/>
        </w:rPr>
      </w:pPr>
    </w:p>
    <w:p w14:paraId="1A6961FF" w14:textId="77777777" w:rsidR="00AB6B98" w:rsidRDefault="00AB6B98" w:rsidP="00E97CCA">
      <w:pPr>
        <w:spacing w:line="360" w:lineRule="auto"/>
        <w:jc w:val="both"/>
        <w:rPr>
          <w:rFonts w:ascii="Times New Roman" w:hAnsi="Times New Roman" w:cs="Times New Roman"/>
          <w:b/>
          <w:bCs/>
        </w:rPr>
      </w:pPr>
    </w:p>
    <w:p w14:paraId="750DA50A" w14:textId="77777777" w:rsidR="00AB6B98" w:rsidRDefault="00AB6B98" w:rsidP="00E97CCA">
      <w:pPr>
        <w:spacing w:line="360" w:lineRule="auto"/>
        <w:jc w:val="both"/>
        <w:rPr>
          <w:rFonts w:ascii="Times New Roman" w:hAnsi="Times New Roman" w:cs="Times New Roman"/>
          <w:b/>
          <w:bCs/>
        </w:rPr>
      </w:pPr>
    </w:p>
    <w:p w14:paraId="71E373E8" w14:textId="77777777" w:rsidR="00AB6B98" w:rsidRDefault="00AB6B98" w:rsidP="00E97CCA">
      <w:pPr>
        <w:spacing w:line="360" w:lineRule="auto"/>
        <w:jc w:val="both"/>
        <w:rPr>
          <w:rFonts w:ascii="Times New Roman" w:hAnsi="Times New Roman" w:cs="Times New Roman"/>
          <w:b/>
          <w:bCs/>
        </w:rPr>
      </w:pPr>
    </w:p>
    <w:p w14:paraId="39A9AE56" w14:textId="322BAE31" w:rsidR="002D55CB" w:rsidRDefault="002D55CB" w:rsidP="00E97CCA">
      <w:pPr>
        <w:spacing w:line="360" w:lineRule="auto"/>
        <w:jc w:val="both"/>
        <w:rPr>
          <w:rFonts w:ascii="Times New Roman" w:hAnsi="Times New Roman" w:cs="Times New Roman"/>
          <w:b/>
          <w:bCs/>
        </w:rPr>
      </w:pPr>
      <w:r>
        <w:rPr>
          <w:rFonts w:ascii="Times New Roman" w:hAnsi="Times New Roman" w:cs="Times New Roman"/>
          <w:b/>
          <w:bCs/>
        </w:rPr>
        <w:lastRenderedPageBreak/>
        <w:t>Executive Summary</w:t>
      </w:r>
    </w:p>
    <w:p w14:paraId="01284848" w14:textId="7C041561" w:rsidR="005A27AF" w:rsidRPr="005A27AF" w:rsidRDefault="005A27AF" w:rsidP="005A27AF">
      <w:pPr>
        <w:spacing w:line="360" w:lineRule="auto"/>
        <w:jc w:val="both"/>
        <w:rPr>
          <w:rFonts w:ascii="Times New Roman" w:hAnsi="Times New Roman" w:cs="Times New Roman"/>
        </w:rPr>
      </w:pPr>
      <w:r w:rsidRPr="005A27AF">
        <w:rPr>
          <w:rFonts w:ascii="Times New Roman" w:hAnsi="Times New Roman" w:cs="Times New Roman"/>
        </w:rPr>
        <w:t>This project is used to assess the financial performance and investment decisions of a retail firm quoted on the stock exchanges by employing financial statement analysis and investment appraisal methods. Part 1 of the project provides an assessment of the current financial performance and the current financial position of the given quoted firm, NEXT plc, with the help of ratio analysis from the published annual reports of the firm for the years ending January 2024 and January 2025.</w:t>
      </w:r>
    </w:p>
    <w:p w14:paraId="2346DCE1" w14:textId="0169A6E9" w:rsidR="002D55CB" w:rsidRDefault="005A27AF" w:rsidP="005A27AF">
      <w:pPr>
        <w:spacing w:line="360" w:lineRule="auto"/>
        <w:jc w:val="both"/>
        <w:rPr>
          <w:rFonts w:ascii="Times New Roman" w:hAnsi="Times New Roman" w:cs="Times New Roman"/>
        </w:rPr>
      </w:pPr>
      <w:r w:rsidRPr="005A27AF">
        <w:rPr>
          <w:rFonts w:ascii="Times New Roman" w:hAnsi="Times New Roman" w:cs="Times New Roman"/>
        </w:rPr>
        <w:t>The following can be derived from Part 1 that NEXT plc’s operating efficiency has remained stable, as they resist the effects of a tough retail sector, as evident from their profit margins. Return on capital and equity also highlights that they utilize their resources efficiently, although liquidity is managed conservatively, as evident from their operating model and cash flow generation efficiency. Shareholder ratios show that they remain focused on shareholders through earnings and dividends.</w:t>
      </w:r>
    </w:p>
    <w:p w14:paraId="7EFE6E89" w14:textId="3EB27A85" w:rsidR="00BE65DB" w:rsidRPr="00BE65DB" w:rsidRDefault="00BE65DB" w:rsidP="00BE65DB">
      <w:pPr>
        <w:spacing w:line="360" w:lineRule="auto"/>
        <w:jc w:val="both"/>
        <w:rPr>
          <w:rFonts w:ascii="Times New Roman" w:hAnsi="Times New Roman" w:cs="Times New Roman"/>
        </w:rPr>
      </w:pPr>
      <w:r w:rsidRPr="00BE65DB">
        <w:rPr>
          <w:rFonts w:ascii="Times New Roman" w:hAnsi="Times New Roman" w:cs="Times New Roman"/>
        </w:rPr>
        <w:t xml:space="preserve">Part 2 assesses the possible capital investment for Westward plc </w:t>
      </w:r>
      <w:proofErr w:type="gramStart"/>
      <w:r w:rsidRPr="00BE65DB">
        <w:rPr>
          <w:rFonts w:ascii="Times New Roman" w:hAnsi="Times New Roman" w:cs="Times New Roman"/>
        </w:rPr>
        <w:t>on the basis of</w:t>
      </w:r>
      <w:proofErr w:type="gramEnd"/>
      <w:r w:rsidRPr="00BE65DB">
        <w:rPr>
          <w:rFonts w:ascii="Times New Roman" w:hAnsi="Times New Roman" w:cs="Times New Roman"/>
        </w:rPr>
        <w:t xml:space="preserve"> Net Present Value (NPV), Internal Rate of Return (IRR), and Payback analysis with a cost of capital of 6%, corporation tax of 25%, and straight-line capital allowances of 20%. All three projects show positive NPV, but the presence of the £2.5 million limit on funding and the option to divide projects makes it necessary to use capital rationing. With the value for money approach, the best course of action for maximum NPV of £1.85 million can be to completely invest in options A and B and partially invest in option C.</w:t>
      </w:r>
    </w:p>
    <w:p w14:paraId="16D3F21E" w14:textId="01E38505" w:rsidR="005A27AF" w:rsidRDefault="00BE65DB" w:rsidP="00BE65DB">
      <w:pPr>
        <w:spacing w:line="360" w:lineRule="auto"/>
        <w:jc w:val="both"/>
        <w:rPr>
          <w:rFonts w:ascii="Times New Roman" w:hAnsi="Times New Roman" w:cs="Times New Roman"/>
        </w:rPr>
      </w:pPr>
      <w:proofErr w:type="gramStart"/>
      <w:r w:rsidRPr="00BE65DB">
        <w:rPr>
          <w:rFonts w:ascii="Times New Roman" w:hAnsi="Times New Roman" w:cs="Times New Roman"/>
        </w:rPr>
        <w:t>On the whole</w:t>
      </w:r>
      <w:proofErr w:type="gramEnd"/>
      <w:r w:rsidRPr="00BE65DB">
        <w:rPr>
          <w:rFonts w:ascii="Times New Roman" w:hAnsi="Times New Roman" w:cs="Times New Roman"/>
        </w:rPr>
        <w:t xml:space="preserve">, it has been made clear in this assignment how accounting-based performance analysis and discounted cash flow valuation can be complimented to make sound financial decisions and enhance wealth </w:t>
      </w:r>
      <w:proofErr w:type="spellStart"/>
      <w:r w:rsidRPr="00BE65DB">
        <w:rPr>
          <w:rFonts w:ascii="Times New Roman" w:hAnsi="Times New Roman" w:cs="Times New Roman"/>
        </w:rPr>
        <w:t>maximisation</w:t>
      </w:r>
      <w:proofErr w:type="spellEnd"/>
      <w:r w:rsidRPr="00BE65DB">
        <w:rPr>
          <w:rFonts w:ascii="Times New Roman" w:hAnsi="Times New Roman" w:cs="Times New Roman"/>
        </w:rPr>
        <w:t xml:space="preserve"> for shareholders.</w:t>
      </w:r>
    </w:p>
    <w:p w14:paraId="589FD989" w14:textId="77777777" w:rsidR="00BE65DB" w:rsidRDefault="00BE65DB" w:rsidP="00BE65DB">
      <w:pPr>
        <w:spacing w:line="360" w:lineRule="auto"/>
        <w:jc w:val="both"/>
        <w:rPr>
          <w:rFonts w:ascii="Times New Roman" w:hAnsi="Times New Roman" w:cs="Times New Roman"/>
        </w:rPr>
      </w:pPr>
    </w:p>
    <w:p w14:paraId="6EECFBF7" w14:textId="77777777" w:rsidR="00BE65DB" w:rsidRDefault="00BE65DB" w:rsidP="00BE65DB">
      <w:pPr>
        <w:spacing w:line="360" w:lineRule="auto"/>
        <w:jc w:val="both"/>
        <w:rPr>
          <w:rFonts w:ascii="Times New Roman" w:hAnsi="Times New Roman" w:cs="Times New Roman"/>
        </w:rPr>
      </w:pPr>
    </w:p>
    <w:p w14:paraId="38340EEB" w14:textId="77777777" w:rsidR="00BE65DB" w:rsidRDefault="00BE65DB" w:rsidP="00BE65DB">
      <w:pPr>
        <w:spacing w:line="360" w:lineRule="auto"/>
        <w:jc w:val="both"/>
        <w:rPr>
          <w:rFonts w:ascii="Times New Roman" w:hAnsi="Times New Roman" w:cs="Times New Roman"/>
        </w:rPr>
      </w:pPr>
    </w:p>
    <w:p w14:paraId="6DA10841" w14:textId="77777777" w:rsidR="00AB6B98" w:rsidRDefault="00AB6B98" w:rsidP="00BE65DB">
      <w:pPr>
        <w:spacing w:line="360" w:lineRule="auto"/>
        <w:jc w:val="both"/>
        <w:rPr>
          <w:rFonts w:ascii="Times New Roman" w:hAnsi="Times New Roman" w:cs="Times New Roman"/>
        </w:rPr>
      </w:pPr>
    </w:p>
    <w:p w14:paraId="3E4A71E7" w14:textId="77777777" w:rsidR="00AB6B98" w:rsidRDefault="00AB6B98" w:rsidP="00BE65DB">
      <w:pPr>
        <w:spacing w:line="360" w:lineRule="auto"/>
        <w:jc w:val="both"/>
        <w:rPr>
          <w:rFonts w:ascii="Times New Roman" w:hAnsi="Times New Roman" w:cs="Times New Roman"/>
        </w:rPr>
      </w:pPr>
    </w:p>
    <w:p w14:paraId="30C45CC0" w14:textId="77777777" w:rsidR="00AB6B98" w:rsidRDefault="00AB6B98" w:rsidP="00BE65DB">
      <w:pPr>
        <w:spacing w:line="360" w:lineRule="auto"/>
        <w:jc w:val="both"/>
        <w:rPr>
          <w:rFonts w:ascii="Times New Roman" w:hAnsi="Times New Roman" w:cs="Times New Roman"/>
        </w:rPr>
      </w:pPr>
    </w:p>
    <w:sdt>
      <w:sdtPr>
        <w:rPr>
          <w:rFonts w:asciiTheme="minorHAnsi" w:eastAsiaTheme="minorHAnsi" w:hAnsiTheme="minorHAnsi" w:cstheme="minorBidi"/>
          <w:color w:val="auto"/>
          <w:kern w:val="2"/>
          <w:sz w:val="24"/>
          <w:szCs w:val="24"/>
          <w14:ligatures w14:val="standardContextual"/>
        </w:rPr>
        <w:id w:val="474033874"/>
        <w:docPartObj>
          <w:docPartGallery w:val="Table of Contents"/>
          <w:docPartUnique/>
        </w:docPartObj>
      </w:sdtPr>
      <w:sdtEndPr>
        <w:rPr>
          <w:b/>
          <w:bCs/>
          <w:noProof/>
        </w:rPr>
      </w:sdtEndPr>
      <w:sdtContent>
        <w:p w14:paraId="6F6BBAD9" w14:textId="6D34B9F8" w:rsidR="00AB6B98" w:rsidRDefault="00AB6B98">
          <w:pPr>
            <w:pStyle w:val="TOCHeading"/>
          </w:pPr>
          <w:r>
            <w:t>Contents</w:t>
          </w:r>
        </w:p>
        <w:p w14:paraId="6F50F748" w14:textId="38D47501" w:rsidR="00AB6B98" w:rsidRDefault="00AB6B98">
          <w:pPr>
            <w:pStyle w:val="TOC1"/>
            <w:tabs>
              <w:tab w:val="right" w:leader="dot" w:pos="9350"/>
            </w:tabs>
            <w:rPr>
              <w:noProof/>
            </w:rPr>
          </w:pPr>
          <w:r>
            <w:fldChar w:fldCharType="begin"/>
          </w:r>
          <w:r>
            <w:instrText xml:space="preserve"> TOC \o "1-3" \h \z \u </w:instrText>
          </w:r>
          <w:r>
            <w:fldChar w:fldCharType="separate"/>
          </w:r>
          <w:hyperlink w:anchor="_Toc219004234" w:history="1">
            <w:r w:rsidRPr="00436D07">
              <w:rPr>
                <w:rStyle w:val="Hyperlink"/>
                <w:noProof/>
              </w:rPr>
              <w:t>Introduction</w:t>
            </w:r>
            <w:r>
              <w:rPr>
                <w:noProof/>
                <w:webHidden/>
              </w:rPr>
              <w:tab/>
            </w:r>
            <w:r>
              <w:rPr>
                <w:noProof/>
                <w:webHidden/>
              </w:rPr>
              <w:fldChar w:fldCharType="begin"/>
            </w:r>
            <w:r>
              <w:rPr>
                <w:noProof/>
                <w:webHidden/>
              </w:rPr>
              <w:instrText xml:space="preserve"> PAGEREF _Toc219004234 \h </w:instrText>
            </w:r>
            <w:r>
              <w:rPr>
                <w:noProof/>
                <w:webHidden/>
              </w:rPr>
            </w:r>
            <w:r>
              <w:rPr>
                <w:noProof/>
                <w:webHidden/>
              </w:rPr>
              <w:fldChar w:fldCharType="separate"/>
            </w:r>
            <w:r>
              <w:rPr>
                <w:noProof/>
                <w:webHidden/>
              </w:rPr>
              <w:t>4</w:t>
            </w:r>
            <w:r>
              <w:rPr>
                <w:noProof/>
                <w:webHidden/>
              </w:rPr>
              <w:fldChar w:fldCharType="end"/>
            </w:r>
          </w:hyperlink>
        </w:p>
        <w:p w14:paraId="102B71A8" w14:textId="1DC57EAE" w:rsidR="00AB6B98" w:rsidRDefault="00AB6B98">
          <w:pPr>
            <w:pStyle w:val="TOC1"/>
            <w:tabs>
              <w:tab w:val="right" w:leader="dot" w:pos="9350"/>
            </w:tabs>
            <w:rPr>
              <w:noProof/>
            </w:rPr>
          </w:pPr>
          <w:hyperlink w:anchor="_Toc219004235" w:history="1">
            <w:r w:rsidRPr="00436D07">
              <w:rPr>
                <w:rStyle w:val="Hyperlink"/>
                <w:noProof/>
              </w:rPr>
              <w:t>Part 1</w:t>
            </w:r>
            <w:r>
              <w:rPr>
                <w:noProof/>
                <w:webHidden/>
              </w:rPr>
              <w:tab/>
            </w:r>
            <w:r>
              <w:rPr>
                <w:noProof/>
                <w:webHidden/>
              </w:rPr>
              <w:fldChar w:fldCharType="begin"/>
            </w:r>
            <w:r>
              <w:rPr>
                <w:noProof/>
                <w:webHidden/>
              </w:rPr>
              <w:instrText xml:space="preserve"> PAGEREF _Toc219004235 \h </w:instrText>
            </w:r>
            <w:r>
              <w:rPr>
                <w:noProof/>
                <w:webHidden/>
              </w:rPr>
            </w:r>
            <w:r>
              <w:rPr>
                <w:noProof/>
                <w:webHidden/>
              </w:rPr>
              <w:fldChar w:fldCharType="separate"/>
            </w:r>
            <w:r>
              <w:rPr>
                <w:noProof/>
                <w:webHidden/>
              </w:rPr>
              <w:t>4</w:t>
            </w:r>
            <w:r>
              <w:rPr>
                <w:noProof/>
                <w:webHidden/>
              </w:rPr>
              <w:fldChar w:fldCharType="end"/>
            </w:r>
          </w:hyperlink>
        </w:p>
        <w:p w14:paraId="6DB3EE1B" w14:textId="6E6B776B" w:rsidR="00AB6B98" w:rsidRDefault="00AB6B98">
          <w:pPr>
            <w:pStyle w:val="TOC2"/>
            <w:tabs>
              <w:tab w:val="right" w:leader="dot" w:pos="9350"/>
            </w:tabs>
            <w:rPr>
              <w:noProof/>
            </w:rPr>
          </w:pPr>
          <w:hyperlink w:anchor="_Toc219004236" w:history="1">
            <w:r w:rsidRPr="00436D07">
              <w:rPr>
                <w:rStyle w:val="Hyperlink"/>
                <w:noProof/>
              </w:rPr>
              <w:t>Profitability Analysis</w:t>
            </w:r>
            <w:r>
              <w:rPr>
                <w:noProof/>
                <w:webHidden/>
              </w:rPr>
              <w:tab/>
            </w:r>
            <w:r>
              <w:rPr>
                <w:noProof/>
                <w:webHidden/>
              </w:rPr>
              <w:fldChar w:fldCharType="begin"/>
            </w:r>
            <w:r>
              <w:rPr>
                <w:noProof/>
                <w:webHidden/>
              </w:rPr>
              <w:instrText xml:space="preserve"> PAGEREF _Toc219004236 \h </w:instrText>
            </w:r>
            <w:r>
              <w:rPr>
                <w:noProof/>
                <w:webHidden/>
              </w:rPr>
            </w:r>
            <w:r>
              <w:rPr>
                <w:noProof/>
                <w:webHidden/>
              </w:rPr>
              <w:fldChar w:fldCharType="separate"/>
            </w:r>
            <w:r>
              <w:rPr>
                <w:noProof/>
                <w:webHidden/>
              </w:rPr>
              <w:t>4</w:t>
            </w:r>
            <w:r>
              <w:rPr>
                <w:noProof/>
                <w:webHidden/>
              </w:rPr>
              <w:fldChar w:fldCharType="end"/>
            </w:r>
          </w:hyperlink>
        </w:p>
        <w:p w14:paraId="2AC264DE" w14:textId="160DC000" w:rsidR="00AB6B98" w:rsidRDefault="00AB6B98">
          <w:pPr>
            <w:pStyle w:val="TOC2"/>
            <w:tabs>
              <w:tab w:val="right" w:leader="dot" w:pos="9350"/>
            </w:tabs>
            <w:rPr>
              <w:noProof/>
            </w:rPr>
          </w:pPr>
          <w:hyperlink w:anchor="_Toc219004237" w:history="1">
            <w:r w:rsidRPr="00436D07">
              <w:rPr>
                <w:rStyle w:val="Hyperlink"/>
                <w:noProof/>
              </w:rPr>
              <w:t>Revenue and Margin Performance</w:t>
            </w:r>
            <w:r>
              <w:rPr>
                <w:noProof/>
                <w:webHidden/>
              </w:rPr>
              <w:tab/>
            </w:r>
            <w:r>
              <w:rPr>
                <w:noProof/>
                <w:webHidden/>
              </w:rPr>
              <w:fldChar w:fldCharType="begin"/>
            </w:r>
            <w:r>
              <w:rPr>
                <w:noProof/>
                <w:webHidden/>
              </w:rPr>
              <w:instrText xml:space="preserve"> PAGEREF _Toc219004237 \h </w:instrText>
            </w:r>
            <w:r>
              <w:rPr>
                <w:noProof/>
                <w:webHidden/>
              </w:rPr>
            </w:r>
            <w:r>
              <w:rPr>
                <w:noProof/>
                <w:webHidden/>
              </w:rPr>
              <w:fldChar w:fldCharType="separate"/>
            </w:r>
            <w:r>
              <w:rPr>
                <w:noProof/>
                <w:webHidden/>
              </w:rPr>
              <w:t>5</w:t>
            </w:r>
            <w:r>
              <w:rPr>
                <w:noProof/>
                <w:webHidden/>
              </w:rPr>
              <w:fldChar w:fldCharType="end"/>
            </w:r>
          </w:hyperlink>
        </w:p>
        <w:p w14:paraId="7EA45137" w14:textId="09D3F5BF" w:rsidR="00AB6B98" w:rsidRDefault="00AB6B98">
          <w:pPr>
            <w:pStyle w:val="TOC2"/>
            <w:tabs>
              <w:tab w:val="right" w:leader="dot" w:pos="9350"/>
            </w:tabs>
            <w:rPr>
              <w:noProof/>
            </w:rPr>
          </w:pPr>
          <w:hyperlink w:anchor="_Toc219004238" w:history="1">
            <w:r w:rsidRPr="00436D07">
              <w:rPr>
                <w:rStyle w:val="Hyperlink"/>
                <w:noProof/>
              </w:rPr>
              <w:t>Operating and Net Profitability</w:t>
            </w:r>
            <w:r>
              <w:rPr>
                <w:noProof/>
                <w:webHidden/>
              </w:rPr>
              <w:tab/>
            </w:r>
            <w:r>
              <w:rPr>
                <w:noProof/>
                <w:webHidden/>
              </w:rPr>
              <w:fldChar w:fldCharType="begin"/>
            </w:r>
            <w:r>
              <w:rPr>
                <w:noProof/>
                <w:webHidden/>
              </w:rPr>
              <w:instrText xml:space="preserve"> PAGEREF _Toc219004238 \h </w:instrText>
            </w:r>
            <w:r>
              <w:rPr>
                <w:noProof/>
                <w:webHidden/>
              </w:rPr>
            </w:r>
            <w:r>
              <w:rPr>
                <w:noProof/>
                <w:webHidden/>
              </w:rPr>
              <w:fldChar w:fldCharType="separate"/>
            </w:r>
            <w:r>
              <w:rPr>
                <w:noProof/>
                <w:webHidden/>
              </w:rPr>
              <w:t>5</w:t>
            </w:r>
            <w:r>
              <w:rPr>
                <w:noProof/>
                <w:webHidden/>
              </w:rPr>
              <w:fldChar w:fldCharType="end"/>
            </w:r>
          </w:hyperlink>
        </w:p>
        <w:p w14:paraId="00CCB082" w14:textId="179B0EA0" w:rsidR="00AB6B98" w:rsidRDefault="00AB6B98">
          <w:pPr>
            <w:pStyle w:val="TOC2"/>
            <w:tabs>
              <w:tab w:val="right" w:leader="dot" w:pos="9350"/>
            </w:tabs>
            <w:rPr>
              <w:noProof/>
            </w:rPr>
          </w:pPr>
          <w:hyperlink w:anchor="_Toc219004239" w:history="1">
            <w:r w:rsidRPr="00436D07">
              <w:rPr>
                <w:rStyle w:val="Hyperlink"/>
                <w:noProof/>
              </w:rPr>
              <w:t>Return Measures</w:t>
            </w:r>
            <w:r>
              <w:rPr>
                <w:noProof/>
                <w:webHidden/>
              </w:rPr>
              <w:tab/>
            </w:r>
            <w:r>
              <w:rPr>
                <w:noProof/>
                <w:webHidden/>
              </w:rPr>
              <w:fldChar w:fldCharType="begin"/>
            </w:r>
            <w:r>
              <w:rPr>
                <w:noProof/>
                <w:webHidden/>
              </w:rPr>
              <w:instrText xml:space="preserve"> PAGEREF _Toc219004239 \h </w:instrText>
            </w:r>
            <w:r>
              <w:rPr>
                <w:noProof/>
                <w:webHidden/>
              </w:rPr>
            </w:r>
            <w:r>
              <w:rPr>
                <w:noProof/>
                <w:webHidden/>
              </w:rPr>
              <w:fldChar w:fldCharType="separate"/>
            </w:r>
            <w:r>
              <w:rPr>
                <w:noProof/>
                <w:webHidden/>
              </w:rPr>
              <w:t>6</w:t>
            </w:r>
            <w:r>
              <w:rPr>
                <w:noProof/>
                <w:webHidden/>
              </w:rPr>
              <w:fldChar w:fldCharType="end"/>
            </w:r>
          </w:hyperlink>
        </w:p>
        <w:p w14:paraId="479C12B7" w14:textId="60F031CF" w:rsidR="00AB6B98" w:rsidRDefault="00AB6B98">
          <w:pPr>
            <w:pStyle w:val="TOC3"/>
            <w:tabs>
              <w:tab w:val="right" w:leader="dot" w:pos="9350"/>
            </w:tabs>
            <w:rPr>
              <w:noProof/>
            </w:rPr>
          </w:pPr>
          <w:hyperlink w:anchor="_Toc219004240" w:history="1">
            <w:r w:rsidRPr="00436D07">
              <w:rPr>
                <w:rStyle w:val="Hyperlink"/>
                <w:noProof/>
              </w:rPr>
              <w:t>Return on Capital Employed (ROCE)</w:t>
            </w:r>
            <w:r>
              <w:rPr>
                <w:noProof/>
                <w:webHidden/>
              </w:rPr>
              <w:tab/>
            </w:r>
            <w:r>
              <w:rPr>
                <w:noProof/>
                <w:webHidden/>
              </w:rPr>
              <w:fldChar w:fldCharType="begin"/>
            </w:r>
            <w:r>
              <w:rPr>
                <w:noProof/>
                <w:webHidden/>
              </w:rPr>
              <w:instrText xml:space="preserve"> PAGEREF _Toc219004240 \h </w:instrText>
            </w:r>
            <w:r>
              <w:rPr>
                <w:noProof/>
                <w:webHidden/>
              </w:rPr>
            </w:r>
            <w:r>
              <w:rPr>
                <w:noProof/>
                <w:webHidden/>
              </w:rPr>
              <w:fldChar w:fldCharType="separate"/>
            </w:r>
            <w:r>
              <w:rPr>
                <w:noProof/>
                <w:webHidden/>
              </w:rPr>
              <w:t>6</w:t>
            </w:r>
            <w:r>
              <w:rPr>
                <w:noProof/>
                <w:webHidden/>
              </w:rPr>
              <w:fldChar w:fldCharType="end"/>
            </w:r>
          </w:hyperlink>
        </w:p>
        <w:p w14:paraId="4986C5C1" w14:textId="7F5710B8" w:rsidR="00AB6B98" w:rsidRDefault="00AB6B98">
          <w:pPr>
            <w:pStyle w:val="TOC3"/>
            <w:tabs>
              <w:tab w:val="right" w:leader="dot" w:pos="9350"/>
            </w:tabs>
            <w:rPr>
              <w:noProof/>
            </w:rPr>
          </w:pPr>
          <w:hyperlink w:anchor="_Toc219004241" w:history="1">
            <w:r w:rsidRPr="00436D07">
              <w:rPr>
                <w:rStyle w:val="Hyperlink"/>
                <w:noProof/>
              </w:rPr>
              <w:t>Return on Equity (ROE)</w:t>
            </w:r>
            <w:r>
              <w:rPr>
                <w:noProof/>
                <w:webHidden/>
              </w:rPr>
              <w:tab/>
            </w:r>
            <w:r>
              <w:rPr>
                <w:noProof/>
                <w:webHidden/>
              </w:rPr>
              <w:fldChar w:fldCharType="begin"/>
            </w:r>
            <w:r>
              <w:rPr>
                <w:noProof/>
                <w:webHidden/>
              </w:rPr>
              <w:instrText xml:space="preserve"> PAGEREF _Toc219004241 \h </w:instrText>
            </w:r>
            <w:r>
              <w:rPr>
                <w:noProof/>
                <w:webHidden/>
              </w:rPr>
            </w:r>
            <w:r>
              <w:rPr>
                <w:noProof/>
                <w:webHidden/>
              </w:rPr>
              <w:fldChar w:fldCharType="separate"/>
            </w:r>
            <w:r>
              <w:rPr>
                <w:noProof/>
                <w:webHidden/>
              </w:rPr>
              <w:t>7</w:t>
            </w:r>
            <w:r>
              <w:rPr>
                <w:noProof/>
                <w:webHidden/>
              </w:rPr>
              <w:fldChar w:fldCharType="end"/>
            </w:r>
          </w:hyperlink>
        </w:p>
        <w:p w14:paraId="525D6929" w14:textId="3239848E" w:rsidR="00AB6B98" w:rsidRDefault="00AB6B98">
          <w:pPr>
            <w:pStyle w:val="TOC2"/>
            <w:tabs>
              <w:tab w:val="right" w:leader="dot" w:pos="9350"/>
            </w:tabs>
            <w:rPr>
              <w:noProof/>
            </w:rPr>
          </w:pPr>
          <w:hyperlink w:anchor="_Toc219004242" w:history="1">
            <w:r w:rsidRPr="00436D07">
              <w:rPr>
                <w:rStyle w:val="Hyperlink"/>
                <w:noProof/>
              </w:rPr>
              <w:t>Liquidity</w:t>
            </w:r>
            <w:r>
              <w:rPr>
                <w:noProof/>
                <w:webHidden/>
              </w:rPr>
              <w:tab/>
            </w:r>
            <w:r>
              <w:rPr>
                <w:noProof/>
                <w:webHidden/>
              </w:rPr>
              <w:fldChar w:fldCharType="begin"/>
            </w:r>
            <w:r>
              <w:rPr>
                <w:noProof/>
                <w:webHidden/>
              </w:rPr>
              <w:instrText xml:space="preserve"> PAGEREF _Toc219004242 \h </w:instrText>
            </w:r>
            <w:r>
              <w:rPr>
                <w:noProof/>
                <w:webHidden/>
              </w:rPr>
            </w:r>
            <w:r>
              <w:rPr>
                <w:noProof/>
                <w:webHidden/>
              </w:rPr>
              <w:fldChar w:fldCharType="separate"/>
            </w:r>
            <w:r>
              <w:rPr>
                <w:noProof/>
                <w:webHidden/>
              </w:rPr>
              <w:t>7</w:t>
            </w:r>
            <w:r>
              <w:rPr>
                <w:noProof/>
                <w:webHidden/>
              </w:rPr>
              <w:fldChar w:fldCharType="end"/>
            </w:r>
          </w:hyperlink>
        </w:p>
        <w:p w14:paraId="649820E2" w14:textId="65B00EAD" w:rsidR="00AB6B98" w:rsidRDefault="00AB6B98">
          <w:pPr>
            <w:pStyle w:val="TOC3"/>
            <w:tabs>
              <w:tab w:val="right" w:leader="dot" w:pos="9350"/>
            </w:tabs>
            <w:rPr>
              <w:noProof/>
            </w:rPr>
          </w:pPr>
          <w:hyperlink w:anchor="_Toc219004243" w:history="1">
            <w:r w:rsidRPr="00436D07">
              <w:rPr>
                <w:rStyle w:val="Hyperlink"/>
                <w:noProof/>
              </w:rPr>
              <w:t>Current Ratio</w:t>
            </w:r>
            <w:r>
              <w:rPr>
                <w:noProof/>
                <w:webHidden/>
              </w:rPr>
              <w:tab/>
            </w:r>
            <w:r>
              <w:rPr>
                <w:noProof/>
                <w:webHidden/>
              </w:rPr>
              <w:fldChar w:fldCharType="begin"/>
            </w:r>
            <w:r>
              <w:rPr>
                <w:noProof/>
                <w:webHidden/>
              </w:rPr>
              <w:instrText xml:space="preserve"> PAGEREF _Toc219004243 \h </w:instrText>
            </w:r>
            <w:r>
              <w:rPr>
                <w:noProof/>
                <w:webHidden/>
              </w:rPr>
            </w:r>
            <w:r>
              <w:rPr>
                <w:noProof/>
                <w:webHidden/>
              </w:rPr>
              <w:fldChar w:fldCharType="separate"/>
            </w:r>
            <w:r>
              <w:rPr>
                <w:noProof/>
                <w:webHidden/>
              </w:rPr>
              <w:t>7</w:t>
            </w:r>
            <w:r>
              <w:rPr>
                <w:noProof/>
                <w:webHidden/>
              </w:rPr>
              <w:fldChar w:fldCharType="end"/>
            </w:r>
          </w:hyperlink>
        </w:p>
        <w:p w14:paraId="3B3279E2" w14:textId="0253C283" w:rsidR="00AB6B98" w:rsidRDefault="00AB6B98">
          <w:pPr>
            <w:pStyle w:val="TOC3"/>
            <w:tabs>
              <w:tab w:val="right" w:leader="dot" w:pos="9350"/>
            </w:tabs>
            <w:rPr>
              <w:noProof/>
            </w:rPr>
          </w:pPr>
          <w:hyperlink w:anchor="_Toc219004244" w:history="1">
            <w:r w:rsidRPr="00436D07">
              <w:rPr>
                <w:rStyle w:val="Hyperlink"/>
                <w:noProof/>
              </w:rPr>
              <w:t>Quick Ratio</w:t>
            </w:r>
            <w:r>
              <w:rPr>
                <w:noProof/>
                <w:webHidden/>
              </w:rPr>
              <w:tab/>
            </w:r>
            <w:r>
              <w:rPr>
                <w:noProof/>
                <w:webHidden/>
              </w:rPr>
              <w:fldChar w:fldCharType="begin"/>
            </w:r>
            <w:r>
              <w:rPr>
                <w:noProof/>
                <w:webHidden/>
              </w:rPr>
              <w:instrText xml:space="preserve"> PAGEREF _Toc219004244 \h </w:instrText>
            </w:r>
            <w:r>
              <w:rPr>
                <w:noProof/>
                <w:webHidden/>
              </w:rPr>
            </w:r>
            <w:r>
              <w:rPr>
                <w:noProof/>
                <w:webHidden/>
              </w:rPr>
              <w:fldChar w:fldCharType="separate"/>
            </w:r>
            <w:r>
              <w:rPr>
                <w:noProof/>
                <w:webHidden/>
              </w:rPr>
              <w:t>8</w:t>
            </w:r>
            <w:r>
              <w:rPr>
                <w:noProof/>
                <w:webHidden/>
              </w:rPr>
              <w:fldChar w:fldCharType="end"/>
            </w:r>
          </w:hyperlink>
        </w:p>
        <w:p w14:paraId="1A7AAFA4" w14:textId="29D137B5" w:rsidR="00AB6B98" w:rsidRDefault="00AB6B98">
          <w:pPr>
            <w:pStyle w:val="TOC3"/>
            <w:tabs>
              <w:tab w:val="right" w:leader="dot" w:pos="9350"/>
            </w:tabs>
            <w:rPr>
              <w:noProof/>
            </w:rPr>
          </w:pPr>
          <w:hyperlink w:anchor="_Toc219004245" w:history="1">
            <w:r w:rsidRPr="00436D07">
              <w:rPr>
                <w:rStyle w:val="Hyperlink"/>
                <w:noProof/>
              </w:rPr>
              <w:t>Working Capital Liquidity Implications</w:t>
            </w:r>
            <w:r>
              <w:rPr>
                <w:noProof/>
                <w:webHidden/>
              </w:rPr>
              <w:tab/>
            </w:r>
            <w:r>
              <w:rPr>
                <w:noProof/>
                <w:webHidden/>
              </w:rPr>
              <w:fldChar w:fldCharType="begin"/>
            </w:r>
            <w:r>
              <w:rPr>
                <w:noProof/>
                <w:webHidden/>
              </w:rPr>
              <w:instrText xml:space="preserve"> PAGEREF _Toc219004245 \h </w:instrText>
            </w:r>
            <w:r>
              <w:rPr>
                <w:noProof/>
                <w:webHidden/>
              </w:rPr>
            </w:r>
            <w:r>
              <w:rPr>
                <w:noProof/>
                <w:webHidden/>
              </w:rPr>
              <w:fldChar w:fldCharType="separate"/>
            </w:r>
            <w:r>
              <w:rPr>
                <w:noProof/>
                <w:webHidden/>
              </w:rPr>
              <w:t>8</w:t>
            </w:r>
            <w:r>
              <w:rPr>
                <w:noProof/>
                <w:webHidden/>
              </w:rPr>
              <w:fldChar w:fldCharType="end"/>
            </w:r>
          </w:hyperlink>
        </w:p>
        <w:p w14:paraId="6FB0E690" w14:textId="375C6C7C" w:rsidR="00AB6B98" w:rsidRDefault="00AB6B98">
          <w:pPr>
            <w:pStyle w:val="TOC2"/>
            <w:tabs>
              <w:tab w:val="right" w:leader="dot" w:pos="9350"/>
            </w:tabs>
            <w:rPr>
              <w:noProof/>
            </w:rPr>
          </w:pPr>
          <w:hyperlink w:anchor="_Toc219004246" w:history="1">
            <w:r w:rsidRPr="00436D07">
              <w:rPr>
                <w:rStyle w:val="Hyperlink"/>
                <w:noProof/>
              </w:rPr>
              <w:t>Solvency and Capital Structure</w:t>
            </w:r>
            <w:r>
              <w:rPr>
                <w:noProof/>
                <w:webHidden/>
              </w:rPr>
              <w:tab/>
            </w:r>
            <w:r>
              <w:rPr>
                <w:noProof/>
                <w:webHidden/>
              </w:rPr>
              <w:fldChar w:fldCharType="begin"/>
            </w:r>
            <w:r>
              <w:rPr>
                <w:noProof/>
                <w:webHidden/>
              </w:rPr>
              <w:instrText xml:space="preserve"> PAGEREF _Toc219004246 \h </w:instrText>
            </w:r>
            <w:r>
              <w:rPr>
                <w:noProof/>
                <w:webHidden/>
              </w:rPr>
            </w:r>
            <w:r>
              <w:rPr>
                <w:noProof/>
                <w:webHidden/>
              </w:rPr>
              <w:fldChar w:fldCharType="separate"/>
            </w:r>
            <w:r>
              <w:rPr>
                <w:noProof/>
                <w:webHidden/>
              </w:rPr>
              <w:t>8</w:t>
            </w:r>
            <w:r>
              <w:rPr>
                <w:noProof/>
                <w:webHidden/>
              </w:rPr>
              <w:fldChar w:fldCharType="end"/>
            </w:r>
          </w:hyperlink>
        </w:p>
        <w:p w14:paraId="708A2728" w14:textId="647777F3" w:rsidR="00AB6B98" w:rsidRDefault="00AB6B98">
          <w:pPr>
            <w:pStyle w:val="TOC3"/>
            <w:tabs>
              <w:tab w:val="right" w:leader="dot" w:pos="9350"/>
            </w:tabs>
            <w:rPr>
              <w:noProof/>
            </w:rPr>
          </w:pPr>
          <w:hyperlink w:anchor="_Toc219004247" w:history="1">
            <w:r w:rsidRPr="00436D07">
              <w:rPr>
                <w:rStyle w:val="Hyperlink"/>
                <w:noProof/>
              </w:rPr>
              <w:t>Gearing Ratio</w:t>
            </w:r>
            <w:r>
              <w:rPr>
                <w:noProof/>
                <w:webHidden/>
              </w:rPr>
              <w:tab/>
            </w:r>
            <w:r>
              <w:rPr>
                <w:noProof/>
                <w:webHidden/>
              </w:rPr>
              <w:fldChar w:fldCharType="begin"/>
            </w:r>
            <w:r>
              <w:rPr>
                <w:noProof/>
                <w:webHidden/>
              </w:rPr>
              <w:instrText xml:space="preserve"> PAGEREF _Toc219004247 \h </w:instrText>
            </w:r>
            <w:r>
              <w:rPr>
                <w:noProof/>
                <w:webHidden/>
              </w:rPr>
            </w:r>
            <w:r>
              <w:rPr>
                <w:noProof/>
                <w:webHidden/>
              </w:rPr>
              <w:fldChar w:fldCharType="separate"/>
            </w:r>
            <w:r>
              <w:rPr>
                <w:noProof/>
                <w:webHidden/>
              </w:rPr>
              <w:t>9</w:t>
            </w:r>
            <w:r>
              <w:rPr>
                <w:noProof/>
                <w:webHidden/>
              </w:rPr>
              <w:fldChar w:fldCharType="end"/>
            </w:r>
          </w:hyperlink>
        </w:p>
        <w:p w14:paraId="7F0D2BAE" w14:textId="2C17D828" w:rsidR="00AB6B98" w:rsidRDefault="00AB6B98">
          <w:pPr>
            <w:pStyle w:val="TOC2"/>
            <w:tabs>
              <w:tab w:val="right" w:leader="dot" w:pos="9350"/>
            </w:tabs>
            <w:rPr>
              <w:noProof/>
            </w:rPr>
          </w:pPr>
          <w:hyperlink w:anchor="_Toc219004248" w:history="1">
            <w:r w:rsidRPr="00436D07">
              <w:rPr>
                <w:rStyle w:val="Hyperlink"/>
                <w:noProof/>
              </w:rPr>
              <w:t>Relationship Between Gearing and Shareholder Returns</w:t>
            </w:r>
            <w:r>
              <w:rPr>
                <w:noProof/>
                <w:webHidden/>
              </w:rPr>
              <w:tab/>
            </w:r>
            <w:r>
              <w:rPr>
                <w:noProof/>
                <w:webHidden/>
              </w:rPr>
              <w:fldChar w:fldCharType="begin"/>
            </w:r>
            <w:r>
              <w:rPr>
                <w:noProof/>
                <w:webHidden/>
              </w:rPr>
              <w:instrText xml:space="preserve"> PAGEREF _Toc219004248 \h </w:instrText>
            </w:r>
            <w:r>
              <w:rPr>
                <w:noProof/>
                <w:webHidden/>
              </w:rPr>
            </w:r>
            <w:r>
              <w:rPr>
                <w:noProof/>
                <w:webHidden/>
              </w:rPr>
              <w:fldChar w:fldCharType="separate"/>
            </w:r>
            <w:r>
              <w:rPr>
                <w:noProof/>
                <w:webHidden/>
              </w:rPr>
              <w:t>9</w:t>
            </w:r>
            <w:r>
              <w:rPr>
                <w:noProof/>
                <w:webHidden/>
              </w:rPr>
              <w:fldChar w:fldCharType="end"/>
            </w:r>
          </w:hyperlink>
        </w:p>
        <w:p w14:paraId="37519FAF" w14:textId="19B0922D" w:rsidR="00AB6B98" w:rsidRDefault="00AB6B98">
          <w:pPr>
            <w:pStyle w:val="TOC2"/>
            <w:tabs>
              <w:tab w:val="right" w:leader="dot" w:pos="9350"/>
            </w:tabs>
            <w:rPr>
              <w:noProof/>
            </w:rPr>
          </w:pPr>
          <w:hyperlink w:anchor="_Toc219004249" w:history="1">
            <w:r w:rsidRPr="00436D07">
              <w:rPr>
                <w:rStyle w:val="Hyperlink"/>
                <w:noProof/>
              </w:rPr>
              <w:t>Solvency implications</w:t>
            </w:r>
            <w:r>
              <w:rPr>
                <w:noProof/>
                <w:webHidden/>
              </w:rPr>
              <w:tab/>
            </w:r>
            <w:r>
              <w:rPr>
                <w:noProof/>
                <w:webHidden/>
              </w:rPr>
              <w:fldChar w:fldCharType="begin"/>
            </w:r>
            <w:r>
              <w:rPr>
                <w:noProof/>
                <w:webHidden/>
              </w:rPr>
              <w:instrText xml:space="preserve"> PAGEREF _Toc219004249 \h </w:instrText>
            </w:r>
            <w:r>
              <w:rPr>
                <w:noProof/>
                <w:webHidden/>
              </w:rPr>
            </w:r>
            <w:r>
              <w:rPr>
                <w:noProof/>
                <w:webHidden/>
              </w:rPr>
              <w:fldChar w:fldCharType="separate"/>
            </w:r>
            <w:r>
              <w:rPr>
                <w:noProof/>
                <w:webHidden/>
              </w:rPr>
              <w:t>10</w:t>
            </w:r>
            <w:r>
              <w:rPr>
                <w:noProof/>
                <w:webHidden/>
              </w:rPr>
              <w:fldChar w:fldCharType="end"/>
            </w:r>
          </w:hyperlink>
        </w:p>
        <w:p w14:paraId="5167BE96" w14:textId="4A6C13F1" w:rsidR="00AB6B98" w:rsidRDefault="00AB6B98">
          <w:pPr>
            <w:pStyle w:val="TOC2"/>
            <w:tabs>
              <w:tab w:val="right" w:leader="dot" w:pos="9350"/>
            </w:tabs>
            <w:rPr>
              <w:noProof/>
            </w:rPr>
          </w:pPr>
          <w:hyperlink w:anchor="_Toc219004250" w:history="1">
            <w:r w:rsidRPr="00436D07">
              <w:rPr>
                <w:rStyle w:val="Hyperlink"/>
                <w:noProof/>
              </w:rPr>
              <w:t>Efficiency Analysis</w:t>
            </w:r>
            <w:r>
              <w:rPr>
                <w:noProof/>
                <w:webHidden/>
              </w:rPr>
              <w:tab/>
            </w:r>
            <w:r>
              <w:rPr>
                <w:noProof/>
                <w:webHidden/>
              </w:rPr>
              <w:fldChar w:fldCharType="begin"/>
            </w:r>
            <w:r>
              <w:rPr>
                <w:noProof/>
                <w:webHidden/>
              </w:rPr>
              <w:instrText xml:space="preserve"> PAGEREF _Toc219004250 \h </w:instrText>
            </w:r>
            <w:r>
              <w:rPr>
                <w:noProof/>
                <w:webHidden/>
              </w:rPr>
            </w:r>
            <w:r>
              <w:rPr>
                <w:noProof/>
                <w:webHidden/>
              </w:rPr>
              <w:fldChar w:fldCharType="separate"/>
            </w:r>
            <w:r>
              <w:rPr>
                <w:noProof/>
                <w:webHidden/>
              </w:rPr>
              <w:t>11</w:t>
            </w:r>
            <w:r>
              <w:rPr>
                <w:noProof/>
                <w:webHidden/>
              </w:rPr>
              <w:fldChar w:fldCharType="end"/>
            </w:r>
          </w:hyperlink>
        </w:p>
        <w:p w14:paraId="14075B4F" w14:textId="29851091" w:rsidR="00AB6B98" w:rsidRDefault="00AB6B98">
          <w:pPr>
            <w:pStyle w:val="TOC3"/>
            <w:tabs>
              <w:tab w:val="right" w:leader="dot" w:pos="9350"/>
            </w:tabs>
            <w:rPr>
              <w:noProof/>
            </w:rPr>
          </w:pPr>
          <w:hyperlink w:anchor="_Toc219004251" w:history="1">
            <w:r w:rsidRPr="00436D07">
              <w:rPr>
                <w:rStyle w:val="Hyperlink"/>
                <w:noProof/>
              </w:rPr>
              <w:t>Inventory Days</w:t>
            </w:r>
            <w:r>
              <w:rPr>
                <w:noProof/>
                <w:webHidden/>
              </w:rPr>
              <w:tab/>
            </w:r>
            <w:r>
              <w:rPr>
                <w:noProof/>
                <w:webHidden/>
              </w:rPr>
              <w:fldChar w:fldCharType="begin"/>
            </w:r>
            <w:r>
              <w:rPr>
                <w:noProof/>
                <w:webHidden/>
              </w:rPr>
              <w:instrText xml:space="preserve"> PAGEREF _Toc219004251 \h </w:instrText>
            </w:r>
            <w:r>
              <w:rPr>
                <w:noProof/>
                <w:webHidden/>
              </w:rPr>
            </w:r>
            <w:r>
              <w:rPr>
                <w:noProof/>
                <w:webHidden/>
              </w:rPr>
              <w:fldChar w:fldCharType="separate"/>
            </w:r>
            <w:r>
              <w:rPr>
                <w:noProof/>
                <w:webHidden/>
              </w:rPr>
              <w:t>11</w:t>
            </w:r>
            <w:r>
              <w:rPr>
                <w:noProof/>
                <w:webHidden/>
              </w:rPr>
              <w:fldChar w:fldCharType="end"/>
            </w:r>
          </w:hyperlink>
        </w:p>
        <w:p w14:paraId="79469EDE" w14:textId="5C628B1C" w:rsidR="00AB6B98" w:rsidRDefault="00AB6B98">
          <w:pPr>
            <w:pStyle w:val="TOC3"/>
            <w:tabs>
              <w:tab w:val="right" w:leader="dot" w:pos="9350"/>
            </w:tabs>
            <w:rPr>
              <w:noProof/>
            </w:rPr>
          </w:pPr>
          <w:hyperlink w:anchor="_Toc219004252" w:history="1">
            <w:r w:rsidRPr="00436D07">
              <w:rPr>
                <w:rStyle w:val="Hyperlink"/>
                <w:noProof/>
              </w:rPr>
              <w:t>Receivables Days</w:t>
            </w:r>
            <w:r>
              <w:rPr>
                <w:noProof/>
                <w:webHidden/>
              </w:rPr>
              <w:tab/>
            </w:r>
            <w:r>
              <w:rPr>
                <w:noProof/>
                <w:webHidden/>
              </w:rPr>
              <w:fldChar w:fldCharType="begin"/>
            </w:r>
            <w:r>
              <w:rPr>
                <w:noProof/>
                <w:webHidden/>
              </w:rPr>
              <w:instrText xml:space="preserve"> PAGEREF _Toc219004252 \h </w:instrText>
            </w:r>
            <w:r>
              <w:rPr>
                <w:noProof/>
                <w:webHidden/>
              </w:rPr>
            </w:r>
            <w:r>
              <w:rPr>
                <w:noProof/>
                <w:webHidden/>
              </w:rPr>
              <w:fldChar w:fldCharType="separate"/>
            </w:r>
            <w:r>
              <w:rPr>
                <w:noProof/>
                <w:webHidden/>
              </w:rPr>
              <w:t>11</w:t>
            </w:r>
            <w:r>
              <w:rPr>
                <w:noProof/>
                <w:webHidden/>
              </w:rPr>
              <w:fldChar w:fldCharType="end"/>
            </w:r>
          </w:hyperlink>
        </w:p>
        <w:p w14:paraId="25499B31" w14:textId="79CDA3B0" w:rsidR="00AB6B98" w:rsidRDefault="00AB6B98">
          <w:pPr>
            <w:pStyle w:val="TOC3"/>
            <w:tabs>
              <w:tab w:val="right" w:leader="dot" w:pos="9350"/>
            </w:tabs>
            <w:rPr>
              <w:noProof/>
            </w:rPr>
          </w:pPr>
          <w:hyperlink w:anchor="_Toc219004253" w:history="1">
            <w:r w:rsidRPr="00436D07">
              <w:rPr>
                <w:rStyle w:val="Hyperlink"/>
                <w:noProof/>
              </w:rPr>
              <w:t>Payables Days</w:t>
            </w:r>
            <w:r>
              <w:rPr>
                <w:noProof/>
                <w:webHidden/>
              </w:rPr>
              <w:tab/>
            </w:r>
            <w:r>
              <w:rPr>
                <w:noProof/>
                <w:webHidden/>
              </w:rPr>
              <w:fldChar w:fldCharType="begin"/>
            </w:r>
            <w:r>
              <w:rPr>
                <w:noProof/>
                <w:webHidden/>
              </w:rPr>
              <w:instrText xml:space="preserve"> PAGEREF _Toc219004253 \h </w:instrText>
            </w:r>
            <w:r>
              <w:rPr>
                <w:noProof/>
                <w:webHidden/>
              </w:rPr>
            </w:r>
            <w:r>
              <w:rPr>
                <w:noProof/>
                <w:webHidden/>
              </w:rPr>
              <w:fldChar w:fldCharType="separate"/>
            </w:r>
            <w:r>
              <w:rPr>
                <w:noProof/>
                <w:webHidden/>
              </w:rPr>
              <w:t>12</w:t>
            </w:r>
            <w:r>
              <w:rPr>
                <w:noProof/>
                <w:webHidden/>
              </w:rPr>
              <w:fldChar w:fldCharType="end"/>
            </w:r>
          </w:hyperlink>
        </w:p>
        <w:p w14:paraId="13D37A0D" w14:textId="5DABFD05" w:rsidR="00AB6B98" w:rsidRDefault="00AB6B98">
          <w:pPr>
            <w:pStyle w:val="TOC2"/>
            <w:tabs>
              <w:tab w:val="right" w:leader="dot" w:pos="9350"/>
            </w:tabs>
            <w:rPr>
              <w:noProof/>
            </w:rPr>
          </w:pPr>
          <w:hyperlink w:anchor="_Toc219004254" w:history="1">
            <w:r w:rsidRPr="00436D07">
              <w:rPr>
                <w:rStyle w:val="Hyperlink"/>
                <w:noProof/>
              </w:rPr>
              <w:t>Investor Performance</w:t>
            </w:r>
            <w:r>
              <w:rPr>
                <w:noProof/>
                <w:webHidden/>
              </w:rPr>
              <w:tab/>
            </w:r>
            <w:r>
              <w:rPr>
                <w:noProof/>
                <w:webHidden/>
              </w:rPr>
              <w:fldChar w:fldCharType="begin"/>
            </w:r>
            <w:r>
              <w:rPr>
                <w:noProof/>
                <w:webHidden/>
              </w:rPr>
              <w:instrText xml:space="preserve"> PAGEREF _Toc219004254 \h </w:instrText>
            </w:r>
            <w:r>
              <w:rPr>
                <w:noProof/>
                <w:webHidden/>
              </w:rPr>
            </w:r>
            <w:r>
              <w:rPr>
                <w:noProof/>
                <w:webHidden/>
              </w:rPr>
              <w:fldChar w:fldCharType="separate"/>
            </w:r>
            <w:r>
              <w:rPr>
                <w:noProof/>
                <w:webHidden/>
              </w:rPr>
              <w:t>13</w:t>
            </w:r>
            <w:r>
              <w:rPr>
                <w:noProof/>
                <w:webHidden/>
              </w:rPr>
              <w:fldChar w:fldCharType="end"/>
            </w:r>
          </w:hyperlink>
        </w:p>
        <w:p w14:paraId="32FDF0A2" w14:textId="3CE71578" w:rsidR="00AB6B98" w:rsidRDefault="00AB6B98">
          <w:pPr>
            <w:pStyle w:val="TOC3"/>
            <w:tabs>
              <w:tab w:val="right" w:leader="dot" w:pos="9350"/>
            </w:tabs>
            <w:rPr>
              <w:noProof/>
            </w:rPr>
          </w:pPr>
          <w:hyperlink w:anchor="_Toc219004255" w:history="1">
            <w:r w:rsidRPr="00436D07">
              <w:rPr>
                <w:rStyle w:val="Hyperlink"/>
                <w:noProof/>
              </w:rPr>
              <w:t>Earnings Per Share (EPS)</w:t>
            </w:r>
            <w:r>
              <w:rPr>
                <w:noProof/>
                <w:webHidden/>
              </w:rPr>
              <w:tab/>
            </w:r>
            <w:r>
              <w:rPr>
                <w:noProof/>
                <w:webHidden/>
              </w:rPr>
              <w:fldChar w:fldCharType="begin"/>
            </w:r>
            <w:r>
              <w:rPr>
                <w:noProof/>
                <w:webHidden/>
              </w:rPr>
              <w:instrText xml:space="preserve"> PAGEREF _Toc219004255 \h </w:instrText>
            </w:r>
            <w:r>
              <w:rPr>
                <w:noProof/>
                <w:webHidden/>
              </w:rPr>
            </w:r>
            <w:r>
              <w:rPr>
                <w:noProof/>
                <w:webHidden/>
              </w:rPr>
              <w:fldChar w:fldCharType="separate"/>
            </w:r>
            <w:r>
              <w:rPr>
                <w:noProof/>
                <w:webHidden/>
              </w:rPr>
              <w:t>13</w:t>
            </w:r>
            <w:r>
              <w:rPr>
                <w:noProof/>
                <w:webHidden/>
              </w:rPr>
              <w:fldChar w:fldCharType="end"/>
            </w:r>
          </w:hyperlink>
        </w:p>
        <w:p w14:paraId="53053B43" w14:textId="219CDDF4" w:rsidR="00AB6B98" w:rsidRDefault="00AB6B98">
          <w:pPr>
            <w:pStyle w:val="TOC3"/>
            <w:tabs>
              <w:tab w:val="right" w:leader="dot" w:pos="9350"/>
            </w:tabs>
            <w:rPr>
              <w:noProof/>
            </w:rPr>
          </w:pPr>
          <w:hyperlink w:anchor="_Toc219004256" w:history="1">
            <w:r w:rsidRPr="00436D07">
              <w:rPr>
                <w:rStyle w:val="Hyperlink"/>
                <w:noProof/>
              </w:rPr>
              <w:t>Dividend per Share (DPS)</w:t>
            </w:r>
            <w:r>
              <w:rPr>
                <w:noProof/>
                <w:webHidden/>
              </w:rPr>
              <w:tab/>
            </w:r>
            <w:r>
              <w:rPr>
                <w:noProof/>
                <w:webHidden/>
              </w:rPr>
              <w:fldChar w:fldCharType="begin"/>
            </w:r>
            <w:r>
              <w:rPr>
                <w:noProof/>
                <w:webHidden/>
              </w:rPr>
              <w:instrText xml:space="preserve"> PAGEREF _Toc219004256 \h </w:instrText>
            </w:r>
            <w:r>
              <w:rPr>
                <w:noProof/>
                <w:webHidden/>
              </w:rPr>
            </w:r>
            <w:r>
              <w:rPr>
                <w:noProof/>
                <w:webHidden/>
              </w:rPr>
              <w:fldChar w:fldCharType="separate"/>
            </w:r>
            <w:r>
              <w:rPr>
                <w:noProof/>
                <w:webHidden/>
              </w:rPr>
              <w:t>13</w:t>
            </w:r>
            <w:r>
              <w:rPr>
                <w:noProof/>
                <w:webHidden/>
              </w:rPr>
              <w:fldChar w:fldCharType="end"/>
            </w:r>
          </w:hyperlink>
        </w:p>
        <w:p w14:paraId="0ABF4CF7" w14:textId="6452D332" w:rsidR="00AB6B98" w:rsidRDefault="00AB6B98">
          <w:pPr>
            <w:pStyle w:val="TOC3"/>
            <w:tabs>
              <w:tab w:val="right" w:leader="dot" w:pos="9350"/>
            </w:tabs>
            <w:rPr>
              <w:noProof/>
            </w:rPr>
          </w:pPr>
          <w:hyperlink w:anchor="_Toc219004257" w:history="1">
            <w:r w:rsidRPr="00436D07">
              <w:rPr>
                <w:rStyle w:val="Hyperlink"/>
                <w:noProof/>
              </w:rPr>
              <w:t>Dividend Cover and Dividend Yield</w:t>
            </w:r>
            <w:r>
              <w:rPr>
                <w:noProof/>
                <w:webHidden/>
              </w:rPr>
              <w:tab/>
            </w:r>
            <w:r>
              <w:rPr>
                <w:noProof/>
                <w:webHidden/>
              </w:rPr>
              <w:fldChar w:fldCharType="begin"/>
            </w:r>
            <w:r>
              <w:rPr>
                <w:noProof/>
                <w:webHidden/>
              </w:rPr>
              <w:instrText xml:space="preserve"> PAGEREF _Toc219004257 \h </w:instrText>
            </w:r>
            <w:r>
              <w:rPr>
                <w:noProof/>
                <w:webHidden/>
              </w:rPr>
            </w:r>
            <w:r>
              <w:rPr>
                <w:noProof/>
                <w:webHidden/>
              </w:rPr>
              <w:fldChar w:fldCharType="separate"/>
            </w:r>
            <w:r>
              <w:rPr>
                <w:noProof/>
                <w:webHidden/>
              </w:rPr>
              <w:t>14</w:t>
            </w:r>
            <w:r>
              <w:rPr>
                <w:noProof/>
                <w:webHidden/>
              </w:rPr>
              <w:fldChar w:fldCharType="end"/>
            </w:r>
          </w:hyperlink>
        </w:p>
        <w:p w14:paraId="67F8481D" w14:textId="50A2A044" w:rsidR="00AB6B98" w:rsidRDefault="00AB6B98">
          <w:pPr>
            <w:pStyle w:val="TOC3"/>
            <w:tabs>
              <w:tab w:val="right" w:leader="dot" w:pos="9350"/>
            </w:tabs>
            <w:rPr>
              <w:noProof/>
            </w:rPr>
          </w:pPr>
          <w:hyperlink w:anchor="_Toc219004258" w:history="1">
            <w:r w:rsidRPr="00436D07">
              <w:rPr>
                <w:rStyle w:val="Hyperlink"/>
                <w:noProof/>
              </w:rPr>
              <w:t>Interest Cover and Price/Earnings (P/E) Ratio</w:t>
            </w:r>
            <w:r>
              <w:rPr>
                <w:noProof/>
                <w:webHidden/>
              </w:rPr>
              <w:tab/>
            </w:r>
            <w:r>
              <w:rPr>
                <w:noProof/>
                <w:webHidden/>
              </w:rPr>
              <w:fldChar w:fldCharType="begin"/>
            </w:r>
            <w:r>
              <w:rPr>
                <w:noProof/>
                <w:webHidden/>
              </w:rPr>
              <w:instrText xml:space="preserve"> PAGEREF _Toc219004258 \h </w:instrText>
            </w:r>
            <w:r>
              <w:rPr>
                <w:noProof/>
                <w:webHidden/>
              </w:rPr>
            </w:r>
            <w:r>
              <w:rPr>
                <w:noProof/>
                <w:webHidden/>
              </w:rPr>
              <w:fldChar w:fldCharType="separate"/>
            </w:r>
            <w:r>
              <w:rPr>
                <w:noProof/>
                <w:webHidden/>
              </w:rPr>
              <w:t>15</w:t>
            </w:r>
            <w:r>
              <w:rPr>
                <w:noProof/>
                <w:webHidden/>
              </w:rPr>
              <w:fldChar w:fldCharType="end"/>
            </w:r>
          </w:hyperlink>
        </w:p>
        <w:p w14:paraId="3AF37D11" w14:textId="1C5ED898" w:rsidR="00AB6B98" w:rsidRDefault="00AB6B98">
          <w:pPr>
            <w:pStyle w:val="TOC1"/>
            <w:tabs>
              <w:tab w:val="right" w:leader="dot" w:pos="9350"/>
            </w:tabs>
            <w:rPr>
              <w:noProof/>
            </w:rPr>
          </w:pPr>
          <w:hyperlink w:anchor="_Toc219004259" w:history="1">
            <w:r w:rsidRPr="00436D07">
              <w:rPr>
                <w:rStyle w:val="Hyperlink"/>
                <w:noProof/>
              </w:rPr>
              <w:t>Part 2 – Investment Appraisal and Financing Decision</w:t>
            </w:r>
            <w:r>
              <w:rPr>
                <w:noProof/>
                <w:webHidden/>
              </w:rPr>
              <w:tab/>
            </w:r>
            <w:r>
              <w:rPr>
                <w:noProof/>
                <w:webHidden/>
              </w:rPr>
              <w:fldChar w:fldCharType="begin"/>
            </w:r>
            <w:r>
              <w:rPr>
                <w:noProof/>
                <w:webHidden/>
              </w:rPr>
              <w:instrText xml:space="preserve"> PAGEREF _Toc219004259 \h </w:instrText>
            </w:r>
            <w:r>
              <w:rPr>
                <w:noProof/>
                <w:webHidden/>
              </w:rPr>
            </w:r>
            <w:r>
              <w:rPr>
                <w:noProof/>
                <w:webHidden/>
              </w:rPr>
              <w:fldChar w:fldCharType="separate"/>
            </w:r>
            <w:r>
              <w:rPr>
                <w:noProof/>
                <w:webHidden/>
              </w:rPr>
              <w:t>15</w:t>
            </w:r>
            <w:r>
              <w:rPr>
                <w:noProof/>
                <w:webHidden/>
              </w:rPr>
              <w:fldChar w:fldCharType="end"/>
            </w:r>
          </w:hyperlink>
        </w:p>
        <w:p w14:paraId="2A11CAAC" w14:textId="32B6DE91" w:rsidR="00AB6B98" w:rsidRDefault="00AB6B98">
          <w:pPr>
            <w:pStyle w:val="TOC2"/>
            <w:tabs>
              <w:tab w:val="right" w:leader="dot" w:pos="9350"/>
            </w:tabs>
            <w:rPr>
              <w:noProof/>
            </w:rPr>
          </w:pPr>
          <w:hyperlink w:anchor="_Toc219004260" w:history="1">
            <w:r w:rsidRPr="00436D07">
              <w:rPr>
                <w:rStyle w:val="Hyperlink"/>
                <w:noProof/>
              </w:rPr>
              <w:t>The Investment Proposal</w:t>
            </w:r>
            <w:r>
              <w:rPr>
                <w:noProof/>
                <w:webHidden/>
              </w:rPr>
              <w:tab/>
            </w:r>
            <w:r>
              <w:rPr>
                <w:noProof/>
                <w:webHidden/>
              </w:rPr>
              <w:fldChar w:fldCharType="begin"/>
            </w:r>
            <w:r>
              <w:rPr>
                <w:noProof/>
                <w:webHidden/>
              </w:rPr>
              <w:instrText xml:space="preserve"> PAGEREF _Toc219004260 \h </w:instrText>
            </w:r>
            <w:r>
              <w:rPr>
                <w:noProof/>
                <w:webHidden/>
              </w:rPr>
            </w:r>
            <w:r>
              <w:rPr>
                <w:noProof/>
                <w:webHidden/>
              </w:rPr>
              <w:fldChar w:fldCharType="separate"/>
            </w:r>
            <w:r>
              <w:rPr>
                <w:noProof/>
                <w:webHidden/>
              </w:rPr>
              <w:t>15</w:t>
            </w:r>
            <w:r>
              <w:rPr>
                <w:noProof/>
                <w:webHidden/>
              </w:rPr>
              <w:fldChar w:fldCharType="end"/>
            </w:r>
          </w:hyperlink>
        </w:p>
        <w:p w14:paraId="0798E5A1" w14:textId="0A121A72" w:rsidR="00AB6B98" w:rsidRDefault="00AB6B98">
          <w:pPr>
            <w:pStyle w:val="TOC2"/>
            <w:tabs>
              <w:tab w:val="right" w:leader="dot" w:pos="9350"/>
            </w:tabs>
            <w:rPr>
              <w:noProof/>
            </w:rPr>
          </w:pPr>
          <w:hyperlink w:anchor="_Toc219004261" w:history="1">
            <w:r w:rsidRPr="00436D07">
              <w:rPr>
                <w:rStyle w:val="Hyperlink"/>
                <w:noProof/>
              </w:rPr>
              <w:t>Net Present Value (NPV)</w:t>
            </w:r>
            <w:r>
              <w:rPr>
                <w:noProof/>
                <w:webHidden/>
              </w:rPr>
              <w:tab/>
            </w:r>
            <w:r>
              <w:rPr>
                <w:noProof/>
                <w:webHidden/>
              </w:rPr>
              <w:fldChar w:fldCharType="begin"/>
            </w:r>
            <w:r>
              <w:rPr>
                <w:noProof/>
                <w:webHidden/>
              </w:rPr>
              <w:instrText xml:space="preserve"> PAGEREF _Toc219004261 \h </w:instrText>
            </w:r>
            <w:r>
              <w:rPr>
                <w:noProof/>
                <w:webHidden/>
              </w:rPr>
            </w:r>
            <w:r>
              <w:rPr>
                <w:noProof/>
                <w:webHidden/>
              </w:rPr>
              <w:fldChar w:fldCharType="separate"/>
            </w:r>
            <w:r>
              <w:rPr>
                <w:noProof/>
                <w:webHidden/>
              </w:rPr>
              <w:t>16</w:t>
            </w:r>
            <w:r>
              <w:rPr>
                <w:noProof/>
                <w:webHidden/>
              </w:rPr>
              <w:fldChar w:fldCharType="end"/>
            </w:r>
          </w:hyperlink>
        </w:p>
        <w:p w14:paraId="0FAE0D5C" w14:textId="0B6116C8" w:rsidR="00AB6B98" w:rsidRDefault="00AB6B98">
          <w:pPr>
            <w:pStyle w:val="TOC2"/>
            <w:tabs>
              <w:tab w:val="right" w:leader="dot" w:pos="9350"/>
            </w:tabs>
            <w:rPr>
              <w:noProof/>
            </w:rPr>
          </w:pPr>
          <w:hyperlink w:anchor="_Toc219004262" w:history="1">
            <w:r w:rsidRPr="00436D07">
              <w:rPr>
                <w:rStyle w:val="Hyperlink"/>
                <w:noProof/>
              </w:rPr>
              <w:t>Internal Rate of Return</w:t>
            </w:r>
            <w:r>
              <w:rPr>
                <w:noProof/>
                <w:webHidden/>
              </w:rPr>
              <w:tab/>
            </w:r>
            <w:r>
              <w:rPr>
                <w:noProof/>
                <w:webHidden/>
              </w:rPr>
              <w:fldChar w:fldCharType="begin"/>
            </w:r>
            <w:r>
              <w:rPr>
                <w:noProof/>
                <w:webHidden/>
              </w:rPr>
              <w:instrText xml:space="preserve"> PAGEREF _Toc219004262 \h </w:instrText>
            </w:r>
            <w:r>
              <w:rPr>
                <w:noProof/>
                <w:webHidden/>
              </w:rPr>
            </w:r>
            <w:r>
              <w:rPr>
                <w:noProof/>
                <w:webHidden/>
              </w:rPr>
              <w:fldChar w:fldCharType="separate"/>
            </w:r>
            <w:r>
              <w:rPr>
                <w:noProof/>
                <w:webHidden/>
              </w:rPr>
              <w:t>16</w:t>
            </w:r>
            <w:r>
              <w:rPr>
                <w:noProof/>
                <w:webHidden/>
              </w:rPr>
              <w:fldChar w:fldCharType="end"/>
            </w:r>
          </w:hyperlink>
        </w:p>
        <w:p w14:paraId="23433AEB" w14:textId="54CF34D1" w:rsidR="00AB6B98" w:rsidRDefault="00AB6B98">
          <w:pPr>
            <w:pStyle w:val="TOC2"/>
            <w:tabs>
              <w:tab w:val="right" w:leader="dot" w:pos="9350"/>
            </w:tabs>
            <w:rPr>
              <w:noProof/>
            </w:rPr>
          </w:pPr>
          <w:hyperlink w:anchor="_Toc219004263" w:history="1">
            <w:r w:rsidRPr="00436D07">
              <w:rPr>
                <w:rStyle w:val="Hyperlink"/>
                <w:noProof/>
              </w:rPr>
              <w:t>Payback Period</w:t>
            </w:r>
            <w:r>
              <w:rPr>
                <w:noProof/>
                <w:webHidden/>
              </w:rPr>
              <w:tab/>
            </w:r>
            <w:r>
              <w:rPr>
                <w:noProof/>
                <w:webHidden/>
              </w:rPr>
              <w:fldChar w:fldCharType="begin"/>
            </w:r>
            <w:r>
              <w:rPr>
                <w:noProof/>
                <w:webHidden/>
              </w:rPr>
              <w:instrText xml:space="preserve"> PAGEREF _Toc219004263 \h </w:instrText>
            </w:r>
            <w:r>
              <w:rPr>
                <w:noProof/>
                <w:webHidden/>
              </w:rPr>
            </w:r>
            <w:r>
              <w:rPr>
                <w:noProof/>
                <w:webHidden/>
              </w:rPr>
              <w:fldChar w:fldCharType="separate"/>
            </w:r>
            <w:r>
              <w:rPr>
                <w:noProof/>
                <w:webHidden/>
              </w:rPr>
              <w:t>17</w:t>
            </w:r>
            <w:r>
              <w:rPr>
                <w:noProof/>
                <w:webHidden/>
              </w:rPr>
              <w:fldChar w:fldCharType="end"/>
            </w:r>
          </w:hyperlink>
        </w:p>
        <w:p w14:paraId="6538218F" w14:textId="665AD079" w:rsidR="00AB6B98" w:rsidRDefault="00AB6B98">
          <w:pPr>
            <w:pStyle w:val="TOC2"/>
            <w:tabs>
              <w:tab w:val="right" w:leader="dot" w:pos="9350"/>
            </w:tabs>
            <w:rPr>
              <w:noProof/>
            </w:rPr>
          </w:pPr>
          <w:hyperlink w:anchor="_Toc219004264" w:history="1">
            <w:r w:rsidRPr="00436D07">
              <w:rPr>
                <w:rStyle w:val="Hyperlink"/>
                <w:noProof/>
              </w:rPr>
              <w:t>Capital Rationing and Project Selection</w:t>
            </w:r>
            <w:r>
              <w:rPr>
                <w:noProof/>
                <w:webHidden/>
              </w:rPr>
              <w:tab/>
            </w:r>
            <w:r>
              <w:rPr>
                <w:noProof/>
                <w:webHidden/>
              </w:rPr>
              <w:fldChar w:fldCharType="begin"/>
            </w:r>
            <w:r>
              <w:rPr>
                <w:noProof/>
                <w:webHidden/>
              </w:rPr>
              <w:instrText xml:space="preserve"> PAGEREF _Toc219004264 \h </w:instrText>
            </w:r>
            <w:r>
              <w:rPr>
                <w:noProof/>
                <w:webHidden/>
              </w:rPr>
            </w:r>
            <w:r>
              <w:rPr>
                <w:noProof/>
                <w:webHidden/>
              </w:rPr>
              <w:fldChar w:fldCharType="separate"/>
            </w:r>
            <w:r>
              <w:rPr>
                <w:noProof/>
                <w:webHidden/>
              </w:rPr>
              <w:t>18</w:t>
            </w:r>
            <w:r>
              <w:rPr>
                <w:noProof/>
                <w:webHidden/>
              </w:rPr>
              <w:fldChar w:fldCharType="end"/>
            </w:r>
          </w:hyperlink>
        </w:p>
        <w:p w14:paraId="356C6323" w14:textId="2C93A8D8" w:rsidR="00AB6B98" w:rsidRDefault="00AB6B98">
          <w:pPr>
            <w:pStyle w:val="TOC2"/>
            <w:tabs>
              <w:tab w:val="right" w:leader="dot" w:pos="9350"/>
            </w:tabs>
            <w:rPr>
              <w:noProof/>
            </w:rPr>
          </w:pPr>
          <w:hyperlink w:anchor="_Toc219004265" w:history="1">
            <w:r w:rsidRPr="00436D07">
              <w:rPr>
                <w:rStyle w:val="Hyperlink"/>
                <w:noProof/>
              </w:rPr>
              <w:t>Overall Investment Recommendation</w:t>
            </w:r>
            <w:r>
              <w:rPr>
                <w:noProof/>
                <w:webHidden/>
              </w:rPr>
              <w:tab/>
            </w:r>
            <w:r>
              <w:rPr>
                <w:noProof/>
                <w:webHidden/>
              </w:rPr>
              <w:fldChar w:fldCharType="begin"/>
            </w:r>
            <w:r>
              <w:rPr>
                <w:noProof/>
                <w:webHidden/>
              </w:rPr>
              <w:instrText xml:space="preserve"> PAGEREF _Toc219004265 \h </w:instrText>
            </w:r>
            <w:r>
              <w:rPr>
                <w:noProof/>
                <w:webHidden/>
              </w:rPr>
            </w:r>
            <w:r>
              <w:rPr>
                <w:noProof/>
                <w:webHidden/>
              </w:rPr>
              <w:fldChar w:fldCharType="separate"/>
            </w:r>
            <w:r>
              <w:rPr>
                <w:noProof/>
                <w:webHidden/>
              </w:rPr>
              <w:t>19</w:t>
            </w:r>
            <w:r>
              <w:rPr>
                <w:noProof/>
                <w:webHidden/>
              </w:rPr>
              <w:fldChar w:fldCharType="end"/>
            </w:r>
          </w:hyperlink>
        </w:p>
        <w:p w14:paraId="1A23F6AE" w14:textId="0B03B16D" w:rsidR="00AB6B98" w:rsidRDefault="00AB6B98">
          <w:pPr>
            <w:pStyle w:val="TOC2"/>
            <w:tabs>
              <w:tab w:val="right" w:leader="dot" w:pos="9350"/>
            </w:tabs>
            <w:rPr>
              <w:noProof/>
            </w:rPr>
          </w:pPr>
          <w:hyperlink w:anchor="_Toc219004266" w:history="1">
            <w:r w:rsidRPr="00436D07">
              <w:rPr>
                <w:rStyle w:val="Hyperlink"/>
                <w:noProof/>
              </w:rPr>
              <w:t>Theoretical Justification for Net Present Value as the Preferred Appraisal Method</w:t>
            </w:r>
            <w:r>
              <w:rPr>
                <w:noProof/>
                <w:webHidden/>
              </w:rPr>
              <w:tab/>
            </w:r>
            <w:r>
              <w:rPr>
                <w:noProof/>
                <w:webHidden/>
              </w:rPr>
              <w:fldChar w:fldCharType="begin"/>
            </w:r>
            <w:r>
              <w:rPr>
                <w:noProof/>
                <w:webHidden/>
              </w:rPr>
              <w:instrText xml:space="preserve"> PAGEREF _Toc219004266 \h </w:instrText>
            </w:r>
            <w:r>
              <w:rPr>
                <w:noProof/>
                <w:webHidden/>
              </w:rPr>
            </w:r>
            <w:r>
              <w:rPr>
                <w:noProof/>
                <w:webHidden/>
              </w:rPr>
              <w:fldChar w:fldCharType="separate"/>
            </w:r>
            <w:r>
              <w:rPr>
                <w:noProof/>
                <w:webHidden/>
              </w:rPr>
              <w:t>19</w:t>
            </w:r>
            <w:r>
              <w:rPr>
                <w:noProof/>
                <w:webHidden/>
              </w:rPr>
              <w:fldChar w:fldCharType="end"/>
            </w:r>
          </w:hyperlink>
        </w:p>
        <w:p w14:paraId="70BB3731" w14:textId="357046F3" w:rsidR="00AB6B98" w:rsidRDefault="00AB6B98">
          <w:pPr>
            <w:pStyle w:val="TOC2"/>
            <w:tabs>
              <w:tab w:val="right" w:leader="dot" w:pos="9350"/>
            </w:tabs>
            <w:rPr>
              <w:noProof/>
            </w:rPr>
          </w:pPr>
          <w:hyperlink w:anchor="_Toc219004267" w:history="1">
            <w:r w:rsidRPr="00436D07">
              <w:rPr>
                <w:rStyle w:val="Hyperlink"/>
                <w:noProof/>
              </w:rPr>
              <w:t>Reasons for the Continued Popularity of Non-Discounting Methods</w:t>
            </w:r>
            <w:r>
              <w:rPr>
                <w:noProof/>
                <w:webHidden/>
              </w:rPr>
              <w:tab/>
            </w:r>
            <w:r>
              <w:rPr>
                <w:noProof/>
                <w:webHidden/>
              </w:rPr>
              <w:fldChar w:fldCharType="begin"/>
            </w:r>
            <w:r>
              <w:rPr>
                <w:noProof/>
                <w:webHidden/>
              </w:rPr>
              <w:instrText xml:space="preserve"> PAGEREF _Toc219004267 \h </w:instrText>
            </w:r>
            <w:r>
              <w:rPr>
                <w:noProof/>
                <w:webHidden/>
              </w:rPr>
            </w:r>
            <w:r>
              <w:rPr>
                <w:noProof/>
                <w:webHidden/>
              </w:rPr>
              <w:fldChar w:fldCharType="separate"/>
            </w:r>
            <w:r>
              <w:rPr>
                <w:noProof/>
                <w:webHidden/>
              </w:rPr>
              <w:t>20</w:t>
            </w:r>
            <w:r>
              <w:rPr>
                <w:noProof/>
                <w:webHidden/>
              </w:rPr>
              <w:fldChar w:fldCharType="end"/>
            </w:r>
          </w:hyperlink>
        </w:p>
        <w:p w14:paraId="594145AA" w14:textId="5F3A36B0" w:rsidR="00AB6B98" w:rsidRDefault="00AB6B98">
          <w:pPr>
            <w:pStyle w:val="TOC2"/>
            <w:tabs>
              <w:tab w:val="right" w:leader="dot" w:pos="9350"/>
            </w:tabs>
            <w:rPr>
              <w:noProof/>
            </w:rPr>
          </w:pPr>
          <w:hyperlink w:anchor="_Toc219004268" w:history="1">
            <w:r w:rsidRPr="00436D07">
              <w:rPr>
                <w:rStyle w:val="Hyperlink"/>
                <w:noProof/>
              </w:rPr>
              <w:t>Other Factors to Consider Before Making an Investment Decision</w:t>
            </w:r>
            <w:r>
              <w:rPr>
                <w:noProof/>
                <w:webHidden/>
              </w:rPr>
              <w:tab/>
            </w:r>
            <w:r>
              <w:rPr>
                <w:noProof/>
                <w:webHidden/>
              </w:rPr>
              <w:fldChar w:fldCharType="begin"/>
            </w:r>
            <w:r>
              <w:rPr>
                <w:noProof/>
                <w:webHidden/>
              </w:rPr>
              <w:instrText xml:space="preserve"> PAGEREF _Toc219004268 \h </w:instrText>
            </w:r>
            <w:r>
              <w:rPr>
                <w:noProof/>
                <w:webHidden/>
              </w:rPr>
            </w:r>
            <w:r>
              <w:rPr>
                <w:noProof/>
                <w:webHidden/>
              </w:rPr>
              <w:fldChar w:fldCharType="separate"/>
            </w:r>
            <w:r>
              <w:rPr>
                <w:noProof/>
                <w:webHidden/>
              </w:rPr>
              <w:t>20</w:t>
            </w:r>
            <w:r>
              <w:rPr>
                <w:noProof/>
                <w:webHidden/>
              </w:rPr>
              <w:fldChar w:fldCharType="end"/>
            </w:r>
          </w:hyperlink>
        </w:p>
        <w:p w14:paraId="381A7622" w14:textId="57D98C45" w:rsidR="00AB6B98" w:rsidRDefault="00AB6B98">
          <w:pPr>
            <w:pStyle w:val="TOC1"/>
            <w:tabs>
              <w:tab w:val="right" w:leader="dot" w:pos="9350"/>
            </w:tabs>
            <w:rPr>
              <w:noProof/>
            </w:rPr>
          </w:pPr>
          <w:hyperlink w:anchor="_Toc219004269" w:history="1">
            <w:r w:rsidRPr="00436D07">
              <w:rPr>
                <w:rStyle w:val="Hyperlink"/>
                <w:noProof/>
              </w:rPr>
              <w:t>Conclusion</w:t>
            </w:r>
            <w:r>
              <w:rPr>
                <w:noProof/>
                <w:webHidden/>
              </w:rPr>
              <w:tab/>
            </w:r>
            <w:r>
              <w:rPr>
                <w:noProof/>
                <w:webHidden/>
              </w:rPr>
              <w:fldChar w:fldCharType="begin"/>
            </w:r>
            <w:r>
              <w:rPr>
                <w:noProof/>
                <w:webHidden/>
              </w:rPr>
              <w:instrText xml:space="preserve"> PAGEREF _Toc219004269 \h </w:instrText>
            </w:r>
            <w:r>
              <w:rPr>
                <w:noProof/>
                <w:webHidden/>
              </w:rPr>
            </w:r>
            <w:r>
              <w:rPr>
                <w:noProof/>
                <w:webHidden/>
              </w:rPr>
              <w:fldChar w:fldCharType="separate"/>
            </w:r>
            <w:r>
              <w:rPr>
                <w:noProof/>
                <w:webHidden/>
              </w:rPr>
              <w:t>21</w:t>
            </w:r>
            <w:r>
              <w:rPr>
                <w:noProof/>
                <w:webHidden/>
              </w:rPr>
              <w:fldChar w:fldCharType="end"/>
            </w:r>
          </w:hyperlink>
        </w:p>
        <w:p w14:paraId="12EBFADD" w14:textId="4FE70842" w:rsidR="00AB6B98" w:rsidRDefault="00AB6B98">
          <w:r>
            <w:rPr>
              <w:b/>
              <w:bCs/>
              <w:noProof/>
            </w:rPr>
            <w:fldChar w:fldCharType="end"/>
          </w:r>
        </w:p>
      </w:sdtContent>
    </w:sdt>
    <w:p w14:paraId="0970BA03" w14:textId="77777777" w:rsidR="00AB6B98" w:rsidRDefault="00AB6B98" w:rsidP="00BE65DB">
      <w:pPr>
        <w:spacing w:line="360" w:lineRule="auto"/>
        <w:jc w:val="both"/>
        <w:rPr>
          <w:rFonts w:ascii="Times New Roman" w:hAnsi="Times New Roman" w:cs="Times New Roman"/>
        </w:rPr>
      </w:pPr>
    </w:p>
    <w:p w14:paraId="49283DF4" w14:textId="77777777" w:rsidR="00AB6B98" w:rsidRDefault="00AB6B98" w:rsidP="00BE65DB">
      <w:pPr>
        <w:spacing w:line="360" w:lineRule="auto"/>
        <w:jc w:val="both"/>
        <w:rPr>
          <w:rFonts w:ascii="Times New Roman" w:hAnsi="Times New Roman" w:cs="Times New Roman"/>
        </w:rPr>
      </w:pPr>
    </w:p>
    <w:p w14:paraId="7BEB1648" w14:textId="77777777" w:rsidR="00AB6B98" w:rsidRDefault="00AB6B98" w:rsidP="00BE65DB">
      <w:pPr>
        <w:spacing w:line="360" w:lineRule="auto"/>
        <w:jc w:val="both"/>
        <w:rPr>
          <w:rFonts w:ascii="Times New Roman" w:hAnsi="Times New Roman" w:cs="Times New Roman"/>
        </w:rPr>
      </w:pPr>
    </w:p>
    <w:p w14:paraId="3E738FD8" w14:textId="77777777" w:rsidR="00AB6B98" w:rsidRDefault="00AB6B98" w:rsidP="00BE65DB">
      <w:pPr>
        <w:spacing w:line="360" w:lineRule="auto"/>
        <w:jc w:val="both"/>
        <w:rPr>
          <w:rFonts w:ascii="Times New Roman" w:hAnsi="Times New Roman" w:cs="Times New Roman"/>
        </w:rPr>
      </w:pPr>
    </w:p>
    <w:p w14:paraId="3966BB6B" w14:textId="77777777" w:rsidR="00AB6B98" w:rsidRDefault="00AB6B98" w:rsidP="00BE65DB">
      <w:pPr>
        <w:spacing w:line="360" w:lineRule="auto"/>
        <w:jc w:val="both"/>
        <w:rPr>
          <w:rFonts w:ascii="Times New Roman" w:hAnsi="Times New Roman" w:cs="Times New Roman"/>
        </w:rPr>
      </w:pPr>
    </w:p>
    <w:p w14:paraId="2AD91C96" w14:textId="77777777" w:rsidR="00AB6B98" w:rsidRDefault="00AB6B98" w:rsidP="00BE65DB">
      <w:pPr>
        <w:spacing w:line="360" w:lineRule="auto"/>
        <w:jc w:val="both"/>
        <w:rPr>
          <w:rFonts w:ascii="Times New Roman" w:hAnsi="Times New Roman" w:cs="Times New Roman"/>
        </w:rPr>
      </w:pPr>
    </w:p>
    <w:p w14:paraId="061FDEDA" w14:textId="77777777" w:rsidR="00AB6B98" w:rsidRDefault="00AB6B98" w:rsidP="00BE65DB">
      <w:pPr>
        <w:spacing w:line="360" w:lineRule="auto"/>
        <w:jc w:val="both"/>
        <w:rPr>
          <w:rFonts w:ascii="Times New Roman" w:hAnsi="Times New Roman" w:cs="Times New Roman"/>
        </w:rPr>
      </w:pPr>
    </w:p>
    <w:p w14:paraId="2BC3ABB7" w14:textId="77777777" w:rsidR="00AB6B98" w:rsidRDefault="00AB6B98" w:rsidP="00BE65DB">
      <w:pPr>
        <w:spacing w:line="360" w:lineRule="auto"/>
        <w:jc w:val="both"/>
        <w:rPr>
          <w:rFonts w:ascii="Times New Roman" w:hAnsi="Times New Roman" w:cs="Times New Roman"/>
        </w:rPr>
      </w:pPr>
    </w:p>
    <w:p w14:paraId="5564417C" w14:textId="77777777" w:rsidR="00AB6B98" w:rsidRDefault="00AB6B98" w:rsidP="00BE65DB">
      <w:pPr>
        <w:spacing w:line="360" w:lineRule="auto"/>
        <w:jc w:val="both"/>
        <w:rPr>
          <w:rFonts w:ascii="Times New Roman" w:hAnsi="Times New Roman" w:cs="Times New Roman"/>
        </w:rPr>
      </w:pPr>
    </w:p>
    <w:p w14:paraId="2ECFD312" w14:textId="77777777" w:rsidR="00AB6B98" w:rsidRDefault="00AB6B98" w:rsidP="00BE65DB">
      <w:pPr>
        <w:spacing w:line="360" w:lineRule="auto"/>
        <w:jc w:val="both"/>
        <w:rPr>
          <w:rFonts w:ascii="Times New Roman" w:hAnsi="Times New Roman" w:cs="Times New Roman"/>
        </w:rPr>
      </w:pPr>
    </w:p>
    <w:p w14:paraId="5749E948" w14:textId="77777777" w:rsidR="00AB6B98" w:rsidRDefault="00AB6B98" w:rsidP="00BE65DB">
      <w:pPr>
        <w:spacing w:line="360" w:lineRule="auto"/>
        <w:jc w:val="both"/>
        <w:rPr>
          <w:rFonts w:ascii="Times New Roman" w:hAnsi="Times New Roman" w:cs="Times New Roman"/>
        </w:rPr>
      </w:pPr>
    </w:p>
    <w:p w14:paraId="65A0B4F6" w14:textId="77777777" w:rsidR="00AB6B98" w:rsidRDefault="00AB6B98" w:rsidP="00BE65DB">
      <w:pPr>
        <w:spacing w:line="360" w:lineRule="auto"/>
        <w:jc w:val="both"/>
        <w:rPr>
          <w:rFonts w:ascii="Times New Roman" w:hAnsi="Times New Roman" w:cs="Times New Roman"/>
        </w:rPr>
      </w:pPr>
    </w:p>
    <w:p w14:paraId="1E4A9949" w14:textId="77777777" w:rsidR="00AB6B98" w:rsidRDefault="00AB6B98" w:rsidP="00BE65DB">
      <w:pPr>
        <w:spacing w:line="360" w:lineRule="auto"/>
        <w:jc w:val="both"/>
        <w:rPr>
          <w:rFonts w:ascii="Times New Roman" w:hAnsi="Times New Roman" w:cs="Times New Roman"/>
        </w:rPr>
      </w:pPr>
    </w:p>
    <w:p w14:paraId="77266472" w14:textId="77777777" w:rsidR="00AB6B98" w:rsidRDefault="00AB6B98" w:rsidP="00BE65DB">
      <w:pPr>
        <w:spacing w:line="360" w:lineRule="auto"/>
        <w:jc w:val="both"/>
        <w:rPr>
          <w:rFonts w:ascii="Times New Roman" w:hAnsi="Times New Roman" w:cs="Times New Roman"/>
        </w:rPr>
      </w:pPr>
    </w:p>
    <w:p w14:paraId="1E3AC052" w14:textId="77777777" w:rsidR="00BE65DB" w:rsidRPr="002D55CB" w:rsidRDefault="00BE65DB" w:rsidP="00BE65DB">
      <w:pPr>
        <w:spacing w:line="360" w:lineRule="auto"/>
        <w:jc w:val="both"/>
        <w:rPr>
          <w:rFonts w:ascii="Times New Roman" w:hAnsi="Times New Roman" w:cs="Times New Roman"/>
        </w:rPr>
      </w:pPr>
    </w:p>
    <w:p w14:paraId="6D339F18" w14:textId="3D91F3E8" w:rsidR="002D55CB" w:rsidRDefault="002D55CB" w:rsidP="00815B72">
      <w:pPr>
        <w:pStyle w:val="Heading1"/>
      </w:pPr>
      <w:bookmarkStart w:id="0" w:name="_Toc219004234"/>
      <w:r>
        <w:lastRenderedPageBreak/>
        <w:t>Introduction</w:t>
      </w:r>
      <w:bookmarkEnd w:id="0"/>
    </w:p>
    <w:p w14:paraId="08BE1FF0" w14:textId="77777777" w:rsidR="00F41BCA" w:rsidRPr="00F41BCA" w:rsidRDefault="00F41BCA" w:rsidP="00F41BCA">
      <w:pPr>
        <w:spacing w:line="360" w:lineRule="auto"/>
        <w:jc w:val="both"/>
        <w:rPr>
          <w:rFonts w:ascii="Times New Roman" w:hAnsi="Times New Roman" w:cs="Times New Roman"/>
        </w:rPr>
      </w:pPr>
      <w:bookmarkStart w:id="1" w:name="_Toc219004269"/>
      <w:r w:rsidRPr="00F41BCA">
        <w:rPr>
          <w:rFonts w:ascii="Times New Roman" w:hAnsi="Times New Roman" w:cs="Times New Roman"/>
        </w:rPr>
        <w:t xml:space="preserve">Financial management assumes a pivotal position in shaping and analyzing whether organizations make effective use of resources and whether organizations </w:t>
      </w:r>
      <w:proofErr w:type="gramStart"/>
      <w:r w:rsidRPr="00F41BCA">
        <w:rPr>
          <w:rFonts w:ascii="Times New Roman" w:hAnsi="Times New Roman" w:cs="Times New Roman"/>
        </w:rPr>
        <w:t>are able to</w:t>
      </w:r>
      <w:proofErr w:type="gramEnd"/>
      <w:r w:rsidRPr="00F41BCA">
        <w:rPr>
          <w:rFonts w:ascii="Times New Roman" w:hAnsi="Times New Roman" w:cs="Times New Roman"/>
        </w:rPr>
        <w:t xml:space="preserve"> create value for their shareholders. (Adler, 2010; Lichtenstein and Dade, 2007; de Jongh, 2011) The concepts of this assignment will be used to analyze historical and current investment practices by organizations.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Allen, 2021)</w:t>
      </w:r>
    </w:p>
    <w:p w14:paraId="00DBFC8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Part 1 focuses on the analysis of financial performance and position of NEXT plc through ratio analysis, based on the annual reports of the company. (Alexander and Britton, 2017; Elliott and Elliott, 2017; Van </w:t>
      </w:r>
      <w:proofErr w:type="spellStart"/>
      <w:r w:rsidRPr="00F41BCA">
        <w:rPr>
          <w:rFonts w:ascii="Times New Roman" w:hAnsi="Times New Roman" w:cs="Times New Roman"/>
        </w:rPr>
        <w:t>Greuning</w:t>
      </w:r>
      <w:proofErr w:type="spellEnd"/>
      <w:r w:rsidRPr="00F41BCA">
        <w:rPr>
          <w:rFonts w:ascii="Times New Roman" w:hAnsi="Times New Roman" w:cs="Times New Roman"/>
        </w:rPr>
        <w:t>, 2006; Palmer, 2018; Bragg, 2018; Sanzo, 2005) Profitability ratios, liquidity ratios, efficiency ratios, gearing ratios, and investor return ratios are analyzed in order to determine the effectiveness of the company in managing the business during the period from January 2024 through January 2025.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xml:space="preserve">, 2018;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2019; Jones, 2014; Thomas, 2022; Kimmel, Weygandt and Kieso, 2016)</w:t>
      </w:r>
    </w:p>
    <w:p w14:paraId="12728AD4"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Part 2 moves from historical evaluation to capital investment appraisal. (Madura, 2018; Connolly, 2007) Based on a hypothetical investment case study on Westward plc, three alternative projects will be critically appraised based on Net Present Value, Internal Rate of Return, and Payback Period, taking into consideration taxation, capital allowances, as well as </w:t>
      </w:r>
      <w:proofErr w:type="gramStart"/>
      <w:r w:rsidRPr="00F41BCA">
        <w:rPr>
          <w:rFonts w:ascii="Times New Roman" w:hAnsi="Times New Roman" w:cs="Times New Roman"/>
        </w:rPr>
        <w:t>a cost</w:t>
      </w:r>
      <w:proofErr w:type="gramEnd"/>
      <w:r w:rsidRPr="00F41BCA">
        <w:rPr>
          <w:rFonts w:ascii="Times New Roman" w:hAnsi="Times New Roman" w:cs="Times New Roman"/>
        </w:rPr>
        <w:t xml:space="preserve"> of capital, before covering capital rationing based on a fixed budget. (CFI, 2022; Spring, 2018; </w:t>
      </w:r>
      <w:proofErr w:type="spellStart"/>
      <w:r w:rsidRPr="00F41BCA">
        <w:rPr>
          <w:rFonts w:ascii="Times New Roman" w:hAnsi="Times New Roman" w:cs="Times New Roman"/>
        </w:rPr>
        <w:t>Imarticus</w:t>
      </w:r>
      <w:proofErr w:type="spellEnd"/>
      <w:r w:rsidRPr="00F41BCA">
        <w:rPr>
          <w:rFonts w:ascii="Times New Roman" w:hAnsi="Times New Roman" w:cs="Times New Roman"/>
        </w:rPr>
        <w:t xml:space="preserve">, 2024) Through the combination of </w:t>
      </w:r>
      <w:proofErr w:type="gramStart"/>
      <w:r w:rsidRPr="00F41BCA">
        <w:rPr>
          <w:rFonts w:ascii="Times New Roman" w:hAnsi="Times New Roman" w:cs="Times New Roman"/>
        </w:rPr>
        <w:t>the quantitative</w:t>
      </w:r>
      <w:proofErr w:type="gramEnd"/>
      <w:r w:rsidRPr="00F41BCA">
        <w:rPr>
          <w:rFonts w:ascii="Times New Roman" w:hAnsi="Times New Roman" w:cs="Times New Roman"/>
        </w:rPr>
        <w:t xml:space="preserve"> appraisal and </w:t>
      </w:r>
      <w:proofErr w:type="gramStart"/>
      <w:r w:rsidRPr="00F41BCA">
        <w:rPr>
          <w:rFonts w:ascii="Times New Roman" w:hAnsi="Times New Roman" w:cs="Times New Roman"/>
        </w:rPr>
        <w:t>the critical</w:t>
      </w:r>
      <w:proofErr w:type="gramEnd"/>
      <w:r w:rsidRPr="00F41BCA">
        <w:rPr>
          <w:rFonts w:ascii="Times New Roman" w:hAnsi="Times New Roman" w:cs="Times New Roman"/>
        </w:rPr>
        <w:t xml:space="preserve"> evaluation, the assignment </w:t>
      </w:r>
      <w:proofErr w:type="gramStart"/>
      <w:r w:rsidRPr="00F41BCA">
        <w:rPr>
          <w:rFonts w:ascii="Times New Roman" w:hAnsi="Times New Roman" w:cs="Times New Roman"/>
        </w:rPr>
        <w:t>is able to</w:t>
      </w:r>
      <w:proofErr w:type="gramEnd"/>
      <w:r w:rsidRPr="00F41BCA">
        <w:rPr>
          <w:rFonts w:ascii="Times New Roman" w:hAnsi="Times New Roman" w:cs="Times New Roman"/>
        </w:rPr>
        <w:t xml:space="preserve"> show the </w:t>
      </w:r>
      <w:proofErr w:type="gramStart"/>
      <w:r w:rsidRPr="00F41BCA">
        <w:rPr>
          <w:rFonts w:ascii="Times New Roman" w:hAnsi="Times New Roman" w:cs="Times New Roman"/>
        </w:rPr>
        <w:t>manner in which</w:t>
      </w:r>
      <w:proofErr w:type="gramEnd"/>
      <w:r w:rsidRPr="00F41BCA">
        <w:rPr>
          <w:rFonts w:ascii="Times New Roman" w:hAnsi="Times New Roman" w:cs="Times New Roman"/>
        </w:rPr>
        <w:t xml:space="preserve"> financial managers can make strategic financial decisions. (Campbell,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1449C393" w14:textId="1384071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Together, these two aspects also explain the workings of both financial statement analysis and investment appraisal in financial management practices. (Palepu and Healy, 2020;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w:t>
      </w:r>
    </w:p>
    <w:p w14:paraId="6CE08BA8" w14:textId="77777777" w:rsidR="00F41BCA" w:rsidRPr="00F41BCA" w:rsidRDefault="00F41BCA" w:rsidP="00F41BCA">
      <w:pPr>
        <w:pStyle w:val="Heading1"/>
        <w:rPr>
          <w:rFonts w:eastAsiaTheme="minorHAnsi"/>
        </w:rPr>
      </w:pPr>
      <w:r w:rsidRPr="00F41BCA">
        <w:rPr>
          <w:rFonts w:eastAsiaTheme="minorHAnsi"/>
        </w:rPr>
        <w:t>Part 1</w:t>
      </w:r>
    </w:p>
    <w:p w14:paraId="7D5AA124" w14:textId="77777777" w:rsidR="00F41BCA" w:rsidRPr="00F41BCA" w:rsidRDefault="00F41BCA" w:rsidP="00F41BCA">
      <w:pPr>
        <w:pStyle w:val="Heading2"/>
        <w:rPr>
          <w:rFonts w:eastAsiaTheme="minorHAnsi"/>
        </w:rPr>
      </w:pPr>
      <w:r w:rsidRPr="00F41BCA">
        <w:rPr>
          <w:rFonts w:eastAsiaTheme="minorHAnsi"/>
        </w:rPr>
        <w:t>Profitability Analysis</w:t>
      </w:r>
    </w:p>
    <w:p w14:paraId="18E4DEB0" w14:textId="77777777" w:rsidR="00F41BCA" w:rsidRPr="00F41BCA" w:rsidRDefault="00F41BCA" w:rsidP="00F41BCA">
      <w:pPr>
        <w:spacing w:line="360" w:lineRule="auto"/>
        <w:jc w:val="both"/>
        <w:rPr>
          <w:rFonts w:ascii="Times New Roman" w:hAnsi="Times New Roman" w:cs="Times New Roman"/>
        </w:rPr>
      </w:pPr>
      <w:proofErr w:type="gramStart"/>
      <w:r w:rsidRPr="00F41BCA">
        <w:rPr>
          <w:rFonts w:ascii="Times New Roman" w:hAnsi="Times New Roman" w:cs="Times New Roman"/>
        </w:rPr>
        <w:t>A number of</w:t>
      </w:r>
      <w:proofErr w:type="gramEnd"/>
      <w:r w:rsidRPr="00F41BCA">
        <w:rPr>
          <w:rFonts w:ascii="Times New Roman" w:hAnsi="Times New Roman" w:cs="Times New Roman"/>
        </w:rPr>
        <w:t xml:space="preserve"> ratios are included under profitability analysis, and they evaluate how effectively a company </w:t>
      </w:r>
      <w:proofErr w:type="gramStart"/>
      <w:r w:rsidRPr="00F41BCA">
        <w:rPr>
          <w:rFonts w:ascii="Times New Roman" w:hAnsi="Times New Roman" w:cs="Times New Roman"/>
        </w:rPr>
        <w:t>is able to</w:t>
      </w:r>
      <w:proofErr w:type="gramEnd"/>
      <w:r w:rsidRPr="00F41BCA">
        <w:rPr>
          <w:rFonts w:ascii="Times New Roman" w:hAnsi="Times New Roman" w:cs="Times New Roman"/>
        </w:rPr>
        <w:t xml:space="preserve"> create profit from its sales and from the other investments that it received. (Bragg, 2018; Palmer, 2018) Profitability is one of the key metrics of business success, and it is </w:t>
      </w:r>
      <w:r w:rsidRPr="00F41BCA">
        <w:rPr>
          <w:rFonts w:ascii="Times New Roman" w:hAnsi="Times New Roman" w:cs="Times New Roman"/>
        </w:rPr>
        <w:lastRenderedPageBreak/>
        <w:t>important for companies to remain profitable to remain relevant and competitive in their industries. (Best, 2013; Campbell, 2021) This is especially true for highly competitive industries such as the retail industry in the UK. (Johannesson, 2021; Surridge, 2022)</w:t>
      </w:r>
    </w:p>
    <w:p w14:paraId="6B206486" w14:textId="47F81680"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NEXT plc is a retail company operating in the UK, and as such is under immense pressure due to the rising cost of production, rising wages, logistics etc. (Chopra, 2021; Flynn, 2021) Thus, profitability analysis is immensely important for the organization as it </w:t>
      </w:r>
      <w:proofErr w:type="gramStart"/>
      <w:r w:rsidRPr="00F41BCA">
        <w:rPr>
          <w:rFonts w:ascii="Times New Roman" w:hAnsi="Times New Roman" w:cs="Times New Roman"/>
        </w:rPr>
        <w:t>allows for</w:t>
      </w:r>
      <w:proofErr w:type="gramEnd"/>
      <w:r w:rsidRPr="00F41BCA">
        <w:rPr>
          <w:rFonts w:ascii="Times New Roman" w:hAnsi="Times New Roman" w:cs="Times New Roman"/>
        </w:rPr>
        <w:t xml:space="preserve"> the company to communicate to its stakeholders its potential, presenting itself as a viable option for their support. (Adler, 2010; H. Kent Baker and Ricciardi, 2014) It is also important for internal communication within the organization. (Adler, 2010)</w:t>
      </w:r>
    </w:p>
    <w:p w14:paraId="54BD472A" w14:textId="77777777" w:rsidR="00F41BCA" w:rsidRPr="00F41BCA" w:rsidRDefault="00F41BCA" w:rsidP="00F41BCA">
      <w:pPr>
        <w:pStyle w:val="Heading2"/>
        <w:rPr>
          <w:rFonts w:eastAsiaTheme="minorHAnsi"/>
        </w:rPr>
      </w:pPr>
      <w:r w:rsidRPr="00F41BCA">
        <w:rPr>
          <w:rFonts w:eastAsiaTheme="minorHAnsi"/>
        </w:rPr>
        <w:t>Revenue and Margin Performance</w:t>
      </w:r>
    </w:p>
    <w:p w14:paraId="7C5FF20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 the year that ended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January 2024, NEXT plc acquired revenue of approximately £5.49 billion. In the year that ended on January 2025, this figure increased to approximately £6.12 billion. This is a clear improvement in the revenue of the company. (Palepu and Healy, 2020;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xml:space="preserve">, 2025) The main factors behind this increase </w:t>
      </w:r>
      <w:proofErr w:type="gramStart"/>
      <w:r w:rsidRPr="00F41BCA">
        <w:rPr>
          <w:rFonts w:ascii="Times New Roman" w:hAnsi="Times New Roman" w:cs="Times New Roman"/>
        </w:rPr>
        <w:t>was</w:t>
      </w:r>
      <w:proofErr w:type="gramEnd"/>
      <w:r w:rsidRPr="00F41BCA">
        <w:rPr>
          <w:rFonts w:ascii="Times New Roman" w:hAnsi="Times New Roman" w:cs="Times New Roman"/>
        </w:rPr>
        <w:t xml:space="preserve"> online sales, the Total Platform segment, and resilience in the face of challenges. (Best, 2013; </w:t>
      </w:r>
      <w:proofErr w:type="spellStart"/>
      <w:r w:rsidRPr="00F41BCA">
        <w:rPr>
          <w:rFonts w:ascii="Times New Roman" w:hAnsi="Times New Roman" w:cs="Times New Roman"/>
        </w:rPr>
        <w:t>Aydiner</w:t>
      </w:r>
      <w:proofErr w:type="spellEnd"/>
      <w:r w:rsidRPr="00F41BCA">
        <w:rPr>
          <w:rFonts w:ascii="Times New Roman" w:hAnsi="Times New Roman" w:cs="Times New Roman"/>
        </w:rPr>
        <w:t xml:space="preserve">, </w:t>
      </w:r>
      <w:proofErr w:type="spellStart"/>
      <w:r w:rsidRPr="00F41BCA">
        <w:rPr>
          <w:rFonts w:ascii="Times New Roman" w:hAnsi="Times New Roman" w:cs="Times New Roman"/>
        </w:rPr>
        <w:t>Tatoglu</w:t>
      </w:r>
      <w:proofErr w:type="spellEnd"/>
      <w:r w:rsidRPr="00F41BCA">
        <w:rPr>
          <w:rFonts w:ascii="Times New Roman" w:hAnsi="Times New Roman" w:cs="Times New Roman"/>
        </w:rPr>
        <w:t>, Bayraktar, Zaim and Delen, 2019; CFI TEAM, n.d.)</w:t>
      </w:r>
    </w:p>
    <w:p w14:paraId="07D57D65"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Revenue growth is not a good indicator of business success, as it only measures how much the company </w:t>
      </w:r>
      <w:proofErr w:type="gramStart"/>
      <w:r w:rsidRPr="00F41BCA">
        <w:rPr>
          <w:rFonts w:ascii="Times New Roman" w:hAnsi="Times New Roman" w:cs="Times New Roman"/>
        </w:rPr>
        <w:t>got</w:t>
      </w:r>
      <w:proofErr w:type="gramEnd"/>
      <w:r w:rsidRPr="00F41BCA">
        <w:rPr>
          <w:rFonts w:ascii="Times New Roman" w:hAnsi="Times New Roman" w:cs="Times New Roman"/>
        </w:rPr>
        <w:t xml:space="preserve"> from sales, not how much profit it made. (Palepu and Healy, 2020;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2025) A better metric of business success is gross profit margin, which deals with the profit made after covering costs of sales. (</w:t>
      </w:r>
      <w:proofErr w:type="spellStart"/>
      <w:r w:rsidRPr="00F41BCA">
        <w:rPr>
          <w:rFonts w:ascii="Times New Roman" w:hAnsi="Times New Roman" w:cs="Times New Roman"/>
        </w:rPr>
        <w:t>Bloomenthal</w:t>
      </w:r>
      <w:proofErr w:type="spellEnd"/>
      <w:r w:rsidRPr="00F41BCA">
        <w:rPr>
          <w:rFonts w:ascii="Times New Roman" w:hAnsi="Times New Roman" w:cs="Times New Roman"/>
        </w:rPr>
        <w:t>, 2025; Bragg, 2018)</w:t>
      </w:r>
    </w:p>
    <w:p w14:paraId="1DFB995D" w14:textId="0486F1D4"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NEXT plc’s profits increased in the two years as well. In January 2024, the company’s profits stood at 44.1%. </w:t>
      </w:r>
      <w:proofErr w:type="gramStart"/>
      <w:r w:rsidRPr="00F41BCA">
        <w:rPr>
          <w:rFonts w:ascii="Times New Roman" w:hAnsi="Times New Roman" w:cs="Times New Roman"/>
        </w:rPr>
        <w:t>In</w:t>
      </w:r>
      <w:proofErr w:type="gramEnd"/>
      <w:r w:rsidRPr="00F41BCA">
        <w:rPr>
          <w:rFonts w:ascii="Times New Roman" w:hAnsi="Times New Roman" w:cs="Times New Roman"/>
        </w:rPr>
        <w:t xml:space="preserve"> the same time next year, however, the profit was 43.2%. This means that the company </w:t>
      </w:r>
      <w:proofErr w:type="gramStart"/>
      <w:r w:rsidRPr="00F41BCA">
        <w:rPr>
          <w:rFonts w:ascii="Times New Roman" w:hAnsi="Times New Roman" w:cs="Times New Roman"/>
        </w:rPr>
        <w:t>became</w:t>
      </w:r>
      <w:proofErr w:type="gramEnd"/>
      <w:r w:rsidRPr="00F41BCA">
        <w:rPr>
          <w:rFonts w:ascii="Times New Roman" w:hAnsi="Times New Roman" w:cs="Times New Roman"/>
        </w:rPr>
        <w:t xml:space="preserve"> less profitable. (</w:t>
      </w:r>
      <w:proofErr w:type="spellStart"/>
      <w:r w:rsidRPr="00F41BCA">
        <w:rPr>
          <w:rFonts w:ascii="Times New Roman" w:hAnsi="Times New Roman" w:cs="Times New Roman"/>
        </w:rPr>
        <w:t>Bloomenthal</w:t>
      </w:r>
      <w:proofErr w:type="spellEnd"/>
      <w:r w:rsidRPr="00F41BCA">
        <w:rPr>
          <w:rFonts w:ascii="Times New Roman" w:hAnsi="Times New Roman" w:cs="Times New Roman"/>
        </w:rPr>
        <w:t>, 2025; Bragg, 2018) This is mostly not due to pricing, sourcing, and inventory management, but rather pressure from suppliers, logistical limitations, and increasing cost of operations. (Chopra, 2021; Flynn, 2021; Gligor, 2020)</w:t>
      </w:r>
    </w:p>
    <w:p w14:paraId="583741B3" w14:textId="77777777" w:rsidR="00F41BCA" w:rsidRPr="00F41BCA" w:rsidRDefault="00F41BCA" w:rsidP="00F41BCA">
      <w:pPr>
        <w:pStyle w:val="Heading2"/>
        <w:rPr>
          <w:rFonts w:eastAsiaTheme="minorHAnsi"/>
        </w:rPr>
      </w:pPr>
      <w:r w:rsidRPr="00F41BCA">
        <w:rPr>
          <w:rFonts w:eastAsiaTheme="minorHAnsi"/>
        </w:rPr>
        <w:t>Operating and Net Profitability</w:t>
      </w:r>
    </w:p>
    <w:p w14:paraId="5AE063B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Operating profit margin is another important metric of business success, as it shows how well a company handles its operating costs in comparison to its revenue. (Hayes, 2025; Bragg, 2018) This </w:t>
      </w:r>
      <w:r w:rsidRPr="00F41BCA">
        <w:rPr>
          <w:rFonts w:ascii="Times New Roman" w:hAnsi="Times New Roman" w:cs="Times New Roman"/>
        </w:rPr>
        <w:lastRenderedPageBreak/>
        <w:t>is measured before financing and taxation is measured.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 Thomas, 2022) This is particularly relevant for retailers. (Johannesson, 2021)</w:t>
      </w:r>
    </w:p>
    <w:p w14:paraId="6D5E4EB3"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the year that ended January 2024, NEXT plc earned an operating profit of approximately £987.9m. Same time in the following year, the operating profit was over £1,075.4m. This indicates that the operating profits increased year-on-year. (Hayes, 2025; Palepu and Healy, 2020) It also indicates that the operating costs of the company grew slower than its revenue, suggesting effective operational management. (Adler, 2010; Campbell, 2021)</w:t>
      </w:r>
    </w:p>
    <w:p w14:paraId="55FE2675"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This improvement in operational profitability is quite impressive, given the pressures on the UK retail sector from inflation, increasing wages, energy costs, and overhead costs. (Surridge, 2022; Johannesson, 2021) This indicates the management at NEXT plc was able to effectively run the business and ensure efficient production of value for the customers. (Adler, 2010; Best, 2013) The company’s digital business model also added to the amount of revenue significantly. (</w:t>
      </w:r>
      <w:proofErr w:type="spellStart"/>
      <w:r w:rsidRPr="00F41BCA">
        <w:rPr>
          <w:rFonts w:ascii="Times New Roman" w:hAnsi="Times New Roman" w:cs="Times New Roman"/>
        </w:rPr>
        <w:t>Aydiner</w:t>
      </w:r>
      <w:proofErr w:type="spellEnd"/>
      <w:r w:rsidRPr="00F41BCA">
        <w:rPr>
          <w:rFonts w:ascii="Times New Roman" w:hAnsi="Times New Roman" w:cs="Times New Roman"/>
        </w:rPr>
        <w:t xml:space="preserve">, </w:t>
      </w:r>
      <w:proofErr w:type="spellStart"/>
      <w:r w:rsidRPr="00F41BCA">
        <w:rPr>
          <w:rFonts w:ascii="Times New Roman" w:hAnsi="Times New Roman" w:cs="Times New Roman"/>
        </w:rPr>
        <w:t>Tatoglu</w:t>
      </w:r>
      <w:proofErr w:type="spellEnd"/>
      <w:r w:rsidRPr="00F41BCA">
        <w:rPr>
          <w:rFonts w:ascii="Times New Roman" w:hAnsi="Times New Roman" w:cs="Times New Roman"/>
        </w:rPr>
        <w:t>, Bayraktar, Zaim and Delen, 2019)</w:t>
      </w:r>
    </w:p>
    <w:p w14:paraId="1216330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Another important metric of business success is net profit. This gives insight into overall profitability by </w:t>
      </w:r>
      <w:proofErr w:type="gramStart"/>
      <w:r w:rsidRPr="00F41BCA">
        <w:rPr>
          <w:rFonts w:ascii="Times New Roman" w:hAnsi="Times New Roman" w:cs="Times New Roman"/>
        </w:rPr>
        <w:t>taking into account</w:t>
      </w:r>
      <w:proofErr w:type="gramEnd"/>
      <w:r w:rsidRPr="00F41BCA">
        <w:rPr>
          <w:rFonts w:ascii="Times New Roman" w:hAnsi="Times New Roman" w:cs="Times New Roman"/>
        </w:rPr>
        <w:t xml:space="preserve"> financing and taxation.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xml:space="preserve">, 2025;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xml:space="preserve">, 2019) For the year that ended on January 2024, </w:t>
      </w:r>
      <w:proofErr w:type="gramStart"/>
      <w:r w:rsidRPr="00F41BCA">
        <w:rPr>
          <w:rFonts w:ascii="Times New Roman" w:hAnsi="Times New Roman" w:cs="Times New Roman"/>
        </w:rPr>
        <w:t>the NEXT</w:t>
      </w:r>
      <w:proofErr w:type="gramEnd"/>
      <w:r w:rsidRPr="00F41BCA">
        <w:rPr>
          <w:rFonts w:ascii="Times New Roman" w:hAnsi="Times New Roman" w:cs="Times New Roman"/>
        </w:rPr>
        <w:t xml:space="preserve"> plc’s net profit margin was £800.5 million. This decreased to £743.2 million in the next year.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2025; Palepu and Healy, 2020)</w:t>
      </w:r>
    </w:p>
    <w:p w14:paraId="36805E08" w14:textId="4815B9D5"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Due to the financing costs being on an upward trajectory, NEXT plc’s profit decreased. (Allen, 2021; Almeida and Campello, 2005) This suggests that the company was unable to increase its operating profits enough to counteract rising financing costs. (Allen, 2021) This caused the company to give decreased returns to the shareholders and retain less earnings for itself. (Lichtenstein and Dade, 2007; de Jongh, 2011)</w:t>
      </w:r>
    </w:p>
    <w:p w14:paraId="75A434B1" w14:textId="77777777" w:rsidR="00F41BCA" w:rsidRPr="00F41BCA" w:rsidRDefault="00F41BCA" w:rsidP="00F41BCA">
      <w:pPr>
        <w:pStyle w:val="Heading2"/>
        <w:rPr>
          <w:rFonts w:eastAsiaTheme="minorHAnsi"/>
        </w:rPr>
      </w:pPr>
      <w:r w:rsidRPr="00F41BCA">
        <w:rPr>
          <w:rFonts w:eastAsiaTheme="minorHAnsi"/>
        </w:rPr>
        <w:t>Return Measures</w:t>
      </w:r>
    </w:p>
    <w:p w14:paraId="37DF28FF" w14:textId="6E72E059"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Shareholders are among the most important stakeholders of a company, if not the most. (de Jongh, 2011; Lichtenstein and Dade, 2007) This is why ROCE and ROE are important. (Maverick, 2022; Fernando, 2025) Profit margins evaluate a company’s performance against its revenues. Return ratios, on the other hand, measure business success through the returns that the company gives for the investments. (Palepu and Healy, 2020; Bragg, 2018)</w:t>
      </w:r>
    </w:p>
    <w:p w14:paraId="0734969B" w14:textId="77777777" w:rsidR="00F41BCA" w:rsidRPr="00F41BCA" w:rsidRDefault="00F41BCA" w:rsidP="00F41BCA">
      <w:pPr>
        <w:pStyle w:val="Heading3"/>
        <w:rPr>
          <w:rFonts w:eastAsiaTheme="minorHAnsi"/>
        </w:rPr>
      </w:pPr>
      <w:r w:rsidRPr="00F41BCA">
        <w:rPr>
          <w:rFonts w:eastAsiaTheme="minorHAnsi"/>
        </w:rPr>
        <w:lastRenderedPageBreak/>
        <w:t>Return on Capital Employed (ROCE)</w:t>
      </w:r>
    </w:p>
    <w:p w14:paraId="0782753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Return on Capital Employed (ROCE) measures the return that a company gives from the capital that is invested in its business in the long-term. (Maverick, 2022; Bragg, 2018) It uses operating profit as a measure. This shows how effectively the company utilizes its capital. (Palepu and Healy, 2020; Bragg, 2018)</w:t>
      </w:r>
    </w:p>
    <w:p w14:paraId="32D7FF66"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the year that ended on January 2024, NEXT plc had a ROCE of 21.03%. Next year, its ROCE increased to 22.09%. This indicates that the company was able to generate more. This indicates that the company was able to utilize its capital effectively. (Maverick, 2022; Palmer, 2018)</w:t>
      </w:r>
    </w:p>
    <w:p w14:paraId="4228D813" w14:textId="774D6043"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efficiency in the company’s use of its long-term capital, suggests that the company employed intelligent investment approaches. (Campbell, 2021;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w:t>
      </w:r>
      <w:proofErr w:type="gramStart"/>
      <w:r w:rsidRPr="00F41BCA">
        <w:rPr>
          <w:rFonts w:ascii="Times New Roman" w:hAnsi="Times New Roman" w:cs="Times New Roman"/>
        </w:rPr>
        <w:t>These capital</w:t>
      </w:r>
      <w:proofErr w:type="gramEnd"/>
      <w:r w:rsidRPr="00F41BCA">
        <w:rPr>
          <w:rFonts w:ascii="Times New Roman" w:hAnsi="Times New Roman" w:cs="Times New Roman"/>
        </w:rPr>
        <w:t xml:space="preserve"> include infrastructure, logistics, automation, and digital capabilities. (Chopra, 2021; </w:t>
      </w:r>
      <w:proofErr w:type="spellStart"/>
      <w:r w:rsidRPr="00F41BCA">
        <w:rPr>
          <w:rFonts w:ascii="Times New Roman" w:hAnsi="Times New Roman" w:cs="Times New Roman"/>
        </w:rPr>
        <w:t>Aydiner</w:t>
      </w:r>
      <w:proofErr w:type="spellEnd"/>
      <w:r w:rsidRPr="00F41BCA">
        <w:rPr>
          <w:rFonts w:ascii="Times New Roman" w:hAnsi="Times New Roman" w:cs="Times New Roman"/>
        </w:rPr>
        <w:t xml:space="preserve">, </w:t>
      </w:r>
      <w:proofErr w:type="spellStart"/>
      <w:r w:rsidRPr="00F41BCA">
        <w:rPr>
          <w:rFonts w:ascii="Times New Roman" w:hAnsi="Times New Roman" w:cs="Times New Roman"/>
        </w:rPr>
        <w:t>Tatoglu</w:t>
      </w:r>
      <w:proofErr w:type="spellEnd"/>
      <w:r w:rsidRPr="00F41BCA">
        <w:rPr>
          <w:rFonts w:ascii="Times New Roman" w:hAnsi="Times New Roman" w:cs="Times New Roman"/>
        </w:rPr>
        <w:t xml:space="preserve">, Bayraktar, Zaim and Delen, 2019) Although a fast expansion come with significant risk, the company was able to mitigate that through intelligent planning.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33F62D4A" w14:textId="77777777" w:rsidR="00F41BCA" w:rsidRPr="00F41BCA" w:rsidRDefault="00F41BCA" w:rsidP="00F41BCA">
      <w:pPr>
        <w:pStyle w:val="Heading3"/>
        <w:rPr>
          <w:rFonts w:eastAsiaTheme="minorHAnsi"/>
        </w:rPr>
      </w:pPr>
      <w:r w:rsidRPr="00F41BCA">
        <w:rPr>
          <w:rFonts w:eastAsiaTheme="minorHAnsi"/>
        </w:rPr>
        <w:t xml:space="preserve">Return </w:t>
      </w:r>
      <w:proofErr w:type="gramStart"/>
      <w:r w:rsidRPr="00F41BCA">
        <w:rPr>
          <w:rFonts w:eastAsiaTheme="minorHAnsi"/>
        </w:rPr>
        <w:t>on</w:t>
      </w:r>
      <w:proofErr w:type="gramEnd"/>
      <w:r w:rsidRPr="00F41BCA">
        <w:rPr>
          <w:rFonts w:eastAsiaTheme="minorHAnsi"/>
        </w:rPr>
        <w:t xml:space="preserve"> Equity (ROE)</w:t>
      </w:r>
    </w:p>
    <w:p w14:paraId="0634484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Return on Equity (ROE) is the return that a company creates for the shareholders for their investments. It is one of the most important metrics of business success. (Fernando, 2025; Lichtenstein and Dade, 2007)</w:t>
      </w:r>
    </w:p>
    <w:p w14:paraId="1EC6725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For the year that ended on January 2024, NEXT plc had a ROE of 48.9%. There was a notable decrease by the next year, when the ROE became 42.4% This is in line with the decreased profitability of the company, which was then unable to transfer much value </w:t>
      </w:r>
      <w:proofErr w:type="gramStart"/>
      <w:r w:rsidRPr="00F41BCA">
        <w:rPr>
          <w:rFonts w:ascii="Times New Roman" w:hAnsi="Times New Roman" w:cs="Times New Roman"/>
        </w:rPr>
        <w:t>for</w:t>
      </w:r>
      <w:proofErr w:type="gramEnd"/>
      <w:r w:rsidRPr="00F41BCA">
        <w:rPr>
          <w:rFonts w:ascii="Times New Roman" w:hAnsi="Times New Roman" w:cs="Times New Roman"/>
        </w:rPr>
        <w:t xml:space="preserve"> its shareholders as return. (Fernando, 2025;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2025)</w:t>
      </w:r>
    </w:p>
    <w:p w14:paraId="7F9C405B" w14:textId="4C2A3DE1"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It should be noted that decrease in the ROE is only partly due to the company’s lacking organizational capabilities, and more likely to be due to financial leverage and capital structure. (Allen, 2021; M Djoko Hanantijo, 2023) While increasing ROE makes a company attractive for investors, it is not something that NEXT plc can keep up indefinitely, given the volatile situation in the market. (H. Kent Baker and Ricciardi, 2014; Neneh, 2020)</w:t>
      </w:r>
    </w:p>
    <w:p w14:paraId="285DF1B9" w14:textId="77777777" w:rsidR="00F41BCA" w:rsidRPr="00F41BCA" w:rsidRDefault="00F41BCA" w:rsidP="00F41BCA">
      <w:pPr>
        <w:pStyle w:val="Heading2"/>
        <w:rPr>
          <w:rFonts w:eastAsiaTheme="minorHAnsi"/>
        </w:rPr>
      </w:pPr>
      <w:r w:rsidRPr="00F41BCA">
        <w:rPr>
          <w:rFonts w:eastAsiaTheme="minorHAnsi"/>
        </w:rPr>
        <w:lastRenderedPageBreak/>
        <w:t>Liquidity</w:t>
      </w:r>
    </w:p>
    <w:p w14:paraId="59674860" w14:textId="5DE598F8"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Liquidity refers to a company’s ability to meet its short-term obligations. (CFI, 2020;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 It is a very important factor for retailers such as NEXT plc, as it has a lot of short-term obligations, especially to its suppliers. (Chopra, 2021; Gligor, 2020)</w:t>
      </w:r>
    </w:p>
    <w:p w14:paraId="6A507B0A" w14:textId="77777777" w:rsidR="00F41BCA" w:rsidRPr="00F41BCA" w:rsidRDefault="00F41BCA" w:rsidP="00F41BCA">
      <w:pPr>
        <w:pStyle w:val="Heading3"/>
        <w:rPr>
          <w:rFonts w:eastAsiaTheme="minorHAnsi"/>
        </w:rPr>
      </w:pPr>
      <w:r w:rsidRPr="00F41BCA">
        <w:rPr>
          <w:rFonts w:eastAsiaTheme="minorHAnsi"/>
        </w:rPr>
        <w:t>Current Ratio</w:t>
      </w:r>
    </w:p>
    <w:p w14:paraId="2C8D2B9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current ratio is a measure of the current assets that a company has against the current obligations that the company has. It is a measure of whether the company can meet its short-term obligations with its short-term assets. (CFI, 2020; Bragg, 2018)</w:t>
      </w:r>
    </w:p>
    <w:p w14:paraId="3ECEFEFA"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For the year that ended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January 2024, NEXT plc had a current ratio of 0.86. In the next </w:t>
      </w:r>
      <w:proofErr w:type="gramStart"/>
      <w:r w:rsidRPr="00F41BCA">
        <w:rPr>
          <w:rFonts w:ascii="Times New Roman" w:hAnsi="Times New Roman" w:cs="Times New Roman"/>
        </w:rPr>
        <w:t>year</w:t>
      </w:r>
      <w:proofErr w:type="gramEnd"/>
      <w:r w:rsidRPr="00F41BCA">
        <w:rPr>
          <w:rFonts w:ascii="Times New Roman" w:hAnsi="Times New Roman" w:cs="Times New Roman"/>
        </w:rPr>
        <w:t xml:space="preserve"> that ended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January 2025, the company’s current ratio was 0.87. The ratio remained unchanged in these two years. Moreover, a value of less than one </w:t>
      </w:r>
      <w:proofErr w:type="gramStart"/>
      <w:r w:rsidRPr="00F41BCA">
        <w:rPr>
          <w:rFonts w:ascii="Times New Roman" w:hAnsi="Times New Roman" w:cs="Times New Roman"/>
        </w:rPr>
        <w:t>indicate</w:t>
      </w:r>
      <w:proofErr w:type="gramEnd"/>
      <w:r w:rsidRPr="00F41BCA">
        <w:rPr>
          <w:rFonts w:ascii="Times New Roman" w:hAnsi="Times New Roman" w:cs="Times New Roman"/>
        </w:rPr>
        <w:t xml:space="preserve"> that the company cannot meet its current obligations with its current assets. (CFI, 2020;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w:t>
      </w:r>
    </w:p>
    <w:p w14:paraId="1616DD10" w14:textId="0B94CE23"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Although it seems to be a weakness, it is instead a calculated risk by NEXT plc.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 Instead of keeping idle capital in the hope of liquification to ensure a better current ratio, the company instead relies on its regular cash flow from its retail locations and online platforms. (Palepu and Healy, 2020; Johannesson, 2021) However, in the event of a decline in the cashflow, this approach could backfire. (Allen, 2021; Neneh, 2020)</w:t>
      </w:r>
    </w:p>
    <w:p w14:paraId="062B788C" w14:textId="77777777" w:rsidR="00F41BCA" w:rsidRPr="00F41BCA" w:rsidRDefault="00F41BCA" w:rsidP="00F41BCA">
      <w:pPr>
        <w:pStyle w:val="Heading3"/>
        <w:rPr>
          <w:rFonts w:eastAsiaTheme="minorHAnsi"/>
        </w:rPr>
      </w:pPr>
      <w:r w:rsidRPr="00F41BCA">
        <w:rPr>
          <w:rFonts w:eastAsiaTheme="minorHAnsi"/>
        </w:rPr>
        <w:t>Quick Ratio</w:t>
      </w:r>
    </w:p>
    <w:p w14:paraId="4CBC3C25"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Quick ratio is also known as acid-test ratio. It is a measure of liquidity. However, unlike current ratio, it excludes the inventory from current assets. (CFI, 2020; Bragg, 2018)</w:t>
      </w:r>
    </w:p>
    <w:p w14:paraId="6C5C3480"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For the year that ended on January 2024, NEXT plc had a quick ratio of 0.56. In the next </w:t>
      </w:r>
      <w:proofErr w:type="gramStart"/>
      <w:r w:rsidRPr="00F41BCA">
        <w:rPr>
          <w:rFonts w:ascii="Times New Roman" w:hAnsi="Times New Roman" w:cs="Times New Roman"/>
        </w:rPr>
        <w:t>year</w:t>
      </w:r>
      <w:proofErr w:type="gramEnd"/>
      <w:r w:rsidRPr="00F41BCA">
        <w:rPr>
          <w:rFonts w:ascii="Times New Roman" w:hAnsi="Times New Roman" w:cs="Times New Roman"/>
        </w:rPr>
        <w:t xml:space="preserve"> that ended on January 2025, the company’s quick ratio increased barely and became 0.57. Both remained below one. (CFI, 2020;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w:t>
      </w:r>
    </w:p>
    <w:p w14:paraId="2D252FC8" w14:textId="4E42FEC0"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rate indicates that without selling its current inventory, NEXT plc would not be able to meet its short-term obligations. (CFI, 2020; </w:t>
      </w:r>
      <w:proofErr w:type="spellStart"/>
      <w:r w:rsidRPr="00F41BCA">
        <w:rPr>
          <w:rFonts w:ascii="Times New Roman" w:hAnsi="Times New Roman" w:cs="Times New Roman"/>
        </w:rPr>
        <w:t>Orobia</w:t>
      </w:r>
      <w:proofErr w:type="spellEnd"/>
      <w:r w:rsidRPr="00F41BCA">
        <w:rPr>
          <w:rFonts w:ascii="Times New Roman" w:hAnsi="Times New Roman" w:cs="Times New Roman"/>
        </w:rPr>
        <w:t xml:space="preserve">, Nakibuuka, </w:t>
      </w:r>
      <w:proofErr w:type="spellStart"/>
      <w:r w:rsidRPr="00F41BCA">
        <w:rPr>
          <w:rFonts w:ascii="Times New Roman" w:hAnsi="Times New Roman" w:cs="Times New Roman"/>
        </w:rPr>
        <w:t>Bananuka</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Akisimire</w:t>
      </w:r>
      <w:proofErr w:type="spellEnd"/>
      <w:r w:rsidRPr="00F41BCA">
        <w:rPr>
          <w:rFonts w:ascii="Times New Roman" w:hAnsi="Times New Roman" w:cs="Times New Roman"/>
        </w:rPr>
        <w:t xml:space="preserve">, 2020) However, as stated above, this is a calculated risk by the company, to remain dynamic instead of getting burdened with fixed assets.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xml:space="preserve">, 2015) Moreover, the company can always be counted on to possess its inventory and quickly transform them into cash flows. (Wright </w:t>
      </w:r>
      <w:r w:rsidRPr="00F41BCA">
        <w:rPr>
          <w:rFonts w:ascii="Times New Roman" w:hAnsi="Times New Roman" w:cs="Times New Roman"/>
        </w:rPr>
        <w:lastRenderedPageBreak/>
        <w:t xml:space="preserve">and Slaybaugh, 2020; Relph, 2015) This approach, however, comes with risks as it relies too much on regular flow of cash.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w:t>
      </w:r>
    </w:p>
    <w:p w14:paraId="06A6CA9A" w14:textId="77777777" w:rsidR="00F41BCA" w:rsidRPr="00F41BCA" w:rsidRDefault="00F41BCA" w:rsidP="00F41BCA">
      <w:pPr>
        <w:pStyle w:val="Heading2"/>
        <w:rPr>
          <w:rFonts w:eastAsiaTheme="minorHAnsi"/>
        </w:rPr>
      </w:pPr>
      <w:r w:rsidRPr="00F41BCA">
        <w:rPr>
          <w:rFonts w:eastAsiaTheme="minorHAnsi"/>
        </w:rPr>
        <w:t>Working Capital Liquidity Implications</w:t>
      </w:r>
    </w:p>
    <w:p w14:paraId="47B7193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Although NEXT plc </w:t>
      </w:r>
      <w:proofErr w:type="gramStart"/>
      <w:r w:rsidRPr="00F41BCA">
        <w:rPr>
          <w:rFonts w:ascii="Times New Roman" w:hAnsi="Times New Roman" w:cs="Times New Roman"/>
        </w:rPr>
        <w:t>show</w:t>
      </w:r>
      <w:proofErr w:type="gramEnd"/>
      <w:r w:rsidRPr="00F41BCA">
        <w:rPr>
          <w:rFonts w:ascii="Times New Roman" w:hAnsi="Times New Roman" w:cs="Times New Roman"/>
        </w:rPr>
        <w:t xml:space="preserve"> very low current and quick ratio compared to traditional benchmarks of those ratios, it must be understood that it is a retail chain with quick product turnover. (Chopra, 2021; Wright and Slaybaugh, 2020) It does not need to keep fixed assets to ensure liquidity, it can rely on cash inflows to meet its short-term obligations. (CFI, 2020;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w:t>
      </w:r>
    </w:p>
    <w:p w14:paraId="565001D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company’s business model is to ensure rapid cash conversion through its online sales and customer credit operations. (</w:t>
      </w:r>
      <w:proofErr w:type="spellStart"/>
      <w:r w:rsidRPr="00F41BCA">
        <w:rPr>
          <w:rFonts w:ascii="Times New Roman" w:hAnsi="Times New Roman" w:cs="Times New Roman"/>
        </w:rPr>
        <w:t>Aydiner</w:t>
      </w:r>
      <w:proofErr w:type="spellEnd"/>
      <w:r w:rsidRPr="00F41BCA">
        <w:rPr>
          <w:rFonts w:ascii="Times New Roman" w:hAnsi="Times New Roman" w:cs="Times New Roman"/>
        </w:rPr>
        <w:t xml:space="preserve">, </w:t>
      </w:r>
      <w:proofErr w:type="spellStart"/>
      <w:r w:rsidRPr="00F41BCA">
        <w:rPr>
          <w:rFonts w:ascii="Times New Roman" w:hAnsi="Times New Roman" w:cs="Times New Roman"/>
        </w:rPr>
        <w:t>Tatoglu</w:t>
      </w:r>
      <w:proofErr w:type="spellEnd"/>
      <w:r w:rsidRPr="00F41BCA">
        <w:rPr>
          <w:rFonts w:ascii="Times New Roman" w:hAnsi="Times New Roman" w:cs="Times New Roman"/>
        </w:rPr>
        <w:t>, Bayraktar, Zaim and Delen, 2019; Chen, Chung, Hsu and Wu, 2010) At the same time, it extends payment to its suppliers. This means the company does not need to hold on to large amounts of cash or other short-term assets to meet its obligations. (CFI Team, 2022; Chopra, 2021)</w:t>
      </w:r>
    </w:p>
    <w:p w14:paraId="40BDBEEA" w14:textId="0E31D094"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strategy has its risks.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xml:space="preserve">, 2015) In cases of short-term disruptions and shocks, the company can neither continue its operations fully nor take advantage of market weakness. (Gligor, 2020; Flynn, 2021) However, due to its size and scale, brand image, and loyal customer base, it </w:t>
      </w:r>
      <w:proofErr w:type="gramStart"/>
      <w:r w:rsidRPr="00F41BCA">
        <w:rPr>
          <w:rFonts w:ascii="Times New Roman" w:hAnsi="Times New Roman" w:cs="Times New Roman"/>
        </w:rPr>
        <w:t>is able to</w:t>
      </w:r>
      <w:proofErr w:type="gramEnd"/>
      <w:r w:rsidRPr="00F41BCA">
        <w:rPr>
          <w:rFonts w:ascii="Times New Roman" w:hAnsi="Times New Roman" w:cs="Times New Roman"/>
        </w:rPr>
        <w:t xml:space="preserve"> remain resilient even in such cases. (Best, 2013; Johannesson, 2021)</w:t>
      </w:r>
    </w:p>
    <w:p w14:paraId="4A51DC2B" w14:textId="77777777" w:rsidR="00F41BCA" w:rsidRPr="00F41BCA" w:rsidRDefault="00F41BCA" w:rsidP="00F41BCA">
      <w:pPr>
        <w:pStyle w:val="Heading2"/>
        <w:rPr>
          <w:rFonts w:eastAsiaTheme="minorHAnsi"/>
        </w:rPr>
      </w:pPr>
      <w:r w:rsidRPr="00F41BCA">
        <w:rPr>
          <w:rFonts w:eastAsiaTheme="minorHAnsi"/>
        </w:rPr>
        <w:t>Solvency and Capital Structure</w:t>
      </w:r>
    </w:p>
    <w:p w14:paraId="39F7B26E" w14:textId="300B3C7E"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Solvency is a company’s ability to meet its long-term financial obligations and remain financially sustainable over time. (Allen, 2021;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xml:space="preserve">, 2019) It has a close link with the balance between equity and debt financing. (M Djoko Hanantijo, 2023; Kotey, 2019) It is an important metric for NEXT plc, as it uses debt as an active strategy to provide better value for its shareholders. (Lichtenstein and Dade, 2007; </w:t>
      </w:r>
      <w:proofErr w:type="spellStart"/>
      <w:r w:rsidRPr="00F41BCA">
        <w:rPr>
          <w:rFonts w:ascii="Times New Roman" w:hAnsi="Times New Roman" w:cs="Times New Roman"/>
        </w:rPr>
        <w:t>Gianfrate</w:t>
      </w:r>
      <w:proofErr w:type="spellEnd"/>
      <w:r w:rsidRPr="00F41BCA">
        <w:rPr>
          <w:rFonts w:ascii="Times New Roman" w:hAnsi="Times New Roman" w:cs="Times New Roman"/>
        </w:rPr>
        <w:t xml:space="preserve"> and Loewenthal, 2015)</w:t>
      </w:r>
    </w:p>
    <w:p w14:paraId="6E84FFDF" w14:textId="77777777" w:rsidR="00F41BCA" w:rsidRPr="00F41BCA" w:rsidRDefault="00F41BCA" w:rsidP="00F41BCA">
      <w:pPr>
        <w:pStyle w:val="Heading3"/>
        <w:rPr>
          <w:rFonts w:eastAsiaTheme="minorHAnsi"/>
        </w:rPr>
      </w:pPr>
      <w:r w:rsidRPr="00F41BCA">
        <w:rPr>
          <w:rFonts w:eastAsiaTheme="minorHAnsi"/>
        </w:rPr>
        <w:t>Gearing Ratio</w:t>
      </w:r>
    </w:p>
    <w:p w14:paraId="7F590D03"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gearing ratio refers to the proportion of the company’s long-term capital and assets that </w:t>
      </w:r>
      <w:proofErr w:type="gramStart"/>
      <w:r w:rsidRPr="00F41BCA">
        <w:rPr>
          <w:rFonts w:ascii="Times New Roman" w:hAnsi="Times New Roman" w:cs="Times New Roman"/>
        </w:rPr>
        <w:t>is</w:t>
      </w:r>
      <w:proofErr w:type="gramEnd"/>
      <w:r w:rsidRPr="00F41BCA">
        <w:rPr>
          <w:rFonts w:ascii="Times New Roman" w:hAnsi="Times New Roman" w:cs="Times New Roman"/>
        </w:rPr>
        <w:t xml:space="preserve"> being financed through long-term borrowing. This ratio provides a key insight into the risk that a company takes on. (Kenton, 2024; Bragg, 2018)</w:t>
      </w:r>
    </w:p>
    <w:p w14:paraId="165527C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lastRenderedPageBreak/>
        <w:t xml:space="preserve">In the year that ended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January 2024, Next plc had a gearing ratio of 44.23%. In the next year that ended on January 2025, the company had a ratio of 47.62%. This means that the company relied more on long-term debts in 2025 than in the previous year. (Kenton, 2024; Kotey, 2019)</w:t>
      </w:r>
    </w:p>
    <w:p w14:paraId="5BE492C0"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increase in gearing suggests a deliberate strategic decision by management to </w:t>
      </w:r>
      <w:proofErr w:type="spellStart"/>
      <w:r w:rsidRPr="00F41BCA">
        <w:rPr>
          <w:rFonts w:ascii="Times New Roman" w:hAnsi="Times New Roman" w:cs="Times New Roman"/>
        </w:rPr>
        <w:t>utilise</w:t>
      </w:r>
      <w:proofErr w:type="spellEnd"/>
      <w:r w:rsidRPr="00F41BCA">
        <w:rPr>
          <w:rFonts w:ascii="Times New Roman" w:hAnsi="Times New Roman" w:cs="Times New Roman"/>
        </w:rPr>
        <w:t xml:space="preserve"> debt to finance operations and shareholder returns rather than issuing additional equity. (Kotey, 2019; Almeida and Campello, 2005) In periods of strong profitability, higher gearing can enhance returns to shareholders by reducing the overall cost of capital.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Allen, 2021) For NEXT plc, the increase in gearing coincided with improved profitability and higher returns on equity, indicating that the additional debt was used effectively. (M Djoko Hanantijo, 2023; Fernando, 2025)</w:t>
      </w:r>
    </w:p>
    <w:p w14:paraId="7EA64EC9" w14:textId="3A1C69F1"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increase indicates a </w:t>
      </w:r>
      <w:proofErr w:type="gramStart"/>
      <w:r w:rsidRPr="00F41BCA">
        <w:rPr>
          <w:rFonts w:ascii="Times New Roman" w:hAnsi="Times New Roman" w:cs="Times New Roman"/>
        </w:rPr>
        <w:t>balancing</w:t>
      </w:r>
      <w:proofErr w:type="gramEnd"/>
      <w:r w:rsidRPr="00F41BCA">
        <w:rPr>
          <w:rFonts w:ascii="Times New Roman" w:hAnsi="Times New Roman" w:cs="Times New Roman"/>
        </w:rPr>
        <w:t xml:space="preserve"> strategy by the company, where it uses debt to finance operations and provide returns to its shareholders rather than creating more equity. (Kotey, 2019; Lichtenstein and Dade, 2007) This approach works quite well in times of higher profitability, as it reduces the overall cost of capital.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Allen, 2021) For NEXT plc, the high gearing ratio came at the same time as high profitability, suggesting that the strategy was working. (Kenton, 2024; </w:t>
      </w:r>
      <w:proofErr w:type="spellStart"/>
      <w:r w:rsidRPr="00F41BCA">
        <w:rPr>
          <w:rFonts w:ascii="Times New Roman" w:hAnsi="Times New Roman" w:cs="Times New Roman"/>
        </w:rPr>
        <w:t>Palasciano</w:t>
      </w:r>
      <w:proofErr w:type="spellEnd"/>
      <w:r w:rsidRPr="00F41BCA">
        <w:rPr>
          <w:rFonts w:ascii="Times New Roman" w:hAnsi="Times New Roman" w:cs="Times New Roman"/>
        </w:rPr>
        <w:t>, 2025)</w:t>
      </w:r>
    </w:p>
    <w:p w14:paraId="4D297B11" w14:textId="77777777" w:rsidR="00F41BCA" w:rsidRPr="00F41BCA" w:rsidRDefault="00F41BCA" w:rsidP="00F41BCA">
      <w:pPr>
        <w:pStyle w:val="Heading2"/>
        <w:rPr>
          <w:rFonts w:eastAsiaTheme="minorHAnsi"/>
        </w:rPr>
      </w:pPr>
      <w:r w:rsidRPr="00F41BCA">
        <w:rPr>
          <w:rFonts w:eastAsiaTheme="minorHAnsi"/>
        </w:rPr>
        <w:t>Relationship Between Gearing and Shareholder Returns</w:t>
      </w:r>
    </w:p>
    <w:p w14:paraId="4B63135E"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 some cases, higher levels of gearing can enhance shareholder returns, provided that the company is able to generate returns on its investments that exceed the cost of debt. This is because debt financing allows shareholders to benefit from financial leverage, magnifying returns during periods of strong profitability. (Allen, 2021;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w:t>
      </w:r>
    </w:p>
    <w:p w14:paraId="32EACEF9"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some situations, high levels of gearing can ensure that the shareholders are getting better values as returns. However, to do so, the company must be able to create returns that go beyond the cost of debt. (Kenton, 2024; Kotey, 2019)</w:t>
      </w:r>
    </w:p>
    <w:p w14:paraId="7512E76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For NEXT plc, the increase in gearing between January 2024 and January 2025 coincided with an improvement in shareholder returns. During this period, Return on Equity increased from 29.66% to 33.45%, indicating that shareholders received higher returns on their invested capital. This suggests that the additional debt taken on by the company was employed effectively and </w:t>
      </w:r>
      <w:r w:rsidRPr="00F41BCA">
        <w:rPr>
          <w:rFonts w:ascii="Times New Roman" w:hAnsi="Times New Roman" w:cs="Times New Roman"/>
        </w:rPr>
        <w:lastRenderedPageBreak/>
        <w:t>contributed to value creation rather than financial strain. (Fernando, 2025; Chen, Chung, Hsu and Wu, 2010)</w:t>
      </w:r>
    </w:p>
    <w:p w14:paraId="7144E03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relationship between gearing and shareholder returns in this case reflects NEXT plc’s disciplined use of leverage. By financing part of its capital structure through long-term borrowings, the company reduced its reliance on equity and enhanced returns to remaining shareholders. (M Djoko Hanantijo, 2023; de Jongh, 2011) This strategy was further supported by continued share buybacks, which reduced equity and increased earnings attributable to each share. (Palepu and Healy, 2020; H. Kent Baker and Ricciardi, 2014)</w:t>
      </w:r>
    </w:p>
    <w:p w14:paraId="7F795994" w14:textId="05FB6035"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However, while higher gearing can amplify returns during </w:t>
      </w:r>
      <w:proofErr w:type="spellStart"/>
      <w:r w:rsidRPr="00F41BCA">
        <w:rPr>
          <w:rFonts w:ascii="Times New Roman" w:hAnsi="Times New Roman" w:cs="Times New Roman"/>
        </w:rPr>
        <w:t>favourable</w:t>
      </w:r>
      <w:proofErr w:type="spellEnd"/>
      <w:r w:rsidRPr="00F41BCA">
        <w:rPr>
          <w:rFonts w:ascii="Times New Roman" w:hAnsi="Times New Roman" w:cs="Times New Roman"/>
        </w:rPr>
        <w:t xml:space="preserve"> conditions, it also increases downside risk.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xml:space="preserve">, 2015) If operating profits were to decline or if interest rates were to rise further, the cost of servicing debt could erode profitability and reduce shareholder returns.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 As such, the positive relationship between gearing and shareholder returns observed during this period is contingent on NEXT plc maintaining stable earnings and prudent financial management. (Adler, 2010; Campbell, 2021)</w:t>
      </w:r>
    </w:p>
    <w:p w14:paraId="6D6E85F6" w14:textId="77777777" w:rsidR="00F41BCA" w:rsidRPr="00F41BCA" w:rsidRDefault="00F41BCA" w:rsidP="00F41BCA">
      <w:pPr>
        <w:pStyle w:val="Heading2"/>
        <w:rPr>
          <w:rFonts w:eastAsiaTheme="minorHAnsi"/>
        </w:rPr>
      </w:pPr>
      <w:r w:rsidRPr="00F41BCA">
        <w:rPr>
          <w:rFonts w:eastAsiaTheme="minorHAnsi"/>
        </w:rPr>
        <w:t>Solvency implications</w:t>
      </w:r>
    </w:p>
    <w:p w14:paraId="441630A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While gearing gives some indication of the longer-term financial risk, interest cover provides additional information on the ability of a business to service its debt from its operating profits. Interest cover is therefore useful in providing an indication of where an increase in borrowing may threaten financial stability. (Allen, 2021; Bragg, 2018)</w:t>
      </w:r>
    </w:p>
    <w:p w14:paraId="2255E52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the year ended January 2024, NEXT plc had an interest cover ratio of approximately 7.8 times, hence meaning that the operating profit was almost eightfold greater than finance costs. In the following year to January 2025, the interest cover declined marginally to about 7.3 times. This decline reflects higher finance costs due to increased borrowings and rising interest rates rather than any decline in the operating performance. (Allen, 2021; Kotey, 2019)</w:t>
      </w:r>
    </w:p>
    <w:p w14:paraId="54455C5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Despite the decline, interest </w:t>
      </w:r>
      <w:proofErr w:type="gramStart"/>
      <w:r w:rsidRPr="00F41BCA">
        <w:rPr>
          <w:rFonts w:ascii="Times New Roman" w:hAnsi="Times New Roman" w:cs="Times New Roman"/>
        </w:rPr>
        <w:t>cover</w:t>
      </w:r>
      <w:proofErr w:type="gramEnd"/>
      <w:r w:rsidRPr="00F41BCA">
        <w:rPr>
          <w:rFonts w:ascii="Times New Roman" w:hAnsi="Times New Roman" w:cs="Times New Roman"/>
        </w:rPr>
        <w:t xml:space="preserve"> remained at a comfortable level in both years, indicating that NEXT plc retained strong capacity to meet its debt-servicing obligations. The operating profits earned by the company in both years were more than adequate to cover interest expenses, </w:t>
      </w:r>
      <w:r w:rsidRPr="00F41BCA">
        <w:rPr>
          <w:rFonts w:ascii="Times New Roman" w:hAnsi="Times New Roman" w:cs="Times New Roman"/>
        </w:rPr>
        <w:lastRenderedPageBreak/>
        <w:t>suggesting that the gearing increase did not undermine solvency during the period under review. (Bragg, 2018; Palmer, 2018)</w:t>
      </w:r>
    </w:p>
    <w:p w14:paraId="2B50F06E" w14:textId="265B3185"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However, the decreasing trend in the interest cover emphasizes that the sensitivity of the solvency position of NEXT plc towards changes in interest rates and borrowing costs </w:t>
      </w:r>
      <w:proofErr w:type="gramStart"/>
      <w:r w:rsidRPr="00F41BCA">
        <w:rPr>
          <w:rFonts w:ascii="Times New Roman" w:hAnsi="Times New Roman" w:cs="Times New Roman"/>
        </w:rPr>
        <w:t>is</w:t>
      </w:r>
      <w:proofErr w:type="gramEnd"/>
      <w:r w:rsidRPr="00F41BCA">
        <w:rPr>
          <w:rFonts w:ascii="Times New Roman" w:hAnsi="Times New Roman" w:cs="Times New Roman"/>
        </w:rPr>
        <w:t xml:space="preserve"> increasing. (Allen, 2021; Almeida and Campello, 2005) Furthermore, if the rise in interest rates continues or if the operating profit margin deteriorates, the cushion may decrease. Consequently, though the solvency position of NEXT plc remains strong, its increasing dependence on borrowing for funding purposes calls for close surveillance </w:t>
      </w:r>
      <w:proofErr w:type="gramStart"/>
      <w:r w:rsidRPr="00F41BCA">
        <w:rPr>
          <w:rFonts w:ascii="Times New Roman" w:hAnsi="Times New Roman" w:cs="Times New Roman"/>
        </w:rPr>
        <w:t>in order for</w:t>
      </w:r>
      <w:proofErr w:type="gramEnd"/>
      <w:r w:rsidRPr="00F41BCA">
        <w:rPr>
          <w:rFonts w:ascii="Times New Roman" w:hAnsi="Times New Roman" w:cs="Times New Roman"/>
        </w:rPr>
        <w:t xml:space="preserve"> long-term sustainability of the solvency position of the company. (Campbell,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5B2472EB" w14:textId="77777777" w:rsidR="00F41BCA" w:rsidRPr="00F41BCA" w:rsidRDefault="00F41BCA" w:rsidP="00F41BCA">
      <w:pPr>
        <w:pStyle w:val="Heading2"/>
        <w:rPr>
          <w:rFonts w:eastAsiaTheme="minorHAnsi"/>
        </w:rPr>
      </w:pPr>
      <w:r w:rsidRPr="00F41BCA">
        <w:rPr>
          <w:rFonts w:eastAsiaTheme="minorHAnsi"/>
        </w:rPr>
        <w:t>Efficiency Analysis</w:t>
      </w:r>
    </w:p>
    <w:p w14:paraId="23ECB763" w14:textId="51699C76"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Efficiency ratios help in measuring the effectiveness of working capital management. These ratios help in understanding how working capital is managed. (Bragg, 2018;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xml:space="preserve">, 2018) Efficiency ratios are quite important for retailers like NEXT plc, where even a slight change in inventory management or in credit facilities would help in increasing profit by a substantial amount. (Relph, 2015; </w:t>
      </w:r>
      <w:proofErr w:type="spellStart"/>
      <w:r w:rsidRPr="00F41BCA">
        <w:rPr>
          <w:rFonts w:ascii="Times New Roman" w:hAnsi="Times New Roman" w:cs="Times New Roman"/>
        </w:rPr>
        <w:t>Orobia</w:t>
      </w:r>
      <w:proofErr w:type="spellEnd"/>
      <w:r w:rsidRPr="00F41BCA">
        <w:rPr>
          <w:rFonts w:ascii="Times New Roman" w:hAnsi="Times New Roman" w:cs="Times New Roman"/>
        </w:rPr>
        <w:t xml:space="preserve">, Nakibuuka, </w:t>
      </w:r>
      <w:proofErr w:type="spellStart"/>
      <w:r w:rsidRPr="00F41BCA">
        <w:rPr>
          <w:rFonts w:ascii="Times New Roman" w:hAnsi="Times New Roman" w:cs="Times New Roman"/>
        </w:rPr>
        <w:t>Bananuka</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Akisimire</w:t>
      </w:r>
      <w:proofErr w:type="spellEnd"/>
      <w:r w:rsidRPr="00F41BCA">
        <w:rPr>
          <w:rFonts w:ascii="Times New Roman" w:hAnsi="Times New Roman" w:cs="Times New Roman"/>
        </w:rPr>
        <w:t>, 2020) Efficiency ratio analysis would help in understanding the efficiency of working capital management by NEXT plc. (Palepu and Healy, 2020; Bragg, 2018)</w:t>
      </w:r>
    </w:p>
    <w:p w14:paraId="4B440D82" w14:textId="77777777" w:rsidR="00F41BCA" w:rsidRPr="00F41BCA" w:rsidRDefault="00F41BCA" w:rsidP="00F41BCA">
      <w:pPr>
        <w:pStyle w:val="Heading3"/>
        <w:rPr>
          <w:rFonts w:eastAsiaTheme="minorHAnsi"/>
        </w:rPr>
      </w:pPr>
      <w:r w:rsidRPr="00F41BCA">
        <w:rPr>
          <w:rFonts w:eastAsiaTheme="minorHAnsi"/>
        </w:rPr>
        <w:t>Inventory Days</w:t>
      </w:r>
    </w:p>
    <w:p w14:paraId="0CC70514"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Inventory days represent the average number of days that the inventory is held before it is sold. It measures the inventory turnover period of the company. The higher the inventory turnover period, the better </w:t>
      </w:r>
      <w:proofErr w:type="gramStart"/>
      <w:r w:rsidRPr="00F41BCA">
        <w:rPr>
          <w:rFonts w:ascii="Times New Roman" w:hAnsi="Times New Roman" w:cs="Times New Roman"/>
        </w:rPr>
        <w:t>is the inventory management of the company</w:t>
      </w:r>
      <w:proofErr w:type="gramEnd"/>
      <w:r w:rsidRPr="00F41BCA">
        <w:rPr>
          <w:rFonts w:ascii="Times New Roman" w:hAnsi="Times New Roman" w:cs="Times New Roman"/>
        </w:rPr>
        <w:t>. Inventory turnover period is an important concept. (Wright and Slaybaugh, 2020; Relph, 2015; Geoff Relph, 2015</w:t>
      </w:r>
      <w:proofErr w:type="gramStart"/>
      <w:r w:rsidRPr="00F41BCA">
        <w:rPr>
          <w:rFonts w:ascii="Times New Roman" w:hAnsi="Times New Roman" w:cs="Times New Roman"/>
        </w:rPr>
        <w:t>)  For</w:t>
      </w:r>
      <w:proofErr w:type="gramEnd"/>
      <w:r w:rsidRPr="00F41BCA">
        <w:rPr>
          <w:rFonts w:ascii="Times New Roman" w:hAnsi="Times New Roman" w:cs="Times New Roman"/>
        </w:rPr>
        <w:t xml:space="preserve"> the year ending January 2024, NEXT PLC reported that inventory days stood at around 47 days. However, in the next year ending January 2025, this figure rose to about 49 days. This shows that on an average basis, inventory was not liquidated as quickly in 2025 as in the previous year. (</w:t>
      </w:r>
      <w:proofErr w:type="spellStart"/>
      <w:r w:rsidRPr="00F41BCA">
        <w:rPr>
          <w:rFonts w:ascii="Times New Roman" w:hAnsi="Times New Roman" w:cs="Times New Roman"/>
        </w:rPr>
        <w:t>Orobia</w:t>
      </w:r>
      <w:proofErr w:type="spellEnd"/>
      <w:r w:rsidRPr="00F41BCA">
        <w:rPr>
          <w:rFonts w:ascii="Times New Roman" w:hAnsi="Times New Roman" w:cs="Times New Roman"/>
        </w:rPr>
        <w:t xml:space="preserve">, Nakibuuka, </w:t>
      </w:r>
      <w:proofErr w:type="spellStart"/>
      <w:r w:rsidRPr="00F41BCA">
        <w:rPr>
          <w:rFonts w:ascii="Times New Roman" w:hAnsi="Times New Roman" w:cs="Times New Roman"/>
        </w:rPr>
        <w:t>Bananuka</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Akisimire</w:t>
      </w:r>
      <w:proofErr w:type="spellEnd"/>
      <w:r w:rsidRPr="00F41BCA">
        <w:rPr>
          <w:rFonts w:ascii="Times New Roman" w:hAnsi="Times New Roman" w:cs="Times New Roman"/>
        </w:rPr>
        <w:t>, 2020; Wright and Slaybaugh, 2020)</w:t>
      </w:r>
    </w:p>
    <w:p w14:paraId="4A1A835E"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increase in inventory days could be indicative of strategic choices. (Campbell,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xml:space="preserve">, 2015) It appears that NEXT plc could be holding higher levels of inventory </w:t>
      </w:r>
      <w:proofErr w:type="gramStart"/>
      <w:r w:rsidRPr="00F41BCA">
        <w:rPr>
          <w:rFonts w:ascii="Times New Roman" w:hAnsi="Times New Roman" w:cs="Times New Roman"/>
        </w:rPr>
        <w:t>in order to</w:t>
      </w:r>
      <w:proofErr w:type="gramEnd"/>
      <w:r w:rsidRPr="00F41BCA">
        <w:rPr>
          <w:rFonts w:ascii="Times New Roman" w:hAnsi="Times New Roman" w:cs="Times New Roman"/>
        </w:rPr>
        <w:t xml:space="preserve"> ensure availability and avoid supply chain risks. (Chopra, 2021; Flynn, 2021) This could be particularly </w:t>
      </w:r>
      <w:r w:rsidRPr="00F41BCA">
        <w:rPr>
          <w:rFonts w:ascii="Times New Roman" w:hAnsi="Times New Roman" w:cs="Times New Roman"/>
        </w:rPr>
        <w:lastRenderedPageBreak/>
        <w:t>important in situations where either supply uncertainty or longer supplier lead times are an issue. (Flynn, 2021; Gligor, 2020)</w:t>
      </w:r>
    </w:p>
    <w:p w14:paraId="714B3199" w14:textId="72612431"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There could be risks associated with the increased inventory holding periods as well. This could be especially true in the fashion retail industry. (Relph, 2015; </w:t>
      </w:r>
      <w:proofErr w:type="spellStart"/>
      <w:r w:rsidRPr="00F41BCA">
        <w:rPr>
          <w:rFonts w:ascii="Times New Roman" w:hAnsi="Times New Roman" w:cs="Times New Roman"/>
        </w:rPr>
        <w:t>Orobia</w:t>
      </w:r>
      <w:proofErr w:type="spellEnd"/>
      <w:r w:rsidRPr="00F41BCA">
        <w:rPr>
          <w:rFonts w:ascii="Times New Roman" w:hAnsi="Times New Roman" w:cs="Times New Roman"/>
        </w:rPr>
        <w:t xml:space="preserve">, Nakibuuka, </w:t>
      </w:r>
      <w:proofErr w:type="spellStart"/>
      <w:r w:rsidRPr="00F41BCA">
        <w:rPr>
          <w:rFonts w:ascii="Times New Roman" w:hAnsi="Times New Roman" w:cs="Times New Roman"/>
        </w:rPr>
        <w:t>Bananuka</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Akisimire</w:t>
      </w:r>
      <w:proofErr w:type="spellEnd"/>
      <w:r w:rsidRPr="00F41BCA">
        <w:rPr>
          <w:rFonts w:ascii="Times New Roman" w:hAnsi="Times New Roman" w:cs="Times New Roman"/>
        </w:rPr>
        <w:t xml:space="preserve">, 2020) If there is extra inventory, it would result in increased holding costs and the danger of becoming obsolete, ultimately affecting the level of discounts and profits. (Wright and Slaybaugh, 2020;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 Although the rise in the number of inventory days for NEXT plc appears modest, it strongly emphasizes the need for efficient inventory forecasting and control processes. (Chopra, 2021; Geoff Relph, 2015)</w:t>
      </w:r>
    </w:p>
    <w:p w14:paraId="6CBAAD4B" w14:textId="77777777" w:rsidR="00F41BCA" w:rsidRPr="00F41BCA" w:rsidRDefault="00F41BCA" w:rsidP="00F41BCA">
      <w:pPr>
        <w:pStyle w:val="Heading3"/>
        <w:rPr>
          <w:rFonts w:eastAsiaTheme="minorHAnsi"/>
        </w:rPr>
      </w:pPr>
      <w:r w:rsidRPr="00F41BCA">
        <w:rPr>
          <w:rFonts w:eastAsiaTheme="minorHAnsi"/>
        </w:rPr>
        <w:t>Receivables Days</w:t>
      </w:r>
    </w:p>
    <w:p w14:paraId="50971A0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Receivables days refer to the average time taken by a company to collect cash from customers after a sale has been made. This ratio is, therefore, particularly relevant for retailers such as NEXT plc who, in addition to cash and online payment methods, operate customer credit facilities. (Bragg, 2018; Chen, Chung, Hsu and Wu, 2010) Good management of receivables positively impacts cash flow and minimizes reliance on external sources of finance.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w:t>
      </w:r>
    </w:p>
    <w:p w14:paraId="4FCF055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For the year ended January 2024, it recorded receivable days of approximately 32 days. In the year ended January 2025, receivable days broadly remained similar at approximately 31 days. This marginal improvement indicates that NEXT plc was able to maintain effective control over customer credit and collection processes despite growth in sales. (Palepu and Healy, 2020; Bragg, 2018)</w:t>
      </w:r>
    </w:p>
    <w:p w14:paraId="540BCECA"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fact that the receivables days are rather stable implies that the credit management practices employed by NEXT plc have not weakened over time. It is especially satisfying, given that the firm engages in online sales and credit sales, where poor liquidity, resulting from delayed payment, is always a concern. (Chen, Chung, Hsu and Wu, 2010; CFI, 2020) It is evident that the increased revenues have not been realized at the cost of substandard credit management practices. (Adler, 2010; Palepu and Healy, 2020)</w:t>
      </w:r>
    </w:p>
    <w:p w14:paraId="470A9980" w14:textId="5E2F8D12" w:rsidR="00F41BCA" w:rsidRPr="00F41BCA" w:rsidRDefault="00F41BCA" w:rsidP="00F41BCA">
      <w:pPr>
        <w:spacing w:line="360" w:lineRule="auto"/>
        <w:jc w:val="both"/>
        <w:rPr>
          <w:rFonts w:ascii="Times New Roman" w:hAnsi="Times New Roman" w:cs="Times New Roman"/>
        </w:rPr>
      </w:pPr>
      <w:proofErr w:type="gramStart"/>
      <w:r w:rsidRPr="00F41BCA">
        <w:rPr>
          <w:rFonts w:ascii="Times New Roman" w:hAnsi="Times New Roman" w:cs="Times New Roman"/>
        </w:rPr>
        <w:lastRenderedPageBreak/>
        <w:t>On the whole</w:t>
      </w:r>
      <w:proofErr w:type="gramEnd"/>
      <w:r w:rsidRPr="00F41BCA">
        <w:rPr>
          <w:rFonts w:ascii="Times New Roman" w:hAnsi="Times New Roman" w:cs="Times New Roman"/>
        </w:rPr>
        <w:t xml:space="preserve">, the stability of the </w:t>
      </w:r>
      <w:proofErr w:type="gramStart"/>
      <w:r w:rsidRPr="00F41BCA">
        <w:rPr>
          <w:rFonts w:ascii="Times New Roman" w:hAnsi="Times New Roman" w:cs="Times New Roman"/>
        </w:rPr>
        <w:t>receivables days</w:t>
      </w:r>
      <w:proofErr w:type="gramEnd"/>
      <w:r w:rsidRPr="00F41BCA">
        <w:rPr>
          <w:rFonts w:ascii="Times New Roman" w:hAnsi="Times New Roman" w:cs="Times New Roman"/>
        </w:rPr>
        <w:t xml:space="preserve"> rate is an indication of good operating discipline. This is quite helpful in ensuring that NEXT plc has efficient working capital management. (Adler, 2010; </w:t>
      </w:r>
      <w:proofErr w:type="spellStart"/>
      <w:r w:rsidRPr="00F41BCA">
        <w:rPr>
          <w:rFonts w:ascii="Times New Roman" w:hAnsi="Times New Roman" w:cs="Times New Roman"/>
        </w:rPr>
        <w:t>Atrill</w:t>
      </w:r>
      <w:proofErr w:type="spellEnd"/>
      <w:r w:rsidRPr="00F41BCA">
        <w:rPr>
          <w:rFonts w:ascii="Times New Roman" w:hAnsi="Times New Roman" w:cs="Times New Roman"/>
        </w:rPr>
        <w:t xml:space="preserve"> and </w:t>
      </w:r>
      <w:proofErr w:type="spellStart"/>
      <w:r w:rsidRPr="00F41BCA">
        <w:rPr>
          <w:rFonts w:ascii="Times New Roman" w:hAnsi="Times New Roman" w:cs="Times New Roman"/>
        </w:rPr>
        <w:t>Mclaney</w:t>
      </w:r>
      <w:proofErr w:type="spellEnd"/>
      <w:r w:rsidRPr="00F41BCA">
        <w:rPr>
          <w:rFonts w:ascii="Times New Roman" w:hAnsi="Times New Roman" w:cs="Times New Roman"/>
        </w:rPr>
        <w:t>, 2018)</w:t>
      </w:r>
    </w:p>
    <w:p w14:paraId="7CAF9458" w14:textId="77777777" w:rsidR="00F41BCA" w:rsidRPr="00F41BCA" w:rsidRDefault="00F41BCA" w:rsidP="00F41BCA">
      <w:pPr>
        <w:pStyle w:val="Heading3"/>
        <w:rPr>
          <w:rFonts w:eastAsiaTheme="minorHAnsi"/>
        </w:rPr>
      </w:pPr>
      <w:r w:rsidRPr="00F41BCA">
        <w:rPr>
          <w:rFonts w:eastAsiaTheme="minorHAnsi"/>
        </w:rPr>
        <w:t>Payables Days</w:t>
      </w:r>
    </w:p>
    <w:p w14:paraId="76DAF3CB"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Payables days determine the average time the firm takes to pay its suppliers and show how well the trade credit has been managed by the business. This ratio is </w:t>
      </w:r>
      <w:proofErr w:type="gramStart"/>
      <w:r w:rsidRPr="00F41BCA">
        <w:rPr>
          <w:rFonts w:ascii="Times New Roman" w:hAnsi="Times New Roman" w:cs="Times New Roman"/>
        </w:rPr>
        <w:t>pretty significant</w:t>
      </w:r>
      <w:proofErr w:type="gramEnd"/>
      <w:r w:rsidRPr="00F41BCA">
        <w:rPr>
          <w:rFonts w:ascii="Times New Roman" w:hAnsi="Times New Roman" w:cs="Times New Roman"/>
        </w:rPr>
        <w:t xml:space="preserve"> for retailers such as NEXT plc, in which developing relations with suppliers and replenishing stocks would have major consequences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ongoing operations. (CFI Team, 2022; Chopra, 2021)</w:t>
      </w:r>
    </w:p>
    <w:p w14:paraId="48C7AE74"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For the year ended January 2024, payables days stood at approximately 94 days. In the next subsequent year, the year ended January 2025, </w:t>
      </w:r>
      <w:proofErr w:type="gramStart"/>
      <w:r w:rsidRPr="00F41BCA">
        <w:rPr>
          <w:rFonts w:ascii="Times New Roman" w:hAnsi="Times New Roman" w:cs="Times New Roman"/>
        </w:rPr>
        <w:t>payables days</w:t>
      </w:r>
      <w:proofErr w:type="gramEnd"/>
      <w:r w:rsidRPr="00F41BCA">
        <w:rPr>
          <w:rFonts w:ascii="Times New Roman" w:hAnsi="Times New Roman" w:cs="Times New Roman"/>
        </w:rPr>
        <w:t xml:space="preserve"> increased to approximately 97 days, indicating that NEXT plc paid the obligations owed to suppliers slightly longer in 2025 compared to the previous year. (CFI Team, 2022; Bragg, 2018)</w:t>
      </w:r>
    </w:p>
    <w:p w14:paraId="2F7C6DC9"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increase in payable days can thus show that more extensive use of supplier credit as working capital was employed by NEXT plc. By extending the period of repayment, it provided the company with an opportunity to keep more cash inside business for longer and to enhance overall short-term liquidity while lowering the need to borrow from the outside environment.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 This is in line with the general policy of NEXT plc to maintain the level of liquidity buffers at the lowest possible level while </w:t>
      </w:r>
      <w:proofErr w:type="spellStart"/>
      <w:r w:rsidRPr="00F41BCA">
        <w:rPr>
          <w:rFonts w:ascii="Times New Roman" w:hAnsi="Times New Roman" w:cs="Times New Roman"/>
        </w:rPr>
        <w:t>maximising</w:t>
      </w:r>
      <w:proofErr w:type="spellEnd"/>
      <w:r w:rsidRPr="00F41BCA">
        <w:rPr>
          <w:rFonts w:ascii="Times New Roman" w:hAnsi="Times New Roman" w:cs="Times New Roman"/>
        </w:rPr>
        <w:t xml:space="preserve"> the efficiency of its capital base. (Adler, 2010; Palmer, 2018)</w:t>
      </w:r>
    </w:p>
    <w:p w14:paraId="508E3012" w14:textId="469E45DB"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While extended payables are beneficial in improving cash flow, there is also an element of risk involved. For instance, </w:t>
      </w:r>
      <w:proofErr w:type="gramStart"/>
      <w:r w:rsidRPr="00F41BCA">
        <w:rPr>
          <w:rFonts w:ascii="Times New Roman" w:hAnsi="Times New Roman" w:cs="Times New Roman"/>
        </w:rPr>
        <w:t>stretched</w:t>
      </w:r>
      <w:proofErr w:type="gramEnd"/>
      <w:r w:rsidRPr="00F41BCA">
        <w:rPr>
          <w:rFonts w:ascii="Times New Roman" w:hAnsi="Times New Roman" w:cs="Times New Roman"/>
        </w:rPr>
        <w:t xml:space="preserve"> payable periods can affect the relationships with suppliers or result in less advantageous pricing and terms going forward. (Chopra,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xml:space="preserve">, 2015) For a retailer operating within a highly competitive and supply-sensitive market, strong supplier relationships are required. (Gligor, 2020; Flynn, 2021) Thus, though the rise in payable days seems modest, it indicates how balanced liquidity benefits should be against the long-term viability of operations. (Campbell,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79D70225" w14:textId="77777777" w:rsidR="00F41BCA" w:rsidRPr="00F41BCA" w:rsidRDefault="00F41BCA" w:rsidP="00F41BCA">
      <w:pPr>
        <w:pStyle w:val="Heading2"/>
        <w:rPr>
          <w:rFonts w:eastAsiaTheme="minorHAnsi"/>
        </w:rPr>
      </w:pPr>
      <w:r w:rsidRPr="00F41BCA">
        <w:rPr>
          <w:rFonts w:eastAsiaTheme="minorHAnsi"/>
        </w:rPr>
        <w:t>Investor Performance</w:t>
      </w:r>
    </w:p>
    <w:p w14:paraId="14812BB1" w14:textId="7D3CE5BE"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Investor performance ratios deal with the efficiency of the company in generating value for investors, as well as the market perception of such performance. (H. Kent Baker and Ricciardi, </w:t>
      </w:r>
      <w:r w:rsidRPr="00F41BCA">
        <w:rPr>
          <w:rFonts w:ascii="Times New Roman" w:hAnsi="Times New Roman" w:cs="Times New Roman"/>
        </w:rPr>
        <w:lastRenderedPageBreak/>
        <w:t xml:space="preserve">2014; Palepu and Healy, 2020) Being a publicly listed company, investor performance ratios </w:t>
      </w:r>
      <w:proofErr w:type="gramStart"/>
      <w:r w:rsidRPr="00F41BCA">
        <w:rPr>
          <w:rFonts w:ascii="Times New Roman" w:hAnsi="Times New Roman" w:cs="Times New Roman"/>
        </w:rPr>
        <w:t>are of significant importance</w:t>
      </w:r>
      <w:proofErr w:type="gramEnd"/>
      <w:r w:rsidRPr="00F41BCA">
        <w:rPr>
          <w:rFonts w:ascii="Times New Roman" w:hAnsi="Times New Roman" w:cs="Times New Roman"/>
        </w:rPr>
        <w:t xml:space="preserve"> to NEXT plc, as these ratios determine investor confidence, market sentiment, and the company’s attractiveness in terms of equity financing. (H. Kent Baker and Ricciardi, 2014; Chen, Chung, Hsu and Wu, 2010)</w:t>
      </w:r>
    </w:p>
    <w:p w14:paraId="3A75F0FB" w14:textId="77777777" w:rsidR="00F41BCA" w:rsidRPr="00F41BCA" w:rsidRDefault="00F41BCA" w:rsidP="00F41BCA">
      <w:pPr>
        <w:pStyle w:val="Heading3"/>
        <w:rPr>
          <w:rFonts w:eastAsiaTheme="minorHAnsi"/>
        </w:rPr>
      </w:pPr>
      <w:r w:rsidRPr="00F41BCA">
        <w:rPr>
          <w:rFonts w:eastAsiaTheme="minorHAnsi"/>
        </w:rPr>
        <w:t>Earnings Per Share (EPS)</w:t>
      </w:r>
    </w:p>
    <w:p w14:paraId="59AA923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Earnings per share measure the portion of a company’s profits that can be assigned to an ordinary share. Earnings per share </w:t>
      </w:r>
      <w:proofErr w:type="gramStart"/>
      <w:r w:rsidRPr="00F41BCA">
        <w:rPr>
          <w:rFonts w:ascii="Times New Roman" w:hAnsi="Times New Roman" w:cs="Times New Roman"/>
        </w:rPr>
        <w:t>is</w:t>
      </w:r>
      <w:proofErr w:type="gramEnd"/>
      <w:r w:rsidRPr="00F41BCA">
        <w:rPr>
          <w:rFonts w:ascii="Times New Roman" w:hAnsi="Times New Roman" w:cs="Times New Roman"/>
        </w:rPr>
        <w:t xml:space="preserve"> one of the </w:t>
      </w:r>
      <w:proofErr w:type="gramStart"/>
      <w:r w:rsidRPr="00F41BCA">
        <w:rPr>
          <w:rFonts w:ascii="Times New Roman" w:hAnsi="Times New Roman" w:cs="Times New Roman"/>
        </w:rPr>
        <w:t>most commonly used</w:t>
      </w:r>
      <w:proofErr w:type="gramEnd"/>
      <w:r w:rsidRPr="00F41BCA">
        <w:rPr>
          <w:rFonts w:ascii="Times New Roman" w:hAnsi="Times New Roman" w:cs="Times New Roman"/>
        </w:rPr>
        <w:t xml:space="preserve"> measures in determining shareholder value. (Schmidt, 2022; Palepu and Healy, 2020) During the year ending January 2024, NEXT plc reported earnings per share of £6.62 During the next year ending January 2025, this fell to £6.15. (Schmidt, 2022)</w:t>
      </w:r>
    </w:p>
    <w:p w14:paraId="7FB746C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fall in earnings per share can be attributed to </w:t>
      </w:r>
      <w:proofErr w:type="gramStart"/>
      <w:r w:rsidRPr="00F41BCA">
        <w:rPr>
          <w:rFonts w:ascii="Times New Roman" w:hAnsi="Times New Roman" w:cs="Times New Roman"/>
        </w:rPr>
        <w:t>an</w:t>
      </w:r>
      <w:proofErr w:type="gramEnd"/>
      <w:r w:rsidRPr="00F41BCA">
        <w:rPr>
          <w:rFonts w:ascii="Times New Roman" w:hAnsi="Times New Roman" w:cs="Times New Roman"/>
        </w:rPr>
        <w:t xml:space="preserve"> decrease in earnings, coupled with </w:t>
      </w:r>
      <w:proofErr w:type="gramStart"/>
      <w:r w:rsidRPr="00F41BCA">
        <w:rPr>
          <w:rFonts w:ascii="Times New Roman" w:hAnsi="Times New Roman" w:cs="Times New Roman"/>
        </w:rPr>
        <w:t>an</w:t>
      </w:r>
      <w:proofErr w:type="gramEnd"/>
      <w:r w:rsidRPr="00F41BCA">
        <w:rPr>
          <w:rFonts w:ascii="Times New Roman" w:hAnsi="Times New Roman" w:cs="Times New Roman"/>
        </w:rPr>
        <w:t xml:space="preserve"> decrease in share repurchase. The profit after taxes declined, despite strong performance of the company. On the other hand, the total number of outstanding shares reduced due to the purchasing of additional shares. (H. Kent Baker and Ricciardi, 2014; Palepu and Healy, 2020)</w:t>
      </w:r>
    </w:p>
    <w:p w14:paraId="4612166C" w14:textId="19F4C1F0"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increase in EPS reveals that NEXT plc not only increased its bottom-line profit but also improved its profitability on a per-share basis. This development would attract investors significantly, as increased EPS would normally lead to increased market confidence and stock prices. (H. Kent Baker and Ricciardi, 2014; Chen, Chung, Hsu and Wu, 2010) Moreover, this would also certify that the company’s capital allocation and share buy-back decisions positively impacted stock value.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H. Kent Baker and Ricciardi, 2014)</w:t>
      </w:r>
    </w:p>
    <w:p w14:paraId="3EF313E3" w14:textId="77777777" w:rsidR="00F41BCA" w:rsidRPr="00F41BCA" w:rsidRDefault="00F41BCA" w:rsidP="00F41BCA">
      <w:pPr>
        <w:pStyle w:val="Heading3"/>
        <w:rPr>
          <w:rFonts w:eastAsiaTheme="minorHAnsi"/>
        </w:rPr>
      </w:pPr>
      <w:r w:rsidRPr="00F41BCA">
        <w:rPr>
          <w:rFonts w:eastAsiaTheme="minorHAnsi"/>
        </w:rPr>
        <w:t>Dividend per Share (DPS)</w:t>
      </w:r>
    </w:p>
    <w:p w14:paraId="0E4EBF76"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It shows the return in cash on each common stock owned by shareholders, and it is one of the principal ways of ascertaining the level of management's confidence in the sustainability of earnings and cash flows. It is of prime importance in ascertaining the value of shareholders to income investors. (Palepu and Healy, 2020; Lichtenstein and Dade, 2007)</w:t>
      </w:r>
    </w:p>
    <w:p w14:paraId="7E13DD1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 the financial year </w:t>
      </w:r>
      <w:proofErr w:type="gramStart"/>
      <w:r w:rsidRPr="00F41BCA">
        <w:rPr>
          <w:rFonts w:ascii="Times New Roman" w:hAnsi="Times New Roman" w:cs="Times New Roman"/>
        </w:rPr>
        <w:t>ended</w:t>
      </w:r>
      <w:proofErr w:type="gramEnd"/>
      <w:r w:rsidRPr="00F41BCA">
        <w:rPr>
          <w:rFonts w:ascii="Times New Roman" w:hAnsi="Times New Roman" w:cs="Times New Roman"/>
        </w:rPr>
        <w:t xml:space="preserve"> January 2024, the company declared a dividend of around £2.10 per share. Then, for the year </w:t>
      </w:r>
      <w:proofErr w:type="gramStart"/>
      <w:r w:rsidRPr="00F41BCA">
        <w:rPr>
          <w:rFonts w:ascii="Times New Roman" w:hAnsi="Times New Roman" w:cs="Times New Roman"/>
        </w:rPr>
        <w:t>ended</w:t>
      </w:r>
      <w:proofErr w:type="gramEnd"/>
      <w:r w:rsidRPr="00F41BCA">
        <w:rPr>
          <w:rFonts w:ascii="Times New Roman" w:hAnsi="Times New Roman" w:cs="Times New Roman"/>
        </w:rPr>
        <w:t xml:space="preserve"> January 2025, the dividend per share stood at around £2.30. This is a small, albeit positive, rise. However, it is worth pointing out that the company does not really </w:t>
      </w:r>
      <w:r w:rsidRPr="00F41BCA">
        <w:rPr>
          <w:rFonts w:ascii="Times New Roman" w:hAnsi="Times New Roman" w:cs="Times New Roman"/>
        </w:rPr>
        <w:lastRenderedPageBreak/>
        <w:t xml:space="preserve">focus on maintaining a smooth DPS rate, </w:t>
      </w:r>
      <w:proofErr w:type="gramStart"/>
      <w:r w:rsidRPr="00F41BCA">
        <w:rPr>
          <w:rFonts w:ascii="Times New Roman" w:hAnsi="Times New Roman" w:cs="Times New Roman"/>
        </w:rPr>
        <w:t>rather</w:t>
      </w:r>
      <w:proofErr w:type="gramEnd"/>
      <w:r w:rsidRPr="00F41BCA">
        <w:rPr>
          <w:rFonts w:ascii="Times New Roman" w:hAnsi="Times New Roman" w:cs="Times New Roman"/>
        </w:rPr>
        <w:t xml:space="preserve"> focusing on combining dividends with share buybacks.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H. Kent Baker and Ricciardi, 2014)</w:t>
      </w:r>
    </w:p>
    <w:p w14:paraId="6DE59661" w14:textId="433E5141"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rise in the </w:t>
      </w:r>
      <w:proofErr w:type="gramStart"/>
      <w:r w:rsidRPr="00F41BCA">
        <w:rPr>
          <w:rFonts w:ascii="Times New Roman" w:hAnsi="Times New Roman" w:cs="Times New Roman"/>
        </w:rPr>
        <w:t>amount</w:t>
      </w:r>
      <w:proofErr w:type="gramEnd"/>
      <w:r w:rsidRPr="00F41BCA">
        <w:rPr>
          <w:rFonts w:ascii="Times New Roman" w:hAnsi="Times New Roman" w:cs="Times New Roman"/>
        </w:rPr>
        <w:t xml:space="preserve"> of dividends paid indicates that the firm was confident about its cash flow generation capabilities, irrespective of the challenging retail conditions in which the firm operates. (Best, 2013; Johannesson, 2021) Moreover, the firm has adopted an unambitious dividend payment strategy in which it has increased the </w:t>
      </w:r>
      <w:proofErr w:type="gramStart"/>
      <w:r w:rsidRPr="00F41BCA">
        <w:rPr>
          <w:rFonts w:ascii="Times New Roman" w:hAnsi="Times New Roman" w:cs="Times New Roman"/>
        </w:rPr>
        <w:t>amount</w:t>
      </w:r>
      <w:proofErr w:type="gramEnd"/>
      <w:r w:rsidRPr="00F41BCA">
        <w:rPr>
          <w:rFonts w:ascii="Times New Roman" w:hAnsi="Times New Roman" w:cs="Times New Roman"/>
        </w:rPr>
        <w:t xml:space="preserve"> of dividends paid, suggesting an appropriate balance between redistributing wealth to its shareholders and retaining the same for future reinvestment, debt repayment, and other purposes. (Campbell,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1BC70678" w14:textId="77777777" w:rsidR="00F41BCA" w:rsidRPr="00F41BCA" w:rsidRDefault="00F41BCA" w:rsidP="00F41BCA">
      <w:pPr>
        <w:pStyle w:val="Heading3"/>
        <w:rPr>
          <w:rFonts w:eastAsiaTheme="minorHAnsi"/>
        </w:rPr>
      </w:pPr>
      <w:r w:rsidRPr="00F41BCA">
        <w:rPr>
          <w:rFonts w:eastAsiaTheme="minorHAnsi"/>
        </w:rPr>
        <w:t>Dividend Cover and Dividend Yield</w:t>
      </w:r>
    </w:p>
    <w:p w14:paraId="3D4FED8E"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dividend cover is the measure of the level to which the dividend is aided by earnings and aids in understanding the viability of the dividend payout. (Palepu and Healy, 2020; Bragg, 2018) During the year ending January 2024, the dividend cover for NEXT Plc was approximately 1.32 times. However, it rose slightly to about 1.34 times in January 2025. (Bragg, 2018)</w:t>
      </w:r>
    </w:p>
    <w:p w14:paraId="3E5930C2"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An increase in dividend cover </w:t>
      </w:r>
      <w:proofErr w:type="gramStart"/>
      <w:r w:rsidRPr="00F41BCA">
        <w:rPr>
          <w:rFonts w:ascii="Times New Roman" w:hAnsi="Times New Roman" w:cs="Times New Roman"/>
        </w:rPr>
        <w:t>signifies</w:t>
      </w:r>
      <w:proofErr w:type="gramEnd"/>
      <w:r w:rsidRPr="00F41BCA">
        <w:rPr>
          <w:rFonts w:ascii="Times New Roman" w:hAnsi="Times New Roman" w:cs="Times New Roman"/>
        </w:rPr>
        <w:t xml:space="preserve"> that earnings have grown at a faster rate than the payment of dividends. This increases the robustness of the dividend and prevents the possible cutting of dividends in periods of earnings variability. When the dividend cover exceeds 1, it implies that NEXT Plc has retained earnings in the company. (Palepu and Healy, 2020; Lichtenstein and Dade, 2007)</w:t>
      </w:r>
    </w:p>
    <w:p w14:paraId="50DD898F" w14:textId="40A131D4"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Dividend yield, which shows the relative value of dividends to the share price in the market, slightly decreased over the period. In January 2024, the dividend yield for NEXT plc was about 3.9%, which decreased to about 3.6% in January 2025. Notably, this reduction is mainly attributed to the increased share price and not the decreased dividends. Consequently, the decreased dividend yield shows positive sentiments in the market and higher valuation, as opposed to lowered returns for the shareholders. (H. Kent Baker and Ricciardi, 2014; Palepu and Healy, 2020)</w:t>
      </w:r>
    </w:p>
    <w:p w14:paraId="5DF31D92" w14:textId="77777777" w:rsidR="00F41BCA" w:rsidRPr="00F41BCA" w:rsidRDefault="00F41BCA" w:rsidP="00F41BCA">
      <w:pPr>
        <w:pStyle w:val="Heading3"/>
        <w:rPr>
          <w:rFonts w:eastAsiaTheme="minorHAnsi"/>
        </w:rPr>
      </w:pPr>
      <w:r w:rsidRPr="00F41BCA">
        <w:rPr>
          <w:rFonts w:eastAsiaTheme="minorHAnsi"/>
        </w:rPr>
        <w:t>Interest Cover and Price/Earnings (P/E) Ratio</w:t>
      </w:r>
    </w:p>
    <w:p w14:paraId="52C25616"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Interest cover is the ability of a company to meet its financing costs from operating profits and </w:t>
      </w:r>
      <w:proofErr w:type="gramStart"/>
      <w:r w:rsidRPr="00F41BCA">
        <w:rPr>
          <w:rFonts w:ascii="Times New Roman" w:hAnsi="Times New Roman" w:cs="Times New Roman"/>
        </w:rPr>
        <w:t>is considered to be</w:t>
      </w:r>
      <w:proofErr w:type="gramEnd"/>
      <w:r w:rsidRPr="00F41BCA">
        <w:rPr>
          <w:rFonts w:ascii="Times New Roman" w:hAnsi="Times New Roman" w:cs="Times New Roman"/>
        </w:rPr>
        <w:t xml:space="preserve"> one of the better indicators of financial resilience. (Allen, 2021; Bragg, 2018) During the year ended January 2024, NEXT plc registered an interest cover ratio of about 7.8 times; that has slightly decreased in January 2025 to about 7.3 times. (Bragg, 2018)</w:t>
      </w:r>
    </w:p>
    <w:p w14:paraId="046D60F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lastRenderedPageBreak/>
        <w:t>Although interest cover decreased, it remained at a comfortable level in both years. The reduction reflects higher finance costs arising from increased borrowing and rising interest rates rather than a deterioration in operating performance. Operating profits of NEXT plc continued to comfortably exceed finance costs, with the company continuing to retain strong debt-servicing capacity. (Allen, 2021; Kotey, 2019)</w:t>
      </w:r>
    </w:p>
    <w:p w14:paraId="58E37844" w14:textId="3DD12388"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price/earnings ratio shows the level at which investors are prepared to pay in respect of every pound of earnings and is an indicator of investor sentiment. (H. Kent Baker and Ricciardi, 2014; Palepu and Healy, 2020) In January 2024, the P/E ratio for NEXT Plc was around 14.9, which reduced to around 14.2 in January 2025. This small reduction could be an indication that earnings per share did not keep pace with the share price but rather earnings growth outpaced share price growth, possibly indicating value. It could also be a pointer towards lack of confidence, but it could be </w:t>
      </w:r>
      <w:proofErr w:type="gramStart"/>
      <w:r w:rsidRPr="00F41BCA">
        <w:rPr>
          <w:rFonts w:ascii="Times New Roman" w:hAnsi="Times New Roman" w:cs="Times New Roman"/>
        </w:rPr>
        <w:t>due to the fact that</w:t>
      </w:r>
      <w:proofErr w:type="gramEnd"/>
      <w:r w:rsidRPr="00F41BCA">
        <w:rPr>
          <w:rFonts w:ascii="Times New Roman" w:hAnsi="Times New Roman" w:cs="Times New Roman"/>
        </w:rPr>
        <w:t xml:space="preserve"> earnings improvement was not factored in. (H. Kent Baker and Ricciardi, 2014; Chen, Chung, Hsu and Wu, 2010)</w:t>
      </w:r>
    </w:p>
    <w:p w14:paraId="2989AF22" w14:textId="77777777" w:rsidR="00F41BCA" w:rsidRPr="00F41BCA" w:rsidRDefault="00F41BCA" w:rsidP="00F41BCA">
      <w:pPr>
        <w:pStyle w:val="Heading1"/>
        <w:rPr>
          <w:rFonts w:eastAsiaTheme="minorHAnsi"/>
        </w:rPr>
      </w:pPr>
      <w:r w:rsidRPr="00F41BCA">
        <w:rPr>
          <w:rFonts w:eastAsiaTheme="minorHAnsi"/>
        </w:rPr>
        <w:t>Part 2 – Investment Appraisal and Financing Decision</w:t>
      </w:r>
    </w:p>
    <w:p w14:paraId="22106A71" w14:textId="77777777" w:rsidR="00F41BCA" w:rsidRPr="00F41BCA" w:rsidRDefault="00F41BCA" w:rsidP="00F41BCA">
      <w:pPr>
        <w:pStyle w:val="Heading2"/>
        <w:rPr>
          <w:rFonts w:eastAsiaTheme="minorHAnsi"/>
        </w:rPr>
      </w:pPr>
      <w:r w:rsidRPr="00F41BCA">
        <w:rPr>
          <w:rFonts w:eastAsiaTheme="minorHAnsi"/>
        </w:rPr>
        <w:t>The Investment Proposal</w:t>
      </w:r>
    </w:p>
    <w:p w14:paraId="6AD048A4"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Westward plc has decided on a strategic expansion of its operations through one of three mutually exclusive investment options that are to be undertaken over a four-year period.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Madura, 2018) The differing scales, risk exposure, and expected cash flow generation of the proposed projects make it necessary for the company to conduct a very scrupulous financial assessment before making its final decision. (Allen, 2021;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 Since the decisions would have long-term effects on the profitability and liquidity positions and consequently on shareholder value, it is incumbent upon the directors to assess each option using appropriate techniques of capital investment appraisal. (Connolly, 2007; Lichtenstein and Dade, 2007)</w:t>
      </w:r>
    </w:p>
    <w:p w14:paraId="6285452B" w14:textId="31597AC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report appraises the three alternatives proposed </w:t>
      </w:r>
      <w:proofErr w:type="gramStart"/>
      <w:r w:rsidRPr="00F41BCA">
        <w:rPr>
          <w:rFonts w:ascii="Times New Roman" w:hAnsi="Times New Roman" w:cs="Times New Roman"/>
        </w:rPr>
        <w:t>by the use of</w:t>
      </w:r>
      <w:proofErr w:type="gramEnd"/>
      <w:r w:rsidRPr="00F41BCA">
        <w:rPr>
          <w:rFonts w:ascii="Times New Roman" w:hAnsi="Times New Roman" w:cs="Times New Roman"/>
        </w:rPr>
        <w:t xml:space="preserve"> net present value, internal rate of return, payback period, and accounting rate of return. (CFI, 2022; Kagan, 2025; Gordon, 2020) Although quantitative results are the backbone of the analysis, the report also intertwines critical discussion of theoretical strengths and weaknesses of each technique. (Georg </w:t>
      </w:r>
      <w:proofErr w:type="spellStart"/>
      <w:r w:rsidRPr="00F41BCA">
        <w:rPr>
          <w:rFonts w:ascii="Times New Roman" w:hAnsi="Times New Roman" w:cs="Times New Roman"/>
        </w:rPr>
        <w:t>Müller-Fürstenberger</w:t>
      </w:r>
      <w:proofErr w:type="spellEnd"/>
      <w:r w:rsidRPr="00F41BCA">
        <w:rPr>
          <w:rFonts w:ascii="Times New Roman" w:hAnsi="Times New Roman" w:cs="Times New Roman"/>
        </w:rPr>
        <w:t xml:space="preserve">, 2017; Lin, 2019) Besides, capital rationing implications and potential sources of </w:t>
      </w:r>
      <w:r w:rsidRPr="00F41BCA">
        <w:rPr>
          <w:rFonts w:ascii="Times New Roman" w:hAnsi="Times New Roman" w:cs="Times New Roman"/>
        </w:rPr>
        <w:lastRenderedPageBreak/>
        <w:t xml:space="preserve">finance have been considered in developing a comprehensive recommendation to the Board.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w:t>
      </w:r>
    </w:p>
    <w:p w14:paraId="2DBB6BF9" w14:textId="77777777" w:rsidR="00F41BCA" w:rsidRPr="00F41BCA" w:rsidRDefault="00F41BCA" w:rsidP="00F41BCA">
      <w:pPr>
        <w:pStyle w:val="Heading2"/>
        <w:rPr>
          <w:rFonts w:eastAsiaTheme="minorHAnsi"/>
        </w:rPr>
      </w:pPr>
      <w:r w:rsidRPr="00F41BCA">
        <w:rPr>
          <w:rFonts w:eastAsiaTheme="minorHAnsi"/>
        </w:rPr>
        <w:t>Net Present Value (NPV)</w:t>
      </w:r>
    </w:p>
    <w:p w14:paraId="0A29F1C6"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Accordingly, Net Present Value is generally considered the best investment appraisal technique because it reveals an absolute measure of the change in shareholder wealth contributed by a project. (CFI, 2022;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Spring, 2018) NPV simply subtracts the sum of the initial investment and the present value of future cash inflows discounted at the company's cost of capital. (Madura, 2018;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 A positive NPV reflects that a project will generate returns over and above the rate required and, hence, should be acceptable. (CFI, 2022; Palepu and Healy, 2020)</w:t>
      </w:r>
    </w:p>
    <w:p w14:paraId="062CE2E5"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All three investment options proposed give positive NPVs, meaning that each project is viable </w:t>
      </w:r>
      <w:proofErr w:type="gramStart"/>
      <w:r w:rsidRPr="00F41BCA">
        <w:rPr>
          <w:rFonts w:ascii="Times New Roman" w:hAnsi="Times New Roman" w:cs="Times New Roman"/>
        </w:rPr>
        <w:t>on</w:t>
      </w:r>
      <w:proofErr w:type="gramEnd"/>
      <w:r w:rsidRPr="00F41BCA">
        <w:rPr>
          <w:rFonts w:ascii="Times New Roman" w:hAnsi="Times New Roman" w:cs="Times New Roman"/>
        </w:rPr>
        <w:t xml:space="preserve"> financial consideration if considered in isolation. (CFI, 2022; Spring, 2018) The NPV figures for the projects are:</w:t>
      </w:r>
    </w:p>
    <w:p w14:paraId="030913E2" w14:textId="4371278B" w:rsidR="00F41BCA" w:rsidRPr="00F41BCA" w:rsidRDefault="00F41BCA" w:rsidP="00F41BCA">
      <w:pPr>
        <w:pStyle w:val="ListParagraph"/>
        <w:numPr>
          <w:ilvl w:val="0"/>
          <w:numId w:val="6"/>
        </w:numPr>
        <w:spacing w:line="360" w:lineRule="auto"/>
        <w:jc w:val="both"/>
        <w:rPr>
          <w:rFonts w:ascii="Times New Roman" w:hAnsi="Times New Roman" w:cs="Times New Roman"/>
        </w:rPr>
      </w:pPr>
      <w:r w:rsidRPr="00F41BCA">
        <w:rPr>
          <w:rFonts w:ascii="Times New Roman" w:hAnsi="Times New Roman" w:cs="Times New Roman"/>
        </w:rPr>
        <w:t>Option A generates an NPV of approximately £643,000.</w:t>
      </w:r>
    </w:p>
    <w:p w14:paraId="0E4C6A6B" w14:textId="0B5C9A79" w:rsidR="00F41BCA" w:rsidRPr="00F41BCA" w:rsidRDefault="00F41BCA" w:rsidP="00F41BCA">
      <w:pPr>
        <w:pStyle w:val="ListParagraph"/>
        <w:numPr>
          <w:ilvl w:val="0"/>
          <w:numId w:val="6"/>
        </w:numPr>
        <w:spacing w:line="360" w:lineRule="auto"/>
        <w:jc w:val="both"/>
        <w:rPr>
          <w:rFonts w:ascii="Times New Roman" w:hAnsi="Times New Roman" w:cs="Times New Roman"/>
        </w:rPr>
      </w:pPr>
      <w:r w:rsidRPr="00F41BCA">
        <w:rPr>
          <w:rFonts w:ascii="Times New Roman" w:hAnsi="Times New Roman" w:cs="Times New Roman"/>
        </w:rPr>
        <w:t>Option B provides the highest NPV at approximately £792,000.</w:t>
      </w:r>
    </w:p>
    <w:p w14:paraId="249B4FE2" w14:textId="36D49054" w:rsidR="00F41BCA" w:rsidRPr="00F41BCA" w:rsidRDefault="00F41BCA" w:rsidP="00F41BCA">
      <w:pPr>
        <w:pStyle w:val="ListParagraph"/>
        <w:numPr>
          <w:ilvl w:val="0"/>
          <w:numId w:val="6"/>
        </w:numPr>
        <w:spacing w:line="360" w:lineRule="auto"/>
        <w:jc w:val="both"/>
        <w:rPr>
          <w:rFonts w:ascii="Times New Roman" w:hAnsi="Times New Roman" w:cs="Times New Roman"/>
        </w:rPr>
      </w:pPr>
      <w:r w:rsidRPr="00F41BCA">
        <w:rPr>
          <w:rFonts w:ascii="Times New Roman" w:hAnsi="Times New Roman" w:cs="Times New Roman"/>
        </w:rPr>
        <w:t>Option C would return an NPV of about £742,000.</w:t>
      </w:r>
    </w:p>
    <w:p w14:paraId="755466BE"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These results indicate that either project would add to shareholders' wealth if it were undertaken in isolation. (Lichtenstein and Dade, 2007;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Based strictly on their NPVs, Option B seems to be the most attractive because it offers the greatest absolute increase in value. (CFI, 2022) In a world where capital is scarce, however, NPV </w:t>
      </w:r>
      <w:proofErr w:type="gramStart"/>
      <w:r w:rsidRPr="00F41BCA">
        <w:rPr>
          <w:rFonts w:ascii="Times New Roman" w:hAnsi="Times New Roman" w:cs="Times New Roman"/>
        </w:rPr>
        <w:t>has to</w:t>
      </w:r>
      <w:proofErr w:type="gramEnd"/>
      <w:r w:rsidRPr="00F41BCA">
        <w:rPr>
          <w:rFonts w:ascii="Times New Roman" w:hAnsi="Times New Roman" w:cs="Times New Roman"/>
        </w:rPr>
        <w:t xml:space="preserve"> be considered along with the magnitude of investment that's required and the relative efficiency of capital utilization.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w:t>
      </w:r>
    </w:p>
    <w:p w14:paraId="2778475F" w14:textId="6FCAF8D6"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Although NPV gives a clear measure of value for money, it ignores differences in project scale and implied funding constraints. Consequently, further analysis based on other valuation techniques and capital rationing principles must be undertaken before reaching a conclusion and </w:t>
      </w:r>
      <w:proofErr w:type="gramStart"/>
      <w:r w:rsidRPr="00F41BCA">
        <w:rPr>
          <w:rFonts w:ascii="Times New Roman" w:hAnsi="Times New Roman" w:cs="Times New Roman"/>
        </w:rPr>
        <w:t>making a decision</w:t>
      </w:r>
      <w:proofErr w:type="gramEnd"/>
      <w:r w:rsidRPr="00F41BCA">
        <w:rPr>
          <w:rFonts w:ascii="Times New Roman" w:hAnsi="Times New Roman" w:cs="Times New Roman"/>
        </w:rPr>
        <w:t xml:space="preserve"> to invest. (Spring, 2018;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w:t>
      </w:r>
    </w:p>
    <w:p w14:paraId="4C56CEB1" w14:textId="77777777" w:rsidR="00F41BCA" w:rsidRPr="00F41BCA" w:rsidRDefault="00F41BCA" w:rsidP="00F41BCA">
      <w:pPr>
        <w:pStyle w:val="Heading2"/>
        <w:rPr>
          <w:rFonts w:eastAsiaTheme="minorHAnsi"/>
        </w:rPr>
      </w:pPr>
      <w:r w:rsidRPr="00F41BCA">
        <w:rPr>
          <w:rFonts w:eastAsiaTheme="minorHAnsi"/>
        </w:rPr>
        <w:lastRenderedPageBreak/>
        <w:t>Internal Rate of Return</w:t>
      </w:r>
    </w:p>
    <w:p w14:paraId="39444B92"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Internal Rate of Return is the discount rate at which the Net Present Value becomes zero. (CFI, 2022; Arjunan, 2017) It gives a percentage return on an investment </w:t>
      </w:r>
      <w:proofErr w:type="gramStart"/>
      <w:r w:rsidRPr="00F41BCA">
        <w:rPr>
          <w:rFonts w:ascii="Times New Roman" w:hAnsi="Times New Roman" w:cs="Times New Roman"/>
        </w:rPr>
        <w:t>and also</w:t>
      </w:r>
      <w:proofErr w:type="gramEnd"/>
      <w:r w:rsidRPr="00F41BCA">
        <w:rPr>
          <w:rFonts w:ascii="Times New Roman" w:hAnsi="Times New Roman" w:cs="Times New Roman"/>
        </w:rPr>
        <w:t xml:space="preserve"> allows a company to compare projects based on the company’s cost of capital.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 A project will be deemed as a good investment if its return exceeds the company’s cost of capital, which in this case stands at 6%. (CFI, 2022; Allen, 2021)</w:t>
      </w:r>
    </w:p>
    <w:p w14:paraId="0C13EFC4"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Each of the above investment alternatives has Derivative Internal Rates of Return well above the Cost of Capital. Thus, all the above three individual projects appear financially feasible. The rates are as follows:</w:t>
      </w:r>
    </w:p>
    <w:p w14:paraId="73E1EFDE" w14:textId="1364169E" w:rsidR="00F41BCA" w:rsidRPr="00F41BCA" w:rsidRDefault="00F41BCA" w:rsidP="00F41BCA">
      <w:pPr>
        <w:pStyle w:val="ListParagraph"/>
        <w:numPr>
          <w:ilvl w:val="0"/>
          <w:numId w:val="7"/>
        </w:numPr>
        <w:spacing w:line="360" w:lineRule="auto"/>
        <w:jc w:val="both"/>
        <w:rPr>
          <w:rFonts w:ascii="Times New Roman" w:hAnsi="Times New Roman" w:cs="Times New Roman"/>
        </w:rPr>
      </w:pPr>
      <w:r w:rsidRPr="00F41BCA">
        <w:rPr>
          <w:rFonts w:ascii="Times New Roman" w:hAnsi="Times New Roman" w:cs="Times New Roman"/>
        </w:rPr>
        <w:t>For option A, the Internal Rate of Return is about 38.98%.</w:t>
      </w:r>
    </w:p>
    <w:p w14:paraId="3DBC044C" w14:textId="67784907" w:rsidR="00F41BCA" w:rsidRPr="00F41BCA" w:rsidRDefault="00F41BCA" w:rsidP="00F41BCA">
      <w:pPr>
        <w:pStyle w:val="ListParagraph"/>
        <w:numPr>
          <w:ilvl w:val="0"/>
          <w:numId w:val="7"/>
        </w:numPr>
        <w:spacing w:line="360" w:lineRule="auto"/>
        <w:jc w:val="both"/>
        <w:rPr>
          <w:rFonts w:ascii="Times New Roman" w:hAnsi="Times New Roman" w:cs="Times New Roman"/>
        </w:rPr>
      </w:pPr>
      <w:r w:rsidRPr="00F41BCA">
        <w:rPr>
          <w:rFonts w:ascii="Times New Roman" w:hAnsi="Times New Roman" w:cs="Times New Roman"/>
        </w:rPr>
        <w:t>The Internal Rate of Return for Option B is about 32.14%.</w:t>
      </w:r>
    </w:p>
    <w:p w14:paraId="70FD99C5" w14:textId="0542ED82" w:rsidR="00F41BCA" w:rsidRPr="00F41BCA" w:rsidRDefault="00F41BCA" w:rsidP="00F41BCA">
      <w:pPr>
        <w:pStyle w:val="ListParagraph"/>
        <w:numPr>
          <w:ilvl w:val="0"/>
          <w:numId w:val="7"/>
        </w:numPr>
        <w:spacing w:line="360" w:lineRule="auto"/>
        <w:jc w:val="both"/>
        <w:rPr>
          <w:rFonts w:ascii="Times New Roman" w:hAnsi="Times New Roman" w:cs="Times New Roman"/>
        </w:rPr>
      </w:pPr>
      <w:r w:rsidRPr="00F41BCA">
        <w:rPr>
          <w:rFonts w:ascii="Times New Roman" w:hAnsi="Times New Roman" w:cs="Times New Roman"/>
        </w:rPr>
        <w:t>The Internal Rate of Return of option C is roughly 22.20%.</w:t>
      </w:r>
    </w:p>
    <w:p w14:paraId="4C01035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highest IRR appears in Option A, which indicates that it provides the greatest return potential with respect to the expense incurred. This shows great efficiency in the return generation capability, as it provides a significant </w:t>
      </w:r>
      <w:proofErr w:type="gramStart"/>
      <w:r w:rsidRPr="00F41BCA">
        <w:rPr>
          <w:rFonts w:ascii="Times New Roman" w:hAnsi="Times New Roman" w:cs="Times New Roman"/>
        </w:rPr>
        <w:t>spread</w:t>
      </w:r>
      <w:proofErr w:type="gramEnd"/>
      <w:r w:rsidRPr="00F41BCA">
        <w:rPr>
          <w:rFonts w:ascii="Times New Roman" w:hAnsi="Times New Roman" w:cs="Times New Roman"/>
        </w:rPr>
        <w:t xml:space="preserve"> above the cost of capital. The second-best return, with an IRR significantly above the cost of capital, is provided by Option B. The lowest of the three, but still safe, is Option C. (CFI, 2022; Arjunan, 2017;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w:t>
      </w:r>
    </w:p>
    <w:p w14:paraId="515F4A83" w14:textId="4499D719"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However, while IRR is good for comparative analysis, there are important limitations in its use. For instance, IRR does not consider the magnitude of investment or the absolute value for a project. The implication is that even though projects with higher IRR values are more desirable, they do not necessarily produce better value for shareholders. For instance, while Option A has the strongest IRR</w:t>
      </w:r>
      <w:proofErr w:type="gramStart"/>
      <w:r w:rsidRPr="00F41BCA">
        <w:rPr>
          <w:rFonts w:ascii="Times New Roman" w:hAnsi="Times New Roman" w:cs="Times New Roman"/>
        </w:rPr>
        <w:t>, in actuality, Option</w:t>
      </w:r>
      <w:proofErr w:type="gramEnd"/>
      <w:r w:rsidRPr="00F41BCA">
        <w:rPr>
          <w:rFonts w:ascii="Times New Roman" w:hAnsi="Times New Roman" w:cs="Times New Roman"/>
        </w:rPr>
        <w:t xml:space="preserve"> B produces more value. IRR must be used as a supporting tool for NPV. (CFI, 2022; Arjunan, 2017; Spring, 2018)</w:t>
      </w:r>
    </w:p>
    <w:p w14:paraId="4FBA6DC3" w14:textId="77777777" w:rsidR="00F41BCA" w:rsidRPr="00F41BCA" w:rsidRDefault="00F41BCA" w:rsidP="00F41BCA">
      <w:pPr>
        <w:pStyle w:val="Heading2"/>
        <w:rPr>
          <w:rFonts w:eastAsiaTheme="minorHAnsi"/>
        </w:rPr>
      </w:pPr>
      <w:r w:rsidRPr="00F41BCA">
        <w:rPr>
          <w:rFonts w:eastAsiaTheme="minorHAnsi"/>
        </w:rPr>
        <w:t>Payback Period</w:t>
      </w:r>
    </w:p>
    <w:p w14:paraId="3E11BA71"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payback period is the time required by the project to get back its initial investment through its cash flows. (Kagan, 2025; Lin, 2019) Generally, the payback period technique is utilized as an auxiliary tool for appraisal because it gives information about the liquidity risk, the time required to get back the invested capital, and the rate at which the capital is returned. (Georg </w:t>
      </w:r>
      <w:proofErr w:type="spellStart"/>
      <w:r w:rsidRPr="00F41BCA">
        <w:rPr>
          <w:rFonts w:ascii="Times New Roman" w:hAnsi="Times New Roman" w:cs="Times New Roman"/>
        </w:rPr>
        <w:t>Müller-</w:t>
      </w:r>
      <w:r w:rsidRPr="00F41BCA">
        <w:rPr>
          <w:rFonts w:ascii="Times New Roman" w:hAnsi="Times New Roman" w:cs="Times New Roman"/>
        </w:rPr>
        <w:lastRenderedPageBreak/>
        <w:t>Fürstenberger</w:t>
      </w:r>
      <w:proofErr w:type="spellEnd"/>
      <w:r w:rsidRPr="00F41BCA">
        <w:rPr>
          <w:rFonts w:ascii="Times New Roman" w:hAnsi="Times New Roman" w:cs="Times New Roman"/>
        </w:rPr>
        <w:t xml:space="preserve">, 2017; </w:t>
      </w:r>
      <w:proofErr w:type="spellStart"/>
      <w:r w:rsidRPr="00F41BCA">
        <w:rPr>
          <w:rFonts w:ascii="Times New Roman" w:hAnsi="Times New Roman" w:cs="Times New Roman"/>
        </w:rPr>
        <w:t>Imarticus</w:t>
      </w:r>
      <w:proofErr w:type="spellEnd"/>
      <w:r w:rsidRPr="00F41BCA">
        <w:rPr>
          <w:rFonts w:ascii="Times New Roman" w:hAnsi="Times New Roman" w:cs="Times New Roman"/>
        </w:rPr>
        <w:t>, 2024) But the payback period does not utilize the time value of money or the cash flows beyond the payback period. (Lin, 2019; Kagan, 2025)</w:t>
      </w:r>
    </w:p>
    <w:p w14:paraId="492A4A68" w14:textId="77777777" w:rsidR="00F41BCA" w:rsidRPr="00F41BCA" w:rsidRDefault="00F41BCA" w:rsidP="00F41BCA">
      <w:pPr>
        <w:pStyle w:val="ListParagraph"/>
        <w:numPr>
          <w:ilvl w:val="0"/>
          <w:numId w:val="8"/>
        </w:numPr>
        <w:spacing w:line="360" w:lineRule="auto"/>
        <w:jc w:val="both"/>
        <w:rPr>
          <w:rFonts w:ascii="Times New Roman" w:hAnsi="Times New Roman" w:cs="Times New Roman"/>
        </w:rPr>
      </w:pPr>
      <w:r w:rsidRPr="00F41BCA">
        <w:rPr>
          <w:rFonts w:ascii="Times New Roman" w:hAnsi="Times New Roman" w:cs="Times New Roman"/>
        </w:rPr>
        <w:t xml:space="preserve">The </w:t>
      </w:r>
      <w:proofErr w:type="gramStart"/>
      <w:r w:rsidRPr="00F41BCA">
        <w:rPr>
          <w:rFonts w:ascii="Times New Roman" w:hAnsi="Times New Roman" w:cs="Times New Roman"/>
        </w:rPr>
        <w:t>pay back</w:t>
      </w:r>
      <w:proofErr w:type="gramEnd"/>
      <w:r w:rsidRPr="00F41BCA">
        <w:rPr>
          <w:rFonts w:ascii="Times New Roman" w:hAnsi="Times New Roman" w:cs="Times New Roman"/>
        </w:rPr>
        <w:t xml:space="preserve"> periods of the three alternatives are given below:</w:t>
      </w:r>
    </w:p>
    <w:p w14:paraId="76754AF3" w14:textId="651CB6B0" w:rsidR="00F41BCA" w:rsidRPr="00F41BCA" w:rsidRDefault="00F41BCA" w:rsidP="00F41BCA">
      <w:pPr>
        <w:pStyle w:val="ListParagraph"/>
        <w:numPr>
          <w:ilvl w:val="0"/>
          <w:numId w:val="8"/>
        </w:numPr>
        <w:spacing w:line="360" w:lineRule="auto"/>
        <w:jc w:val="both"/>
        <w:rPr>
          <w:rFonts w:ascii="Times New Roman" w:hAnsi="Times New Roman" w:cs="Times New Roman"/>
        </w:rPr>
      </w:pPr>
      <w:r w:rsidRPr="00F41BCA">
        <w:rPr>
          <w:rFonts w:ascii="Times New Roman" w:hAnsi="Times New Roman" w:cs="Times New Roman"/>
        </w:rPr>
        <w:t>The payback period for option A is roughly 2.22 years.</w:t>
      </w:r>
    </w:p>
    <w:p w14:paraId="0CC93DF2" w14:textId="2BEE71C6" w:rsidR="00F41BCA" w:rsidRPr="00F41BCA" w:rsidRDefault="00F41BCA" w:rsidP="00F41BCA">
      <w:pPr>
        <w:pStyle w:val="ListParagraph"/>
        <w:numPr>
          <w:ilvl w:val="0"/>
          <w:numId w:val="8"/>
        </w:numPr>
        <w:spacing w:line="360" w:lineRule="auto"/>
        <w:jc w:val="both"/>
        <w:rPr>
          <w:rFonts w:ascii="Times New Roman" w:hAnsi="Times New Roman" w:cs="Times New Roman"/>
        </w:rPr>
      </w:pPr>
      <w:r w:rsidRPr="00F41BCA">
        <w:rPr>
          <w:rFonts w:ascii="Times New Roman" w:hAnsi="Times New Roman" w:cs="Times New Roman"/>
        </w:rPr>
        <w:t>Option B has a payback period of about 2.44 years.</w:t>
      </w:r>
    </w:p>
    <w:p w14:paraId="1F5A3586" w14:textId="202C5F2C"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option C, it has the highest payback period of about 2.76 years.</w:t>
      </w:r>
    </w:p>
    <w:p w14:paraId="62C4098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From these findings, </w:t>
      </w:r>
      <w:proofErr w:type="gramStart"/>
      <w:r w:rsidRPr="00F41BCA">
        <w:rPr>
          <w:rFonts w:ascii="Times New Roman" w:hAnsi="Times New Roman" w:cs="Times New Roman"/>
        </w:rPr>
        <w:t>it is clear that Option</w:t>
      </w:r>
      <w:proofErr w:type="gramEnd"/>
      <w:r w:rsidRPr="00F41BCA">
        <w:rPr>
          <w:rFonts w:ascii="Times New Roman" w:hAnsi="Times New Roman" w:cs="Times New Roman"/>
        </w:rPr>
        <w:t xml:space="preserve"> A </w:t>
      </w:r>
      <w:proofErr w:type="gramStart"/>
      <w:r w:rsidRPr="00F41BCA">
        <w:rPr>
          <w:rFonts w:ascii="Times New Roman" w:hAnsi="Times New Roman" w:cs="Times New Roman"/>
        </w:rPr>
        <w:t>is able to</w:t>
      </w:r>
      <w:proofErr w:type="gramEnd"/>
      <w:r w:rsidRPr="00F41BCA">
        <w:rPr>
          <w:rFonts w:ascii="Times New Roman" w:hAnsi="Times New Roman" w:cs="Times New Roman"/>
        </w:rPr>
        <w:t xml:space="preserve"> recoup the original investment in less time than Options B and C. Therefore, in terms of liquidity risk, Option A is less risky than Options B and C. Option C is even less safe than Options B and C as far as recouping investment is concerned. (Kagan, 2025; Lin, 2019)</w:t>
      </w:r>
    </w:p>
    <w:p w14:paraId="60BA56BB" w14:textId="609C160E"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While the payback method </w:t>
      </w:r>
      <w:proofErr w:type="spellStart"/>
      <w:r w:rsidRPr="00F41BCA">
        <w:rPr>
          <w:rFonts w:ascii="Times New Roman" w:hAnsi="Times New Roman" w:cs="Times New Roman"/>
        </w:rPr>
        <w:t>favours</w:t>
      </w:r>
      <w:proofErr w:type="spellEnd"/>
      <w:r w:rsidRPr="00F41BCA">
        <w:rPr>
          <w:rFonts w:ascii="Times New Roman" w:hAnsi="Times New Roman" w:cs="Times New Roman"/>
        </w:rPr>
        <w:t xml:space="preserve"> Option A, its limitations mean that it should not override the conclusions drawn from discounted cash flow techniques. </w:t>
      </w:r>
      <w:proofErr w:type="gramStart"/>
      <w:r w:rsidRPr="00F41BCA">
        <w:rPr>
          <w:rFonts w:ascii="Times New Roman" w:hAnsi="Times New Roman" w:cs="Times New Roman"/>
        </w:rPr>
        <w:t>In particular, payback</w:t>
      </w:r>
      <w:proofErr w:type="gramEnd"/>
      <w:r w:rsidRPr="00F41BCA">
        <w:rPr>
          <w:rFonts w:ascii="Times New Roman" w:hAnsi="Times New Roman" w:cs="Times New Roman"/>
        </w:rPr>
        <w:t xml:space="preserve"> ignores the substantial cash inflows generated by the projects after the recovery period and therefore provides an incomplete assessment of long-term profitability. (</w:t>
      </w:r>
      <w:proofErr w:type="spellStart"/>
      <w:r w:rsidRPr="00F41BCA">
        <w:rPr>
          <w:rFonts w:ascii="Times New Roman" w:hAnsi="Times New Roman" w:cs="Times New Roman"/>
        </w:rPr>
        <w:t>Imarticus</w:t>
      </w:r>
      <w:proofErr w:type="spellEnd"/>
      <w:r w:rsidRPr="00F41BCA">
        <w:rPr>
          <w:rFonts w:ascii="Times New Roman" w:hAnsi="Times New Roman" w:cs="Times New Roman"/>
        </w:rPr>
        <w:t xml:space="preserve">, 2024; Georg </w:t>
      </w:r>
      <w:proofErr w:type="spellStart"/>
      <w:r w:rsidRPr="00F41BCA">
        <w:rPr>
          <w:rFonts w:ascii="Times New Roman" w:hAnsi="Times New Roman" w:cs="Times New Roman"/>
        </w:rPr>
        <w:t>Müller-Fürstenberger</w:t>
      </w:r>
      <w:proofErr w:type="spellEnd"/>
      <w:r w:rsidRPr="00F41BCA">
        <w:rPr>
          <w:rFonts w:ascii="Times New Roman" w:hAnsi="Times New Roman" w:cs="Times New Roman"/>
        </w:rPr>
        <w:t>, 2017)</w:t>
      </w:r>
    </w:p>
    <w:p w14:paraId="679E3A65" w14:textId="77777777" w:rsidR="00F41BCA" w:rsidRPr="00F41BCA" w:rsidRDefault="00F41BCA" w:rsidP="00F41BCA">
      <w:pPr>
        <w:pStyle w:val="Heading2"/>
        <w:rPr>
          <w:rFonts w:eastAsiaTheme="minorHAnsi"/>
        </w:rPr>
      </w:pPr>
      <w:r w:rsidRPr="00F41BCA">
        <w:rPr>
          <w:rFonts w:eastAsiaTheme="minorHAnsi"/>
        </w:rPr>
        <w:t>Capital Rationing and Project Selection</w:t>
      </w:r>
    </w:p>
    <w:p w14:paraId="3C331533"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In practice, however, capital rationing typically occurs where the company does not have sufficient funds to allow management to accept every viable investment opportunity. In such cases, firms must select those projects that produce the highest value from the scarce capital. This situation can be due to either internal factors-for example, a limited supply of cash-or external factors, such as restricted access to relatively inexpensive finance. (Almeida and Campello, 2005; Kersten, Harms, </w:t>
      </w:r>
      <w:proofErr w:type="spellStart"/>
      <w:r w:rsidRPr="00F41BCA">
        <w:rPr>
          <w:rFonts w:ascii="Times New Roman" w:hAnsi="Times New Roman" w:cs="Times New Roman"/>
        </w:rPr>
        <w:t>Liket</w:t>
      </w:r>
      <w:proofErr w:type="spellEnd"/>
      <w:r w:rsidRPr="00F41BCA">
        <w:rPr>
          <w:rFonts w:ascii="Times New Roman" w:hAnsi="Times New Roman" w:cs="Times New Roman"/>
        </w:rPr>
        <w:t xml:space="preserve"> and Maas, 2017)</w:t>
      </w:r>
    </w:p>
    <w:p w14:paraId="0EC11D92" w14:textId="77777777" w:rsidR="00F41BCA" w:rsidRPr="00F41BCA" w:rsidRDefault="00F41BCA" w:rsidP="00F41BCA">
      <w:pPr>
        <w:spacing w:line="360" w:lineRule="auto"/>
        <w:jc w:val="both"/>
        <w:rPr>
          <w:rFonts w:ascii="Times New Roman" w:hAnsi="Times New Roman" w:cs="Times New Roman"/>
        </w:rPr>
      </w:pPr>
      <w:proofErr w:type="gramStart"/>
      <w:r w:rsidRPr="00F41BCA">
        <w:rPr>
          <w:rFonts w:ascii="Times New Roman" w:hAnsi="Times New Roman" w:cs="Times New Roman"/>
        </w:rPr>
        <w:t>With regard to</w:t>
      </w:r>
      <w:proofErr w:type="gramEnd"/>
      <w:r w:rsidRPr="00F41BCA">
        <w:rPr>
          <w:rFonts w:ascii="Times New Roman" w:hAnsi="Times New Roman" w:cs="Times New Roman"/>
        </w:rPr>
        <w:t xml:space="preserve"> Westward plc, whereas all three investment opportunities have yielded positive NPVs, the company does have a funding ceiling of £2.5 million. In addition, the projects are divisible, which implies that it is possible to invest in a portion of a project rather than having to accept it in its entirety. Consequently, an optimal capital budget needs to be ascertained to maximize overall shareholders' wealth. (Spring, 2018;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w:t>
      </w:r>
    </w:p>
    <w:p w14:paraId="21982DE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lastRenderedPageBreak/>
        <w:t xml:space="preserve">When projects are divisible, the relevant decision rule is the Profitability Index (PI), which is the present value of inflows generated per pound invested. It ranks projects in descending order of their PIs and selects as many as possible within available capital limits.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 Madura, 2018)</w:t>
      </w:r>
    </w:p>
    <w:p w14:paraId="6626A64D"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So, in accordance with the appraisal results, the rank of the projects is as follows:</w:t>
      </w:r>
    </w:p>
    <w:p w14:paraId="73C6C391" w14:textId="3A11C389" w:rsidR="00F41BCA" w:rsidRPr="00F41BCA" w:rsidRDefault="00F41BCA" w:rsidP="00F41BCA">
      <w:pPr>
        <w:pStyle w:val="ListParagraph"/>
        <w:numPr>
          <w:ilvl w:val="0"/>
          <w:numId w:val="9"/>
        </w:numPr>
        <w:spacing w:line="360" w:lineRule="auto"/>
        <w:jc w:val="both"/>
        <w:rPr>
          <w:rFonts w:ascii="Times New Roman" w:hAnsi="Times New Roman" w:cs="Times New Roman"/>
        </w:rPr>
      </w:pPr>
      <w:r w:rsidRPr="00F41BCA">
        <w:rPr>
          <w:rFonts w:ascii="Times New Roman" w:hAnsi="Times New Roman" w:cs="Times New Roman"/>
        </w:rPr>
        <w:t>Option A provides the highest value for any pound invested.</w:t>
      </w:r>
    </w:p>
    <w:p w14:paraId="2B498B96" w14:textId="1A93E15E" w:rsidR="00F41BCA" w:rsidRPr="00F41BCA" w:rsidRDefault="00F41BCA" w:rsidP="00F41BCA">
      <w:pPr>
        <w:pStyle w:val="ListParagraph"/>
        <w:numPr>
          <w:ilvl w:val="0"/>
          <w:numId w:val="9"/>
        </w:numPr>
        <w:spacing w:line="360" w:lineRule="auto"/>
        <w:jc w:val="both"/>
        <w:rPr>
          <w:rFonts w:ascii="Times New Roman" w:hAnsi="Times New Roman" w:cs="Times New Roman"/>
        </w:rPr>
      </w:pPr>
      <w:r w:rsidRPr="00F41BCA">
        <w:rPr>
          <w:rFonts w:ascii="Times New Roman" w:hAnsi="Times New Roman" w:cs="Times New Roman"/>
        </w:rPr>
        <w:t>Option B is also promising, which is comparatively less expensive and can generate substantial value.</w:t>
      </w:r>
    </w:p>
    <w:p w14:paraId="3F7CC159" w14:textId="588F728E" w:rsidR="00F41BCA" w:rsidRPr="00F41BCA" w:rsidRDefault="00F41BCA" w:rsidP="00F41BCA">
      <w:pPr>
        <w:pStyle w:val="ListParagraph"/>
        <w:numPr>
          <w:ilvl w:val="0"/>
          <w:numId w:val="9"/>
        </w:numPr>
        <w:spacing w:line="360" w:lineRule="auto"/>
        <w:jc w:val="both"/>
        <w:rPr>
          <w:rFonts w:ascii="Times New Roman" w:hAnsi="Times New Roman" w:cs="Times New Roman"/>
        </w:rPr>
      </w:pPr>
      <w:r w:rsidRPr="00F41BCA">
        <w:rPr>
          <w:rFonts w:ascii="Times New Roman" w:hAnsi="Times New Roman" w:cs="Times New Roman"/>
        </w:rPr>
        <w:t>Option C, which gives the lowest value per pound invested.</w:t>
      </w:r>
    </w:p>
    <w:p w14:paraId="30125497"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w:t>
      </w:r>
      <w:proofErr w:type="gramStart"/>
      <w:r w:rsidRPr="00F41BCA">
        <w:rPr>
          <w:rFonts w:ascii="Times New Roman" w:hAnsi="Times New Roman" w:cs="Times New Roman"/>
        </w:rPr>
        <w:t>ranking</w:t>
      </w:r>
      <w:proofErr w:type="gramEnd"/>
      <w:r w:rsidRPr="00F41BCA">
        <w:rPr>
          <w:rFonts w:ascii="Times New Roman" w:hAnsi="Times New Roman" w:cs="Times New Roman"/>
        </w:rPr>
        <w:t xml:space="preserve"> indicates that Westward plc should invest completely in Option A, which requires an outlay of £600 000, and then invest completely in Option B that requires another £1,000,000. This amounts to a total investment of £1.6 m, leaving £900,000 </w:t>
      </w:r>
      <w:proofErr w:type="gramStart"/>
      <w:r w:rsidRPr="00F41BCA">
        <w:rPr>
          <w:rFonts w:ascii="Times New Roman" w:hAnsi="Times New Roman" w:cs="Times New Roman"/>
        </w:rPr>
        <w:t>of</w:t>
      </w:r>
      <w:proofErr w:type="gramEnd"/>
      <w:r w:rsidRPr="00F41BCA">
        <w:rPr>
          <w:rFonts w:ascii="Times New Roman" w:hAnsi="Times New Roman" w:cs="Times New Roman"/>
        </w:rPr>
        <w:t xml:space="preserve"> the available budget. (Spring, 2018; Allen, 2021)</w:t>
      </w:r>
    </w:p>
    <w:p w14:paraId="4A43F5DA"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The remainder, £900 000, should be invested in Option C; this would take up approximately 56.25% of the project. Since the firm can only partially undertake Option C, Westward plc is able to employ its full funding limit of £2.5 million while </w:t>
      </w:r>
      <w:proofErr w:type="spellStart"/>
      <w:r w:rsidRPr="00F41BCA">
        <w:rPr>
          <w:rFonts w:ascii="Times New Roman" w:hAnsi="Times New Roman" w:cs="Times New Roman"/>
        </w:rPr>
        <w:t>maximising</w:t>
      </w:r>
      <w:proofErr w:type="spellEnd"/>
      <w:r w:rsidRPr="00F41BCA">
        <w:rPr>
          <w:rFonts w:ascii="Times New Roman" w:hAnsi="Times New Roman" w:cs="Times New Roman"/>
        </w:rPr>
        <w:t xml:space="preserve"> total value creation. (</w:t>
      </w:r>
      <w:proofErr w:type="spellStart"/>
      <w:r w:rsidRPr="00F41BCA">
        <w:rPr>
          <w:rFonts w:ascii="Times New Roman" w:hAnsi="Times New Roman" w:cs="Times New Roman"/>
        </w:rPr>
        <w:t>Oakshott</w:t>
      </w:r>
      <w:proofErr w:type="spellEnd"/>
      <w:r w:rsidRPr="00F41BCA">
        <w:rPr>
          <w:rFonts w:ascii="Times New Roman" w:hAnsi="Times New Roman" w:cs="Times New Roman"/>
        </w:rPr>
        <w:t xml:space="preserve">, 2020;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w:t>
      </w:r>
    </w:p>
    <w:p w14:paraId="049A218A" w14:textId="41BFB734"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Under this optimal investment strategy, the total NPV generated is approximately £1.85 million. This is the maximum achievable enhancement of shareholders' wealth, given the funding limitation, and confirms that capital allocation based on the Profitability Index is the most financially rational in this problem. (Spring, 2018; Palepu and Healy, 2020)</w:t>
      </w:r>
    </w:p>
    <w:p w14:paraId="28054D27" w14:textId="77777777" w:rsidR="00F41BCA" w:rsidRPr="00F41BCA" w:rsidRDefault="00F41BCA" w:rsidP="00F41BCA">
      <w:pPr>
        <w:pStyle w:val="Heading2"/>
        <w:rPr>
          <w:rFonts w:eastAsiaTheme="minorHAnsi"/>
        </w:rPr>
      </w:pPr>
      <w:r w:rsidRPr="00F41BCA">
        <w:rPr>
          <w:rFonts w:eastAsiaTheme="minorHAnsi"/>
        </w:rPr>
        <w:t>Overall Investment Recommendation</w:t>
      </w:r>
    </w:p>
    <w:p w14:paraId="6E6D9679"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The investment appraisal suggests that all three projects are financially viable, since each produces a positive NPV and an IRR which is greater than the company's cost of capital. However, the capital rationing applies, so not all projects can be undertaken in full. (CFI, 2022; Spring, 2018)</w:t>
      </w:r>
    </w:p>
    <w:p w14:paraId="7D32A0D5"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Although Option B is the single option that creates the highest NPV </w:t>
      </w:r>
      <w:proofErr w:type="gramStart"/>
      <w:r w:rsidRPr="00F41BCA">
        <w:rPr>
          <w:rFonts w:ascii="Times New Roman" w:hAnsi="Times New Roman" w:cs="Times New Roman"/>
        </w:rPr>
        <w:t>and also</w:t>
      </w:r>
      <w:proofErr w:type="gramEnd"/>
      <w:r w:rsidRPr="00F41BCA">
        <w:rPr>
          <w:rFonts w:ascii="Times New Roman" w:hAnsi="Times New Roman" w:cs="Times New Roman"/>
        </w:rPr>
        <w:t xml:space="preserve"> performs the best under both IRR and payback criteria, if capital is severely rationed the optimal strategy is not to accept a single project, but to allocate funds efficiently across projects. If Westward plc invests </w:t>
      </w:r>
      <w:r w:rsidRPr="00F41BCA">
        <w:rPr>
          <w:rFonts w:ascii="Times New Roman" w:hAnsi="Times New Roman" w:cs="Times New Roman"/>
        </w:rPr>
        <w:lastRenderedPageBreak/>
        <w:t xml:space="preserve">fully in Options A and B, and partly in Option C, then total shareholder wealth will be </w:t>
      </w:r>
      <w:proofErr w:type="spellStart"/>
      <w:r w:rsidRPr="00F41BCA">
        <w:rPr>
          <w:rFonts w:ascii="Times New Roman" w:hAnsi="Times New Roman" w:cs="Times New Roman"/>
        </w:rPr>
        <w:t>maximised</w:t>
      </w:r>
      <w:proofErr w:type="spellEnd"/>
      <w:r w:rsidRPr="00F41BCA">
        <w:rPr>
          <w:rFonts w:ascii="Times New Roman" w:hAnsi="Times New Roman" w:cs="Times New Roman"/>
        </w:rPr>
        <w:t xml:space="preserve">. (Spring, 2018; Clayman, </w:t>
      </w:r>
      <w:proofErr w:type="spellStart"/>
      <w:r w:rsidRPr="00F41BCA">
        <w:rPr>
          <w:rFonts w:ascii="Times New Roman" w:hAnsi="Times New Roman" w:cs="Times New Roman"/>
        </w:rPr>
        <w:t>Fridson</w:t>
      </w:r>
      <w:proofErr w:type="spellEnd"/>
      <w:r w:rsidRPr="00F41BCA">
        <w:rPr>
          <w:rFonts w:ascii="Times New Roman" w:hAnsi="Times New Roman" w:cs="Times New Roman"/>
        </w:rPr>
        <w:t xml:space="preserve"> and Troughton, 2012)</w:t>
      </w:r>
    </w:p>
    <w:p w14:paraId="2EE34B28" w14:textId="23063EFF"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This analysis brings into light the applicability of proper appraisal techniques in various decision contexts. Although NPV is considered an ideal method in an unconstrained capital </w:t>
      </w:r>
      <w:proofErr w:type="gramStart"/>
      <w:r w:rsidRPr="00F41BCA">
        <w:rPr>
          <w:rFonts w:ascii="Times New Roman" w:hAnsi="Times New Roman" w:cs="Times New Roman"/>
        </w:rPr>
        <w:t>scenario, yet</w:t>
      </w:r>
      <w:proofErr w:type="gramEnd"/>
      <w:r w:rsidRPr="00F41BCA">
        <w:rPr>
          <w:rFonts w:ascii="Times New Roman" w:hAnsi="Times New Roman" w:cs="Times New Roman"/>
        </w:rPr>
        <w:t xml:space="preserve"> the profitability index would become vital in a fund-constrained situation where projects are divisible. Overall, the recommended investment strategy supports the objective of the maximization of shareholders' wealth through sound financial decision-making. (Palepu and Healy, 2020; Lichtenstein and Dade, 2007)</w:t>
      </w:r>
    </w:p>
    <w:p w14:paraId="60C71618" w14:textId="77777777" w:rsidR="00F41BCA" w:rsidRPr="00F41BCA" w:rsidRDefault="00F41BCA" w:rsidP="00F41BCA">
      <w:pPr>
        <w:pStyle w:val="Heading2"/>
        <w:rPr>
          <w:rFonts w:eastAsiaTheme="minorHAnsi"/>
        </w:rPr>
      </w:pPr>
      <w:r w:rsidRPr="00F41BCA">
        <w:rPr>
          <w:rFonts w:eastAsiaTheme="minorHAnsi"/>
        </w:rPr>
        <w:t>Theoretical Justification for Net Present Value as the Preferred Appraisal Method</w:t>
      </w:r>
    </w:p>
    <w:p w14:paraId="50A78B62"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Net Present Value is considered the most valid technique of investment analysis, as it measures the exact change in market worth which can be achieved. (CFI, 2022; Spring, 2018) The Net Present Value takes into consideration the concept of the time value of money, which assumes that money at any future date is less valuable than money at the current date because of the uncertainties involved. Net Present Value calculates the future values of money using the cost of capital of the company. (</w:t>
      </w:r>
      <w:proofErr w:type="spellStart"/>
      <w:r w:rsidRPr="00F41BCA">
        <w:rPr>
          <w:rFonts w:ascii="Times New Roman" w:hAnsi="Times New Roman" w:cs="Times New Roman"/>
        </w:rPr>
        <w:t>Oakshott</w:t>
      </w:r>
      <w:proofErr w:type="spellEnd"/>
      <w:r w:rsidRPr="00F41BCA">
        <w:rPr>
          <w:rFonts w:ascii="Times New Roman" w:hAnsi="Times New Roman" w:cs="Times New Roman"/>
        </w:rPr>
        <w:t>, 2020; Madura, 2018)</w:t>
      </w:r>
    </w:p>
    <w:p w14:paraId="469B0153"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Unlike other appraisal methods, the NPV method appraises projects in terms of absolute value rather than in terms of percentages. This makes the method more focused on maximization of value. Moreover, the method provides clear-cut results for accepting or rejecting projects. Projects with a positive NPV create value for the firm, whereas negative NPV destroys value. Such projects should be accepted or rejected. (Spring, 2018; Palepu and Healy, 2020)</w:t>
      </w:r>
    </w:p>
    <w:p w14:paraId="4FF74EFC" w14:textId="598BBCE5"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In the context of Westward plc, NPV has clearly pinpointed that all projects have been value-enhancing and helped management to identify the optimal amount to be invested given budget constraints, thus confirming its superiority in theory. (Spring, 2018; Lichtenstein and Dade, 2007)</w:t>
      </w:r>
    </w:p>
    <w:p w14:paraId="5D9DEA8B" w14:textId="77777777" w:rsidR="00F41BCA" w:rsidRPr="00F41BCA" w:rsidRDefault="00F41BCA" w:rsidP="00F41BCA">
      <w:pPr>
        <w:pStyle w:val="Heading2"/>
        <w:rPr>
          <w:rFonts w:eastAsiaTheme="minorHAnsi"/>
        </w:rPr>
      </w:pPr>
      <w:r w:rsidRPr="00F41BCA">
        <w:rPr>
          <w:rFonts w:eastAsiaTheme="minorHAnsi"/>
        </w:rPr>
        <w:t>Reasons for the Continued Popularity of Non-Discounting Methods</w:t>
      </w:r>
    </w:p>
    <w:p w14:paraId="0E3BBDE7" w14:textId="77777777" w:rsidR="00F41BCA" w:rsidRPr="00F41BCA" w:rsidRDefault="00F41BCA" w:rsidP="00F41BCA">
      <w:pPr>
        <w:spacing w:line="360" w:lineRule="auto"/>
        <w:jc w:val="both"/>
        <w:rPr>
          <w:rFonts w:ascii="Times New Roman" w:hAnsi="Times New Roman" w:cs="Times New Roman"/>
        </w:rPr>
      </w:pPr>
      <w:proofErr w:type="gramStart"/>
      <w:r w:rsidRPr="00F41BCA">
        <w:rPr>
          <w:rFonts w:ascii="Times New Roman" w:hAnsi="Times New Roman" w:cs="Times New Roman"/>
        </w:rPr>
        <w:t>In spite of</w:t>
      </w:r>
      <w:proofErr w:type="gramEnd"/>
      <w:r w:rsidRPr="00F41BCA">
        <w:rPr>
          <w:rFonts w:ascii="Times New Roman" w:hAnsi="Times New Roman" w:cs="Times New Roman"/>
        </w:rPr>
        <w:t xml:space="preserve"> the advantages offered by discounted cash flow models, many other models like payback method remain widely preferred. This can be easily attributed to their relative simplicity. In addition to their simplicity, payback periods offer a quick indicator of the time an investment takes </w:t>
      </w:r>
      <w:r w:rsidRPr="00F41BCA">
        <w:rPr>
          <w:rFonts w:ascii="Times New Roman" w:hAnsi="Times New Roman" w:cs="Times New Roman"/>
        </w:rPr>
        <w:lastRenderedPageBreak/>
        <w:t>to pay back. This allows other managers too to easily understand financial data. (</w:t>
      </w:r>
      <w:proofErr w:type="spellStart"/>
      <w:r w:rsidRPr="00F41BCA">
        <w:rPr>
          <w:rFonts w:ascii="Times New Roman" w:hAnsi="Times New Roman" w:cs="Times New Roman"/>
        </w:rPr>
        <w:t>Imarticus</w:t>
      </w:r>
      <w:proofErr w:type="spellEnd"/>
      <w:r w:rsidRPr="00F41BCA">
        <w:rPr>
          <w:rFonts w:ascii="Times New Roman" w:hAnsi="Times New Roman" w:cs="Times New Roman"/>
        </w:rPr>
        <w:t>, 2024; Lin, 2019)</w:t>
      </w:r>
    </w:p>
    <w:p w14:paraId="24F0ED82"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Furthermore, non-discounting approaches place equal importance on liquidity and risk. Both are very significant in actual terms, and especially under conditions where the economic outlook is insecure. The sooner the payback, the less risky the investment</w:t>
      </w:r>
      <w:proofErr w:type="gramStart"/>
      <w:r w:rsidRPr="00F41BCA">
        <w:rPr>
          <w:rFonts w:ascii="Times New Roman" w:hAnsi="Times New Roman" w:cs="Times New Roman"/>
        </w:rPr>
        <w:t>, and</w:t>
      </w:r>
      <w:proofErr w:type="gramEnd"/>
      <w:r w:rsidRPr="00F41BCA">
        <w:rPr>
          <w:rFonts w:ascii="Times New Roman" w:hAnsi="Times New Roman" w:cs="Times New Roman"/>
        </w:rPr>
        <w:t xml:space="preserve"> this factor assumes significance in industries which are prone to high dynamics. (Georg </w:t>
      </w:r>
      <w:proofErr w:type="spellStart"/>
      <w:r w:rsidRPr="00F41BCA">
        <w:rPr>
          <w:rFonts w:ascii="Times New Roman" w:hAnsi="Times New Roman" w:cs="Times New Roman"/>
        </w:rPr>
        <w:t>Müller-Fürstenberger</w:t>
      </w:r>
      <w:proofErr w:type="spellEnd"/>
      <w:r w:rsidRPr="00F41BCA">
        <w:rPr>
          <w:rFonts w:ascii="Times New Roman" w:hAnsi="Times New Roman" w:cs="Times New Roman"/>
        </w:rPr>
        <w:t>, 2017; Allen, 2021; Neneh, 2020)</w:t>
      </w:r>
    </w:p>
    <w:p w14:paraId="72F191FA" w14:textId="51AADF3D"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Additionally, the payback approach has a natural cycle that matches the management horizon or short-run planning objectives. Although the traditional methods ignore the concept of the value of money and the potential for profit in the long run, the notion of risk and recovery clarifies the persistence of these methods in serving as supplementary tools to the discounted appraisal methods. (Lin, 2019; </w:t>
      </w:r>
      <w:proofErr w:type="spellStart"/>
      <w:r w:rsidRPr="00F41BCA">
        <w:rPr>
          <w:rFonts w:ascii="Times New Roman" w:hAnsi="Times New Roman" w:cs="Times New Roman"/>
        </w:rPr>
        <w:t>Imarticus</w:t>
      </w:r>
      <w:proofErr w:type="spellEnd"/>
      <w:r w:rsidRPr="00F41BCA">
        <w:rPr>
          <w:rFonts w:ascii="Times New Roman" w:hAnsi="Times New Roman" w:cs="Times New Roman"/>
        </w:rPr>
        <w:t>, 2024)</w:t>
      </w:r>
    </w:p>
    <w:p w14:paraId="387A24B3" w14:textId="77777777" w:rsidR="00F41BCA" w:rsidRPr="00F41BCA" w:rsidRDefault="00F41BCA" w:rsidP="00F41BCA">
      <w:pPr>
        <w:pStyle w:val="Heading2"/>
        <w:rPr>
          <w:rFonts w:eastAsiaTheme="minorHAnsi"/>
        </w:rPr>
      </w:pPr>
      <w:r w:rsidRPr="00F41BCA">
        <w:rPr>
          <w:rFonts w:eastAsiaTheme="minorHAnsi"/>
        </w:rPr>
        <w:t>Other Factors to Consider Before Making an Investment Decision</w:t>
      </w:r>
    </w:p>
    <w:p w14:paraId="40DEAAB0"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While financial appraisal provides a critical foundation for the investment decision, management also </w:t>
      </w:r>
      <w:proofErr w:type="gramStart"/>
      <w:r w:rsidRPr="00F41BCA">
        <w:rPr>
          <w:rFonts w:ascii="Times New Roman" w:hAnsi="Times New Roman" w:cs="Times New Roman"/>
        </w:rPr>
        <w:t>has to</w:t>
      </w:r>
      <w:proofErr w:type="gramEnd"/>
      <w:r w:rsidRPr="00F41BCA">
        <w:rPr>
          <w:rFonts w:ascii="Times New Roman" w:hAnsi="Times New Roman" w:cs="Times New Roman"/>
        </w:rPr>
        <w:t xml:space="preserve"> consider a range of qualitative and strategic issues before committing capital. The strategic fit is a must; projects should contribute to the long-term objectives of the company in terms of competitive positioning and core competencies. An investment with a positive NPV might be unsuitable if it were likely to divert resources away from strategic priorities. (Campbell, 2021; Best, 2013)</w:t>
      </w:r>
    </w:p>
    <w:p w14:paraId="3946FC9A"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Another important consideration is operational feasibility. Management needs to appraise </w:t>
      </w:r>
      <w:proofErr w:type="gramStart"/>
      <w:r w:rsidRPr="00F41BCA">
        <w:rPr>
          <w:rFonts w:ascii="Times New Roman" w:hAnsi="Times New Roman" w:cs="Times New Roman"/>
        </w:rPr>
        <w:t>whether or not</w:t>
      </w:r>
      <w:proofErr w:type="gramEnd"/>
      <w:r w:rsidRPr="00F41BCA">
        <w:rPr>
          <w:rFonts w:ascii="Times New Roman" w:hAnsi="Times New Roman" w:cs="Times New Roman"/>
        </w:rPr>
        <w:t xml:space="preserve"> the organization has acquired sufficient skills, technology, and infrastructure to implement the project successfully. Market conditions, competitive responses, and regulatory constraints can also impact project outcomes and risk profiles.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 Surridge, 2022)</w:t>
      </w:r>
    </w:p>
    <w:p w14:paraId="7355718A" w14:textId="77777777" w:rsidR="00F41BCA" w:rsidRPr="00F41BCA" w:rsidRDefault="00F41BCA" w:rsidP="00F41BCA">
      <w:pPr>
        <w:spacing w:line="360" w:lineRule="auto"/>
        <w:jc w:val="both"/>
        <w:rPr>
          <w:rFonts w:ascii="Times New Roman" w:hAnsi="Times New Roman" w:cs="Times New Roman"/>
        </w:rPr>
      </w:pPr>
      <w:r w:rsidRPr="00F41BCA">
        <w:rPr>
          <w:rFonts w:ascii="Times New Roman" w:hAnsi="Times New Roman" w:cs="Times New Roman"/>
        </w:rPr>
        <w:t xml:space="preserve">It is also important to assess risks, including sensitivity analyses, scenario planning, and/or the consideration of economic uncertainties, so that management understands how changes in critical assumptions may impact project viability. Lastly, an ethical, environmental, and reputational impact assessment should be included, as these are increasingly influencing factors in stakeholder views and long-term sustainability. (Allen, 2021; </w:t>
      </w:r>
      <w:proofErr w:type="spellStart"/>
      <w:r w:rsidRPr="00F41BCA">
        <w:rPr>
          <w:rFonts w:ascii="Times New Roman" w:hAnsi="Times New Roman" w:cs="Times New Roman"/>
        </w:rPr>
        <w:t>Chorafas</w:t>
      </w:r>
      <w:proofErr w:type="spellEnd"/>
      <w:r w:rsidRPr="00F41BCA">
        <w:rPr>
          <w:rFonts w:ascii="Times New Roman" w:hAnsi="Times New Roman" w:cs="Times New Roman"/>
        </w:rPr>
        <w:t>, 2015)</w:t>
      </w:r>
    </w:p>
    <w:p w14:paraId="01CC31F5" w14:textId="77949D8B" w:rsidR="00EE4DB6" w:rsidRPr="00EE4DB6" w:rsidRDefault="00EE4DB6" w:rsidP="00F41BCA">
      <w:pPr>
        <w:pStyle w:val="Heading1"/>
      </w:pPr>
      <w:r w:rsidRPr="00EE4DB6">
        <w:lastRenderedPageBreak/>
        <w:t>Conclusion</w:t>
      </w:r>
      <w:bookmarkEnd w:id="1"/>
    </w:p>
    <w:p w14:paraId="6355781F" w14:textId="1C9A16CA" w:rsidR="00242A3C" w:rsidRPr="00242A3C" w:rsidRDefault="00242A3C" w:rsidP="00242A3C">
      <w:pPr>
        <w:spacing w:line="360" w:lineRule="auto"/>
        <w:jc w:val="both"/>
        <w:rPr>
          <w:rFonts w:ascii="Times New Roman" w:hAnsi="Times New Roman" w:cs="Times New Roman"/>
        </w:rPr>
      </w:pPr>
      <w:r w:rsidRPr="00242A3C">
        <w:rPr>
          <w:rFonts w:ascii="Times New Roman" w:hAnsi="Times New Roman" w:cs="Times New Roman"/>
        </w:rPr>
        <w:t xml:space="preserve">From the results obtained in Part 1, </w:t>
      </w:r>
      <w:proofErr w:type="gramStart"/>
      <w:r w:rsidRPr="00242A3C">
        <w:rPr>
          <w:rFonts w:ascii="Times New Roman" w:hAnsi="Times New Roman" w:cs="Times New Roman"/>
        </w:rPr>
        <w:t>it is clear that NEXT</w:t>
      </w:r>
      <w:proofErr w:type="gramEnd"/>
      <w:r w:rsidRPr="00242A3C">
        <w:rPr>
          <w:rFonts w:ascii="Times New Roman" w:hAnsi="Times New Roman" w:cs="Times New Roman"/>
        </w:rPr>
        <w:t xml:space="preserve"> plc is financially strong with respect to profitability, capital management, and liquidity and gearing. This is clear for a firm that is faced with stiff competition in its retail industry. As evidenced by the ratios, NEXT plc is financially strong and utilizes its strengths in </w:t>
      </w:r>
      <w:proofErr w:type="gramStart"/>
      <w:r w:rsidRPr="00242A3C">
        <w:rPr>
          <w:rFonts w:ascii="Times New Roman" w:hAnsi="Times New Roman" w:cs="Times New Roman"/>
        </w:rPr>
        <w:t>the</w:t>
      </w:r>
      <w:proofErr w:type="gramEnd"/>
      <w:r w:rsidRPr="00242A3C">
        <w:rPr>
          <w:rFonts w:ascii="Times New Roman" w:hAnsi="Times New Roman" w:cs="Times New Roman"/>
        </w:rPr>
        <w:t xml:space="preserve"> value it creates for its shareholders.</w:t>
      </w:r>
    </w:p>
    <w:p w14:paraId="4AC24E31" w14:textId="47F84E5A" w:rsidR="00EE4DB6" w:rsidRDefault="00C65B8A" w:rsidP="00242A3C">
      <w:pPr>
        <w:spacing w:line="360" w:lineRule="auto"/>
        <w:jc w:val="both"/>
        <w:rPr>
          <w:rFonts w:ascii="Times New Roman" w:hAnsi="Times New Roman" w:cs="Times New Roman"/>
        </w:rPr>
      </w:pPr>
      <w:r>
        <w:rPr>
          <w:rFonts w:ascii="Times New Roman" w:hAnsi="Times New Roman" w:cs="Times New Roman"/>
        </w:rPr>
        <w:t>In p</w:t>
      </w:r>
      <w:r w:rsidR="00242A3C" w:rsidRPr="00242A3C">
        <w:rPr>
          <w:rFonts w:ascii="Times New Roman" w:hAnsi="Times New Roman" w:cs="Times New Roman"/>
        </w:rPr>
        <w:t xml:space="preserve">art 2 Application of investment appraisal methods for strategic decisions. Each of the suggested projects has a positive Net Present Value, and it is therefore financially optimal to proceed with each of them on their own merit. But in view of the presence of a £2.5 million constraint and the divisibility of projects, a situation arises that demands a study based on capital rationing. By comparing projects </w:t>
      </w:r>
      <w:proofErr w:type="gramStart"/>
      <w:r w:rsidR="00242A3C" w:rsidRPr="00242A3C">
        <w:rPr>
          <w:rFonts w:ascii="Times New Roman" w:hAnsi="Times New Roman" w:cs="Times New Roman"/>
        </w:rPr>
        <w:t>on the basis of</w:t>
      </w:r>
      <w:proofErr w:type="gramEnd"/>
      <w:r w:rsidR="00242A3C" w:rsidRPr="00242A3C">
        <w:rPr>
          <w:rFonts w:ascii="Times New Roman" w:hAnsi="Times New Roman" w:cs="Times New Roman"/>
        </w:rPr>
        <w:t xml:space="preserve"> their worth per pound investment, the most optimal course of action is to proceed with Options A and B to their entirety and option C to a certain extent, thereby maximizing overall NPV to approximately £1.85 million.</w:t>
      </w:r>
    </w:p>
    <w:p w14:paraId="15840B45" w14:textId="2F93D9D2" w:rsidR="0087300E" w:rsidRDefault="004A7964" w:rsidP="00EE4DB6">
      <w:pPr>
        <w:spacing w:line="360" w:lineRule="auto"/>
        <w:jc w:val="both"/>
        <w:rPr>
          <w:rFonts w:ascii="Times New Roman" w:hAnsi="Times New Roman" w:cs="Times New Roman"/>
        </w:rPr>
      </w:pPr>
      <w:r w:rsidRPr="004A7964">
        <w:rPr>
          <w:rFonts w:ascii="Times New Roman" w:hAnsi="Times New Roman" w:cs="Times New Roman"/>
        </w:rPr>
        <w:t>In conclusion, this assignment has emphasized the need to integrate historical performance analysis and investment appraisal techniques into a cohesive approach that looks towards the future and addresses real-world constraints in decision making. Good decision making in finance involves far more than performing calculations accurately and understanding results correctly, as theoretical models do not always match realities in finance.</w:t>
      </w:r>
    </w:p>
    <w:p w14:paraId="1E4946D3" w14:textId="77777777" w:rsidR="00F41BCA" w:rsidRDefault="00F41BCA" w:rsidP="00EE4DB6">
      <w:pPr>
        <w:spacing w:line="360" w:lineRule="auto"/>
        <w:jc w:val="both"/>
        <w:rPr>
          <w:rFonts w:ascii="Times New Roman" w:hAnsi="Times New Roman" w:cs="Times New Roman"/>
        </w:rPr>
      </w:pPr>
    </w:p>
    <w:p w14:paraId="29C9C0F0" w14:textId="77777777" w:rsidR="00F41BCA" w:rsidRDefault="00F41BCA" w:rsidP="00EE4DB6">
      <w:pPr>
        <w:spacing w:line="360" w:lineRule="auto"/>
        <w:jc w:val="both"/>
        <w:rPr>
          <w:rFonts w:ascii="Times New Roman" w:hAnsi="Times New Roman" w:cs="Times New Roman"/>
        </w:rPr>
      </w:pPr>
    </w:p>
    <w:p w14:paraId="3A6828B4" w14:textId="77777777" w:rsidR="00F41BCA" w:rsidRDefault="00F41BCA" w:rsidP="00EE4DB6">
      <w:pPr>
        <w:spacing w:line="360" w:lineRule="auto"/>
        <w:jc w:val="both"/>
        <w:rPr>
          <w:rFonts w:ascii="Times New Roman" w:hAnsi="Times New Roman" w:cs="Times New Roman"/>
        </w:rPr>
      </w:pPr>
    </w:p>
    <w:p w14:paraId="78321A81" w14:textId="77777777" w:rsidR="00F41BCA" w:rsidRDefault="00F41BCA" w:rsidP="00EE4DB6">
      <w:pPr>
        <w:spacing w:line="360" w:lineRule="auto"/>
        <w:jc w:val="both"/>
        <w:rPr>
          <w:rFonts w:ascii="Times New Roman" w:hAnsi="Times New Roman" w:cs="Times New Roman"/>
        </w:rPr>
      </w:pPr>
    </w:p>
    <w:p w14:paraId="0270C5E5" w14:textId="77777777" w:rsidR="00F41BCA" w:rsidRDefault="00F41BCA" w:rsidP="00EE4DB6">
      <w:pPr>
        <w:spacing w:line="360" w:lineRule="auto"/>
        <w:jc w:val="both"/>
        <w:rPr>
          <w:rFonts w:ascii="Times New Roman" w:hAnsi="Times New Roman" w:cs="Times New Roman"/>
        </w:rPr>
      </w:pPr>
    </w:p>
    <w:p w14:paraId="1E24A368" w14:textId="77777777" w:rsidR="00F41BCA" w:rsidRDefault="00F41BCA" w:rsidP="00EE4DB6">
      <w:pPr>
        <w:spacing w:line="360" w:lineRule="auto"/>
        <w:jc w:val="both"/>
        <w:rPr>
          <w:rFonts w:ascii="Times New Roman" w:hAnsi="Times New Roman" w:cs="Times New Roman"/>
        </w:rPr>
      </w:pPr>
    </w:p>
    <w:p w14:paraId="7FEE805D" w14:textId="77777777" w:rsidR="00F41BCA" w:rsidRDefault="00F41BCA" w:rsidP="00EE4DB6">
      <w:pPr>
        <w:spacing w:line="360" w:lineRule="auto"/>
        <w:jc w:val="both"/>
        <w:rPr>
          <w:rFonts w:ascii="Times New Roman" w:hAnsi="Times New Roman" w:cs="Times New Roman"/>
        </w:rPr>
      </w:pPr>
    </w:p>
    <w:p w14:paraId="78B1203E" w14:textId="77777777" w:rsidR="00F41BCA" w:rsidRDefault="00F41BCA" w:rsidP="00EE4DB6">
      <w:pPr>
        <w:spacing w:line="360" w:lineRule="auto"/>
        <w:jc w:val="both"/>
        <w:rPr>
          <w:rFonts w:ascii="Times New Roman" w:hAnsi="Times New Roman" w:cs="Times New Roman"/>
        </w:rPr>
      </w:pPr>
    </w:p>
    <w:p w14:paraId="27ADC1CE" w14:textId="77777777" w:rsidR="00F41BCA" w:rsidRDefault="00F41BCA" w:rsidP="00EE4DB6">
      <w:pPr>
        <w:spacing w:line="360" w:lineRule="auto"/>
        <w:jc w:val="both"/>
        <w:rPr>
          <w:rFonts w:ascii="Times New Roman" w:hAnsi="Times New Roman" w:cs="Times New Roman"/>
        </w:rPr>
      </w:pPr>
    </w:p>
    <w:p w14:paraId="60AA7469" w14:textId="77777777" w:rsidR="00F41BCA" w:rsidRDefault="00F41BCA" w:rsidP="00EE4DB6">
      <w:pPr>
        <w:spacing w:line="360" w:lineRule="auto"/>
        <w:jc w:val="both"/>
        <w:rPr>
          <w:rFonts w:ascii="Times New Roman" w:hAnsi="Times New Roman" w:cs="Times New Roman"/>
        </w:rPr>
      </w:pPr>
    </w:p>
    <w:p w14:paraId="38D728DE" w14:textId="77777777" w:rsidR="00F41BCA" w:rsidRPr="00F41BCA" w:rsidRDefault="00F41BCA" w:rsidP="00F41BCA">
      <w:pPr>
        <w:pStyle w:val="Heading1"/>
        <w:rPr>
          <w:rFonts w:eastAsia="Times New Roman"/>
        </w:rPr>
      </w:pPr>
      <w:r w:rsidRPr="00F41BCA">
        <w:rPr>
          <w:rFonts w:eastAsia="Times New Roman"/>
        </w:rPr>
        <w:t>Reference list</w:t>
      </w:r>
    </w:p>
    <w:p w14:paraId="3147934F"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Adler, R. (2010). Enhancing business success: The role of performance management. </w:t>
      </w:r>
      <w:r w:rsidRPr="00F41BCA">
        <w:rPr>
          <w:rFonts w:ascii="Times New Roman" w:eastAsia="Times New Roman" w:hAnsi="Times New Roman" w:cs="Times New Roman"/>
          <w:i/>
          <w:iCs/>
          <w:kern w:val="0"/>
        </w:rPr>
        <w:t>Business Horizons</w:t>
      </w:r>
      <w:r w:rsidRPr="00F41BCA">
        <w:rPr>
          <w:rFonts w:ascii="Times New Roman" w:eastAsia="Times New Roman" w:hAnsi="Times New Roman" w:cs="Times New Roman"/>
          <w:kern w:val="0"/>
        </w:rPr>
        <w:t>, 53(4), pp.331–333.</w:t>
      </w:r>
    </w:p>
    <w:p w14:paraId="21EAFC31"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Alexander, D. and Britton, A. (2017). </w:t>
      </w:r>
      <w:r w:rsidRPr="00F41BCA">
        <w:rPr>
          <w:rFonts w:ascii="Times New Roman" w:eastAsia="Times New Roman" w:hAnsi="Times New Roman" w:cs="Times New Roman"/>
          <w:i/>
          <w:iCs/>
          <w:kern w:val="0"/>
        </w:rPr>
        <w:t>International financial reporting and analysis</w:t>
      </w:r>
      <w:r w:rsidRPr="00F41BCA">
        <w:rPr>
          <w:rFonts w:ascii="Times New Roman" w:eastAsia="Times New Roman" w:hAnsi="Times New Roman" w:cs="Times New Roman"/>
          <w:kern w:val="0"/>
        </w:rPr>
        <w:t>. 7th ed. London: Cengage Learning.</w:t>
      </w:r>
    </w:p>
    <w:p w14:paraId="4ED9AA02"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Allen, D.E. (2021). Risk and Managerial Finance. </w:t>
      </w:r>
      <w:r w:rsidRPr="00F41BCA">
        <w:rPr>
          <w:rFonts w:ascii="Times New Roman" w:eastAsia="Times New Roman" w:hAnsi="Times New Roman" w:cs="Times New Roman"/>
          <w:i/>
          <w:iCs/>
          <w:kern w:val="0"/>
        </w:rPr>
        <w:t>Managerial Finance</w:t>
      </w:r>
      <w:r w:rsidRPr="00F41BCA">
        <w:rPr>
          <w:rFonts w:ascii="Times New Roman" w:eastAsia="Times New Roman" w:hAnsi="Times New Roman" w:cs="Times New Roman"/>
          <w:kern w:val="0"/>
        </w:rPr>
        <w:t>, 21(1), pp.3–14.</w:t>
      </w:r>
    </w:p>
    <w:p w14:paraId="0F5BF023"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Almeida, H. </w:t>
      </w:r>
      <w:proofErr w:type="gramStart"/>
      <w:r w:rsidRPr="00F41BCA">
        <w:rPr>
          <w:rFonts w:ascii="Times New Roman" w:eastAsia="Times New Roman" w:hAnsi="Times New Roman" w:cs="Times New Roman"/>
          <w:kern w:val="0"/>
        </w:rPr>
        <w:t>by</w:t>
      </w:r>
      <w:proofErr w:type="gramEnd"/>
      <w:r w:rsidRPr="00F41BCA">
        <w:rPr>
          <w:rFonts w:ascii="Times New Roman" w:eastAsia="Times New Roman" w:hAnsi="Times New Roman" w:cs="Times New Roman"/>
          <w:kern w:val="0"/>
        </w:rPr>
        <w:t xml:space="preserve"> and Campello, M. (2005). External Financing and Financing Constraints. </w:t>
      </w:r>
      <w:r w:rsidRPr="00F41BCA">
        <w:rPr>
          <w:rFonts w:ascii="Times New Roman" w:eastAsia="Times New Roman" w:hAnsi="Times New Roman" w:cs="Times New Roman"/>
          <w:i/>
          <w:iCs/>
          <w:kern w:val="0"/>
        </w:rPr>
        <w:t>SSRN Electronic Journal</w:t>
      </w:r>
      <w:r w:rsidRPr="00F41BCA">
        <w:rPr>
          <w:rFonts w:ascii="Times New Roman" w:eastAsia="Times New Roman" w:hAnsi="Times New Roman" w:cs="Times New Roman"/>
          <w:kern w:val="0"/>
        </w:rPr>
        <w:t>.</w:t>
      </w:r>
    </w:p>
    <w:p w14:paraId="5518274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Arjunan, K.C. (2017). IRR Performs Better than NPV: A Critical Analysis of Cases of Multiple IRR and Mutually Exclusive and Independent Investment Projects. </w:t>
      </w:r>
      <w:r w:rsidRPr="00F41BCA">
        <w:rPr>
          <w:rFonts w:ascii="Times New Roman" w:eastAsia="Times New Roman" w:hAnsi="Times New Roman" w:cs="Times New Roman"/>
          <w:i/>
          <w:iCs/>
          <w:kern w:val="0"/>
        </w:rPr>
        <w:t>SSRN Electronic Journal</w:t>
      </w:r>
      <w:r w:rsidRPr="00F41BCA">
        <w:rPr>
          <w:rFonts w:ascii="Times New Roman" w:eastAsia="Times New Roman" w:hAnsi="Times New Roman" w:cs="Times New Roman"/>
          <w:kern w:val="0"/>
        </w:rPr>
        <w:t>, 1(1).</w:t>
      </w:r>
    </w:p>
    <w:p w14:paraId="1AA7FAAE"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Atrill</w:t>
      </w:r>
      <w:proofErr w:type="spellEnd"/>
      <w:r w:rsidRPr="00F41BCA">
        <w:rPr>
          <w:rFonts w:ascii="Times New Roman" w:eastAsia="Times New Roman" w:hAnsi="Times New Roman" w:cs="Times New Roman"/>
          <w:kern w:val="0"/>
        </w:rPr>
        <w:t xml:space="preserve">, P. and </w:t>
      </w:r>
      <w:proofErr w:type="spellStart"/>
      <w:r w:rsidRPr="00F41BCA">
        <w:rPr>
          <w:rFonts w:ascii="Times New Roman" w:eastAsia="Times New Roman" w:hAnsi="Times New Roman" w:cs="Times New Roman"/>
          <w:kern w:val="0"/>
        </w:rPr>
        <w:t>Mclaney</w:t>
      </w:r>
      <w:proofErr w:type="spellEnd"/>
      <w:r w:rsidRPr="00F41BCA">
        <w:rPr>
          <w:rFonts w:ascii="Times New Roman" w:eastAsia="Times New Roman" w:hAnsi="Times New Roman" w:cs="Times New Roman"/>
          <w:kern w:val="0"/>
        </w:rPr>
        <w:t xml:space="preserve">, E. (2018). </w:t>
      </w:r>
      <w:r w:rsidRPr="00F41BCA">
        <w:rPr>
          <w:rFonts w:ascii="Times New Roman" w:eastAsia="Times New Roman" w:hAnsi="Times New Roman" w:cs="Times New Roman"/>
          <w:i/>
          <w:iCs/>
          <w:kern w:val="0"/>
        </w:rPr>
        <w:t>Accounting and Finance for Non-Specialists</w:t>
      </w:r>
      <w:r w:rsidRPr="00F41BCA">
        <w:rPr>
          <w:rFonts w:ascii="Times New Roman" w:eastAsia="Times New Roman" w:hAnsi="Times New Roman" w:cs="Times New Roman"/>
          <w:kern w:val="0"/>
        </w:rPr>
        <w:t>. 11th ed. Harlow: Pearson.</w:t>
      </w:r>
    </w:p>
    <w:p w14:paraId="3948B2EA"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Atrill</w:t>
      </w:r>
      <w:proofErr w:type="spellEnd"/>
      <w:r w:rsidRPr="00F41BCA">
        <w:rPr>
          <w:rFonts w:ascii="Times New Roman" w:eastAsia="Times New Roman" w:hAnsi="Times New Roman" w:cs="Times New Roman"/>
          <w:kern w:val="0"/>
        </w:rPr>
        <w:t xml:space="preserve">, P. and </w:t>
      </w:r>
      <w:proofErr w:type="spellStart"/>
      <w:r w:rsidRPr="00F41BCA">
        <w:rPr>
          <w:rFonts w:ascii="Times New Roman" w:eastAsia="Times New Roman" w:hAnsi="Times New Roman" w:cs="Times New Roman"/>
          <w:kern w:val="0"/>
        </w:rPr>
        <w:t>Mclaney</w:t>
      </w:r>
      <w:proofErr w:type="spellEnd"/>
      <w:r w:rsidRPr="00F41BCA">
        <w:rPr>
          <w:rFonts w:ascii="Times New Roman" w:eastAsia="Times New Roman" w:hAnsi="Times New Roman" w:cs="Times New Roman"/>
          <w:kern w:val="0"/>
        </w:rPr>
        <w:t xml:space="preserve">, E.J. (2019). </w:t>
      </w:r>
      <w:r w:rsidRPr="00F41BCA">
        <w:rPr>
          <w:rFonts w:ascii="Times New Roman" w:eastAsia="Times New Roman" w:hAnsi="Times New Roman" w:cs="Times New Roman"/>
          <w:i/>
          <w:iCs/>
          <w:kern w:val="0"/>
        </w:rPr>
        <w:t>Financial accounting for decision makers</w:t>
      </w:r>
      <w:r w:rsidRPr="00F41BCA">
        <w:rPr>
          <w:rFonts w:ascii="Times New Roman" w:eastAsia="Times New Roman" w:hAnsi="Times New Roman" w:cs="Times New Roman"/>
          <w:kern w:val="0"/>
        </w:rPr>
        <w:t>. New York: Prentice Hall/Financial Times.</w:t>
      </w:r>
    </w:p>
    <w:p w14:paraId="35047C5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Aydiner, A.S., </w:t>
      </w:r>
      <w:proofErr w:type="spellStart"/>
      <w:r w:rsidRPr="00F41BCA">
        <w:rPr>
          <w:rFonts w:ascii="Times New Roman" w:eastAsia="Times New Roman" w:hAnsi="Times New Roman" w:cs="Times New Roman"/>
          <w:kern w:val="0"/>
        </w:rPr>
        <w:t>Tatoglu</w:t>
      </w:r>
      <w:proofErr w:type="spellEnd"/>
      <w:r w:rsidRPr="00F41BCA">
        <w:rPr>
          <w:rFonts w:ascii="Times New Roman" w:eastAsia="Times New Roman" w:hAnsi="Times New Roman" w:cs="Times New Roman"/>
          <w:kern w:val="0"/>
        </w:rPr>
        <w:t xml:space="preserve">, E., Bayraktar, E., Zaim, S. and Delen, D. (2019). Business analytics and firm performance: The mediating role of business process performance. </w:t>
      </w:r>
      <w:r w:rsidRPr="00F41BCA">
        <w:rPr>
          <w:rFonts w:ascii="Times New Roman" w:eastAsia="Times New Roman" w:hAnsi="Times New Roman" w:cs="Times New Roman"/>
          <w:i/>
          <w:iCs/>
          <w:kern w:val="0"/>
        </w:rPr>
        <w:t>Journal of Business Research</w:t>
      </w:r>
      <w:r w:rsidRPr="00F41BCA">
        <w:rPr>
          <w:rFonts w:ascii="Times New Roman" w:eastAsia="Times New Roman" w:hAnsi="Times New Roman" w:cs="Times New Roman"/>
          <w:kern w:val="0"/>
        </w:rPr>
        <w:t>, 96(1), pp.228–237.</w:t>
      </w:r>
    </w:p>
    <w:p w14:paraId="082324C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Azar, S.A. and </w:t>
      </w:r>
      <w:proofErr w:type="spellStart"/>
      <w:r w:rsidRPr="00F41BCA">
        <w:rPr>
          <w:rFonts w:ascii="Times New Roman" w:eastAsia="Times New Roman" w:hAnsi="Times New Roman" w:cs="Times New Roman"/>
          <w:kern w:val="0"/>
        </w:rPr>
        <w:t>Noueihed</w:t>
      </w:r>
      <w:proofErr w:type="spellEnd"/>
      <w:r w:rsidRPr="00F41BCA">
        <w:rPr>
          <w:rFonts w:ascii="Times New Roman" w:eastAsia="Times New Roman" w:hAnsi="Times New Roman" w:cs="Times New Roman"/>
          <w:kern w:val="0"/>
        </w:rPr>
        <w:t xml:space="preserve">, N. (2014). A Probabilistic Internal Rate of Return: Theory and Illustration. </w:t>
      </w:r>
      <w:r w:rsidRPr="00F41BCA">
        <w:rPr>
          <w:rFonts w:ascii="Times New Roman" w:eastAsia="Times New Roman" w:hAnsi="Times New Roman" w:cs="Times New Roman"/>
          <w:i/>
          <w:iCs/>
          <w:kern w:val="0"/>
        </w:rPr>
        <w:t>International Journal of Business and Management</w:t>
      </w:r>
      <w:r w:rsidRPr="00F41BCA">
        <w:rPr>
          <w:rFonts w:ascii="Times New Roman" w:eastAsia="Times New Roman" w:hAnsi="Times New Roman" w:cs="Times New Roman"/>
          <w:kern w:val="0"/>
        </w:rPr>
        <w:t>, 9(3).</w:t>
      </w:r>
    </w:p>
    <w:p w14:paraId="47475E01"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Best, R. (2013). </w:t>
      </w:r>
      <w:r w:rsidRPr="00F41BCA">
        <w:rPr>
          <w:rFonts w:ascii="Times New Roman" w:eastAsia="Times New Roman" w:hAnsi="Times New Roman" w:cs="Times New Roman"/>
          <w:i/>
          <w:iCs/>
          <w:kern w:val="0"/>
        </w:rPr>
        <w:t xml:space="preserve">Market-based </w:t>
      </w:r>
      <w:proofErr w:type="gramStart"/>
      <w:r w:rsidRPr="00F41BCA">
        <w:rPr>
          <w:rFonts w:ascii="Times New Roman" w:eastAsia="Times New Roman" w:hAnsi="Times New Roman" w:cs="Times New Roman"/>
          <w:i/>
          <w:iCs/>
          <w:kern w:val="0"/>
        </w:rPr>
        <w:t>management :</w:t>
      </w:r>
      <w:proofErr w:type="gramEnd"/>
      <w:r w:rsidRPr="00F41BCA">
        <w:rPr>
          <w:rFonts w:ascii="Times New Roman" w:eastAsia="Times New Roman" w:hAnsi="Times New Roman" w:cs="Times New Roman"/>
          <w:i/>
          <w:iCs/>
          <w:kern w:val="0"/>
        </w:rPr>
        <w:t xml:space="preserve"> strategies for growing customer value and profitability</w:t>
      </w:r>
      <w:r w:rsidRPr="00F41BCA">
        <w:rPr>
          <w:rFonts w:ascii="Times New Roman" w:eastAsia="Times New Roman" w:hAnsi="Times New Roman" w:cs="Times New Roman"/>
          <w:kern w:val="0"/>
        </w:rPr>
        <w:t>. Upper Saddle River, N.J.: Pearson Education.</w:t>
      </w:r>
    </w:p>
    <w:p w14:paraId="17EE398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Bloomenthal</w:t>
      </w:r>
      <w:proofErr w:type="spellEnd"/>
      <w:r w:rsidRPr="00F41BCA">
        <w:rPr>
          <w:rFonts w:ascii="Times New Roman" w:eastAsia="Times New Roman" w:hAnsi="Times New Roman" w:cs="Times New Roman"/>
          <w:kern w:val="0"/>
        </w:rPr>
        <w:t xml:space="preserve">, A. (2025). </w:t>
      </w:r>
      <w:r w:rsidRPr="00F41BCA">
        <w:rPr>
          <w:rFonts w:ascii="Times New Roman" w:eastAsia="Times New Roman" w:hAnsi="Times New Roman" w:cs="Times New Roman"/>
          <w:i/>
          <w:iCs/>
          <w:kern w:val="0"/>
        </w:rPr>
        <w:t>Gross Profit Margin: Formula and What It Tells You</w:t>
      </w:r>
      <w:r w:rsidRPr="00F41BCA">
        <w:rPr>
          <w:rFonts w:ascii="Times New Roman" w:eastAsia="Times New Roman" w:hAnsi="Times New Roman" w:cs="Times New Roman"/>
          <w:kern w:val="0"/>
        </w:rPr>
        <w:t xml:space="preserve">. [online] </w:t>
      </w:r>
      <w:r w:rsidRPr="00F41BCA">
        <w:rPr>
          <w:rFonts w:ascii="Times New Roman" w:eastAsia="Times New Roman" w:hAnsi="Times New Roman" w:cs="Times New Roman"/>
          <w:kern w:val="0"/>
        </w:rPr>
        <w:lastRenderedPageBreak/>
        <w:t xml:space="preserve">Investopedia. Available at: </w:t>
      </w:r>
      <w:hyperlink r:id="rId9" w:history="1">
        <w:r w:rsidRPr="00F41BCA">
          <w:rPr>
            <w:rFonts w:ascii="Times New Roman" w:eastAsia="Times New Roman" w:hAnsi="Times New Roman" w:cs="Times New Roman"/>
            <w:kern w:val="0"/>
          </w:rPr>
          <w:t>https://www.investopedia.com/terms/g/gross_profit_margin.asp</w:t>
        </w:r>
      </w:hyperlink>
      <w:r w:rsidRPr="00F41BCA">
        <w:rPr>
          <w:rFonts w:ascii="Times New Roman" w:eastAsia="Times New Roman" w:hAnsi="Times New Roman" w:cs="Times New Roman"/>
          <w:kern w:val="0"/>
        </w:rPr>
        <w:t>.</w:t>
      </w:r>
    </w:p>
    <w:p w14:paraId="29220933"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Bragg, S.M. (2018). </w:t>
      </w:r>
      <w:r w:rsidRPr="00F41BCA">
        <w:rPr>
          <w:rFonts w:ascii="Times New Roman" w:eastAsia="Times New Roman" w:hAnsi="Times New Roman" w:cs="Times New Roman"/>
          <w:i/>
          <w:iCs/>
          <w:kern w:val="0"/>
        </w:rPr>
        <w:t xml:space="preserve">Business ratios and </w:t>
      </w:r>
      <w:proofErr w:type="gramStart"/>
      <w:r w:rsidRPr="00F41BCA">
        <w:rPr>
          <w:rFonts w:ascii="Times New Roman" w:eastAsia="Times New Roman" w:hAnsi="Times New Roman" w:cs="Times New Roman"/>
          <w:i/>
          <w:iCs/>
          <w:kern w:val="0"/>
        </w:rPr>
        <w:t>formulas :</w:t>
      </w:r>
      <w:proofErr w:type="gramEnd"/>
      <w:r w:rsidRPr="00F41BCA">
        <w:rPr>
          <w:rFonts w:ascii="Times New Roman" w:eastAsia="Times New Roman" w:hAnsi="Times New Roman" w:cs="Times New Roman"/>
          <w:i/>
          <w:iCs/>
          <w:kern w:val="0"/>
        </w:rPr>
        <w:t xml:space="preserve"> a comprehensive guide</w:t>
      </w:r>
      <w:r w:rsidRPr="00F41BCA">
        <w:rPr>
          <w:rFonts w:ascii="Times New Roman" w:eastAsia="Times New Roman" w:hAnsi="Times New Roman" w:cs="Times New Roman"/>
          <w:kern w:val="0"/>
        </w:rPr>
        <w:t>. Hoboken, N.J.: Wiley.</w:t>
      </w:r>
    </w:p>
    <w:p w14:paraId="19C7A77F"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Campbell, D. (2021). </w:t>
      </w:r>
      <w:r w:rsidRPr="00F41BCA">
        <w:rPr>
          <w:rFonts w:ascii="Times New Roman" w:eastAsia="Times New Roman" w:hAnsi="Times New Roman" w:cs="Times New Roman"/>
          <w:i/>
          <w:iCs/>
          <w:kern w:val="0"/>
        </w:rPr>
        <w:t>Business Strategy</w:t>
      </w:r>
      <w:r w:rsidRPr="00F41BCA">
        <w:rPr>
          <w:rFonts w:ascii="Times New Roman" w:eastAsia="Times New Roman" w:hAnsi="Times New Roman" w:cs="Times New Roman"/>
          <w:kern w:val="0"/>
        </w:rPr>
        <w:t>. 5th ed. London: Pearson.</w:t>
      </w:r>
    </w:p>
    <w:p w14:paraId="1B716EEF"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CFI (2020). </w:t>
      </w:r>
      <w:r w:rsidRPr="00F41BCA">
        <w:rPr>
          <w:rFonts w:ascii="Times New Roman" w:eastAsia="Times New Roman" w:hAnsi="Times New Roman" w:cs="Times New Roman"/>
          <w:i/>
          <w:iCs/>
          <w:kern w:val="0"/>
        </w:rPr>
        <w:t>Liquidity Ratio</w:t>
      </w:r>
      <w:r w:rsidRPr="00F41BCA">
        <w:rPr>
          <w:rFonts w:ascii="Times New Roman" w:eastAsia="Times New Roman" w:hAnsi="Times New Roman" w:cs="Times New Roman"/>
          <w:kern w:val="0"/>
        </w:rPr>
        <w:t xml:space="preserve">. [online] Corporate Finance Institute. Available at: </w:t>
      </w:r>
      <w:hyperlink r:id="rId10" w:history="1">
        <w:r w:rsidRPr="00F41BCA">
          <w:rPr>
            <w:rFonts w:ascii="Times New Roman" w:eastAsia="Times New Roman" w:hAnsi="Times New Roman" w:cs="Times New Roman"/>
            <w:kern w:val="0"/>
          </w:rPr>
          <w:t>https://corporatefinanceinstitute.com/resources/accounting/liquidity-ratio/</w:t>
        </w:r>
      </w:hyperlink>
      <w:r w:rsidRPr="00F41BCA">
        <w:rPr>
          <w:rFonts w:ascii="Times New Roman" w:eastAsia="Times New Roman" w:hAnsi="Times New Roman" w:cs="Times New Roman"/>
          <w:kern w:val="0"/>
        </w:rPr>
        <w:t>.</w:t>
      </w:r>
    </w:p>
    <w:p w14:paraId="69B9785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CFI (2022). </w:t>
      </w:r>
      <w:r w:rsidRPr="00F41BCA">
        <w:rPr>
          <w:rFonts w:ascii="Times New Roman" w:eastAsia="Times New Roman" w:hAnsi="Times New Roman" w:cs="Times New Roman"/>
          <w:i/>
          <w:iCs/>
          <w:kern w:val="0"/>
        </w:rPr>
        <w:t>NPV vs IRR</w:t>
      </w:r>
      <w:r w:rsidRPr="00F41BCA">
        <w:rPr>
          <w:rFonts w:ascii="Times New Roman" w:eastAsia="Times New Roman" w:hAnsi="Times New Roman" w:cs="Times New Roman"/>
          <w:kern w:val="0"/>
        </w:rPr>
        <w:t xml:space="preserve">. [online] Corporate Finance Institute. Available at: </w:t>
      </w:r>
      <w:hyperlink r:id="rId11" w:history="1">
        <w:r w:rsidRPr="00F41BCA">
          <w:rPr>
            <w:rFonts w:ascii="Times New Roman" w:eastAsia="Times New Roman" w:hAnsi="Times New Roman" w:cs="Times New Roman"/>
            <w:kern w:val="0"/>
          </w:rPr>
          <w:t>https://corporatefinanceinstitute.com/resources/valuation/npv-vs-irr/</w:t>
        </w:r>
      </w:hyperlink>
      <w:r w:rsidRPr="00F41BCA">
        <w:rPr>
          <w:rFonts w:ascii="Times New Roman" w:eastAsia="Times New Roman" w:hAnsi="Times New Roman" w:cs="Times New Roman"/>
          <w:kern w:val="0"/>
        </w:rPr>
        <w:t>.</w:t>
      </w:r>
    </w:p>
    <w:p w14:paraId="0B4AF103"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CFI TEAM (n.d.). </w:t>
      </w:r>
      <w:r w:rsidRPr="00F41BCA">
        <w:rPr>
          <w:rFonts w:ascii="Times New Roman" w:eastAsia="Times New Roman" w:hAnsi="Times New Roman" w:cs="Times New Roman"/>
          <w:i/>
          <w:iCs/>
          <w:kern w:val="0"/>
        </w:rPr>
        <w:t>Annual Recurring Revenue (ARR)</w:t>
      </w:r>
      <w:r w:rsidRPr="00F41BCA">
        <w:rPr>
          <w:rFonts w:ascii="Times New Roman" w:eastAsia="Times New Roman" w:hAnsi="Times New Roman" w:cs="Times New Roman"/>
          <w:kern w:val="0"/>
        </w:rPr>
        <w:t xml:space="preserve">. [online] Corporate Finance Institute. Available at: </w:t>
      </w:r>
      <w:hyperlink r:id="rId12" w:history="1">
        <w:r w:rsidRPr="00F41BCA">
          <w:rPr>
            <w:rFonts w:ascii="Times New Roman" w:eastAsia="Times New Roman" w:hAnsi="Times New Roman" w:cs="Times New Roman"/>
            <w:kern w:val="0"/>
          </w:rPr>
          <w:t>https://corporatefinanceinstitute.com/resources/valuation/annual-recurring-revenue-arr/</w:t>
        </w:r>
      </w:hyperlink>
      <w:r w:rsidRPr="00F41BCA">
        <w:rPr>
          <w:rFonts w:ascii="Times New Roman" w:eastAsia="Times New Roman" w:hAnsi="Times New Roman" w:cs="Times New Roman"/>
          <w:kern w:val="0"/>
        </w:rPr>
        <w:t>.</w:t>
      </w:r>
    </w:p>
    <w:p w14:paraId="550CAB2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CFI Team (2022). </w:t>
      </w:r>
      <w:r w:rsidRPr="00F41BCA">
        <w:rPr>
          <w:rFonts w:ascii="Times New Roman" w:eastAsia="Times New Roman" w:hAnsi="Times New Roman" w:cs="Times New Roman"/>
          <w:i/>
          <w:iCs/>
          <w:kern w:val="0"/>
        </w:rPr>
        <w:t>Days Payable Outstanding</w:t>
      </w:r>
      <w:r w:rsidRPr="00F41BCA">
        <w:rPr>
          <w:rFonts w:ascii="Times New Roman" w:eastAsia="Times New Roman" w:hAnsi="Times New Roman" w:cs="Times New Roman"/>
          <w:kern w:val="0"/>
        </w:rPr>
        <w:t xml:space="preserve">. [online] Corporate Finance Institute. Available at: </w:t>
      </w:r>
      <w:hyperlink r:id="rId13" w:history="1">
        <w:r w:rsidRPr="00F41BCA">
          <w:rPr>
            <w:rFonts w:ascii="Times New Roman" w:eastAsia="Times New Roman" w:hAnsi="Times New Roman" w:cs="Times New Roman"/>
            <w:kern w:val="0"/>
          </w:rPr>
          <w:t>https://corporatefinanceinstitute.com/resources/accounting/days-payable-outstanding/</w:t>
        </w:r>
      </w:hyperlink>
      <w:r w:rsidRPr="00F41BCA">
        <w:rPr>
          <w:rFonts w:ascii="Times New Roman" w:eastAsia="Times New Roman" w:hAnsi="Times New Roman" w:cs="Times New Roman"/>
          <w:kern w:val="0"/>
        </w:rPr>
        <w:t>.</w:t>
      </w:r>
    </w:p>
    <w:p w14:paraId="620FA1D5"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Chen, W.-P., Chung, H., Hsu, T.-L. and Wu, S. (2010). External Financing Needs, Corporate Governance, and Firm Value. </w:t>
      </w:r>
      <w:r w:rsidRPr="00F41BCA">
        <w:rPr>
          <w:rFonts w:ascii="Times New Roman" w:eastAsia="Times New Roman" w:hAnsi="Times New Roman" w:cs="Times New Roman"/>
          <w:i/>
          <w:iCs/>
          <w:kern w:val="0"/>
        </w:rPr>
        <w:t>Corporate Governance: An International Review</w:t>
      </w:r>
      <w:r w:rsidRPr="00F41BCA">
        <w:rPr>
          <w:rFonts w:ascii="Times New Roman" w:eastAsia="Times New Roman" w:hAnsi="Times New Roman" w:cs="Times New Roman"/>
          <w:kern w:val="0"/>
        </w:rPr>
        <w:t xml:space="preserve">, 18(3), pp.234–249. </w:t>
      </w:r>
      <w:proofErr w:type="spellStart"/>
      <w:r w:rsidRPr="00F41BCA">
        <w:rPr>
          <w:rFonts w:ascii="Times New Roman" w:eastAsia="Times New Roman" w:hAnsi="Times New Roman" w:cs="Times New Roman"/>
          <w:kern w:val="0"/>
        </w:rPr>
        <w:t>doi:</w:t>
      </w:r>
      <w:hyperlink r:id="rId14" w:history="1">
        <w:r w:rsidRPr="00F41BCA">
          <w:rPr>
            <w:rFonts w:ascii="Times New Roman" w:eastAsia="Times New Roman" w:hAnsi="Times New Roman" w:cs="Times New Roman"/>
            <w:kern w:val="0"/>
          </w:rPr>
          <w:t>https</w:t>
        </w:r>
        <w:proofErr w:type="spellEnd"/>
        <w:r w:rsidRPr="00F41BCA">
          <w:rPr>
            <w:rFonts w:ascii="Times New Roman" w:eastAsia="Times New Roman" w:hAnsi="Times New Roman" w:cs="Times New Roman"/>
            <w:kern w:val="0"/>
          </w:rPr>
          <w:t>://doi.org/10.1111/j.1467-8683.2010.00801.x</w:t>
        </w:r>
      </w:hyperlink>
      <w:r w:rsidRPr="00F41BCA">
        <w:rPr>
          <w:rFonts w:ascii="Times New Roman" w:eastAsia="Times New Roman" w:hAnsi="Times New Roman" w:cs="Times New Roman"/>
          <w:kern w:val="0"/>
        </w:rPr>
        <w:t>.</w:t>
      </w:r>
    </w:p>
    <w:p w14:paraId="0CC042F8"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Chopra, S. (2021). </w:t>
      </w:r>
      <w:r w:rsidRPr="00F41BCA">
        <w:rPr>
          <w:rFonts w:ascii="Times New Roman" w:eastAsia="Times New Roman" w:hAnsi="Times New Roman" w:cs="Times New Roman"/>
          <w:i/>
          <w:iCs/>
          <w:kern w:val="0"/>
        </w:rPr>
        <w:t xml:space="preserve">Supply Chain </w:t>
      </w:r>
      <w:proofErr w:type="gramStart"/>
      <w:r w:rsidRPr="00F41BCA">
        <w:rPr>
          <w:rFonts w:ascii="Times New Roman" w:eastAsia="Times New Roman" w:hAnsi="Times New Roman" w:cs="Times New Roman"/>
          <w:i/>
          <w:iCs/>
          <w:kern w:val="0"/>
        </w:rPr>
        <w:t>Management :</w:t>
      </w:r>
      <w:proofErr w:type="gramEnd"/>
      <w:r w:rsidRPr="00F41BCA">
        <w:rPr>
          <w:rFonts w:ascii="Times New Roman" w:eastAsia="Times New Roman" w:hAnsi="Times New Roman" w:cs="Times New Roman"/>
          <w:i/>
          <w:iCs/>
          <w:kern w:val="0"/>
        </w:rPr>
        <w:t xml:space="preserve"> Strategy, Planning and Operation</w:t>
      </w:r>
      <w:r w:rsidRPr="00F41BCA">
        <w:rPr>
          <w:rFonts w:ascii="Times New Roman" w:eastAsia="Times New Roman" w:hAnsi="Times New Roman" w:cs="Times New Roman"/>
          <w:kern w:val="0"/>
        </w:rPr>
        <w:t>. 7th ed. New York, NY: Pearson Education.</w:t>
      </w:r>
    </w:p>
    <w:p w14:paraId="46D5EEB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Chorafas</w:t>
      </w:r>
      <w:proofErr w:type="spellEnd"/>
      <w:r w:rsidRPr="00F41BCA">
        <w:rPr>
          <w:rFonts w:ascii="Times New Roman" w:eastAsia="Times New Roman" w:hAnsi="Times New Roman" w:cs="Times New Roman"/>
          <w:kern w:val="0"/>
        </w:rPr>
        <w:t xml:space="preserve">, D.N. (2015). </w:t>
      </w:r>
      <w:r w:rsidRPr="00F41BCA">
        <w:rPr>
          <w:rFonts w:ascii="Times New Roman" w:eastAsia="Times New Roman" w:hAnsi="Times New Roman" w:cs="Times New Roman"/>
          <w:i/>
          <w:iCs/>
          <w:kern w:val="0"/>
        </w:rPr>
        <w:t xml:space="preserve">Business efficiency and </w:t>
      </w:r>
      <w:proofErr w:type="gramStart"/>
      <w:r w:rsidRPr="00F41BCA">
        <w:rPr>
          <w:rFonts w:ascii="Times New Roman" w:eastAsia="Times New Roman" w:hAnsi="Times New Roman" w:cs="Times New Roman"/>
          <w:i/>
          <w:iCs/>
          <w:kern w:val="0"/>
        </w:rPr>
        <w:t>ethics :</w:t>
      </w:r>
      <w:proofErr w:type="gramEnd"/>
      <w:r w:rsidRPr="00F41BCA">
        <w:rPr>
          <w:rFonts w:ascii="Times New Roman" w:eastAsia="Times New Roman" w:hAnsi="Times New Roman" w:cs="Times New Roman"/>
          <w:i/>
          <w:iCs/>
          <w:kern w:val="0"/>
        </w:rPr>
        <w:t xml:space="preserve"> values and strategic decision-making</w:t>
      </w:r>
      <w:r w:rsidRPr="00F41BCA">
        <w:rPr>
          <w:rFonts w:ascii="Times New Roman" w:eastAsia="Times New Roman" w:hAnsi="Times New Roman" w:cs="Times New Roman"/>
          <w:kern w:val="0"/>
        </w:rPr>
        <w:t>. New York, Ny: Palgrave Macmillan.</w:t>
      </w:r>
    </w:p>
    <w:p w14:paraId="183405C1"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Clayman, M.R., Fridson, M.S. and Troughton, G.H. (2012). </w:t>
      </w:r>
      <w:r w:rsidRPr="00F41BCA">
        <w:rPr>
          <w:rFonts w:ascii="Times New Roman" w:eastAsia="Times New Roman" w:hAnsi="Times New Roman" w:cs="Times New Roman"/>
          <w:i/>
          <w:iCs/>
          <w:kern w:val="0"/>
        </w:rPr>
        <w:t>Corporate Finance</w:t>
      </w:r>
      <w:r w:rsidRPr="00F41BCA">
        <w:rPr>
          <w:rFonts w:ascii="Times New Roman" w:eastAsia="Times New Roman" w:hAnsi="Times New Roman" w:cs="Times New Roman"/>
          <w:kern w:val="0"/>
        </w:rPr>
        <w:t>. John Wiley &amp; Sons.</w:t>
      </w:r>
    </w:p>
    <w:p w14:paraId="1ECD68B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Connolly, M.B. (2007). </w:t>
      </w:r>
      <w:r w:rsidRPr="00F41BCA">
        <w:rPr>
          <w:rFonts w:ascii="Times New Roman" w:eastAsia="Times New Roman" w:hAnsi="Times New Roman" w:cs="Times New Roman"/>
          <w:i/>
          <w:iCs/>
          <w:kern w:val="0"/>
        </w:rPr>
        <w:t>International business finance</w:t>
      </w:r>
      <w:r w:rsidRPr="00F41BCA">
        <w:rPr>
          <w:rFonts w:ascii="Times New Roman" w:eastAsia="Times New Roman" w:hAnsi="Times New Roman" w:cs="Times New Roman"/>
          <w:kern w:val="0"/>
        </w:rPr>
        <w:t xml:space="preserve">. New </w:t>
      </w:r>
      <w:proofErr w:type="gramStart"/>
      <w:r w:rsidRPr="00F41BCA">
        <w:rPr>
          <w:rFonts w:ascii="Times New Roman" w:eastAsia="Times New Roman" w:hAnsi="Times New Roman" w:cs="Times New Roman"/>
          <w:kern w:val="0"/>
        </w:rPr>
        <w:t>York ;</w:t>
      </w:r>
      <w:proofErr w:type="gramEnd"/>
      <w:r w:rsidRPr="00F41BCA">
        <w:rPr>
          <w:rFonts w:ascii="Times New Roman" w:eastAsia="Times New Roman" w:hAnsi="Times New Roman" w:cs="Times New Roman"/>
          <w:kern w:val="0"/>
        </w:rPr>
        <w:t xml:space="preserve"> London: Routledge.</w:t>
      </w:r>
    </w:p>
    <w:p w14:paraId="4937501B"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de Jongh, M. (2011). Shareholders’ Duties to the Company and Fellow Shareholders. </w:t>
      </w:r>
      <w:r w:rsidRPr="00F41BCA">
        <w:rPr>
          <w:rFonts w:ascii="Times New Roman" w:eastAsia="Times New Roman" w:hAnsi="Times New Roman" w:cs="Times New Roman"/>
          <w:i/>
          <w:iCs/>
          <w:kern w:val="0"/>
        </w:rPr>
        <w:t xml:space="preserve">SSRN </w:t>
      </w:r>
      <w:r w:rsidRPr="00F41BCA">
        <w:rPr>
          <w:rFonts w:ascii="Times New Roman" w:eastAsia="Times New Roman" w:hAnsi="Times New Roman" w:cs="Times New Roman"/>
          <w:i/>
          <w:iCs/>
          <w:kern w:val="0"/>
        </w:rPr>
        <w:lastRenderedPageBreak/>
        <w:t>Electronic Journal</w:t>
      </w:r>
      <w:r w:rsidRPr="00F41BCA">
        <w:rPr>
          <w:rFonts w:ascii="Times New Roman" w:eastAsia="Times New Roman" w:hAnsi="Times New Roman" w:cs="Times New Roman"/>
          <w:kern w:val="0"/>
        </w:rPr>
        <w:t>.</w:t>
      </w:r>
    </w:p>
    <w:p w14:paraId="6A08FFE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Elliott, B. and Elliott, J. (2017). </w:t>
      </w:r>
      <w:r w:rsidRPr="00F41BCA">
        <w:rPr>
          <w:rFonts w:ascii="Times New Roman" w:eastAsia="Times New Roman" w:hAnsi="Times New Roman" w:cs="Times New Roman"/>
          <w:i/>
          <w:iCs/>
          <w:kern w:val="0"/>
        </w:rPr>
        <w:t xml:space="preserve">Financial Accounting </w:t>
      </w:r>
      <w:proofErr w:type="gramStart"/>
      <w:r w:rsidRPr="00F41BCA">
        <w:rPr>
          <w:rFonts w:ascii="Times New Roman" w:eastAsia="Times New Roman" w:hAnsi="Times New Roman" w:cs="Times New Roman"/>
          <w:i/>
          <w:iCs/>
          <w:kern w:val="0"/>
        </w:rPr>
        <w:t>And</w:t>
      </w:r>
      <w:proofErr w:type="gramEnd"/>
      <w:r w:rsidRPr="00F41BCA">
        <w:rPr>
          <w:rFonts w:ascii="Times New Roman" w:eastAsia="Times New Roman" w:hAnsi="Times New Roman" w:cs="Times New Roman"/>
          <w:i/>
          <w:iCs/>
          <w:kern w:val="0"/>
        </w:rPr>
        <w:t xml:space="preserve"> Reporting.</w:t>
      </w:r>
      <w:r w:rsidRPr="00F41BCA">
        <w:rPr>
          <w:rFonts w:ascii="Times New Roman" w:eastAsia="Times New Roman" w:hAnsi="Times New Roman" w:cs="Times New Roman"/>
          <w:kern w:val="0"/>
        </w:rPr>
        <w:t xml:space="preserve"> 18th ed. Pearson.</w:t>
      </w:r>
    </w:p>
    <w:p w14:paraId="764E8142"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Fernando, J. (2025). </w:t>
      </w:r>
      <w:r w:rsidRPr="00F41BCA">
        <w:rPr>
          <w:rFonts w:ascii="Times New Roman" w:eastAsia="Times New Roman" w:hAnsi="Times New Roman" w:cs="Times New Roman"/>
          <w:i/>
          <w:iCs/>
          <w:kern w:val="0"/>
        </w:rPr>
        <w:t>Return on Equity (ROE) Calculation and What It Means</w:t>
      </w:r>
      <w:r w:rsidRPr="00F41BCA">
        <w:rPr>
          <w:rFonts w:ascii="Times New Roman" w:eastAsia="Times New Roman" w:hAnsi="Times New Roman" w:cs="Times New Roman"/>
          <w:kern w:val="0"/>
        </w:rPr>
        <w:t xml:space="preserve">. [online] Investopedia. Available at: </w:t>
      </w:r>
      <w:hyperlink r:id="rId15" w:history="1">
        <w:r w:rsidRPr="00F41BCA">
          <w:rPr>
            <w:rFonts w:ascii="Times New Roman" w:eastAsia="Times New Roman" w:hAnsi="Times New Roman" w:cs="Times New Roman"/>
            <w:kern w:val="0"/>
          </w:rPr>
          <w:t>https://www.investopedia.com/terms/r/returnonequity.asp</w:t>
        </w:r>
      </w:hyperlink>
      <w:r w:rsidRPr="00F41BCA">
        <w:rPr>
          <w:rFonts w:ascii="Times New Roman" w:eastAsia="Times New Roman" w:hAnsi="Times New Roman" w:cs="Times New Roman"/>
          <w:kern w:val="0"/>
        </w:rPr>
        <w:t>.</w:t>
      </w:r>
    </w:p>
    <w:p w14:paraId="3CC1A53B"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Flynn, B.B. (2021). On Theory in Supply Chain Uncertainty and its Implications for Supply Chain Integration. </w:t>
      </w:r>
      <w:r w:rsidRPr="00F41BCA">
        <w:rPr>
          <w:rFonts w:ascii="Times New Roman" w:eastAsia="Times New Roman" w:hAnsi="Times New Roman" w:cs="Times New Roman"/>
          <w:i/>
          <w:iCs/>
          <w:kern w:val="0"/>
        </w:rPr>
        <w:t>Journal of Supply Chain Management</w:t>
      </w:r>
      <w:r w:rsidRPr="00F41BCA">
        <w:rPr>
          <w:rFonts w:ascii="Times New Roman" w:eastAsia="Times New Roman" w:hAnsi="Times New Roman" w:cs="Times New Roman"/>
          <w:kern w:val="0"/>
        </w:rPr>
        <w:t>, 52(3), pp.3–27.</w:t>
      </w:r>
    </w:p>
    <w:p w14:paraId="6BECA3C5"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Geoff Relph (2015). </w:t>
      </w:r>
      <w:r w:rsidRPr="00F41BCA">
        <w:rPr>
          <w:rFonts w:ascii="Times New Roman" w:eastAsia="Times New Roman" w:hAnsi="Times New Roman" w:cs="Times New Roman"/>
          <w:i/>
          <w:iCs/>
          <w:kern w:val="0"/>
        </w:rPr>
        <w:t xml:space="preserve">Inventory </w:t>
      </w:r>
      <w:proofErr w:type="gramStart"/>
      <w:r w:rsidRPr="00F41BCA">
        <w:rPr>
          <w:rFonts w:ascii="Times New Roman" w:eastAsia="Times New Roman" w:hAnsi="Times New Roman" w:cs="Times New Roman"/>
          <w:i/>
          <w:iCs/>
          <w:kern w:val="0"/>
        </w:rPr>
        <w:t>management :</w:t>
      </w:r>
      <w:proofErr w:type="gramEnd"/>
      <w:r w:rsidRPr="00F41BCA">
        <w:rPr>
          <w:rFonts w:ascii="Times New Roman" w:eastAsia="Times New Roman" w:hAnsi="Times New Roman" w:cs="Times New Roman"/>
          <w:i/>
          <w:iCs/>
          <w:kern w:val="0"/>
        </w:rPr>
        <w:t xml:space="preserve"> advanced methods for managing inventory within business systems.</w:t>
      </w:r>
      <w:r w:rsidRPr="00F41BCA">
        <w:rPr>
          <w:rFonts w:ascii="Times New Roman" w:eastAsia="Times New Roman" w:hAnsi="Times New Roman" w:cs="Times New Roman"/>
          <w:kern w:val="0"/>
        </w:rPr>
        <w:t xml:space="preserve"> Kogan Page Stylus.</w:t>
      </w:r>
    </w:p>
    <w:p w14:paraId="7053A683"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Georg </w:t>
      </w:r>
      <w:proofErr w:type="spellStart"/>
      <w:r w:rsidRPr="00F41BCA">
        <w:rPr>
          <w:rFonts w:ascii="Times New Roman" w:eastAsia="Times New Roman" w:hAnsi="Times New Roman" w:cs="Times New Roman"/>
          <w:kern w:val="0"/>
        </w:rPr>
        <w:t>Müller-Fürstenberger</w:t>
      </w:r>
      <w:proofErr w:type="spellEnd"/>
      <w:r w:rsidRPr="00F41BCA">
        <w:rPr>
          <w:rFonts w:ascii="Times New Roman" w:eastAsia="Times New Roman" w:hAnsi="Times New Roman" w:cs="Times New Roman"/>
          <w:kern w:val="0"/>
        </w:rPr>
        <w:t xml:space="preserve"> (2017). </w:t>
      </w:r>
      <w:r w:rsidRPr="00F41BCA">
        <w:rPr>
          <w:rFonts w:ascii="Times New Roman" w:eastAsia="Times New Roman" w:hAnsi="Times New Roman" w:cs="Times New Roman"/>
          <w:i/>
          <w:iCs/>
          <w:kern w:val="0"/>
        </w:rPr>
        <w:t xml:space="preserve">The payback period </w:t>
      </w:r>
      <w:proofErr w:type="gramStart"/>
      <w:r w:rsidRPr="00F41BCA">
        <w:rPr>
          <w:rFonts w:ascii="Times New Roman" w:eastAsia="Times New Roman" w:hAnsi="Times New Roman" w:cs="Times New Roman"/>
          <w:i/>
          <w:iCs/>
          <w:kern w:val="0"/>
        </w:rPr>
        <w:t>rule :</w:t>
      </w:r>
      <w:proofErr w:type="gramEnd"/>
      <w:r w:rsidRPr="00F41BCA">
        <w:rPr>
          <w:rFonts w:ascii="Times New Roman" w:eastAsia="Times New Roman" w:hAnsi="Times New Roman" w:cs="Times New Roman"/>
          <w:i/>
          <w:iCs/>
          <w:kern w:val="0"/>
        </w:rPr>
        <w:t xml:space="preserve"> its impact on innovation and economic growth</w:t>
      </w:r>
      <w:r w:rsidRPr="00F41BCA">
        <w:rPr>
          <w:rFonts w:ascii="Times New Roman" w:eastAsia="Times New Roman" w:hAnsi="Times New Roman" w:cs="Times New Roman"/>
          <w:kern w:val="0"/>
        </w:rPr>
        <w:t xml:space="preserve">. Bern: </w:t>
      </w:r>
      <w:proofErr w:type="spellStart"/>
      <w:r w:rsidRPr="00F41BCA">
        <w:rPr>
          <w:rFonts w:ascii="Times New Roman" w:eastAsia="Times New Roman" w:hAnsi="Times New Roman" w:cs="Times New Roman"/>
          <w:kern w:val="0"/>
        </w:rPr>
        <w:t>Universität</w:t>
      </w:r>
      <w:proofErr w:type="spellEnd"/>
      <w:r w:rsidRPr="00F41BCA">
        <w:rPr>
          <w:rFonts w:ascii="Times New Roman" w:eastAsia="Times New Roman" w:hAnsi="Times New Roman" w:cs="Times New Roman"/>
          <w:kern w:val="0"/>
        </w:rPr>
        <w:t xml:space="preserve"> Bern </w:t>
      </w:r>
      <w:proofErr w:type="spellStart"/>
      <w:r w:rsidRPr="00F41BCA">
        <w:rPr>
          <w:rFonts w:ascii="Times New Roman" w:eastAsia="Times New Roman" w:hAnsi="Times New Roman" w:cs="Times New Roman"/>
          <w:kern w:val="0"/>
        </w:rPr>
        <w:t>Abteilung</w:t>
      </w:r>
      <w:proofErr w:type="spellEnd"/>
      <w:r w:rsidRPr="00F41BCA">
        <w:rPr>
          <w:rFonts w:ascii="Times New Roman" w:eastAsia="Times New Roman" w:hAnsi="Times New Roman" w:cs="Times New Roman"/>
          <w:kern w:val="0"/>
        </w:rPr>
        <w:t xml:space="preserve"> </w:t>
      </w:r>
      <w:proofErr w:type="spellStart"/>
      <w:r w:rsidRPr="00F41BCA">
        <w:rPr>
          <w:rFonts w:ascii="Times New Roman" w:eastAsia="Times New Roman" w:hAnsi="Times New Roman" w:cs="Times New Roman"/>
          <w:kern w:val="0"/>
        </w:rPr>
        <w:t>Für</w:t>
      </w:r>
      <w:proofErr w:type="spellEnd"/>
      <w:r w:rsidRPr="00F41BCA">
        <w:rPr>
          <w:rFonts w:ascii="Times New Roman" w:eastAsia="Times New Roman" w:hAnsi="Times New Roman" w:cs="Times New Roman"/>
          <w:kern w:val="0"/>
        </w:rPr>
        <w:t xml:space="preserve"> </w:t>
      </w:r>
      <w:proofErr w:type="spellStart"/>
      <w:r w:rsidRPr="00F41BCA">
        <w:rPr>
          <w:rFonts w:ascii="Times New Roman" w:eastAsia="Times New Roman" w:hAnsi="Times New Roman" w:cs="Times New Roman"/>
          <w:kern w:val="0"/>
        </w:rPr>
        <w:t>Angewandte</w:t>
      </w:r>
      <w:proofErr w:type="spellEnd"/>
      <w:r w:rsidRPr="00F41BCA">
        <w:rPr>
          <w:rFonts w:ascii="Times New Roman" w:eastAsia="Times New Roman" w:hAnsi="Times New Roman" w:cs="Times New Roman"/>
          <w:kern w:val="0"/>
        </w:rPr>
        <w:t xml:space="preserve"> Mikroökonomie.</w:t>
      </w:r>
    </w:p>
    <w:p w14:paraId="5427E9C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Gianfrate</w:t>
      </w:r>
      <w:proofErr w:type="spellEnd"/>
      <w:r w:rsidRPr="00F41BCA">
        <w:rPr>
          <w:rFonts w:ascii="Times New Roman" w:eastAsia="Times New Roman" w:hAnsi="Times New Roman" w:cs="Times New Roman"/>
          <w:kern w:val="0"/>
        </w:rPr>
        <w:t xml:space="preserve">, G. and Loewenthal, S. (2015). Private Equity throughout the Financial Crisis. </w:t>
      </w:r>
      <w:r w:rsidRPr="00F41BCA">
        <w:rPr>
          <w:rFonts w:ascii="Times New Roman" w:eastAsia="Times New Roman" w:hAnsi="Times New Roman" w:cs="Times New Roman"/>
          <w:i/>
          <w:iCs/>
          <w:kern w:val="0"/>
        </w:rPr>
        <w:t>The Journal of Private Equity</w:t>
      </w:r>
      <w:r w:rsidRPr="00F41BCA">
        <w:rPr>
          <w:rFonts w:ascii="Times New Roman" w:eastAsia="Times New Roman" w:hAnsi="Times New Roman" w:cs="Times New Roman"/>
          <w:kern w:val="0"/>
        </w:rPr>
        <w:t>.</w:t>
      </w:r>
    </w:p>
    <w:p w14:paraId="1A411AD7"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Gligor, D.M. (2020). The Role of Supply Chain Agility in Achieving Supply Chain Fit. </w:t>
      </w:r>
      <w:r w:rsidRPr="00F41BCA">
        <w:rPr>
          <w:rFonts w:ascii="Times New Roman" w:eastAsia="Times New Roman" w:hAnsi="Times New Roman" w:cs="Times New Roman"/>
          <w:i/>
          <w:iCs/>
          <w:kern w:val="0"/>
        </w:rPr>
        <w:t>Decision Sciences</w:t>
      </w:r>
      <w:r w:rsidRPr="00F41BCA">
        <w:rPr>
          <w:rFonts w:ascii="Times New Roman" w:eastAsia="Times New Roman" w:hAnsi="Times New Roman" w:cs="Times New Roman"/>
          <w:kern w:val="0"/>
        </w:rPr>
        <w:t>, 47(3), pp.524–553.</w:t>
      </w:r>
    </w:p>
    <w:p w14:paraId="4EAF7AE1"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Gordon, L.A. (2020). Accounting Rate of Return vs. Economic Rate of Return. </w:t>
      </w:r>
      <w:r w:rsidRPr="00F41BCA">
        <w:rPr>
          <w:rFonts w:ascii="Times New Roman" w:eastAsia="Times New Roman" w:hAnsi="Times New Roman" w:cs="Times New Roman"/>
          <w:i/>
          <w:iCs/>
          <w:kern w:val="0"/>
        </w:rPr>
        <w:t>Journal of Business Finance &amp; Accounting</w:t>
      </w:r>
      <w:r w:rsidRPr="00F41BCA">
        <w:rPr>
          <w:rFonts w:ascii="Times New Roman" w:eastAsia="Times New Roman" w:hAnsi="Times New Roman" w:cs="Times New Roman"/>
          <w:kern w:val="0"/>
        </w:rPr>
        <w:t>, 1(3), pp.343–356.</w:t>
      </w:r>
    </w:p>
    <w:p w14:paraId="3D09DC3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H. Kent Baker and Ricciardi, V. (2014). </w:t>
      </w:r>
      <w:r w:rsidRPr="00F41BCA">
        <w:rPr>
          <w:rFonts w:ascii="Times New Roman" w:eastAsia="Times New Roman" w:hAnsi="Times New Roman" w:cs="Times New Roman"/>
          <w:i/>
          <w:iCs/>
          <w:kern w:val="0"/>
        </w:rPr>
        <w:t>Investor Behavior</w:t>
      </w:r>
      <w:r w:rsidRPr="00F41BCA">
        <w:rPr>
          <w:rFonts w:ascii="Times New Roman" w:eastAsia="Times New Roman" w:hAnsi="Times New Roman" w:cs="Times New Roman"/>
          <w:kern w:val="0"/>
        </w:rPr>
        <w:t>. John Wiley &amp; Sons.</w:t>
      </w:r>
    </w:p>
    <w:p w14:paraId="3E52C31D"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Hartley, C., Firer, C. and Ford, J.C. (2006). </w:t>
      </w:r>
      <w:r w:rsidRPr="00F41BCA">
        <w:rPr>
          <w:rFonts w:ascii="Times New Roman" w:eastAsia="Times New Roman" w:hAnsi="Times New Roman" w:cs="Times New Roman"/>
          <w:i/>
          <w:iCs/>
          <w:kern w:val="0"/>
        </w:rPr>
        <w:t xml:space="preserve">Business accounting and finance for </w:t>
      </w:r>
      <w:proofErr w:type="gramStart"/>
      <w:r w:rsidRPr="00F41BCA">
        <w:rPr>
          <w:rFonts w:ascii="Times New Roman" w:eastAsia="Times New Roman" w:hAnsi="Times New Roman" w:cs="Times New Roman"/>
          <w:i/>
          <w:iCs/>
          <w:kern w:val="0"/>
        </w:rPr>
        <w:t>managers :</w:t>
      </w:r>
      <w:proofErr w:type="gramEnd"/>
      <w:r w:rsidRPr="00F41BCA">
        <w:rPr>
          <w:rFonts w:ascii="Times New Roman" w:eastAsia="Times New Roman" w:hAnsi="Times New Roman" w:cs="Times New Roman"/>
          <w:i/>
          <w:iCs/>
          <w:kern w:val="0"/>
        </w:rPr>
        <w:t xml:space="preserve"> an introduction</w:t>
      </w:r>
      <w:r w:rsidRPr="00F41BCA">
        <w:rPr>
          <w:rFonts w:ascii="Times New Roman" w:eastAsia="Times New Roman" w:hAnsi="Times New Roman" w:cs="Times New Roman"/>
          <w:kern w:val="0"/>
        </w:rPr>
        <w:t>. Johannesburg: Witwatersrand University Press.</w:t>
      </w:r>
    </w:p>
    <w:p w14:paraId="0813F6C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Hayes, A. (2025). </w:t>
      </w:r>
      <w:r w:rsidRPr="00F41BCA">
        <w:rPr>
          <w:rFonts w:ascii="Times New Roman" w:eastAsia="Times New Roman" w:hAnsi="Times New Roman" w:cs="Times New Roman"/>
          <w:i/>
          <w:iCs/>
          <w:kern w:val="0"/>
        </w:rPr>
        <w:t>Operating Margin: What It Is and the Formula for Calculating It, With Examples</w:t>
      </w:r>
      <w:r w:rsidRPr="00F41BCA">
        <w:rPr>
          <w:rFonts w:ascii="Times New Roman" w:eastAsia="Times New Roman" w:hAnsi="Times New Roman" w:cs="Times New Roman"/>
          <w:kern w:val="0"/>
        </w:rPr>
        <w:t xml:space="preserve">. [online] Investopedia. Available at: </w:t>
      </w:r>
      <w:hyperlink r:id="rId16" w:history="1">
        <w:r w:rsidRPr="00F41BCA">
          <w:rPr>
            <w:rFonts w:ascii="Times New Roman" w:eastAsia="Times New Roman" w:hAnsi="Times New Roman" w:cs="Times New Roman"/>
            <w:kern w:val="0"/>
          </w:rPr>
          <w:t>https://www.investopedia.com/terms/o/operatingmargin.asp</w:t>
        </w:r>
      </w:hyperlink>
      <w:r w:rsidRPr="00F41BCA">
        <w:rPr>
          <w:rFonts w:ascii="Times New Roman" w:eastAsia="Times New Roman" w:hAnsi="Times New Roman" w:cs="Times New Roman"/>
          <w:kern w:val="0"/>
        </w:rPr>
        <w:t>.</w:t>
      </w:r>
    </w:p>
    <w:p w14:paraId="00EF99A0"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Hennie Van </w:t>
      </w:r>
      <w:proofErr w:type="spellStart"/>
      <w:r w:rsidRPr="00F41BCA">
        <w:rPr>
          <w:rFonts w:ascii="Times New Roman" w:eastAsia="Times New Roman" w:hAnsi="Times New Roman" w:cs="Times New Roman"/>
          <w:kern w:val="0"/>
        </w:rPr>
        <w:t>Greuning</w:t>
      </w:r>
      <w:proofErr w:type="spellEnd"/>
      <w:r w:rsidRPr="00F41BCA">
        <w:rPr>
          <w:rFonts w:ascii="Times New Roman" w:eastAsia="Times New Roman" w:hAnsi="Times New Roman" w:cs="Times New Roman"/>
          <w:kern w:val="0"/>
        </w:rPr>
        <w:t xml:space="preserve"> (2006). </w:t>
      </w:r>
      <w:r w:rsidRPr="00F41BCA">
        <w:rPr>
          <w:rFonts w:ascii="Times New Roman" w:eastAsia="Times New Roman" w:hAnsi="Times New Roman" w:cs="Times New Roman"/>
          <w:i/>
          <w:iCs/>
          <w:kern w:val="0"/>
        </w:rPr>
        <w:t>International Financial Reporting Standards (Fourth Edition) A Practical Guide</w:t>
      </w:r>
      <w:r w:rsidRPr="00F41BCA">
        <w:rPr>
          <w:rFonts w:ascii="Times New Roman" w:eastAsia="Times New Roman" w:hAnsi="Times New Roman" w:cs="Times New Roman"/>
          <w:kern w:val="0"/>
        </w:rPr>
        <w:t>. Washington, D.C.: The World Bank.</w:t>
      </w:r>
    </w:p>
    <w:p w14:paraId="471B76D8" w14:textId="77777777" w:rsid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lastRenderedPageBreak/>
        <w:t>Imarticus</w:t>
      </w:r>
      <w:proofErr w:type="spellEnd"/>
      <w:r w:rsidRPr="00F41BCA">
        <w:rPr>
          <w:rFonts w:ascii="Times New Roman" w:eastAsia="Times New Roman" w:hAnsi="Times New Roman" w:cs="Times New Roman"/>
          <w:kern w:val="0"/>
        </w:rPr>
        <w:t xml:space="preserve"> (2024). </w:t>
      </w:r>
      <w:r w:rsidRPr="00F41BCA">
        <w:rPr>
          <w:rFonts w:ascii="Times New Roman" w:eastAsia="Times New Roman" w:hAnsi="Times New Roman" w:cs="Times New Roman"/>
          <w:i/>
          <w:iCs/>
          <w:kern w:val="0"/>
        </w:rPr>
        <w:t>Discounting vs. Non-Discounting Methods: Which is Better for Capital Budgeting?</w:t>
      </w:r>
      <w:r w:rsidRPr="00F41BCA">
        <w:rPr>
          <w:rFonts w:ascii="Times New Roman" w:eastAsia="Times New Roman" w:hAnsi="Times New Roman" w:cs="Times New Roman"/>
          <w:kern w:val="0"/>
        </w:rPr>
        <w:t xml:space="preserve"> [online] Finance, Tech &amp; Analytics Career Resources | </w:t>
      </w:r>
      <w:proofErr w:type="spellStart"/>
      <w:r w:rsidRPr="00F41BCA">
        <w:rPr>
          <w:rFonts w:ascii="Times New Roman" w:eastAsia="Times New Roman" w:hAnsi="Times New Roman" w:cs="Times New Roman"/>
          <w:kern w:val="0"/>
        </w:rPr>
        <w:t>Imarticus</w:t>
      </w:r>
      <w:proofErr w:type="spellEnd"/>
      <w:r w:rsidRPr="00F41BCA">
        <w:rPr>
          <w:rFonts w:ascii="Times New Roman" w:eastAsia="Times New Roman" w:hAnsi="Times New Roman" w:cs="Times New Roman"/>
          <w:kern w:val="0"/>
        </w:rPr>
        <w:t xml:space="preserve"> Blog. Available at: </w:t>
      </w:r>
      <w:hyperlink r:id="rId17" w:history="1">
        <w:r w:rsidRPr="00F41BCA">
          <w:rPr>
            <w:rFonts w:ascii="Times New Roman" w:eastAsia="Times New Roman" w:hAnsi="Times New Roman" w:cs="Times New Roman"/>
            <w:kern w:val="0"/>
          </w:rPr>
          <w:t>https://imarticus.org/blog/capital-budgeting-methods/</w:t>
        </w:r>
      </w:hyperlink>
      <w:r w:rsidRPr="00F41BCA">
        <w:rPr>
          <w:rFonts w:ascii="Times New Roman" w:eastAsia="Times New Roman" w:hAnsi="Times New Roman" w:cs="Times New Roman"/>
          <w:kern w:val="0"/>
        </w:rPr>
        <w:t>.</w:t>
      </w:r>
    </w:p>
    <w:p w14:paraId="2E16B831" w14:textId="2BBE85B0"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Johannesson, J. (2021). Business growth in a tough economy. </w:t>
      </w:r>
      <w:r w:rsidRPr="00F41BCA">
        <w:rPr>
          <w:rFonts w:ascii="Times New Roman" w:eastAsia="Times New Roman" w:hAnsi="Times New Roman" w:cs="Times New Roman"/>
          <w:i/>
          <w:iCs/>
          <w:kern w:val="0"/>
        </w:rPr>
        <w:t>International Journal of Business Competition and Growth</w:t>
      </w:r>
      <w:r w:rsidRPr="00F41BCA">
        <w:rPr>
          <w:rFonts w:ascii="Times New Roman" w:eastAsia="Times New Roman" w:hAnsi="Times New Roman" w:cs="Times New Roman"/>
          <w:kern w:val="0"/>
        </w:rPr>
        <w:t>, 1(3), p.231.</w:t>
      </w:r>
    </w:p>
    <w:p w14:paraId="38A4FE10"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Jones, M. (2014). </w:t>
      </w:r>
      <w:r w:rsidRPr="00F41BCA">
        <w:rPr>
          <w:rFonts w:ascii="Times New Roman" w:eastAsia="Times New Roman" w:hAnsi="Times New Roman" w:cs="Times New Roman"/>
          <w:i/>
          <w:iCs/>
          <w:kern w:val="0"/>
        </w:rPr>
        <w:t>Accounting and finance</w:t>
      </w:r>
      <w:r w:rsidRPr="00F41BCA">
        <w:rPr>
          <w:rFonts w:ascii="Times New Roman" w:eastAsia="Times New Roman" w:hAnsi="Times New Roman" w:cs="Times New Roman"/>
          <w:kern w:val="0"/>
        </w:rPr>
        <w:t>. Chichester, West Sussex: John Wiley &amp; Sons.</w:t>
      </w:r>
    </w:p>
    <w:p w14:paraId="2CB3773B"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Kagan, J. (2025). </w:t>
      </w:r>
      <w:r w:rsidRPr="00F41BCA">
        <w:rPr>
          <w:rFonts w:ascii="Times New Roman" w:eastAsia="Times New Roman" w:hAnsi="Times New Roman" w:cs="Times New Roman"/>
          <w:i/>
          <w:iCs/>
          <w:kern w:val="0"/>
        </w:rPr>
        <w:t>Payback period: Definition, formula, and calculation</w:t>
      </w:r>
      <w:r w:rsidRPr="00F41BCA">
        <w:rPr>
          <w:rFonts w:ascii="Times New Roman" w:eastAsia="Times New Roman" w:hAnsi="Times New Roman" w:cs="Times New Roman"/>
          <w:kern w:val="0"/>
        </w:rPr>
        <w:t xml:space="preserve">. [online] Investopedia. Available at: </w:t>
      </w:r>
      <w:hyperlink r:id="rId18" w:history="1">
        <w:r w:rsidRPr="00F41BCA">
          <w:rPr>
            <w:rFonts w:ascii="Times New Roman" w:eastAsia="Times New Roman" w:hAnsi="Times New Roman" w:cs="Times New Roman"/>
            <w:kern w:val="0"/>
          </w:rPr>
          <w:t>https://www.investopedia.com/terms/p/paybackperiod.asp</w:t>
        </w:r>
      </w:hyperlink>
      <w:r w:rsidRPr="00F41BCA">
        <w:rPr>
          <w:rFonts w:ascii="Times New Roman" w:eastAsia="Times New Roman" w:hAnsi="Times New Roman" w:cs="Times New Roman"/>
          <w:kern w:val="0"/>
        </w:rPr>
        <w:t>.</w:t>
      </w:r>
    </w:p>
    <w:p w14:paraId="7BF1D245"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Kenton, W. (2024). </w:t>
      </w:r>
      <w:r w:rsidRPr="00F41BCA">
        <w:rPr>
          <w:rFonts w:ascii="Times New Roman" w:eastAsia="Times New Roman" w:hAnsi="Times New Roman" w:cs="Times New Roman"/>
          <w:i/>
          <w:iCs/>
          <w:kern w:val="0"/>
        </w:rPr>
        <w:t>How the Gearing Ratio Works</w:t>
      </w:r>
      <w:r w:rsidRPr="00F41BCA">
        <w:rPr>
          <w:rFonts w:ascii="Times New Roman" w:eastAsia="Times New Roman" w:hAnsi="Times New Roman" w:cs="Times New Roman"/>
          <w:kern w:val="0"/>
        </w:rPr>
        <w:t xml:space="preserve">. [online] Investopedia. Available at: </w:t>
      </w:r>
      <w:hyperlink r:id="rId19" w:history="1">
        <w:r w:rsidRPr="00F41BCA">
          <w:rPr>
            <w:rFonts w:ascii="Times New Roman" w:eastAsia="Times New Roman" w:hAnsi="Times New Roman" w:cs="Times New Roman"/>
            <w:kern w:val="0"/>
          </w:rPr>
          <w:t>https://www.investopedia.com/terms/g/gearingratio.asp</w:t>
        </w:r>
      </w:hyperlink>
      <w:r w:rsidRPr="00F41BCA">
        <w:rPr>
          <w:rFonts w:ascii="Times New Roman" w:eastAsia="Times New Roman" w:hAnsi="Times New Roman" w:cs="Times New Roman"/>
          <w:kern w:val="0"/>
        </w:rPr>
        <w:t>.</w:t>
      </w:r>
    </w:p>
    <w:p w14:paraId="071C97FB"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Kersten, R., Harms, J., </w:t>
      </w:r>
      <w:proofErr w:type="spellStart"/>
      <w:r w:rsidRPr="00F41BCA">
        <w:rPr>
          <w:rFonts w:ascii="Times New Roman" w:eastAsia="Times New Roman" w:hAnsi="Times New Roman" w:cs="Times New Roman"/>
          <w:kern w:val="0"/>
        </w:rPr>
        <w:t>Liket</w:t>
      </w:r>
      <w:proofErr w:type="spellEnd"/>
      <w:r w:rsidRPr="00F41BCA">
        <w:rPr>
          <w:rFonts w:ascii="Times New Roman" w:eastAsia="Times New Roman" w:hAnsi="Times New Roman" w:cs="Times New Roman"/>
          <w:kern w:val="0"/>
        </w:rPr>
        <w:t xml:space="preserve">, K. and Maas, K. (2017). Small Firms, large Impact? A systematic review of the SME Finance Literature. </w:t>
      </w:r>
      <w:r w:rsidRPr="00F41BCA">
        <w:rPr>
          <w:rFonts w:ascii="Times New Roman" w:eastAsia="Times New Roman" w:hAnsi="Times New Roman" w:cs="Times New Roman"/>
          <w:i/>
          <w:iCs/>
          <w:kern w:val="0"/>
        </w:rPr>
        <w:t>World Development</w:t>
      </w:r>
      <w:r w:rsidRPr="00F41BCA">
        <w:rPr>
          <w:rFonts w:ascii="Times New Roman" w:eastAsia="Times New Roman" w:hAnsi="Times New Roman" w:cs="Times New Roman"/>
          <w:kern w:val="0"/>
        </w:rPr>
        <w:t xml:space="preserve">, [online] 97, pp.330–348. </w:t>
      </w:r>
      <w:proofErr w:type="spellStart"/>
      <w:r w:rsidRPr="00F41BCA">
        <w:rPr>
          <w:rFonts w:ascii="Times New Roman" w:eastAsia="Times New Roman" w:hAnsi="Times New Roman" w:cs="Times New Roman"/>
          <w:kern w:val="0"/>
        </w:rPr>
        <w:t>doi:</w:t>
      </w:r>
      <w:hyperlink r:id="rId20" w:history="1">
        <w:r w:rsidRPr="00F41BCA">
          <w:rPr>
            <w:rFonts w:ascii="Times New Roman" w:eastAsia="Times New Roman" w:hAnsi="Times New Roman" w:cs="Times New Roman"/>
            <w:kern w:val="0"/>
          </w:rPr>
          <w:t>https</w:t>
        </w:r>
        <w:proofErr w:type="spellEnd"/>
        <w:r w:rsidRPr="00F41BCA">
          <w:rPr>
            <w:rFonts w:ascii="Times New Roman" w:eastAsia="Times New Roman" w:hAnsi="Times New Roman" w:cs="Times New Roman"/>
            <w:kern w:val="0"/>
          </w:rPr>
          <w:t>://doi.org/10.1016/j.worlddev.2017.04.012</w:t>
        </w:r>
      </w:hyperlink>
      <w:r w:rsidRPr="00F41BCA">
        <w:rPr>
          <w:rFonts w:ascii="Times New Roman" w:eastAsia="Times New Roman" w:hAnsi="Times New Roman" w:cs="Times New Roman"/>
          <w:kern w:val="0"/>
        </w:rPr>
        <w:t>.</w:t>
      </w:r>
    </w:p>
    <w:p w14:paraId="6EFF35D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Kimmel, P.D., Weygandt, J.J. and </w:t>
      </w:r>
      <w:proofErr w:type="spellStart"/>
      <w:r w:rsidRPr="00F41BCA">
        <w:rPr>
          <w:rFonts w:ascii="Times New Roman" w:eastAsia="Times New Roman" w:hAnsi="Times New Roman" w:cs="Times New Roman"/>
          <w:kern w:val="0"/>
        </w:rPr>
        <w:t>Kieso</w:t>
      </w:r>
      <w:proofErr w:type="spellEnd"/>
      <w:r w:rsidRPr="00F41BCA">
        <w:rPr>
          <w:rFonts w:ascii="Times New Roman" w:eastAsia="Times New Roman" w:hAnsi="Times New Roman" w:cs="Times New Roman"/>
          <w:kern w:val="0"/>
        </w:rPr>
        <w:t xml:space="preserve">, D.E. (2016). </w:t>
      </w:r>
      <w:r w:rsidRPr="00F41BCA">
        <w:rPr>
          <w:rFonts w:ascii="Times New Roman" w:eastAsia="Times New Roman" w:hAnsi="Times New Roman" w:cs="Times New Roman"/>
          <w:i/>
          <w:iCs/>
          <w:kern w:val="0"/>
        </w:rPr>
        <w:t>Financial Accounting: Tools for Business Decision Making, 8th Edition</w:t>
      </w:r>
      <w:r w:rsidRPr="00F41BCA">
        <w:rPr>
          <w:rFonts w:ascii="Times New Roman" w:eastAsia="Times New Roman" w:hAnsi="Times New Roman" w:cs="Times New Roman"/>
          <w:kern w:val="0"/>
        </w:rPr>
        <w:t>. Wiley Global Education.</w:t>
      </w:r>
    </w:p>
    <w:p w14:paraId="4FC1B27A"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Kotey, B. (2019). Debt Financing and Factors Internal to the Business. </w:t>
      </w:r>
      <w:r w:rsidRPr="00F41BCA">
        <w:rPr>
          <w:rFonts w:ascii="Times New Roman" w:eastAsia="Times New Roman" w:hAnsi="Times New Roman" w:cs="Times New Roman"/>
          <w:i/>
          <w:iCs/>
          <w:kern w:val="0"/>
        </w:rPr>
        <w:t>International Small Business Journal: Researching Entrepreneurship</w:t>
      </w:r>
      <w:r w:rsidRPr="00F41BCA">
        <w:rPr>
          <w:rFonts w:ascii="Times New Roman" w:eastAsia="Times New Roman" w:hAnsi="Times New Roman" w:cs="Times New Roman"/>
          <w:kern w:val="0"/>
        </w:rPr>
        <w:t>, 17(3), pp.11–29.</w:t>
      </w:r>
    </w:p>
    <w:p w14:paraId="54E8DAD8"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Lichtenstein, S. and Dade, P. (2007). The Shareholder Value Chain: Values, Vision and Shareholder Value Creation. </w:t>
      </w:r>
      <w:r w:rsidRPr="00F41BCA">
        <w:rPr>
          <w:rFonts w:ascii="Times New Roman" w:eastAsia="Times New Roman" w:hAnsi="Times New Roman" w:cs="Times New Roman"/>
          <w:i/>
          <w:iCs/>
          <w:kern w:val="0"/>
        </w:rPr>
        <w:t>Journal of General Management</w:t>
      </w:r>
      <w:r w:rsidRPr="00F41BCA">
        <w:rPr>
          <w:rFonts w:ascii="Times New Roman" w:eastAsia="Times New Roman" w:hAnsi="Times New Roman" w:cs="Times New Roman"/>
          <w:kern w:val="0"/>
        </w:rPr>
        <w:t>, 33(1), pp.15–31.</w:t>
      </w:r>
    </w:p>
    <w:p w14:paraId="0420793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Lin, H.-J. (2019). Why Should Managers Like Payback Period? </w:t>
      </w:r>
      <w:r w:rsidRPr="00F41BCA">
        <w:rPr>
          <w:rFonts w:ascii="Times New Roman" w:eastAsia="Times New Roman" w:hAnsi="Times New Roman" w:cs="Times New Roman"/>
          <w:i/>
          <w:iCs/>
          <w:kern w:val="0"/>
        </w:rPr>
        <w:t>SSRN Electronic Journal</w:t>
      </w:r>
      <w:r w:rsidRPr="00F41BCA">
        <w:rPr>
          <w:rFonts w:ascii="Times New Roman" w:eastAsia="Times New Roman" w:hAnsi="Times New Roman" w:cs="Times New Roman"/>
          <w:kern w:val="0"/>
        </w:rPr>
        <w:t>, 1(1).</w:t>
      </w:r>
    </w:p>
    <w:p w14:paraId="6CD730A2"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M Djoko Hanantijo, G. (2023). Capital Structures Mediating Role in Profitability, Liquidity, and Firm Value. </w:t>
      </w:r>
      <w:r w:rsidRPr="00F41BCA">
        <w:rPr>
          <w:rFonts w:ascii="Times New Roman" w:eastAsia="Times New Roman" w:hAnsi="Times New Roman" w:cs="Times New Roman"/>
          <w:i/>
          <w:iCs/>
          <w:kern w:val="0"/>
        </w:rPr>
        <w:t>International Journal of Science and Research (IJSR)</w:t>
      </w:r>
      <w:r w:rsidRPr="00F41BCA">
        <w:rPr>
          <w:rFonts w:ascii="Times New Roman" w:eastAsia="Times New Roman" w:hAnsi="Times New Roman" w:cs="Times New Roman"/>
          <w:kern w:val="0"/>
        </w:rPr>
        <w:t>, 12(7), pp.1163–1166.</w:t>
      </w:r>
    </w:p>
    <w:p w14:paraId="1671A825"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Madura, J. (2018). </w:t>
      </w:r>
      <w:r w:rsidRPr="00F41BCA">
        <w:rPr>
          <w:rFonts w:ascii="Times New Roman" w:eastAsia="Times New Roman" w:hAnsi="Times New Roman" w:cs="Times New Roman"/>
          <w:i/>
          <w:iCs/>
          <w:kern w:val="0"/>
        </w:rPr>
        <w:t>International financial management</w:t>
      </w:r>
      <w:r w:rsidRPr="00F41BCA">
        <w:rPr>
          <w:rFonts w:ascii="Times New Roman" w:eastAsia="Times New Roman" w:hAnsi="Times New Roman" w:cs="Times New Roman"/>
          <w:kern w:val="0"/>
        </w:rPr>
        <w:t>. 13th ed. Boston, Ma: Cengage Learning.</w:t>
      </w:r>
    </w:p>
    <w:p w14:paraId="214C5F7F"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Maverick, J.B. (2022). </w:t>
      </w:r>
      <w:r w:rsidRPr="00F41BCA">
        <w:rPr>
          <w:rFonts w:ascii="Times New Roman" w:eastAsia="Times New Roman" w:hAnsi="Times New Roman" w:cs="Times New Roman"/>
          <w:i/>
          <w:iCs/>
          <w:kern w:val="0"/>
        </w:rPr>
        <w:t>ROE Vs ROCE: the Difference</w:t>
      </w:r>
      <w:r w:rsidRPr="00F41BCA">
        <w:rPr>
          <w:rFonts w:ascii="Times New Roman" w:eastAsia="Times New Roman" w:hAnsi="Times New Roman" w:cs="Times New Roman"/>
          <w:kern w:val="0"/>
        </w:rPr>
        <w:t xml:space="preserve">. [online] Investopedia. Available at: </w:t>
      </w:r>
      <w:hyperlink r:id="rId21" w:history="1">
        <w:r w:rsidRPr="00F41BCA">
          <w:rPr>
            <w:rFonts w:ascii="Times New Roman" w:eastAsia="Times New Roman" w:hAnsi="Times New Roman" w:cs="Times New Roman"/>
            <w:kern w:val="0"/>
          </w:rPr>
          <w:t>https://www.investopedia.com/ask/answers/011215/what-difference-between-roce-and-roe.asp</w:t>
        </w:r>
      </w:hyperlink>
      <w:r w:rsidRPr="00F41BCA">
        <w:rPr>
          <w:rFonts w:ascii="Times New Roman" w:eastAsia="Times New Roman" w:hAnsi="Times New Roman" w:cs="Times New Roman"/>
          <w:kern w:val="0"/>
        </w:rPr>
        <w:t>.</w:t>
      </w:r>
    </w:p>
    <w:p w14:paraId="09F84CA1"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Ngek Neneh, B. (2020). Market orientation and performance: the contingency role of external environment. </w:t>
      </w:r>
      <w:r w:rsidRPr="00F41BCA">
        <w:rPr>
          <w:rFonts w:ascii="Times New Roman" w:eastAsia="Times New Roman" w:hAnsi="Times New Roman" w:cs="Times New Roman"/>
          <w:i/>
          <w:iCs/>
          <w:kern w:val="0"/>
        </w:rPr>
        <w:t>Environmental Economics</w:t>
      </w:r>
      <w:r w:rsidRPr="00F41BCA">
        <w:rPr>
          <w:rFonts w:ascii="Times New Roman" w:eastAsia="Times New Roman" w:hAnsi="Times New Roman" w:cs="Times New Roman"/>
          <w:kern w:val="0"/>
        </w:rPr>
        <w:t>, 7(2), pp.130–137.</w:t>
      </w:r>
    </w:p>
    <w:p w14:paraId="15A06687"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Oakshott</w:t>
      </w:r>
      <w:proofErr w:type="spellEnd"/>
      <w:r w:rsidRPr="00F41BCA">
        <w:rPr>
          <w:rFonts w:ascii="Times New Roman" w:eastAsia="Times New Roman" w:hAnsi="Times New Roman" w:cs="Times New Roman"/>
          <w:kern w:val="0"/>
        </w:rPr>
        <w:t xml:space="preserve">, L. (2020). </w:t>
      </w:r>
      <w:r w:rsidRPr="00F41BCA">
        <w:rPr>
          <w:rFonts w:ascii="Times New Roman" w:eastAsia="Times New Roman" w:hAnsi="Times New Roman" w:cs="Times New Roman"/>
          <w:i/>
          <w:iCs/>
          <w:kern w:val="0"/>
        </w:rPr>
        <w:t xml:space="preserve">Essential Quantitative </w:t>
      </w:r>
      <w:proofErr w:type="gramStart"/>
      <w:r w:rsidRPr="00F41BCA">
        <w:rPr>
          <w:rFonts w:ascii="Times New Roman" w:eastAsia="Times New Roman" w:hAnsi="Times New Roman" w:cs="Times New Roman"/>
          <w:i/>
          <w:iCs/>
          <w:kern w:val="0"/>
        </w:rPr>
        <w:t>Methods :</w:t>
      </w:r>
      <w:proofErr w:type="gramEnd"/>
      <w:r w:rsidRPr="00F41BCA">
        <w:rPr>
          <w:rFonts w:ascii="Times New Roman" w:eastAsia="Times New Roman" w:hAnsi="Times New Roman" w:cs="Times New Roman"/>
          <w:i/>
          <w:iCs/>
          <w:kern w:val="0"/>
        </w:rPr>
        <w:t xml:space="preserve"> for business, Management and Finance</w:t>
      </w:r>
      <w:r w:rsidRPr="00F41BCA">
        <w:rPr>
          <w:rFonts w:ascii="Times New Roman" w:eastAsia="Times New Roman" w:hAnsi="Times New Roman" w:cs="Times New Roman"/>
          <w:kern w:val="0"/>
        </w:rPr>
        <w:t xml:space="preserve">. London Macmillan </w:t>
      </w:r>
      <w:proofErr w:type="gramStart"/>
      <w:r w:rsidRPr="00F41BCA">
        <w:rPr>
          <w:rFonts w:ascii="Times New Roman" w:eastAsia="Times New Roman" w:hAnsi="Times New Roman" w:cs="Times New Roman"/>
          <w:kern w:val="0"/>
        </w:rPr>
        <w:t>International ;</w:t>
      </w:r>
      <w:proofErr w:type="gramEnd"/>
      <w:r w:rsidRPr="00F41BCA">
        <w:rPr>
          <w:rFonts w:ascii="Times New Roman" w:eastAsia="Times New Roman" w:hAnsi="Times New Roman" w:cs="Times New Roman"/>
          <w:kern w:val="0"/>
        </w:rPr>
        <w:t xml:space="preserve"> Red Globe Press.</w:t>
      </w:r>
    </w:p>
    <w:p w14:paraId="4589F8B3"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Orobia</w:t>
      </w:r>
      <w:proofErr w:type="spellEnd"/>
      <w:r w:rsidRPr="00F41BCA">
        <w:rPr>
          <w:rFonts w:ascii="Times New Roman" w:eastAsia="Times New Roman" w:hAnsi="Times New Roman" w:cs="Times New Roman"/>
          <w:kern w:val="0"/>
        </w:rPr>
        <w:t xml:space="preserve">, L.A., Nakibuuka, J., </w:t>
      </w:r>
      <w:proofErr w:type="spellStart"/>
      <w:r w:rsidRPr="00F41BCA">
        <w:rPr>
          <w:rFonts w:ascii="Times New Roman" w:eastAsia="Times New Roman" w:hAnsi="Times New Roman" w:cs="Times New Roman"/>
          <w:kern w:val="0"/>
        </w:rPr>
        <w:t>Bananuka</w:t>
      </w:r>
      <w:proofErr w:type="spellEnd"/>
      <w:r w:rsidRPr="00F41BCA">
        <w:rPr>
          <w:rFonts w:ascii="Times New Roman" w:eastAsia="Times New Roman" w:hAnsi="Times New Roman" w:cs="Times New Roman"/>
          <w:kern w:val="0"/>
        </w:rPr>
        <w:t xml:space="preserve">, J. and </w:t>
      </w:r>
      <w:proofErr w:type="spellStart"/>
      <w:r w:rsidRPr="00F41BCA">
        <w:rPr>
          <w:rFonts w:ascii="Times New Roman" w:eastAsia="Times New Roman" w:hAnsi="Times New Roman" w:cs="Times New Roman"/>
          <w:kern w:val="0"/>
        </w:rPr>
        <w:t>Akisimire</w:t>
      </w:r>
      <w:proofErr w:type="spellEnd"/>
      <w:r w:rsidRPr="00F41BCA">
        <w:rPr>
          <w:rFonts w:ascii="Times New Roman" w:eastAsia="Times New Roman" w:hAnsi="Times New Roman" w:cs="Times New Roman"/>
          <w:kern w:val="0"/>
        </w:rPr>
        <w:t xml:space="preserve">, R. (2020). Inventory Management, Managerial Competence and Financial Performance of Small Businesses. </w:t>
      </w:r>
      <w:r w:rsidRPr="00F41BCA">
        <w:rPr>
          <w:rFonts w:ascii="Times New Roman" w:eastAsia="Times New Roman" w:hAnsi="Times New Roman" w:cs="Times New Roman"/>
          <w:i/>
          <w:iCs/>
          <w:kern w:val="0"/>
        </w:rPr>
        <w:t>Journal of Accounting in Emerging Economies</w:t>
      </w:r>
      <w:r w:rsidRPr="00F41BCA">
        <w:rPr>
          <w:rFonts w:ascii="Times New Roman" w:eastAsia="Times New Roman" w:hAnsi="Times New Roman" w:cs="Times New Roman"/>
          <w:kern w:val="0"/>
        </w:rPr>
        <w:t>, 10(3), pp.379–398.</w:t>
      </w:r>
    </w:p>
    <w:p w14:paraId="5916B295"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proofErr w:type="spellStart"/>
      <w:r w:rsidRPr="00F41BCA">
        <w:rPr>
          <w:rFonts w:ascii="Times New Roman" w:eastAsia="Times New Roman" w:hAnsi="Times New Roman" w:cs="Times New Roman"/>
          <w:kern w:val="0"/>
        </w:rPr>
        <w:t>Palasciano</w:t>
      </w:r>
      <w:proofErr w:type="spellEnd"/>
      <w:r w:rsidRPr="00F41BCA">
        <w:rPr>
          <w:rFonts w:ascii="Times New Roman" w:eastAsia="Times New Roman" w:hAnsi="Times New Roman" w:cs="Times New Roman"/>
          <w:kern w:val="0"/>
        </w:rPr>
        <w:t xml:space="preserve">, A. (2025). </w:t>
      </w:r>
      <w:r w:rsidRPr="00F41BCA">
        <w:rPr>
          <w:rFonts w:ascii="Times New Roman" w:eastAsia="Times New Roman" w:hAnsi="Times New Roman" w:cs="Times New Roman"/>
          <w:i/>
          <w:iCs/>
          <w:kern w:val="0"/>
        </w:rPr>
        <w:t>What is net profit margin? Formula for calculation and examples</w:t>
      </w:r>
      <w:r w:rsidRPr="00F41BCA">
        <w:rPr>
          <w:rFonts w:ascii="Times New Roman" w:eastAsia="Times New Roman" w:hAnsi="Times New Roman" w:cs="Times New Roman"/>
          <w:kern w:val="0"/>
        </w:rPr>
        <w:t xml:space="preserve">. [online] Investopedia. Available at: </w:t>
      </w:r>
      <w:hyperlink r:id="rId22" w:history="1">
        <w:r w:rsidRPr="00F41BCA">
          <w:rPr>
            <w:rFonts w:ascii="Times New Roman" w:eastAsia="Times New Roman" w:hAnsi="Times New Roman" w:cs="Times New Roman"/>
            <w:kern w:val="0"/>
          </w:rPr>
          <w:t>https://www.investopedia.com/terms/n/net_margin.asp</w:t>
        </w:r>
      </w:hyperlink>
      <w:r w:rsidRPr="00F41BCA">
        <w:rPr>
          <w:rFonts w:ascii="Times New Roman" w:eastAsia="Times New Roman" w:hAnsi="Times New Roman" w:cs="Times New Roman"/>
          <w:kern w:val="0"/>
        </w:rPr>
        <w:t>.</w:t>
      </w:r>
    </w:p>
    <w:p w14:paraId="56CDE9E0"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Palepu, K.G. and Healy, P.M. (2020). </w:t>
      </w:r>
      <w:r w:rsidRPr="00F41BCA">
        <w:rPr>
          <w:rFonts w:ascii="Times New Roman" w:eastAsia="Times New Roman" w:hAnsi="Times New Roman" w:cs="Times New Roman"/>
          <w:i/>
          <w:iCs/>
          <w:kern w:val="0"/>
        </w:rPr>
        <w:t xml:space="preserve">Business Analysis &amp; </w:t>
      </w:r>
      <w:proofErr w:type="gramStart"/>
      <w:r w:rsidRPr="00F41BCA">
        <w:rPr>
          <w:rFonts w:ascii="Times New Roman" w:eastAsia="Times New Roman" w:hAnsi="Times New Roman" w:cs="Times New Roman"/>
          <w:i/>
          <w:iCs/>
          <w:kern w:val="0"/>
        </w:rPr>
        <w:t>Valuation :</w:t>
      </w:r>
      <w:proofErr w:type="gramEnd"/>
      <w:r w:rsidRPr="00F41BCA">
        <w:rPr>
          <w:rFonts w:ascii="Times New Roman" w:eastAsia="Times New Roman" w:hAnsi="Times New Roman" w:cs="Times New Roman"/>
          <w:i/>
          <w:iCs/>
          <w:kern w:val="0"/>
        </w:rPr>
        <w:t xml:space="preserve"> Using Financial Statements</w:t>
      </w:r>
      <w:r w:rsidRPr="00F41BCA">
        <w:rPr>
          <w:rFonts w:ascii="Times New Roman" w:eastAsia="Times New Roman" w:hAnsi="Times New Roman" w:cs="Times New Roman"/>
          <w:kern w:val="0"/>
        </w:rPr>
        <w:t>. Mason, Ohio: South-Western.</w:t>
      </w:r>
    </w:p>
    <w:p w14:paraId="349217DC"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Palmer, J.E. (2018). </w:t>
      </w:r>
      <w:r w:rsidRPr="00F41BCA">
        <w:rPr>
          <w:rFonts w:ascii="Times New Roman" w:eastAsia="Times New Roman" w:hAnsi="Times New Roman" w:cs="Times New Roman"/>
          <w:i/>
          <w:iCs/>
          <w:kern w:val="0"/>
        </w:rPr>
        <w:t>Financial ratio analysis</w:t>
      </w:r>
      <w:r w:rsidRPr="00F41BCA">
        <w:rPr>
          <w:rFonts w:ascii="Times New Roman" w:eastAsia="Times New Roman" w:hAnsi="Times New Roman" w:cs="Times New Roman"/>
          <w:kern w:val="0"/>
        </w:rPr>
        <w:t xml:space="preserve">. New York, N.Y.: American Institute </w:t>
      </w:r>
      <w:proofErr w:type="gramStart"/>
      <w:r w:rsidRPr="00F41BCA">
        <w:rPr>
          <w:rFonts w:ascii="Times New Roman" w:eastAsia="Times New Roman" w:hAnsi="Times New Roman" w:cs="Times New Roman"/>
          <w:kern w:val="0"/>
        </w:rPr>
        <w:t>Of</w:t>
      </w:r>
      <w:proofErr w:type="gramEnd"/>
      <w:r w:rsidRPr="00F41BCA">
        <w:rPr>
          <w:rFonts w:ascii="Times New Roman" w:eastAsia="Times New Roman" w:hAnsi="Times New Roman" w:cs="Times New Roman"/>
          <w:kern w:val="0"/>
        </w:rPr>
        <w:t xml:space="preserve"> Certified Public Accountants.</w:t>
      </w:r>
    </w:p>
    <w:p w14:paraId="63AA1276"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Sanzo, R. (2005). </w:t>
      </w:r>
      <w:r w:rsidRPr="00F41BCA">
        <w:rPr>
          <w:rFonts w:ascii="Times New Roman" w:eastAsia="Times New Roman" w:hAnsi="Times New Roman" w:cs="Times New Roman"/>
          <w:i/>
          <w:iCs/>
          <w:kern w:val="0"/>
        </w:rPr>
        <w:t xml:space="preserve">Ratio analysis for small </w:t>
      </w:r>
      <w:proofErr w:type="gramStart"/>
      <w:r w:rsidRPr="00F41BCA">
        <w:rPr>
          <w:rFonts w:ascii="Times New Roman" w:eastAsia="Times New Roman" w:hAnsi="Times New Roman" w:cs="Times New Roman"/>
          <w:i/>
          <w:iCs/>
          <w:kern w:val="0"/>
        </w:rPr>
        <w:t>business</w:t>
      </w:r>
      <w:proofErr w:type="gramEnd"/>
      <w:r w:rsidRPr="00F41BCA">
        <w:rPr>
          <w:rFonts w:ascii="Times New Roman" w:eastAsia="Times New Roman" w:hAnsi="Times New Roman" w:cs="Times New Roman"/>
          <w:i/>
          <w:iCs/>
          <w:kern w:val="0"/>
        </w:rPr>
        <w:t>.</w:t>
      </w:r>
      <w:r w:rsidRPr="00F41BCA">
        <w:rPr>
          <w:rFonts w:ascii="Times New Roman" w:eastAsia="Times New Roman" w:hAnsi="Times New Roman" w:cs="Times New Roman"/>
          <w:kern w:val="0"/>
        </w:rPr>
        <w:t xml:space="preserve"> New York: Books For Business.</w:t>
      </w:r>
    </w:p>
    <w:p w14:paraId="0E9313E9"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Schmidt, J. (2022). </w:t>
      </w:r>
      <w:r w:rsidRPr="00F41BCA">
        <w:rPr>
          <w:rFonts w:ascii="Times New Roman" w:eastAsia="Times New Roman" w:hAnsi="Times New Roman" w:cs="Times New Roman"/>
          <w:i/>
          <w:iCs/>
          <w:kern w:val="0"/>
        </w:rPr>
        <w:t>Earnings Per Share Formula (EPS)</w:t>
      </w:r>
      <w:r w:rsidRPr="00F41BCA">
        <w:rPr>
          <w:rFonts w:ascii="Times New Roman" w:eastAsia="Times New Roman" w:hAnsi="Times New Roman" w:cs="Times New Roman"/>
          <w:kern w:val="0"/>
        </w:rPr>
        <w:t xml:space="preserve">. [online] Corporate Finance Institute. Available at: </w:t>
      </w:r>
      <w:hyperlink r:id="rId23" w:history="1">
        <w:r w:rsidRPr="00F41BCA">
          <w:rPr>
            <w:rFonts w:ascii="Times New Roman" w:eastAsia="Times New Roman" w:hAnsi="Times New Roman" w:cs="Times New Roman"/>
            <w:kern w:val="0"/>
          </w:rPr>
          <w:t>https://corporatefinanceinstitute.com/resources/valuation/earnings-per-share-eps-formula/</w:t>
        </w:r>
      </w:hyperlink>
      <w:r w:rsidRPr="00F41BCA">
        <w:rPr>
          <w:rFonts w:ascii="Times New Roman" w:eastAsia="Times New Roman" w:hAnsi="Times New Roman" w:cs="Times New Roman"/>
          <w:kern w:val="0"/>
        </w:rPr>
        <w:t>.</w:t>
      </w:r>
    </w:p>
    <w:p w14:paraId="3B6F795B"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Spring, D. (2018). </w:t>
      </w:r>
      <w:r w:rsidRPr="00F41BCA">
        <w:rPr>
          <w:rFonts w:ascii="Times New Roman" w:eastAsia="Times New Roman" w:hAnsi="Times New Roman" w:cs="Times New Roman"/>
          <w:i/>
          <w:iCs/>
          <w:kern w:val="0"/>
        </w:rPr>
        <w:t>An examination of NPV regulation</w:t>
      </w:r>
      <w:r w:rsidRPr="00F41BCA">
        <w:rPr>
          <w:rFonts w:ascii="Times New Roman" w:eastAsia="Times New Roman" w:hAnsi="Times New Roman" w:cs="Times New Roman"/>
          <w:kern w:val="0"/>
        </w:rPr>
        <w:t xml:space="preserve">. London: Chartered Institute </w:t>
      </w:r>
      <w:proofErr w:type="gramStart"/>
      <w:r w:rsidRPr="00F41BCA">
        <w:rPr>
          <w:rFonts w:ascii="Times New Roman" w:eastAsia="Times New Roman" w:hAnsi="Times New Roman" w:cs="Times New Roman"/>
          <w:kern w:val="0"/>
        </w:rPr>
        <w:t>Of</w:t>
      </w:r>
      <w:proofErr w:type="gramEnd"/>
      <w:r w:rsidRPr="00F41BCA">
        <w:rPr>
          <w:rFonts w:ascii="Times New Roman" w:eastAsia="Times New Roman" w:hAnsi="Times New Roman" w:cs="Times New Roman"/>
          <w:kern w:val="0"/>
        </w:rPr>
        <w:t xml:space="preserve"> Public Finance &amp; Accountancy.</w:t>
      </w:r>
    </w:p>
    <w:p w14:paraId="3E8F7C3D"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Surridge, M. (2022). </w:t>
      </w:r>
      <w:r w:rsidRPr="00F41BCA">
        <w:rPr>
          <w:rFonts w:ascii="Times New Roman" w:eastAsia="Times New Roman" w:hAnsi="Times New Roman" w:cs="Times New Roman"/>
          <w:i/>
          <w:iCs/>
          <w:kern w:val="0"/>
        </w:rPr>
        <w:t>The business environment</w:t>
      </w:r>
      <w:r w:rsidRPr="00F41BCA">
        <w:rPr>
          <w:rFonts w:ascii="Times New Roman" w:eastAsia="Times New Roman" w:hAnsi="Times New Roman" w:cs="Times New Roman"/>
          <w:kern w:val="0"/>
        </w:rPr>
        <w:t xml:space="preserve">. 4th ed. London: </w:t>
      </w:r>
      <w:proofErr w:type="spellStart"/>
      <w:r w:rsidRPr="00F41BCA">
        <w:rPr>
          <w:rFonts w:ascii="Times New Roman" w:eastAsia="Times New Roman" w:hAnsi="Times New Roman" w:cs="Times New Roman"/>
          <w:kern w:val="0"/>
        </w:rPr>
        <w:t>Collinseducational</w:t>
      </w:r>
      <w:proofErr w:type="spellEnd"/>
      <w:r w:rsidRPr="00F41BCA">
        <w:rPr>
          <w:rFonts w:ascii="Times New Roman" w:eastAsia="Times New Roman" w:hAnsi="Times New Roman" w:cs="Times New Roman"/>
          <w:kern w:val="0"/>
        </w:rPr>
        <w:t>.</w:t>
      </w:r>
    </w:p>
    <w:p w14:paraId="219E0462"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Thomas, C.W. (2022). </w:t>
      </w:r>
      <w:r w:rsidRPr="00F41BCA">
        <w:rPr>
          <w:rFonts w:ascii="Times New Roman" w:eastAsia="Times New Roman" w:hAnsi="Times New Roman" w:cs="Times New Roman"/>
          <w:i/>
          <w:iCs/>
          <w:kern w:val="0"/>
        </w:rPr>
        <w:t>Financial Accounting</w:t>
      </w:r>
      <w:r w:rsidRPr="00F41BCA">
        <w:rPr>
          <w:rFonts w:ascii="Times New Roman" w:eastAsia="Times New Roman" w:hAnsi="Times New Roman" w:cs="Times New Roman"/>
          <w:kern w:val="0"/>
        </w:rPr>
        <w:t>. New York: Pearson.</w:t>
      </w:r>
    </w:p>
    <w:p w14:paraId="461ADD5F" w14:textId="77777777" w:rsidR="00F41BCA" w:rsidRPr="00F41BCA" w:rsidRDefault="00F41BCA" w:rsidP="00F41BCA">
      <w:pPr>
        <w:widowControl w:val="0"/>
        <w:autoSpaceDE w:val="0"/>
        <w:autoSpaceDN w:val="0"/>
        <w:adjustRightInd w:val="0"/>
        <w:spacing w:after="240" w:line="360" w:lineRule="auto"/>
        <w:rPr>
          <w:rFonts w:ascii="Times New Roman" w:eastAsia="Times New Roman" w:hAnsi="Times New Roman" w:cs="Times New Roman"/>
          <w:kern w:val="0"/>
        </w:rPr>
      </w:pPr>
      <w:r w:rsidRPr="00F41BCA">
        <w:rPr>
          <w:rFonts w:ascii="Times New Roman" w:eastAsia="Times New Roman" w:hAnsi="Times New Roman" w:cs="Times New Roman"/>
          <w:kern w:val="0"/>
        </w:rPr>
        <w:t xml:space="preserve">Wright, D. and Slaybaugh, C.J. (2020). </w:t>
      </w:r>
      <w:r w:rsidRPr="00F41BCA">
        <w:rPr>
          <w:rFonts w:ascii="Times New Roman" w:eastAsia="Times New Roman" w:hAnsi="Times New Roman" w:cs="Times New Roman"/>
          <w:i/>
          <w:iCs/>
          <w:kern w:val="0"/>
        </w:rPr>
        <w:t>Inventory management.</w:t>
      </w:r>
      <w:r w:rsidRPr="00F41BCA">
        <w:rPr>
          <w:rFonts w:ascii="Times New Roman" w:eastAsia="Times New Roman" w:hAnsi="Times New Roman" w:cs="Times New Roman"/>
          <w:kern w:val="0"/>
        </w:rPr>
        <w:t xml:space="preserve"> Wellington, N.Z.: Cost </w:t>
      </w:r>
      <w:proofErr w:type="gramStart"/>
      <w:r w:rsidRPr="00F41BCA">
        <w:rPr>
          <w:rFonts w:ascii="Times New Roman" w:eastAsia="Times New Roman" w:hAnsi="Times New Roman" w:cs="Times New Roman"/>
          <w:kern w:val="0"/>
        </w:rPr>
        <w:t>And</w:t>
      </w:r>
      <w:proofErr w:type="gramEnd"/>
      <w:r w:rsidRPr="00F41BCA">
        <w:rPr>
          <w:rFonts w:ascii="Times New Roman" w:eastAsia="Times New Roman" w:hAnsi="Times New Roman" w:cs="Times New Roman"/>
          <w:kern w:val="0"/>
        </w:rPr>
        <w:t xml:space="preserve"> Management Accounting Division, New Zealand Society </w:t>
      </w:r>
      <w:proofErr w:type="gramStart"/>
      <w:r w:rsidRPr="00F41BCA">
        <w:rPr>
          <w:rFonts w:ascii="Times New Roman" w:eastAsia="Times New Roman" w:hAnsi="Times New Roman" w:cs="Times New Roman"/>
          <w:kern w:val="0"/>
        </w:rPr>
        <w:t>Of</w:t>
      </w:r>
      <w:proofErr w:type="gramEnd"/>
      <w:r w:rsidRPr="00F41BCA">
        <w:rPr>
          <w:rFonts w:ascii="Times New Roman" w:eastAsia="Times New Roman" w:hAnsi="Times New Roman" w:cs="Times New Roman"/>
          <w:kern w:val="0"/>
        </w:rPr>
        <w:t xml:space="preserve"> Accountants.</w:t>
      </w:r>
    </w:p>
    <w:p w14:paraId="017B6D0D" w14:textId="77777777" w:rsidR="00F41BCA" w:rsidRDefault="00F41BCA" w:rsidP="00EE4DB6">
      <w:pPr>
        <w:spacing w:line="360" w:lineRule="auto"/>
        <w:jc w:val="both"/>
        <w:rPr>
          <w:rFonts w:ascii="Times New Roman" w:hAnsi="Times New Roman" w:cs="Times New Roman"/>
        </w:rPr>
      </w:pPr>
    </w:p>
    <w:p w14:paraId="3971ED6F" w14:textId="77777777" w:rsidR="00F41BCA" w:rsidRDefault="00F41BCA" w:rsidP="00EE4DB6">
      <w:pPr>
        <w:spacing w:line="360" w:lineRule="auto"/>
        <w:jc w:val="both"/>
        <w:rPr>
          <w:rFonts w:ascii="Times New Roman" w:hAnsi="Times New Roman" w:cs="Times New Roman"/>
        </w:rPr>
      </w:pPr>
    </w:p>
    <w:p w14:paraId="5BD45E00" w14:textId="77777777" w:rsidR="00F41BCA" w:rsidRDefault="00F41BCA" w:rsidP="00EE4DB6">
      <w:pPr>
        <w:spacing w:line="360" w:lineRule="auto"/>
        <w:jc w:val="both"/>
        <w:rPr>
          <w:rFonts w:ascii="Times New Roman" w:hAnsi="Times New Roman" w:cs="Times New Roman"/>
        </w:rPr>
      </w:pPr>
    </w:p>
    <w:p w14:paraId="5FCF4322" w14:textId="77777777" w:rsidR="00F41BCA" w:rsidRDefault="00F41BCA" w:rsidP="00EE4DB6">
      <w:pPr>
        <w:spacing w:line="360" w:lineRule="auto"/>
        <w:jc w:val="both"/>
        <w:rPr>
          <w:rFonts w:ascii="Times New Roman" w:hAnsi="Times New Roman" w:cs="Times New Roman"/>
        </w:rPr>
      </w:pPr>
    </w:p>
    <w:p w14:paraId="58021417" w14:textId="77777777" w:rsidR="00F41BCA" w:rsidRDefault="00F41BCA" w:rsidP="00EE4DB6">
      <w:pPr>
        <w:spacing w:line="360" w:lineRule="auto"/>
        <w:jc w:val="both"/>
        <w:rPr>
          <w:rFonts w:ascii="Times New Roman" w:hAnsi="Times New Roman" w:cs="Times New Roman"/>
        </w:rPr>
      </w:pPr>
    </w:p>
    <w:p w14:paraId="6A1ADAEB" w14:textId="77777777" w:rsidR="00F41BCA" w:rsidRDefault="00F41BCA" w:rsidP="00EE4DB6">
      <w:pPr>
        <w:spacing w:line="360" w:lineRule="auto"/>
        <w:jc w:val="both"/>
        <w:rPr>
          <w:rFonts w:ascii="Times New Roman" w:hAnsi="Times New Roman" w:cs="Times New Roman"/>
        </w:rPr>
      </w:pPr>
    </w:p>
    <w:p w14:paraId="6B4E0448" w14:textId="77777777" w:rsidR="00F41BCA" w:rsidRDefault="00F41BCA" w:rsidP="00EE4DB6">
      <w:pPr>
        <w:spacing w:line="360" w:lineRule="auto"/>
        <w:jc w:val="both"/>
        <w:rPr>
          <w:rFonts w:ascii="Times New Roman" w:hAnsi="Times New Roman" w:cs="Times New Roman"/>
        </w:rPr>
      </w:pPr>
    </w:p>
    <w:p w14:paraId="4B0519D0" w14:textId="77777777" w:rsidR="00F41BCA" w:rsidRDefault="00F41BCA" w:rsidP="00EE4DB6">
      <w:pPr>
        <w:spacing w:line="360" w:lineRule="auto"/>
        <w:jc w:val="both"/>
        <w:rPr>
          <w:rFonts w:ascii="Times New Roman" w:hAnsi="Times New Roman" w:cs="Times New Roman"/>
        </w:rPr>
      </w:pPr>
    </w:p>
    <w:p w14:paraId="5592847A" w14:textId="77777777" w:rsidR="00F41BCA" w:rsidRDefault="00F41BCA" w:rsidP="00EE4DB6">
      <w:pPr>
        <w:spacing w:line="360" w:lineRule="auto"/>
        <w:jc w:val="both"/>
        <w:rPr>
          <w:rFonts w:ascii="Times New Roman" w:hAnsi="Times New Roman" w:cs="Times New Roman"/>
        </w:rPr>
      </w:pPr>
    </w:p>
    <w:p w14:paraId="6B0E9E86" w14:textId="77777777" w:rsidR="00F41BCA" w:rsidRDefault="00F41BCA" w:rsidP="00EE4DB6">
      <w:pPr>
        <w:spacing w:line="360" w:lineRule="auto"/>
        <w:jc w:val="both"/>
        <w:rPr>
          <w:rFonts w:ascii="Times New Roman" w:hAnsi="Times New Roman" w:cs="Times New Roman"/>
        </w:rPr>
      </w:pPr>
    </w:p>
    <w:p w14:paraId="160C72BD" w14:textId="77777777" w:rsidR="00F41BCA" w:rsidRDefault="00F41BCA" w:rsidP="00EE4DB6">
      <w:pPr>
        <w:spacing w:line="360" w:lineRule="auto"/>
        <w:jc w:val="both"/>
        <w:rPr>
          <w:rFonts w:ascii="Times New Roman" w:hAnsi="Times New Roman" w:cs="Times New Roman"/>
        </w:rPr>
      </w:pPr>
    </w:p>
    <w:p w14:paraId="1C822F43" w14:textId="77777777" w:rsidR="00F41BCA" w:rsidRDefault="00F41BCA" w:rsidP="00EE4DB6">
      <w:pPr>
        <w:spacing w:line="360" w:lineRule="auto"/>
        <w:jc w:val="both"/>
        <w:rPr>
          <w:rFonts w:ascii="Times New Roman" w:hAnsi="Times New Roman" w:cs="Times New Roman"/>
        </w:rPr>
      </w:pPr>
    </w:p>
    <w:p w14:paraId="64609CD6" w14:textId="77777777" w:rsidR="00F41BCA" w:rsidRDefault="00F41BCA" w:rsidP="00EE4DB6">
      <w:pPr>
        <w:spacing w:line="360" w:lineRule="auto"/>
        <w:jc w:val="both"/>
        <w:rPr>
          <w:rFonts w:ascii="Times New Roman" w:hAnsi="Times New Roman" w:cs="Times New Roman"/>
        </w:rPr>
      </w:pPr>
    </w:p>
    <w:p w14:paraId="2CD5BB5F" w14:textId="77777777" w:rsidR="00F41BCA" w:rsidRDefault="00F41BCA" w:rsidP="00EE4DB6">
      <w:pPr>
        <w:spacing w:line="360" w:lineRule="auto"/>
        <w:jc w:val="both"/>
        <w:rPr>
          <w:rFonts w:ascii="Times New Roman" w:hAnsi="Times New Roman" w:cs="Times New Roman"/>
        </w:rPr>
      </w:pPr>
    </w:p>
    <w:p w14:paraId="7A11C206" w14:textId="77777777" w:rsidR="00F41BCA" w:rsidRDefault="00F41BCA" w:rsidP="00EE4DB6">
      <w:pPr>
        <w:spacing w:line="360" w:lineRule="auto"/>
        <w:jc w:val="both"/>
        <w:rPr>
          <w:rFonts w:ascii="Times New Roman" w:hAnsi="Times New Roman" w:cs="Times New Roman"/>
        </w:rPr>
      </w:pPr>
    </w:p>
    <w:p w14:paraId="302FB018" w14:textId="77777777" w:rsidR="00F41BCA" w:rsidRDefault="00F41BCA" w:rsidP="00EE4DB6">
      <w:pPr>
        <w:spacing w:line="360" w:lineRule="auto"/>
        <w:jc w:val="both"/>
        <w:rPr>
          <w:rFonts w:ascii="Times New Roman" w:hAnsi="Times New Roman" w:cs="Times New Roman"/>
        </w:rPr>
      </w:pPr>
    </w:p>
    <w:p w14:paraId="380D604A" w14:textId="77777777" w:rsidR="00F41BCA" w:rsidRDefault="00F41BCA" w:rsidP="00EE4DB6">
      <w:pPr>
        <w:spacing w:line="360" w:lineRule="auto"/>
        <w:jc w:val="both"/>
        <w:rPr>
          <w:rFonts w:ascii="Times New Roman" w:hAnsi="Times New Roman" w:cs="Times New Roman"/>
        </w:rPr>
      </w:pPr>
    </w:p>
    <w:p w14:paraId="0023F23E" w14:textId="77777777" w:rsidR="00F41BCA" w:rsidRDefault="00F41BCA" w:rsidP="00EE4DB6">
      <w:pPr>
        <w:spacing w:line="360" w:lineRule="auto"/>
        <w:jc w:val="both"/>
        <w:rPr>
          <w:rFonts w:ascii="Times New Roman" w:hAnsi="Times New Roman" w:cs="Times New Roman"/>
        </w:rPr>
      </w:pPr>
    </w:p>
    <w:p w14:paraId="669EBC55" w14:textId="77777777" w:rsidR="00F41BCA" w:rsidRDefault="00F41BCA" w:rsidP="00EE4DB6">
      <w:pPr>
        <w:spacing w:line="360" w:lineRule="auto"/>
        <w:jc w:val="both"/>
        <w:rPr>
          <w:rFonts w:ascii="Times New Roman" w:hAnsi="Times New Roman" w:cs="Times New Roman"/>
        </w:rPr>
      </w:pPr>
    </w:p>
    <w:p w14:paraId="4805B46E" w14:textId="77777777" w:rsidR="00F41BCA" w:rsidRDefault="00F41BCA" w:rsidP="00EE4DB6">
      <w:pPr>
        <w:spacing w:line="360" w:lineRule="auto"/>
        <w:jc w:val="both"/>
        <w:rPr>
          <w:rFonts w:ascii="Times New Roman" w:hAnsi="Times New Roman" w:cs="Times New Roman"/>
        </w:rPr>
      </w:pPr>
    </w:p>
    <w:p w14:paraId="0C8C1312" w14:textId="77777777" w:rsidR="00696FB8" w:rsidRPr="00BE6239" w:rsidRDefault="00696FB8" w:rsidP="00696FB8">
      <w:pPr>
        <w:pStyle w:val="Heading1"/>
      </w:pPr>
      <w:r w:rsidRPr="00BE6239">
        <w:t>Appendix – Part 1</w:t>
      </w:r>
    </w:p>
    <w:p w14:paraId="74C443DF"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A. Profitability Ratios</w:t>
      </w:r>
    </w:p>
    <w:p w14:paraId="286CB3E8"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lastRenderedPageBreak/>
        <w:t>Gross Profit Margin</w:t>
      </w:r>
    </w:p>
    <w:p w14:paraId="6D3E825A"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Gross Profit / Sales * 100</w:t>
      </w:r>
    </w:p>
    <w:p w14:paraId="121BA3F2"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Gross Profit = 2,420.5</w:t>
      </w:r>
      <w:r w:rsidRPr="00FE15EE">
        <w:rPr>
          <w:rFonts w:ascii="Times New Roman" w:hAnsi="Times New Roman" w:cs="Times New Roman"/>
        </w:rPr>
        <w:br/>
        <w:t>Sales = 5,491.0</w:t>
      </w:r>
    </w:p>
    <w:p w14:paraId="496D2818"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Gross Profit Margin = (2,420.5 / 5,491.0) * 100</w:t>
      </w:r>
      <w:r w:rsidRPr="00FE15EE">
        <w:rPr>
          <w:rFonts w:ascii="Times New Roman" w:hAnsi="Times New Roman" w:cs="Times New Roman"/>
        </w:rPr>
        <w:br/>
        <w:t xml:space="preserve">= </w:t>
      </w:r>
      <w:r w:rsidRPr="00FE15EE">
        <w:rPr>
          <w:rFonts w:ascii="Times New Roman" w:hAnsi="Times New Roman" w:cs="Times New Roman"/>
          <w:b/>
          <w:bCs/>
        </w:rPr>
        <w:t>44.1%</w:t>
      </w:r>
    </w:p>
    <w:p w14:paraId="7BA80ED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Gross Profit = 2,642.2</w:t>
      </w:r>
      <w:r w:rsidRPr="00FE15EE">
        <w:rPr>
          <w:rFonts w:ascii="Times New Roman" w:hAnsi="Times New Roman" w:cs="Times New Roman"/>
        </w:rPr>
        <w:br/>
        <w:t>Sales = 6,118.1</w:t>
      </w:r>
    </w:p>
    <w:p w14:paraId="794F0E92"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Gross Profit Margin = (2,642.2 / 6,118.1) * 100</w:t>
      </w:r>
      <w:r w:rsidRPr="00FE15EE">
        <w:rPr>
          <w:rFonts w:ascii="Times New Roman" w:hAnsi="Times New Roman" w:cs="Times New Roman"/>
        </w:rPr>
        <w:br/>
        <w:t xml:space="preserve">= </w:t>
      </w:r>
      <w:r w:rsidRPr="00FE15EE">
        <w:rPr>
          <w:rFonts w:ascii="Times New Roman" w:hAnsi="Times New Roman" w:cs="Times New Roman"/>
          <w:b/>
          <w:bCs/>
        </w:rPr>
        <w:t>43.2%</w:t>
      </w:r>
    </w:p>
    <w:p w14:paraId="68EEF298" w14:textId="77777777" w:rsidR="00696FB8" w:rsidRPr="00FE15EE" w:rsidRDefault="00696FB8" w:rsidP="00696FB8">
      <w:pPr>
        <w:spacing w:line="360" w:lineRule="auto"/>
        <w:rPr>
          <w:rFonts w:ascii="Times New Roman" w:hAnsi="Times New Roman" w:cs="Times New Roman"/>
        </w:rPr>
      </w:pPr>
    </w:p>
    <w:p w14:paraId="31DD9F4A"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Operating Profit Margin</w:t>
      </w:r>
    </w:p>
    <w:p w14:paraId="1E34AD35"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Operating Profit / Sales * 100</w:t>
      </w:r>
    </w:p>
    <w:p w14:paraId="65E57D2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Operating Profit = 987.9</w:t>
      </w:r>
      <w:r w:rsidRPr="00FE15EE">
        <w:rPr>
          <w:rFonts w:ascii="Times New Roman" w:hAnsi="Times New Roman" w:cs="Times New Roman"/>
        </w:rPr>
        <w:br/>
        <w:t>Sales = 5,491.0</w:t>
      </w:r>
    </w:p>
    <w:p w14:paraId="2FFE41A4"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Operating Profit Margin = (987.9 / 5,491.0) * 100</w:t>
      </w:r>
      <w:r w:rsidRPr="00FE15EE">
        <w:rPr>
          <w:rFonts w:ascii="Times New Roman" w:hAnsi="Times New Roman" w:cs="Times New Roman"/>
        </w:rPr>
        <w:br/>
        <w:t xml:space="preserve">= </w:t>
      </w:r>
      <w:r w:rsidRPr="00FE15EE">
        <w:rPr>
          <w:rFonts w:ascii="Times New Roman" w:hAnsi="Times New Roman" w:cs="Times New Roman"/>
          <w:b/>
          <w:bCs/>
        </w:rPr>
        <w:t>18.0%</w:t>
      </w:r>
    </w:p>
    <w:p w14:paraId="48290493"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Operating Profit = 1,075.4</w:t>
      </w:r>
      <w:r w:rsidRPr="00FE15EE">
        <w:rPr>
          <w:rFonts w:ascii="Times New Roman" w:hAnsi="Times New Roman" w:cs="Times New Roman"/>
        </w:rPr>
        <w:br/>
        <w:t>Sales = 6,118.1</w:t>
      </w:r>
    </w:p>
    <w:p w14:paraId="68A146A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Operating Profit Margin = (1,075.4 / 6,118.1) * 100</w:t>
      </w:r>
      <w:r w:rsidRPr="00FE15EE">
        <w:rPr>
          <w:rFonts w:ascii="Times New Roman" w:hAnsi="Times New Roman" w:cs="Times New Roman"/>
        </w:rPr>
        <w:br/>
        <w:t xml:space="preserve">= </w:t>
      </w:r>
      <w:r w:rsidRPr="00FE15EE">
        <w:rPr>
          <w:rFonts w:ascii="Times New Roman" w:hAnsi="Times New Roman" w:cs="Times New Roman"/>
          <w:b/>
          <w:bCs/>
        </w:rPr>
        <w:t>17.6%</w:t>
      </w:r>
    </w:p>
    <w:p w14:paraId="0E1F766B" w14:textId="77777777" w:rsidR="00696FB8" w:rsidRPr="00FE15EE" w:rsidRDefault="00696FB8" w:rsidP="00696FB8">
      <w:pPr>
        <w:spacing w:line="360" w:lineRule="auto"/>
        <w:rPr>
          <w:rFonts w:ascii="Times New Roman" w:hAnsi="Times New Roman" w:cs="Times New Roman"/>
        </w:rPr>
      </w:pPr>
    </w:p>
    <w:p w14:paraId="680E97DF"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Net Profit Margin</w:t>
      </w:r>
    </w:p>
    <w:p w14:paraId="12E53E46"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Net Profit / Sales * 100</w:t>
      </w:r>
    </w:p>
    <w:p w14:paraId="7F92CB5B"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Profit after Tax = 800.5</w:t>
      </w:r>
      <w:r w:rsidRPr="00FE15EE">
        <w:rPr>
          <w:rFonts w:ascii="Times New Roman" w:hAnsi="Times New Roman" w:cs="Times New Roman"/>
        </w:rPr>
        <w:br/>
        <w:t>Sales = 5,491.0</w:t>
      </w:r>
    </w:p>
    <w:p w14:paraId="3D9070A6"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Net Profit Margin = (800.5 / 5,491.0) * 100</w:t>
      </w:r>
      <w:r w:rsidRPr="00FE15EE">
        <w:rPr>
          <w:rFonts w:ascii="Times New Roman" w:hAnsi="Times New Roman" w:cs="Times New Roman"/>
        </w:rPr>
        <w:br/>
        <w:t xml:space="preserve">= </w:t>
      </w:r>
      <w:r w:rsidRPr="00FE15EE">
        <w:rPr>
          <w:rFonts w:ascii="Times New Roman" w:hAnsi="Times New Roman" w:cs="Times New Roman"/>
          <w:b/>
          <w:bCs/>
        </w:rPr>
        <w:t>14.6%</w:t>
      </w:r>
    </w:p>
    <w:p w14:paraId="693E5D4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Profit after Tax = 743.2</w:t>
      </w:r>
      <w:r w:rsidRPr="00FE15EE">
        <w:rPr>
          <w:rFonts w:ascii="Times New Roman" w:hAnsi="Times New Roman" w:cs="Times New Roman"/>
        </w:rPr>
        <w:br/>
        <w:t>Sales = 6,118.1</w:t>
      </w:r>
    </w:p>
    <w:p w14:paraId="188C755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Net Profit Margin = (743.2 / 6,118.1) * 100</w:t>
      </w:r>
      <w:r w:rsidRPr="00FE15EE">
        <w:rPr>
          <w:rFonts w:ascii="Times New Roman" w:hAnsi="Times New Roman" w:cs="Times New Roman"/>
        </w:rPr>
        <w:br/>
        <w:t xml:space="preserve">= </w:t>
      </w:r>
      <w:r w:rsidRPr="00FE15EE">
        <w:rPr>
          <w:rFonts w:ascii="Times New Roman" w:hAnsi="Times New Roman" w:cs="Times New Roman"/>
          <w:b/>
          <w:bCs/>
        </w:rPr>
        <w:t>12.2%</w:t>
      </w:r>
    </w:p>
    <w:p w14:paraId="5F7F0FBB" w14:textId="77777777" w:rsidR="00696FB8" w:rsidRPr="00FE15EE" w:rsidRDefault="00696FB8" w:rsidP="00696FB8">
      <w:pPr>
        <w:spacing w:line="360" w:lineRule="auto"/>
        <w:rPr>
          <w:rFonts w:ascii="Times New Roman" w:hAnsi="Times New Roman" w:cs="Times New Roman"/>
        </w:rPr>
      </w:pPr>
    </w:p>
    <w:p w14:paraId="288B5373"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B. Return Ratios</w:t>
      </w:r>
    </w:p>
    <w:p w14:paraId="040D2671"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Return on Capital Employed (ROCE)</w:t>
      </w:r>
    </w:p>
    <w:p w14:paraId="0788715B"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Operating Profit / (Total Assets − Current Liabilities) * 100</w:t>
      </w:r>
    </w:p>
    <w:p w14:paraId="18715B4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Operating Profit = 987.9</w:t>
      </w:r>
      <w:r w:rsidRPr="00FE15EE">
        <w:rPr>
          <w:rFonts w:ascii="Times New Roman" w:hAnsi="Times New Roman" w:cs="Times New Roman"/>
        </w:rPr>
        <w:br/>
        <w:t>Total Assets − Current Liabilities = 4,724.3 − 1,245.7 = 3,478.6</w:t>
      </w:r>
    </w:p>
    <w:p w14:paraId="4FC81EAB"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ROCE = (987.9 / 3,478.6) * 100</w:t>
      </w:r>
      <w:r w:rsidRPr="00FE15EE">
        <w:rPr>
          <w:rFonts w:ascii="Times New Roman" w:hAnsi="Times New Roman" w:cs="Times New Roman"/>
        </w:rPr>
        <w:br/>
        <w:t xml:space="preserve">= </w:t>
      </w:r>
      <w:r w:rsidRPr="00FE15EE">
        <w:rPr>
          <w:rFonts w:ascii="Times New Roman" w:hAnsi="Times New Roman" w:cs="Times New Roman"/>
          <w:b/>
          <w:bCs/>
        </w:rPr>
        <w:t>21.03%</w:t>
      </w:r>
    </w:p>
    <w:p w14:paraId="4B4D5878"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lastRenderedPageBreak/>
        <w:t>January 2025:</w:t>
      </w:r>
      <w:r w:rsidRPr="00FE15EE">
        <w:rPr>
          <w:rFonts w:ascii="Times New Roman" w:hAnsi="Times New Roman" w:cs="Times New Roman"/>
        </w:rPr>
        <w:br/>
        <w:t>Operating Profit = 1,075.4</w:t>
      </w:r>
      <w:r w:rsidRPr="00FE15EE">
        <w:rPr>
          <w:rFonts w:ascii="Times New Roman" w:hAnsi="Times New Roman" w:cs="Times New Roman"/>
        </w:rPr>
        <w:br/>
        <w:t>Total Assets − Current Liabilities = 4,872.5 − 1,566.4 = 3,306.1</w:t>
      </w:r>
    </w:p>
    <w:p w14:paraId="7147BEF8"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ROCE = (1,075.4 / 3,306.1) * 100</w:t>
      </w:r>
      <w:r w:rsidRPr="00FE15EE">
        <w:rPr>
          <w:rFonts w:ascii="Times New Roman" w:hAnsi="Times New Roman" w:cs="Times New Roman"/>
        </w:rPr>
        <w:br/>
        <w:t xml:space="preserve">= </w:t>
      </w:r>
      <w:r w:rsidRPr="00FE15EE">
        <w:rPr>
          <w:rFonts w:ascii="Times New Roman" w:hAnsi="Times New Roman" w:cs="Times New Roman"/>
          <w:b/>
          <w:bCs/>
        </w:rPr>
        <w:t>22.09%</w:t>
      </w:r>
    </w:p>
    <w:p w14:paraId="687625F4" w14:textId="77777777" w:rsidR="00696FB8" w:rsidRPr="00FE15EE" w:rsidRDefault="00696FB8" w:rsidP="00696FB8">
      <w:pPr>
        <w:spacing w:line="360" w:lineRule="auto"/>
        <w:rPr>
          <w:rFonts w:ascii="Times New Roman" w:hAnsi="Times New Roman" w:cs="Times New Roman"/>
        </w:rPr>
      </w:pPr>
    </w:p>
    <w:p w14:paraId="179AF735"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Return on Equity (ROE)</w:t>
      </w:r>
    </w:p>
    <w:p w14:paraId="2F0A5F82"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Profit after Tax / (Ordinary Shares + Reserves) * 100</w:t>
      </w:r>
    </w:p>
    <w:p w14:paraId="3BFEBAFE"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Profit after Tax = 800.5</w:t>
      </w:r>
      <w:r w:rsidRPr="00FE15EE">
        <w:rPr>
          <w:rFonts w:ascii="Times New Roman" w:hAnsi="Times New Roman" w:cs="Times New Roman"/>
        </w:rPr>
        <w:br/>
        <w:t>Shareholders’ Funds = 1,638.8</w:t>
      </w:r>
    </w:p>
    <w:p w14:paraId="36588807"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ROE = (800.5 / 1,638.8) * 100</w:t>
      </w:r>
      <w:r w:rsidRPr="00FE15EE">
        <w:rPr>
          <w:rFonts w:ascii="Times New Roman" w:hAnsi="Times New Roman" w:cs="Times New Roman"/>
        </w:rPr>
        <w:br/>
        <w:t xml:space="preserve">= </w:t>
      </w:r>
      <w:r w:rsidRPr="00FE15EE">
        <w:rPr>
          <w:rFonts w:ascii="Times New Roman" w:hAnsi="Times New Roman" w:cs="Times New Roman"/>
          <w:b/>
          <w:bCs/>
        </w:rPr>
        <w:t>48.9%</w:t>
      </w:r>
    </w:p>
    <w:p w14:paraId="7D6741A4"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Profit after Tax = 743.2</w:t>
      </w:r>
      <w:r w:rsidRPr="00FE15EE">
        <w:rPr>
          <w:rFonts w:ascii="Times New Roman" w:hAnsi="Times New Roman" w:cs="Times New Roman"/>
        </w:rPr>
        <w:br/>
        <w:t>Shareholders’ Funds = 1,754.3</w:t>
      </w:r>
    </w:p>
    <w:p w14:paraId="7D4E2D4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rPr>
        <w:t>ROE = (743.2 / 1,754.3) * 100</w:t>
      </w:r>
      <w:r w:rsidRPr="00FE15EE">
        <w:rPr>
          <w:rFonts w:ascii="Times New Roman" w:hAnsi="Times New Roman" w:cs="Times New Roman"/>
        </w:rPr>
        <w:br/>
        <w:t xml:space="preserve">= </w:t>
      </w:r>
      <w:r w:rsidRPr="00FE15EE">
        <w:rPr>
          <w:rFonts w:ascii="Times New Roman" w:hAnsi="Times New Roman" w:cs="Times New Roman"/>
          <w:b/>
          <w:bCs/>
        </w:rPr>
        <w:t>42.4%</w:t>
      </w:r>
    </w:p>
    <w:p w14:paraId="3B2B2068" w14:textId="77777777" w:rsidR="00696FB8" w:rsidRPr="00FE15EE" w:rsidRDefault="00696FB8" w:rsidP="00696FB8">
      <w:pPr>
        <w:spacing w:line="360" w:lineRule="auto"/>
        <w:rPr>
          <w:rFonts w:ascii="Times New Roman" w:hAnsi="Times New Roman" w:cs="Times New Roman"/>
        </w:rPr>
      </w:pPr>
    </w:p>
    <w:p w14:paraId="0087111F"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C. Liquidity Ratios</w:t>
      </w:r>
    </w:p>
    <w:p w14:paraId="58A895D9"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Current Ratio</w:t>
      </w:r>
    </w:p>
    <w:p w14:paraId="56897987"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Current Assets / Current Liabilities</w:t>
      </w:r>
    </w:p>
    <w:p w14:paraId="73081139"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lastRenderedPageBreak/>
        <w:t>January 2024:</w:t>
      </w:r>
      <w:r w:rsidRPr="00FE15EE">
        <w:rPr>
          <w:rFonts w:ascii="Times New Roman" w:hAnsi="Times New Roman" w:cs="Times New Roman"/>
        </w:rPr>
        <w:br/>
        <w:t>2,447.7 / 1,245.7</w:t>
      </w:r>
      <w:r w:rsidRPr="00FE15EE">
        <w:rPr>
          <w:rFonts w:ascii="Times New Roman" w:hAnsi="Times New Roman" w:cs="Times New Roman"/>
        </w:rPr>
        <w:br/>
        <w:t xml:space="preserve">= </w:t>
      </w:r>
      <w:r w:rsidRPr="00FE15EE">
        <w:rPr>
          <w:rFonts w:ascii="Times New Roman" w:hAnsi="Times New Roman" w:cs="Times New Roman"/>
          <w:b/>
          <w:bCs/>
        </w:rPr>
        <w:t>0.86</w:t>
      </w:r>
    </w:p>
    <w:p w14:paraId="1789A81A"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2,649.9 / 1,566.4</w:t>
      </w:r>
      <w:r w:rsidRPr="00FE15EE">
        <w:rPr>
          <w:rFonts w:ascii="Times New Roman" w:hAnsi="Times New Roman" w:cs="Times New Roman"/>
        </w:rPr>
        <w:br/>
        <w:t xml:space="preserve">= </w:t>
      </w:r>
      <w:r w:rsidRPr="00FE15EE">
        <w:rPr>
          <w:rFonts w:ascii="Times New Roman" w:hAnsi="Times New Roman" w:cs="Times New Roman"/>
          <w:b/>
          <w:bCs/>
        </w:rPr>
        <w:t>0.87</w:t>
      </w:r>
    </w:p>
    <w:p w14:paraId="1702B29B" w14:textId="77777777" w:rsidR="00696FB8" w:rsidRPr="00FE15EE" w:rsidRDefault="00696FB8" w:rsidP="00696FB8">
      <w:pPr>
        <w:spacing w:line="360" w:lineRule="auto"/>
        <w:rPr>
          <w:rFonts w:ascii="Times New Roman" w:hAnsi="Times New Roman" w:cs="Times New Roman"/>
        </w:rPr>
      </w:pPr>
    </w:p>
    <w:p w14:paraId="5D8AB0E2"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Quick Ratio (Acid Test)</w:t>
      </w:r>
    </w:p>
    <w:p w14:paraId="2CB0C05E"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(Current Assets − Stock) / Current Liabilities</w:t>
      </w:r>
    </w:p>
    <w:p w14:paraId="13D0B01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(2,447.7 − 769.0) / 1,245.7</w:t>
      </w:r>
      <w:r w:rsidRPr="00FE15EE">
        <w:rPr>
          <w:rFonts w:ascii="Times New Roman" w:hAnsi="Times New Roman" w:cs="Times New Roman"/>
        </w:rPr>
        <w:br/>
        <w:t xml:space="preserve">= </w:t>
      </w:r>
      <w:r w:rsidRPr="00FE15EE">
        <w:rPr>
          <w:rFonts w:ascii="Times New Roman" w:hAnsi="Times New Roman" w:cs="Times New Roman"/>
          <w:b/>
          <w:bCs/>
        </w:rPr>
        <w:t>0.56</w:t>
      </w:r>
    </w:p>
    <w:p w14:paraId="47FF2E74"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(2,649.9 − 865.2) / 1,566.4</w:t>
      </w:r>
      <w:r w:rsidRPr="00FE15EE">
        <w:rPr>
          <w:rFonts w:ascii="Times New Roman" w:hAnsi="Times New Roman" w:cs="Times New Roman"/>
        </w:rPr>
        <w:br/>
        <w:t xml:space="preserve">= </w:t>
      </w:r>
      <w:r w:rsidRPr="00FE15EE">
        <w:rPr>
          <w:rFonts w:ascii="Times New Roman" w:hAnsi="Times New Roman" w:cs="Times New Roman"/>
          <w:b/>
          <w:bCs/>
        </w:rPr>
        <w:t>0.57</w:t>
      </w:r>
    </w:p>
    <w:p w14:paraId="23A5ED69" w14:textId="77777777" w:rsidR="00696FB8" w:rsidRPr="00FE15EE" w:rsidRDefault="00696FB8" w:rsidP="00696FB8">
      <w:pPr>
        <w:spacing w:line="360" w:lineRule="auto"/>
        <w:rPr>
          <w:rFonts w:ascii="Times New Roman" w:hAnsi="Times New Roman" w:cs="Times New Roman"/>
        </w:rPr>
      </w:pPr>
    </w:p>
    <w:p w14:paraId="2F91A3BF"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D. Efficiency Ratios</w:t>
      </w:r>
    </w:p>
    <w:p w14:paraId="01439E9F"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Inventory Days</w:t>
      </w:r>
    </w:p>
    <w:p w14:paraId="1A28F123"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Stock / Cost of Sales * 365</w:t>
      </w:r>
    </w:p>
    <w:p w14:paraId="2FB7881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(769.0 / 3,034.5) * 365</w:t>
      </w:r>
      <w:r w:rsidRPr="00FE15EE">
        <w:rPr>
          <w:rFonts w:ascii="Times New Roman" w:hAnsi="Times New Roman" w:cs="Times New Roman"/>
        </w:rPr>
        <w:br/>
        <w:t xml:space="preserve">= </w:t>
      </w:r>
      <w:r w:rsidRPr="00FE15EE">
        <w:rPr>
          <w:rFonts w:ascii="Times New Roman" w:hAnsi="Times New Roman" w:cs="Times New Roman"/>
          <w:b/>
          <w:bCs/>
        </w:rPr>
        <w:t>47 days</w:t>
      </w:r>
    </w:p>
    <w:p w14:paraId="2EED6896"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(865.2 / 3,456.5) * 365</w:t>
      </w:r>
      <w:r w:rsidRPr="00FE15EE">
        <w:rPr>
          <w:rFonts w:ascii="Times New Roman" w:hAnsi="Times New Roman" w:cs="Times New Roman"/>
        </w:rPr>
        <w:br/>
        <w:t xml:space="preserve">= </w:t>
      </w:r>
      <w:r w:rsidRPr="00FE15EE">
        <w:rPr>
          <w:rFonts w:ascii="Times New Roman" w:hAnsi="Times New Roman" w:cs="Times New Roman"/>
          <w:b/>
          <w:bCs/>
        </w:rPr>
        <w:t>49 days</w:t>
      </w:r>
    </w:p>
    <w:p w14:paraId="64D20C7B" w14:textId="77777777" w:rsidR="00696FB8" w:rsidRPr="00FE15EE" w:rsidRDefault="00696FB8" w:rsidP="00696FB8">
      <w:pPr>
        <w:spacing w:line="360" w:lineRule="auto"/>
        <w:rPr>
          <w:rFonts w:ascii="Times New Roman" w:hAnsi="Times New Roman" w:cs="Times New Roman"/>
        </w:rPr>
      </w:pPr>
    </w:p>
    <w:p w14:paraId="6935C5E7"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Receivables Days</w:t>
      </w:r>
    </w:p>
    <w:p w14:paraId="4EF610C6"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Receivables / Sales * 365</w:t>
      </w:r>
    </w:p>
    <w:p w14:paraId="50EE5E4F"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(1,452.8 / 5,491.0) * 365</w:t>
      </w:r>
      <w:r w:rsidRPr="00FE15EE">
        <w:rPr>
          <w:rFonts w:ascii="Times New Roman" w:hAnsi="Times New Roman" w:cs="Times New Roman"/>
        </w:rPr>
        <w:br/>
        <w:t xml:space="preserve">= </w:t>
      </w:r>
      <w:r w:rsidRPr="00FE15EE">
        <w:rPr>
          <w:rFonts w:ascii="Times New Roman" w:hAnsi="Times New Roman" w:cs="Times New Roman"/>
          <w:b/>
          <w:bCs/>
        </w:rPr>
        <w:t>32 days</w:t>
      </w:r>
    </w:p>
    <w:p w14:paraId="63A4E97E"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(1,508.4 / 6,118.1) * 365</w:t>
      </w:r>
      <w:r w:rsidRPr="00FE15EE">
        <w:rPr>
          <w:rFonts w:ascii="Times New Roman" w:hAnsi="Times New Roman" w:cs="Times New Roman"/>
        </w:rPr>
        <w:br/>
        <w:t xml:space="preserve">= </w:t>
      </w:r>
      <w:r w:rsidRPr="00FE15EE">
        <w:rPr>
          <w:rFonts w:ascii="Times New Roman" w:hAnsi="Times New Roman" w:cs="Times New Roman"/>
          <w:b/>
          <w:bCs/>
        </w:rPr>
        <w:t>31 days</w:t>
      </w:r>
    </w:p>
    <w:p w14:paraId="489E7D16" w14:textId="77777777" w:rsidR="00696FB8" w:rsidRPr="00FE15EE" w:rsidRDefault="00696FB8" w:rsidP="00696FB8">
      <w:pPr>
        <w:spacing w:line="360" w:lineRule="auto"/>
        <w:rPr>
          <w:rFonts w:ascii="Times New Roman" w:hAnsi="Times New Roman" w:cs="Times New Roman"/>
        </w:rPr>
      </w:pPr>
    </w:p>
    <w:p w14:paraId="03318791"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Payables Days</w:t>
      </w:r>
    </w:p>
    <w:p w14:paraId="1E2A7F99"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Payables / Cost of Sales * 365</w:t>
      </w:r>
    </w:p>
    <w:p w14:paraId="5F6DD3B8"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(781.9 / 3,034.5) * 365</w:t>
      </w:r>
      <w:r w:rsidRPr="00FE15EE">
        <w:rPr>
          <w:rFonts w:ascii="Times New Roman" w:hAnsi="Times New Roman" w:cs="Times New Roman"/>
        </w:rPr>
        <w:br/>
        <w:t xml:space="preserve">= </w:t>
      </w:r>
      <w:r w:rsidRPr="00FE15EE">
        <w:rPr>
          <w:rFonts w:ascii="Times New Roman" w:hAnsi="Times New Roman" w:cs="Times New Roman"/>
          <w:b/>
          <w:bCs/>
        </w:rPr>
        <w:t>94 days</w:t>
      </w:r>
    </w:p>
    <w:p w14:paraId="13602119"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(919.6 / 3,456.5) * 365</w:t>
      </w:r>
      <w:r w:rsidRPr="00FE15EE">
        <w:rPr>
          <w:rFonts w:ascii="Times New Roman" w:hAnsi="Times New Roman" w:cs="Times New Roman"/>
        </w:rPr>
        <w:br/>
        <w:t xml:space="preserve">= </w:t>
      </w:r>
      <w:r w:rsidRPr="00FE15EE">
        <w:rPr>
          <w:rFonts w:ascii="Times New Roman" w:hAnsi="Times New Roman" w:cs="Times New Roman"/>
          <w:b/>
          <w:bCs/>
        </w:rPr>
        <w:t>97 days</w:t>
      </w:r>
    </w:p>
    <w:p w14:paraId="69E27B18" w14:textId="77777777" w:rsidR="00696FB8" w:rsidRPr="00FE15EE" w:rsidRDefault="00696FB8" w:rsidP="00696FB8">
      <w:pPr>
        <w:spacing w:line="360" w:lineRule="auto"/>
        <w:rPr>
          <w:rFonts w:ascii="Times New Roman" w:hAnsi="Times New Roman" w:cs="Times New Roman"/>
        </w:rPr>
      </w:pPr>
    </w:p>
    <w:p w14:paraId="30993EB5"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E. Solvency &amp; Investor Ratios</w:t>
      </w:r>
    </w:p>
    <w:p w14:paraId="02076A51"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Gearing Ratio</w:t>
      </w:r>
    </w:p>
    <w:p w14:paraId="7186609E"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Long-term Borrowings / (Long-term Borrowings + Shareholders’ Funds) * 100</w:t>
      </w:r>
    </w:p>
    <w:p w14:paraId="4B357A45"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lastRenderedPageBreak/>
        <w:t>January 2024:</w:t>
      </w:r>
      <w:r w:rsidRPr="00FE15EE">
        <w:rPr>
          <w:rFonts w:ascii="Times New Roman" w:hAnsi="Times New Roman" w:cs="Times New Roman"/>
        </w:rPr>
        <w:br/>
        <w:t>820.3 / (820.3 + 1,638.8) * 100</w:t>
      </w:r>
      <w:r w:rsidRPr="00FE15EE">
        <w:rPr>
          <w:rFonts w:ascii="Times New Roman" w:hAnsi="Times New Roman" w:cs="Times New Roman"/>
        </w:rPr>
        <w:br/>
        <w:t xml:space="preserve">= </w:t>
      </w:r>
      <w:r w:rsidRPr="00FE15EE">
        <w:rPr>
          <w:rFonts w:ascii="Times New Roman" w:hAnsi="Times New Roman" w:cs="Times New Roman"/>
          <w:b/>
          <w:bCs/>
        </w:rPr>
        <w:t>44.23%</w:t>
      </w:r>
    </w:p>
    <w:p w14:paraId="5DA096F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543.8 / (543.8 + 1,754.3) * 100</w:t>
      </w:r>
      <w:r w:rsidRPr="00FE15EE">
        <w:rPr>
          <w:rFonts w:ascii="Times New Roman" w:hAnsi="Times New Roman" w:cs="Times New Roman"/>
        </w:rPr>
        <w:br/>
        <w:t xml:space="preserve">= </w:t>
      </w:r>
      <w:r w:rsidRPr="00FE15EE">
        <w:rPr>
          <w:rFonts w:ascii="Times New Roman" w:hAnsi="Times New Roman" w:cs="Times New Roman"/>
          <w:b/>
          <w:bCs/>
        </w:rPr>
        <w:t>47.62%</w:t>
      </w:r>
    </w:p>
    <w:p w14:paraId="74CD2D4A" w14:textId="77777777" w:rsidR="00696FB8" w:rsidRPr="00FE15EE" w:rsidRDefault="00696FB8" w:rsidP="00696FB8">
      <w:pPr>
        <w:spacing w:line="360" w:lineRule="auto"/>
        <w:rPr>
          <w:rFonts w:ascii="Times New Roman" w:hAnsi="Times New Roman" w:cs="Times New Roman"/>
        </w:rPr>
      </w:pPr>
    </w:p>
    <w:p w14:paraId="7E4F77B9" w14:textId="77777777" w:rsidR="00696FB8" w:rsidRPr="00FE15EE" w:rsidRDefault="00696FB8" w:rsidP="00696FB8">
      <w:pPr>
        <w:spacing w:line="360" w:lineRule="auto"/>
        <w:rPr>
          <w:rFonts w:ascii="Times New Roman" w:hAnsi="Times New Roman" w:cs="Times New Roman"/>
          <w:b/>
          <w:bCs/>
        </w:rPr>
      </w:pPr>
      <w:r w:rsidRPr="00FE15EE">
        <w:rPr>
          <w:rFonts w:ascii="Times New Roman" w:hAnsi="Times New Roman" w:cs="Times New Roman"/>
          <w:b/>
          <w:bCs/>
        </w:rPr>
        <w:t>Interest Cover</w:t>
      </w:r>
    </w:p>
    <w:p w14:paraId="49B1008C"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Formula:</w:t>
      </w:r>
      <w:r w:rsidRPr="00FE15EE">
        <w:rPr>
          <w:rFonts w:ascii="Times New Roman" w:hAnsi="Times New Roman" w:cs="Times New Roman"/>
        </w:rPr>
        <w:br/>
        <w:t>Operating Profit / Interest on Long-term Borrowings</w:t>
      </w:r>
    </w:p>
    <w:p w14:paraId="266EDCF1"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2024:</w:t>
      </w:r>
      <w:r w:rsidRPr="00FE15EE">
        <w:rPr>
          <w:rFonts w:ascii="Times New Roman" w:hAnsi="Times New Roman" w:cs="Times New Roman"/>
        </w:rPr>
        <w:br/>
        <w:t>987.9 / 126.7</w:t>
      </w:r>
      <w:r w:rsidRPr="00FE15EE">
        <w:rPr>
          <w:rFonts w:ascii="Times New Roman" w:hAnsi="Times New Roman" w:cs="Times New Roman"/>
        </w:rPr>
        <w:br/>
        <w:t xml:space="preserve">= </w:t>
      </w:r>
      <w:r w:rsidRPr="00FE15EE">
        <w:rPr>
          <w:rFonts w:ascii="Times New Roman" w:hAnsi="Times New Roman" w:cs="Times New Roman"/>
          <w:b/>
          <w:bCs/>
        </w:rPr>
        <w:t>7.8 times</w:t>
      </w:r>
    </w:p>
    <w:p w14:paraId="061EDA7A" w14:textId="77777777" w:rsidR="00696FB8" w:rsidRPr="00FE15EE" w:rsidRDefault="00696FB8" w:rsidP="00696FB8">
      <w:pPr>
        <w:spacing w:line="360" w:lineRule="auto"/>
        <w:rPr>
          <w:rFonts w:ascii="Times New Roman" w:hAnsi="Times New Roman" w:cs="Times New Roman"/>
        </w:rPr>
      </w:pPr>
      <w:r w:rsidRPr="00FE15EE">
        <w:rPr>
          <w:rFonts w:ascii="Times New Roman" w:hAnsi="Times New Roman" w:cs="Times New Roman"/>
          <w:b/>
          <w:bCs/>
        </w:rPr>
        <w:t>January 2025:</w:t>
      </w:r>
      <w:r w:rsidRPr="00FE15EE">
        <w:rPr>
          <w:rFonts w:ascii="Times New Roman" w:hAnsi="Times New Roman" w:cs="Times New Roman"/>
        </w:rPr>
        <w:br/>
        <w:t>1,075.4 / 147.3</w:t>
      </w:r>
      <w:r w:rsidRPr="00FE15EE">
        <w:rPr>
          <w:rFonts w:ascii="Times New Roman" w:hAnsi="Times New Roman" w:cs="Times New Roman"/>
        </w:rPr>
        <w:br/>
        <w:t xml:space="preserve">= </w:t>
      </w:r>
      <w:r w:rsidRPr="00FE15EE">
        <w:rPr>
          <w:rFonts w:ascii="Times New Roman" w:hAnsi="Times New Roman" w:cs="Times New Roman"/>
          <w:b/>
          <w:bCs/>
        </w:rPr>
        <w:t>7.3 times</w:t>
      </w:r>
    </w:p>
    <w:p w14:paraId="68B03463" w14:textId="77777777" w:rsidR="00696FB8" w:rsidRPr="00AF7E97" w:rsidRDefault="00696FB8" w:rsidP="00696FB8">
      <w:pPr>
        <w:spacing w:line="360" w:lineRule="auto"/>
        <w:rPr>
          <w:rFonts w:ascii="Times New Roman" w:hAnsi="Times New Roman" w:cs="Times New Roman"/>
          <w:b/>
          <w:bCs/>
        </w:rPr>
      </w:pPr>
      <w:r w:rsidRPr="00AF7E97">
        <w:rPr>
          <w:rFonts w:ascii="Times New Roman" w:hAnsi="Times New Roman" w:cs="Times New Roman"/>
          <w:b/>
          <w:bCs/>
        </w:rPr>
        <w:t>Earnings Per Share (EPS)</w:t>
      </w:r>
    </w:p>
    <w:p w14:paraId="4AD6B166" w14:textId="77777777" w:rsidR="00696FB8" w:rsidRPr="00AF7E97" w:rsidRDefault="00696FB8" w:rsidP="00696FB8">
      <w:pPr>
        <w:spacing w:line="360" w:lineRule="auto"/>
        <w:rPr>
          <w:rFonts w:ascii="Times New Roman" w:hAnsi="Times New Roman" w:cs="Times New Roman"/>
        </w:rPr>
      </w:pPr>
      <w:r w:rsidRPr="00AF7E97">
        <w:rPr>
          <w:rFonts w:ascii="Times New Roman" w:hAnsi="Times New Roman" w:cs="Times New Roman"/>
          <w:b/>
          <w:bCs/>
        </w:rPr>
        <w:t>Formula:</w:t>
      </w:r>
      <w:r w:rsidRPr="00AF7E97">
        <w:rPr>
          <w:rFonts w:ascii="Times New Roman" w:hAnsi="Times New Roman" w:cs="Times New Roman"/>
        </w:rPr>
        <w:br/>
        <w:t>Profit after Tax / Number of Ordinary Shares Issued</w:t>
      </w:r>
    </w:p>
    <w:p w14:paraId="2960846D" w14:textId="77777777" w:rsidR="00696FB8" w:rsidRPr="00AF7E97" w:rsidRDefault="00696FB8" w:rsidP="00696FB8">
      <w:pPr>
        <w:spacing w:line="360" w:lineRule="auto"/>
        <w:rPr>
          <w:rFonts w:ascii="Times New Roman" w:hAnsi="Times New Roman" w:cs="Times New Roman"/>
        </w:rPr>
      </w:pPr>
      <w:r w:rsidRPr="00AF7E97">
        <w:rPr>
          <w:rFonts w:ascii="Times New Roman" w:hAnsi="Times New Roman" w:cs="Times New Roman"/>
          <w:b/>
          <w:bCs/>
        </w:rPr>
        <w:t>January 2024:</w:t>
      </w:r>
      <w:r w:rsidRPr="00AF7E97">
        <w:rPr>
          <w:rFonts w:ascii="Times New Roman" w:hAnsi="Times New Roman" w:cs="Times New Roman"/>
        </w:rPr>
        <w:br/>
        <w:t>661.6 pence ÷ 100</w:t>
      </w:r>
      <w:r w:rsidRPr="00AF7E97">
        <w:rPr>
          <w:rFonts w:ascii="Times New Roman" w:hAnsi="Times New Roman" w:cs="Times New Roman"/>
        </w:rPr>
        <w:br/>
        <w:t xml:space="preserve">= </w:t>
      </w:r>
      <w:r w:rsidRPr="00AF7E97">
        <w:rPr>
          <w:rFonts w:ascii="Times New Roman" w:hAnsi="Times New Roman" w:cs="Times New Roman"/>
          <w:b/>
          <w:bCs/>
        </w:rPr>
        <w:t>£6.62 per share</w:t>
      </w:r>
    </w:p>
    <w:p w14:paraId="76C5126D" w14:textId="77777777" w:rsidR="00696FB8" w:rsidRPr="00AF7E97" w:rsidRDefault="00696FB8" w:rsidP="00696FB8">
      <w:pPr>
        <w:spacing w:line="360" w:lineRule="auto"/>
        <w:rPr>
          <w:rFonts w:ascii="Times New Roman" w:hAnsi="Times New Roman" w:cs="Times New Roman"/>
        </w:rPr>
      </w:pPr>
      <w:r w:rsidRPr="00AF7E97">
        <w:rPr>
          <w:rFonts w:ascii="Times New Roman" w:hAnsi="Times New Roman" w:cs="Times New Roman"/>
          <w:b/>
          <w:bCs/>
        </w:rPr>
        <w:t>January 2025:</w:t>
      </w:r>
      <w:r w:rsidRPr="00AF7E97">
        <w:rPr>
          <w:rFonts w:ascii="Times New Roman" w:hAnsi="Times New Roman" w:cs="Times New Roman"/>
        </w:rPr>
        <w:br/>
        <w:t>615.1 pence ÷ 100</w:t>
      </w:r>
      <w:r w:rsidRPr="00AF7E97">
        <w:rPr>
          <w:rFonts w:ascii="Times New Roman" w:hAnsi="Times New Roman" w:cs="Times New Roman"/>
        </w:rPr>
        <w:br/>
        <w:t xml:space="preserve">= </w:t>
      </w:r>
      <w:r w:rsidRPr="00AF7E97">
        <w:rPr>
          <w:rFonts w:ascii="Times New Roman" w:hAnsi="Times New Roman" w:cs="Times New Roman"/>
          <w:b/>
          <w:bCs/>
        </w:rPr>
        <w:t>£6.15 per share</w:t>
      </w:r>
    </w:p>
    <w:p w14:paraId="0160CEB8" w14:textId="77777777" w:rsidR="00696FB8" w:rsidRDefault="00696FB8" w:rsidP="00696FB8">
      <w:pPr>
        <w:spacing w:line="360" w:lineRule="auto"/>
        <w:jc w:val="both"/>
        <w:rPr>
          <w:rFonts w:ascii="Times New Roman" w:hAnsi="Times New Roman" w:cs="Times New Roman"/>
        </w:rPr>
      </w:pPr>
    </w:p>
    <w:p w14:paraId="79E72AB4" w14:textId="77777777" w:rsidR="00696FB8" w:rsidRDefault="00696FB8" w:rsidP="00696FB8">
      <w:pPr>
        <w:spacing w:line="360" w:lineRule="auto"/>
        <w:jc w:val="both"/>
        <w:rPr>
          <w:rFonts w:ascii="Times New Roman" w:hAnsi="Times New Roman" w:cs="Times New Roman"/>
        </w:rPr>
      </w:pPr>
    </w:p>
    <w:p w14:paraId="345E2EA2" w14:textId="7C61D45E" w:rsidR="00696FB8" w:rsidRPr="0087300E" w:rsidRDefault="00696FB8" w:rsidP="00696FB8">
      <w:pPr>
        <w:pStyle w:val="Heading1"/>
      </w:pPr>
      <w:r w:rsidRPr="0087300E">
        <w:lastRenderedPageBreak/>
        <w:t xml:space="preserve">Appendix – Part 2 Investment Appraisal </w:t>
      </w:r>
    </w:p>
    <w:p w14:paraId="1C2FC9C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 xml:space="preserve">figures are in £000 unless stated otherwise. </w:t>
      </w:r>
    </w:p>
    <w:p w14:paraId="705DAC37"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Assumptions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696FB8" w:rsidRPr="0087300E" w14:paraId="3555F89B" w14:textId="77777777" w:rsidTr="00963009">
        <w:tc>
          <w:tcPr>
            <w:tcW w:w="4320" w:type="dxa"/>
          </w:tcPr>
          <w:p w14:paraId="54A4A5A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Item</w:t>
            </w:r>
          </w:p>
        </w:tc>
        <w:tc>
          <w:tcPr>
            <w:tcW w:w="4320" w:type="dxa"/>
          </w:tcPr>
          <w:p w14:paraId="4B73D24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Value</w:t>
            </w:r>
          </w:p>
        </w:tc>
      </w:tr>
      <w:tr w:rsidR="00696FB8" w:rsidRPr="0087300E" w14:paraId="36B61185" w14:textId="77777777" w:rsidTr="00963009">
        <w:tc>
          <w:tcPr>
            <w:tcW w:w="4320" w:type="dxa"/>
          </w:tcPr>
          <w:p w14:paraId="3E2F28D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Discount rate</w:t>
            </w:r>
          </w:p>
        </w:tc>
        <w:tc>
          <w:tcPr>
            <w:tcW w:w="4320" w:type="dxa"/>
          </w:tcPr>
          <w:p w14:paraId="323F052B"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w:t>
            </w:r>
          </w:p>
        </w:tc>
      </w:tr>
      <w:tr w:rsidR="00696FB8" w:rsidRPr="0087300E" w14:paraId="49B43C4E" w14:textId="77777777" w:rsidTr="00963009">
        <w:tc>
          <w:tcPr>
            <w:tcW w:w="4320" w:type="dxa"/>
          </w:tcPr>
          <w:p w14:paraId="01CAFF6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Corporation tax rate</w:t>
            </w:r>
          </w:p>
        </w:tc>
        <w:tc>
          <w:tcPr>
            <w:tcW w:w="4320" w:type="dxa"/>
          </w:tcPr>
          <w:p w14:paraId="63B59F7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25%</w:t>
            </w:r>
          </w:p>
        </w:tc>
      </w:tr>
      <w:tr w:rsidR="00696FB8" w:rsidRPr="0087300E" w14:paraId="58A515A7" w14:textId="77777777" w:rsidTr="00963009">
        <w:tc>
          <w:tcPr>
            <w:tcW w:w="4320" w:type="dxa"/>
          </w:tcPr>
          <w:p w14:paraId="227A482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Capital allowances</w:t>
            </w:r>
          </w:p>
        </w:tc>
        <w:tc>
          <w:tcPr>
            <w:tcW w:w="4320" w:type="dxa"/>
          </w:tcPr>
          <w:p w14:paraId="482F463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20% straight-line per year for 4 years</w:t>
            </w:r>
          </w:p>
        </w:tc>
      </w:tr>
      <w:tr w:rsidR="00696FB8" w:rsidRPr="0087300E" w14:paraId="3CC9E929" w14:textId="77777777" w:rsidTr="00963009">
        <w:tc>
          <w:tcPr>
            <w:tcW w:w="4320" w:type="dxa"/>
          </w:tcPr>
          <w:p w14:paraId="503C7C90"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Funding limit (capital rationing)</w:t>
            </w:r>
          </w:p>
        </w:tc>
        <w:tc>
          <w:tcPr>
            <w:tcW w:w="4320" w:type="dxa"/>
          </w:tcPr>
          <w:p w14:paraId="3B83726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£2,500,000</w:t>
            </w:r>
          </w:p>
        </w:tc>
      </w:tr>
      <w:tr w:rsidR="00696FB8" w:rsidRPr="0087300E" w14:paraId="727A1287" w14:textId="77777777" w:rsidTr="00963009">
        <w:tc>
          <w:tcPr>
            <w:tcW w:w="4320" w:type="dxa"/>
          </w:tcPr>
          <w:p w14:paraId="2902A5C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Projects</w:t>
            </w:r>
          </w:p>
        </w:tc>
        <w:tc>
          <w:tcPr>
            <w:tcW w:w="4320" w:type="dxa"/>
          </w:tcPr>
          <w:p w14:paraId="659DD17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Divisible</w:t>
            </w:r>
          </w:p>
        </w:tc>
      </w:tr>
    </w:tbl>
    <w:p w14:paraId="5025C3BF"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Discount Factors (6%)</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320"/>
        <w:gridCol w:w="4320"/>
      </w:tblGrid>
      <w:tr w:rsidR="00696FB8" w:rsidRPr="0087300E" w14:paraId="1C4073AB" w14:textId="77777777" w:rsidTr="00963009">
        <w:tc>
          <w:tcPr>
            <w:tcW w:w="4320" w:type="dxa"/>
          </w:tcPr>
          <w:p w14:paraId="53D3563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w:t>
            </w:r>
          </w:p>
        </w:tc>
        <w:tc>
          <w:tcPr>
            <w:tcW w:w="4320" w:type="dxa"/>
          </w:tcPr>
          <w:p w14:paraId="6D9F886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Discount factor</w:t>
            </w:r>
          </w:p>
        </w:tc>
      </w:tr>
      <w:tr w:rsidR="00696FB8" w:rsidRPr="0087300E" w14:paraId="768F251A" w14:textId="77777777" w:rsidTr="00963009">
        <w:tc>
          <w:tcPr>
            <w:tcW w:w="4320" w:type="dxa"/>
          </w:tcPr>
          <w:p w14:paraId="6FA22D0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w:t>
            </w:r>
          </w:p>
        </w:tc>
        <w:tc>
          <w:tcPr>
            <w:tcW w:w="4320" w:type="dxa"/>
          </w:tcPr>
          <w:p w14:paraId="3BA6517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0.9434</w:t>
            </w:r>
          </w:p>
        </w:tc>
      </w:tr>
      <w:tr w:rsidR="00696FB8" w:rsidRPr="0087300E" w14:paraId="413EFB73" w14:textId="77777777" w:rsidTr="00963009">
        <w:tc>
          <w:tcPr>
            <w:tcW w:w="4320" w:type="dxa"/>
          </w:tcPr>
          <w:p w14:paraId="6C8F5A7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w:t>
            </w:r>
          </w:p>
        </w:tc>
        <w:tc>
          <w:tcPr>
            <w:tcW w:w="4320" w:type="dxa"/>
          </w:tcPr>
          <w:p w14:paraId="528E898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0.8900</w:t>
            </w:r>
          </w:p>
        </w:tc>
      </w:tr>
      <w:tr w:rsidR="00696FB8" w:rsidRPr="0087300E" w14:paraId="297267DB" w14:textId="77777777" w:rsidTr="00963009">
        <w:tc>
          <w:tcPr>
            <w:tcW w:w="4320" w:type="dxa"/>
          </w:tcPr>
          <w:p w14:paraId="28414AD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w:t>
            </w:r>
          </w:p>
        </w:tc>
        <w:tc>
          <w:tcPr>
            <w:tcW w:w="4320" w:type="dxa"/>
          </w:tcPr>
          <w:p w14:paraId="6BE0C85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0.8396</w:t>
            </w:r>
          </w:p>
        </w:tc>
      </w:tr>
      <w:tr w:rsidR="00696FB8" w:rsidRPr="0087300E" w14:paraId="4AB83483" w14:textId="77777777" w:rsidTr="00963009">
        <w:tc>
          <w:tcPr>
            <w:tcW w:w="4320" w:type="dxa"/>
          </w:tcPr>
          <w:p w14:paraId="2507038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w:t>
            </w:r>
          </w:p>
        </w:tc>
        <w:tc>
          <w:tcPr>
            <w:tcW w:w="4320" w:type="dxa"/>
          </w:tcPr>
          <w:p w14:paraId="191EB95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0.7921</w:t>
            </w:r>
          </w:p>
        </w:tc>
      </w:tr>
    </w:tbl>
    <w:p w14:paraId="17C3687F"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Initial Outlays and Capital Allowances</w:t>
      </w:r>
    </w:p>
    <w:p w14:paraId="3E8CA0FC"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Annual Capital Allowance = Initial Outlay * 20%</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80"/>
        <w:gridCol w:w="2880"/>
        <w:gridCol w:w="2880"/>
      </w:tblGrid>
      <w:tr w:rsidR="00696FB8" w:rsidRPr="0087300E" w14:paraId="5A69B585" w14:textId="77777777" w:rsidTr="00963009">
        <w:tc>
          <w:tcPr>
            <w:tcW w:w="2880" w:type="dxa"/>
          </w:tcPr>
          <w:p w14:paraId="3408BD0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Option</w:t>
            </w:r>
          </w:p>
        </w:tc>
        <w:tc>
          <w:tcPr>
            <w:tcW w:w="2880" w:type="dxa"/>
          </w:tcPr>
          <w:p w14:paraId="4E47F14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Initial outlay (£000)</w:t>
            </w:r>
          </w:p>
        </w:tc>
        <w:tc>
          <w:tcPr>
            <w:tcW w:w="2880" w:type="dxa"/>
          </w:tcPr>
          <w:p w14:paraId="3900452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Annual capital allowance (£000)</w:t>
            </w:r>
          </w:p>
        </w:tc>
      </w:tr>
      <w:tr w:rsidR="00696FB8" w:rsidRPr="0087300E" w14:paraId="664AE2E9" w14:textId="77777777" w:rsidTr="00963009">
        <w:tc>
          <w:tcPr>
            <w:tcW w:w="2880" w:type="dxa"/>
          </w:tcPr>
          <w:p w14:paraId="24658CA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w:t>
            </w:r>
          </w:p>
        </w:tc>
        <w:tc>
          <w:tcPr>
            <w:tcW w:w="2880" w:type="dxa"/>
          </w:tcPr>
          <w:p w14:paraId="66D2AF1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600</w:t>
            </w:r>
          </w:p>
        </w:tc>
        <w:tc>
          <w:tcPr>
            <w:tcW w:w="2880" w:type="dxa"/>
          </w:tcPr>
          <w:p w14:paraId="3B95362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120</w:t>
            </w:r>
          </w:p>
        </w:tc>
      </w:tr>
      <w:tr w:rsidR="00696FB8" w:rsidRPr="0087300E" w14:paraId="6F788512" w14:textId="77777777" w:rsidTr="00963009">
        <w:tc>
          <w:tcPr>
            <w:tcW w:w="2880" w:type="dxa"/>
          </w:tcPr>
          <w:p w14:paraId="61EFEAB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B</w:t>
            </w:r>
          </w:p>
        </w:tc>
        <w:tc>
          <w:tcPr>
            <w:tcW w:w="2880" w:type="dxa"/>
          </w:tcPr>
          <w:p w14:paraId="4C0B97A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1,000</w:t>
            </w:r>
          </w:p>
        </w:tc>
        <w:tc>
          <w:tcPr>
            <w:tcW w:w="2880" w:type="dxa"/>
          </w:tcPr>
          <w:p w14:paraId="73C5346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200</w:t>
            </w:r>
          </w:p>
        </w:tc>
      </w:tr>
      <w:tr w:rsidR="00696FB8" w:rsidRPr="0087300E" w14:paraId="3ED66615" w14:textId="77777777" w:rsidTr="00963009">
        <w:tc>
          <w:tcPr>
            <w:tcW w:w="2880" w:type="dxa"/>
          </w:tcPr>
          <w:p w14:paraId="7D95F72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C</w:t>
            </w:r>
          </w:p>
        </w:tc>
        <w:tc>
          <w:tcPr>
            <w:tcW w:w="2880" w:type="dxa"/>
          </w:tcPr>
          <w:p w14:paraId="7D37777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1,600</w:t>
            </w:r>
          </w:p>
        </w:tc>
        <w:tc>
          <w:tcPr>
            <w:tcW w:w="2880" w:type="dxa"/>
          </w:tcPr>
          <w:p w14:paraId="53F0255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320</w:t>
            </w:r>
          </w:p>
        </w:tc>
      </w:tr>
    </w:tbl>
    <w:p w14:paraId="421712CA"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lastRenderedPageBreak/>
        <w:t>After-tax Cash Flows</w:t>
      </w:r>
    </w:p>
    <w:p w14:paraId="0A389D16"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After-tax cash flow = (Pre-tax cash flow * (1 − Tax)) + (Capital Allowance * Tax)</w:t>
      </w:r>
    </w:p>
    <w:p w14:paraId="38EF1655"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 (Pre-tax cash flow * 0.75) + (Capital Allowance * 0.25)</w:t>
      </w:r>
    </w:p>
    <w:p w14:paraId="47387D57"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A – After-tax cash flow workings</w:t>
      </w:r>
    </w:p>
    <w:p w14:paraId="5D2D50DD"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1: (200 * 0.75) + (120 * 0.25) = 180</w:t>
      </w:r>
    </w:p>
    <w:p w14:paraId="2E841B75"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2: (400 * 0.75) + (120 * 0.25) = 330</w:t>
      </w:r>
    </w:p>
    <w:p w14:paraId="1D1E23EF"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3: (500 * 0.75) + (120 * 0.25) = 405</w:t>
      </w:r>
    </w:p>
    <w:p w14:paraId="285545CB"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4: (700 * 0.75) + (120 * 0.25) = 555</w:t>
      </w:r>
    </w:p>
    <w:p w14:paraId="6A633889"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B – After-tax cash flow workings</w:t>
      </w:r>
    </w:p>
    <w:p w14:paraId="7B7CDE05"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1: (400 * 0.75) + (200 * 0.25) = 350</w:t>
      </w:r>
    </w:p>
    <w:p w14:paraId="005E687F"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2: (450 * 0.75) + (200 * 0.25) = 387.5</w:t>
      </w:r>
    </w:p>
    <w:p w14:paraId="40DB7B39"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3: (720 * 0.75) + (200 * 0.25) = 590</w:t>
      </w:r>
    </w:p>
    <w:p w14:paraId="3F12FE31"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4: (980 * 0.75) + (200 * 0.25) = 785</w:t>
      </w:r>
    </w:p>
    <w:p w14:paraId="56AE86C6"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C – After-tax cash flow workings</w:t>
      </w:r>
    </w:p>
    <w:p w14:paraId="00754621"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1: (450 * 0.75) + (320 * 0.25) = 417.5</w:t>
      </w:r>
    </w:p>
    <w:p w14:paraId="2E101E8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2: (700 * 0.75) + (320 * 0.25) = 605</w:t>
      </w:r>
    </w:p>
    <w:p w14:paraId="3B70FAC4"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3: (900 * 0.75) + (320 * 0.25) = 755</w:t>
      </w:r>
    </w:p>
    <w:p w14:paraId="7850F3A0"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Year 4: (1200 * 0.75) + (320 * 0.25) = 980</w:t>
      </w:r>
    </w:p>
    <w:p w14:paraId="549F2F1E"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Summary table (after-tax cash flows):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28"/>
        <w:gridCol w:w="1728"/>
        <w:gridCol w:w="1728"/>
        <w:gridCol w:w="1728"/>
        <w:gridCol w:w="1728"/>
      </w:tblGrid>
      <w:tr w:rsidR="00696FB8" w:rsidRPr="0087300E" w14:paraId="66FEE452" w14:textId="77777777" w:rsidTr="00963009">
        <w:tc>
          <w:tcPr>
            <w:tcW w:w="1728" w:type="dxa"/>
          </w:tcPr>
          <w:p w14:paraId="79DF849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Option</w:t>
            </w:r>
          </w:p>
        </w:tc>
        <w:tc>
          <w:tcPr>
            <w:tcW w:w="1728" w:type="dxa"/>
          </w:tcPr>
          <w:p w14:paraId="0EEF586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 1</w:t>
            </w:r>
          </w:p>
        </w:tc>
        <w:tc>
          <w:tcPr>
            <w:tcW w:w="1728" w:type="dxa"/>
          </w:tcPr>
          <w:p w14:paraId="0F1F011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 2</w:t>
            </w:r>
          </w:p>
        </w:tc>
        <w:tc>
          <w:tcPr>
            <w:tcW w:w="1728" w:type="dxa"/>
          </w:tcPr>
          <w:p w14:paraId="337AC15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 3</w:t>
            </w:r>
          </w:p>
        </w:tc>
        <w:tc>
          <w:tcPr>
            <w:tcW w:w="1728" w:type="dxa"/>
          </w:tcPr>
          <w:p w14:paraId="0758714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 4</w:t>
            </w:r>
          </w:p>
        </w:tc>
      </w:tr>
      <w:tr w:rsidR="00696FB8" w:rsidRPr="0087300E" w14:paraId="2982AB07" w14:textId="77777777" w:rsidTr="00963009">
        <w:tc>
          <w:tcPr>
            <w:tcW w:w="1728" w:type="dxa"/>
          </w:tcPr>
          <w:p w14:paraId="5B89FFB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w:t>
            </w:r>
          </w:p>
        </w:tc>
        <w:tc>
          <w:tcPr>
            <w:tcW w:w="1728" w:type="dxa"/>
          </w:tcPr>
          <w:p w14:paraId="58241F3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180</w:t>
            </w:r>
          </w:p>
        </w:tc>
        <w:tc>
          <w:tcPr>
            <w:tcW w:w="1728" w:type="dxa"/>
          </w:tcPr>
          <w:p w14:paraId="7CCD837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330</w:t>
            </w:r>
          </w:p>
        </w:tc>
        <w:tc>
          <w:tcPr>
            <w:tcW w:w="1728" w:type="dxa"/>
          </w:tcPr>
          <w:p w14:paraId="7339AFA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405</w:t>
            </w:r>
          </w:p>
        </w:tc>
        <w:tc>
          <w:tcPr>
            <w:tcW w:w="1728" w:type="dxa"/>
          </w:tcPr>
          <w:p w14:paraId="07141BF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555</w:t>
            </w:r>
          </w:p>
        </w:tc>
      </w:tr>
      <w:tr w:rsidR="00696FB8" w:rsidRPr="0087300E" w14:paraId="54D28F0A" w14:textId="77777777" w:rsidTr="00963009">
        <w:tc>
          <w:tcPr>
            <w:tcW w:w="1728" w:type="dxa"/>
          </w:tcPr>
          <w:p w14:paraId="14E7F78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B</w:t>
            </w:r>
          </w:p>
        </w:tc>
        <w:tc>
          <w:tcPr>
            <w:tcW w:w="1728" w:type="dxa"/>
          </w:tcPr>
          <w:p w14:paraId="220F8A3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350</w:t>
            </w:r>
          </w:p>
        </w:tc>
        <w:tc>
          <w:tcPr>
            <w:tcW w:w="1728" w:type="dxa"/>
          </w:tcPr>
          <w:p w14:paraId="49359B0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387.5</w:t>
            </w:r>
          </w:p>
        </w:tc>
        <w:tc>
          <w:tcPr>
            <w:tcW w:w="1728" w:type="dxa"/>
          </w:tcPr>
          <w:p w14:paraId="2889F10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590</w:t>
            </w:r>
          </w:p>
        </w:tc>
        <w:tc>
          <w:tcPr>
            <w:tcW w:w="1728" w:type="dxa"/>
          </w:tcPr>
          <w:p w14:paraId="4EEF7E7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785</w:t>
            </w:r>
          </w:p>
        </w:tc>
      </w:tr>
      <w:tr w:rsidR="00696FB8" w:rsidRPr="0087300E" w14:paraId="6B1C9CB0" w14:textId="77777777" w:rsidTr="00963009">
        <w:tc>
          <w:tcPr>
            <w:tcW w:w="1728" w:type="dxa"/>
          </w:tcPr>
          <w:p w14:paraId="2CC6523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lastRenderedPageBreak/>
              <w:t>C</w:t>
            </w:r>
          </w:p>
        </w:tc>
        <w:tc>
          <w:tcPr>
            <w:tcW w:w="1728" w:type="dxa"/>
          </w:tcPr>
          <w:p w14:paraId="4F4DE5A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417.5</w:t>
            </w:r>
          </w:p>
        </w:tc>
        <w:tc>
          <w:tcPr>
            <w:tcW w:w="1728" w:type="dxa"/>
          </w:tcPr>
          <w:p w14:paraId="7A70C67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605</w:t>
            </w:r>
          </w:p>
        </w:tc>
        <w:tc>
          <w:tcPr>
            <w:tcW w:w="1728" w:type="dxa"/>
          </w:tcPr>
          <w:p w14:paraId="537A619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755</w:t>
            </w:r>
          </w:p>
        </w:tc>
        <w:tc>
          <w:tcPr>
            <w:tcW w:w="1728" w:type="dxa"/>
          </w:tcPr>
          <w:p w14:paraId="18FE33F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980</w:t>
            </w:r>
          </w:p>
        </w:tc>
      </w:tr>
    </w:tbl>
    <w:p w14:paraId="43B405D9"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Net Present Value (NPV) Calculations</w:t>
      </w:r>
    </w:p>
    <w:p w14:paraId="6C511DB0"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PV = After-tax cash flow * Discount factor</w:t>
      </w:r>
    </w:p>
    <w:p w14:paraId="7EECCA31"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NPV = Sum of PVs − Initial outlay</w:t>
      </w:r>
    </w:p>
    <w:p w14:paraId="5D15B14F"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A</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696FB8" w:rsidRPr="0087300E" w14:paraId="650A6A26" w14:textId="77777777" w:rsidTr="00963009">
        <w:tc>
          <w:tcPr>
            <w:tcW w:w="2160" w:type="dxa"/>
          </w:tcPr>
          <w:p w14:paraId="2440191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w:t>
            </w:r>
          </w:p>
        </w:tc>
        <w:tc>
          <w:tcPr>
            <w:tcW w:w="2160" w:type="dxa"/>
          </w:tcPr>
          <w:p w14:paraId="4A10393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After-tax CF (£000)</w:t>
            </w:r>
          </w:p>
        </w:tc>
        <w:tc>
          <w:tcPr>
            <w:tcW w:w="2160" w:type="dxa"/>
          </w:tcPr>
          <w:p w14:paraId="6B6FB7F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DF (6%)</w:t>
            </w:r>
          </w:p>
        </w:tc>
        <w:tc>
          <w:tcPr>
            <w:tcW w:w="2160" w:type="dxa"/>
          </w:tcPr>
          <w:p w14:paraId="37F249E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PV (£000)</w:t>
            </w:r>
          </w:p>
        </w:tc>
      </w:tr>
      <w:tr w:rsidR="00696FB8" w:rsidRPr="0087300E" w14:paraId="324B0003" w14:textId="77777777" w:rsidTr="00963009">
        <w:tc>
          <w:tcPr>
            <w:tcW w:w="2160" w:type="dxa"/>
          </w:tcPr>
          <w:p w14:paraId="5B97335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w:t>
            </w:r>
          </w:p>
        </w:tc>
        <w:tc>
          <w:tcPr>
            <w:tcW w:w="2160" w:type="dxa"/>
          </w:tcPr>
          <w:p w14:paraId="52992390"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180</w:t>
            </w:r>
          </w:p>
        </w:tc>
        <w:tc>
          <w:tcPr>
            <w:tcW w:w="2160" w:type="dxa"/>
          </w:tcPr>
          <w:p w14:paraId="57F6236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0.9434</w:t>
            </w:r>
          </w:p>
        </w:tc>
        <w:tc>
          <w:tcPr>
            <w:tcW w:w="2160" w:type="dxa"/>
          </w:tcPr>
          <w:p w14:paraId="18B9FDD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169.81</w:t>
            </w:r>
          </w:p>
        </w:tc>
      </w:tr>
      <w:tr w:rsidR="00696FB8" w:rsidRPr="0087300E" w14:paraId="1E2231AC" w14:textId="77777777" w:rsidTr="00963009">
        <w:tc>
          <w:tcPr>
            <w:tcW w:w="2160" w:type="dxa"/>
          </w:tcPr>
          <w:p w14:paraId="024C38B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w:t>
            </w:r>
          </w:p>
        </w:tc>
        <w:tc>
          <w:tcPr>
            <w:tcW w:w="2160" w:type="dxa"/>
          </w:tcPr>
          <w:p w14:paraId="4127FB0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330</w:t>
            </w:r>
          </w:p>
        </w:tc>
        <w:tc>
          <w:tcPr>
            <w:tcW w:w="2160" w:type="dxa"/>
          </w:tcPr>
          <w:p w14:paraId="35D6FB4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0.8900</w:t>
            </w:r>
          </w:p>
        </w:tc>
        <w:tc>
          <w:tcPr>
            <w:tcW w:w="2160" w:type="dxa"/>
          </w:tcPr>
          <w:p w14:paraId="13722C8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293.70</w:t>
            </w:r>
          </w:p>
        </w:tc>
      </w:tr>
      <w:tr w:rsidR="00696FB8" w:rsidRPr="0087300E" w14:paraId="61D7FBF1" w14:textId="77777777" w:rsidTr="00963009">
        <w:tc>
          <w:tcPr>
            <w:tcW w:w="2160" w:type="dxa"/>
          </w:tcPr>
          <w:p w14:paraId="20D8610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w:t>
            </w:r>
          </w:p>
        </w:tc>
        <w:tc>
          <w:tcPr>
            <w:tcW w:w="2160" w:type="dxa"/>
          </w:tcPr>
          <w:p w14:paraId="280F700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405</w:t>
            </w:r>
          </w:p>
        </w:tc>
        <w:tc>
          <w:tcPr>
            <w:tcW w:w="2160" w:type="dxa"/>
          </w:tcPr>
          <w:p w14:paraId="7349D3F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0.8396</w:t>
            </w:r>
          </w:p>
        </w:tc>
        <w:tc>
          <w:tcPr>
            <w:tcW w:w="2160" w:type="dxa"/>
          </w:tcPr>
          <w:p w14:paraId="7255D4F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340.04</w:t>
            </w:r>
          </w:p>
        </w:tc>
      </w:tr>
      <w:tr w:rsidR="00696FB8" w:rsidRPr="0087300E" w14:paraId="7257D79A" w14:textId="77777777" w:rsidTr="00963009">
        <w:tc>
          <w:tcPr>
            <w:tcW w:w="2160" w:type="dxa"/>
          </w:tcPr>
          <w:p w14:paraId="35E9424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w:t>
            </w:r>
          </w:p>
        </w:tc>
        <w:tc>
          <w:tcPr>
            <w:tcW w:w="2160" w:type="dxa"/>
          </w:tcPr>
          <w:p w14:paraId="509FEBE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555</w:t>
            </w:r>
          </w:p>
        </w:tc>
        <w:tc>
          <w:tcPr>
            <w:tcW w:w="2160" w:type="dxa"/>
          </w:tcPr>
          <w:p w14:paraId="222964B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0.7921</w:t>
            </w:r>
          </w:p>
        </w:tc>
        <w:tc>
          <w:tcPr>
            <w:tcW w:w="2160" w:type="dxa"/>
          </w:tcPr>
          <w:p w14:paraId="2909A6F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439.62</w:t>
            </w:r>
          </w:p>
        </w:tc>
      </w:tr>
    </w:tbl>
    <w:p w14:paraId="2EF728C8"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Sum of PVs = 1243.17</w:t>
      </w:r>
    </w:p>
    <w:p w14:paraId="5AE4419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NPV = 1243.17 − 600 = 643.17 (≈ 643.17k)</w:t>
      </w:r>
    </w:p>
    <w:p w14:paraId="01B636C0"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B</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696FB8" w:rsidRPr="0087300E" w14:paraId="6D29D7CD" w14:textId="77777777" w:rsidTr="00963009">
        <w:tc>
          <w:tcPr>
            <w:tcW w:w="2160" w:type="dxa"/>
          </w:tcPr>
          <w:p w14:paraId="465F09E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w:t>
            </w:r>
          </w:p>
        </w:tc>
        <w:tc>
          <w:tcPr>
            <w:tcW w:w="2160" w:type="dxa"/>
          </w:tcPr>
          <w:p w14:paraId="470B34C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After-tax CF (£000)</w:t>
            </w:r>
          </w:p>
        </w:tc>
        <w:tc>
          <w:tcPr>
            <w:tcW w:w="2160" w:type="dxa"/>
          </w:tcPr>
          <w:p w14:paraId="13F411E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DF (6%)</w:t>
            </w:r>
          </w:p>
        </w:tc>
        <w:tc>
          <w:tcPr>
            <w:tcW w:w="2160" w:type="dxa"/>
          </w:tcPr>
          <w:p w14:paraId="155EB3F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PV (£000)</w:t>
            </w:r>
          </w:p>
        </w:tc>
      </w:tr>
      <w:tr w:rsidR="00696FB8" w:rsidRPr="0087300E" w14:paraId="5BE2E8BB" w14:textId="77777777" w:rsidTr="00963009">
        <w:tc>
          <w:tcPr>
            <w:tcW w:w="2160" w:type="dxa"/>
          </w:tcPr>
          <w:p w14:paraId="7948B69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w:t>
            </w:r>
          </w:p>
        </w:tc>
        <w:tc>
          <w:tcPr>
            <w:tcW w:w="2160" w:type="dxa"/>
          </w:tcPr>
          <w:p w14:paraId="759217C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350</w:t>
            </w:r>
          </w:p>
        </w:tc>
        <w:tc>
          <w:tcPr>
            <w:tcW w:w="2160" w:type="dxa"/>
          </w:tcPr>
          <w:p w14:paraId="00A6DB1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0.9434</w:t>
            </w:r>
          </w:p>
        </w:tc>
        <w:tc>
          <w:tcPr>
            <w:tcW w:w="2160" w:type="dxa"/>
          </w:tcPr>
          <w:p w14:paraId="1C2F412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330.19</w:t>
            </w:r>
          </w:p>
        </w:tc>
      </w:tr>
      <w:tr w:rsidR="00696FB8" w:rsidRPr="0087300E" w14:paraId="44021DF5" w14:textId="77777777" w:rsidTr="00963009">
        <w:tc>
          <w:tcPr>
            <w:tcW w:w="2160" w:type="dxa"/>
          </w:tcPr>
          <w:p w14:paraId="2B072D6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w:t>
            </w:r>
          </w:p>
        </w:tc>
        <w:tc>
          <w:tcPr>
            <w:tcW w:w="2160" w:type="dxa"/>
          </w:tcPr>
          <w:p w14:paraId="4D66AEE0"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387.5</w:t>
            </w:r>
          </w:p>
        </w:tc>
        <w:tc>
          <w:tcPr>
            <w:tcW w:w="2160" w:type="dxa"/>
          </w:tcPr>
          <w:p w14:paraId="774FA00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0.8900</w:t>
            </w:r>
          </w:p>
        </w:tc>
        <w:tc>
          <w:tcPr>
            <w:tcW w:w="2160" w:type="dxa"/>
          </w:tcPr>
          <w:p w14:paraId="44BA8EB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344.88</w:t>
            </w:r>
          </w:p>
        </w:tc>
      </w:tr>
      <w:tr w:rsidR="00696FB8" w:rsidRPr="0087300E" w14:paraId="008A16F7" w14:textId="77777777" w:rsidTr="00963009">
        <w:tc>
          <w:tcPr>
            <w:tcW w:w="2160" w:type="dxa"/>
          </w:tcPr>
          <w:p w14:paraId="2044162C"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w:t>
            </w:r>
          </w:p>
        </w:tc>
        <w:tc>
          <w:tcPr>
            <w:tcW w:w="2160" w:type="dxa"/>
          </w:tcPr>
          <w:p w14:paraId="6F136B7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590</w:t>
            </w:r>
          </w:p>
        </w:tc>
        <w:tc>
          <w:tcPr>
            <w:tcW w:w="2160" w:type="dxa"/>
          </w:tcPr>
          <w:p w14:paraId="570F0AD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0.8396</w:t>
            </w:r>
          </w:p>
        </w:tc>
        <w:tc>
          <w:tcPr>
            <w:tcW w:w="2160" w:type="dxa"/>
          </w:tcPr>
          <w:p w14:paraId="771F22E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495.36</w:t>
            </w:r>
          </w:p>
        </w:tc>
      </w:tr>
      <w:tr w:rsidR="00696FB8" w:rsidRPr="0087300E" w14:paraId="0D4407DD" w14:textId="77777777" w:rsidTr="00963009">
        <w:tc>
          <w:tcPr>
            <w:tcW w:w="2160" w:type="dxa"/>
          </w:tcPr>
          <w:p w14:paraId="4C9FB3B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w:t>
            </w:r>
          </w:p>
        </w:tc>
        <w:tc>
          <w:tcPr>
            <w:tcW w:w="2160" w:type="dxa"/>
          </w:tcPr>
          <w:p w14:paraId="25BE068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785</w:t>
            </w:r>
          </w:p>
        </w:tc>
        <w:tc>
          <w:tcPr>
            <w:tcW w:w="2160" w:type="dxa"/>
          </w:tcPr>
          <w:p w14:paraId="060CBA2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0.7921</w:t>
            </w:r>
          </w:p>
        </w:tc>
        <w:tc>
          <w:tcPr>
            <w:tcW w:w="2160" w:type="dxa"/>
          </w:tcPr>
          <w:p w14:paraId="314DB5CB"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621.80</w:t>
            </w:r>
          </w:p>
        </w:tc>
      </w:tr>
    </w:tbl>
    <w:p w14:paraId="05EE57F8"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Sum of PVs = 1792.23</w:t>
      </w:r>
    </w:p>
    <w:p w14:paraId="23B17ECA"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NPV = 1792.23 − 1000 = 792.23 (≈ 792.23k)</w:t>
      </w:r>
    </w:p>
    <w:p w14:paraId="6B59DFF9"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C</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696FB8" w:rsidRPr="0087300E" w14:paraId="2BFC0516" w14:textId="77777777" w:rsidTr="00963009">
        <w:tc>
          <w:tcPr>
            <w:tcW w:w="2160" w:type="dxa"/>
          </w:tcPr>
          <w:p w14:paraId="71F2566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Year</w:t>
            </w:r>
          </w:p>
        </w:tc>
        <w:tc>
          <w:tcPr>
            <w:tcW w:w="2160" w:type="dxa"/>
          </w:tcPr>
          <w:p w14:paraId="78EAA74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After-tax CF (£000)</w:t>
            </w:r>
          </w:p>
        </w:tc>
        <w:tc>
          <w:tcPr>
            <w:tcW w:w="2160" w:type="dxa"/>
          </w:tcPr>
          <w:p w14:paraId="5D204F98"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DF (6%)</w:t>
            </w:r>
          </w:p>
        </w:tc>
        <w:tc>
          <w:tcPr>
            <w:tcW w:w="2160" w:type="dxa"/>
          </w:tcPr>
          <w:p w14:paraId="3B9A5D5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PV (£000)</w:t>
            </w:r>
          </w:p>
        </w:tc>
      </w:tr>
      <w:tr w:rsidR="00696FB8" w:rsidRPr="0087300E" w14:paraId="200980DE" w14:textId="77777777" w:rsidTr="00963009">
        <w:tc>
          <w:tcPr>
            <w:tcW w:w="2160" w:type="dxa"/>
          </w:tcPr>
          <w:p w14:paraId="7E5BEA1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lastRenderedPageBreak/>
              <w:t>1</w:t>
            </w:r>
          </w:p>
        </w:tc>
        <w:tc>
          <w:tcPr>
            <w:tcW w:w="2160" w:type="dxa"/>
          </w:tcPr>
          <w:p w14:paraId="2730710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417.5</w:t>
            </w:r>
          </w:p>
        </w:tc>
        <w:tc>
          <w:tcPr>
            <w:tcW w:w="2160" w:type="dxa"/>
          </w:tcPr>
          <w:p w14:paraId="086D49B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0.9434</w:t>
            </w:r>
          </w:p>
        </w:tc>
        <w:tc>
          <w:tcPr>
            <w:tcW w:w="2160" w:type="dxa"/>
          </w:tcPr>
          <w:p w14:paraId="63B1334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393.87</w:t>
            </w:r>
          </w:p>
        </w:tc>
      </w:tr>
      <w:tr w:rsidR="00696FB8" w:rsidRPr="0087300E" w14:paraId="538B499A" w14:textId="77777777" w:rsidTr="00963009">
        <w:tc>
          <w:tcPr>
            <w:tcW w:w="2160" w:type="dxa"/>
          </w:tcPr>
          <w:p w14:paraId="27A1761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w:t>
            </w:r>
          </w:p>
        </w:tc>
        <w:tc>
          <w:tcPr>
            <w:tcW w:w="2160" w:type="dxa"/>
          </w:tcPr>
          <w:p w14:paraId="783C98C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605</w:t>
            </w:r>
          </w:p>
        </w:tc>
        <w:tc>
          <w:tcPr>
            <w:tcW w:w="2160" w:type="dxa"/>
          </w:tcPr>
          <w:p w14:paraId="47BE52F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0.8900</w:t>
            </w:r>
          </w:p>
        </w:tc>
        <w:tc>
          <w:tcPr>
            <w:tcW w:w="2160" w:type="dxa"/>
          </w:tcPr>
          <w:p w14:paraId="6B811EE6"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538.45</w:t>
            </w:r>
          </w:p>
        </w:tc>
      </w:tr>
      <w:tr w:rsidR="00696FB8" w:rsidRPr="0087300E" w14:paraId="03E59A84" w14:textId="77777777" w:rsidTr="00963009">
        <w:tc>
          <w:tcPr>
            <w:tcW w:w="2160" w:type="dxa"/>
          </w:tcPr>
          <w:p w14:paraId="21937017"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3</w:t>
            </w:r>
          </w:p>
        </w:tc>
        <w:tc>
          <w:tcPr>
            <w:tcW w:w="2160" w:type="dxa"/>
          </w:tcPr>
          <w:p w14:paraId="303FDF5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755</w:t>
            </w:r>
          </w:p>
        </w:tc>
        <w:tc>
          <w:tcPr>
            <w:tcW w:w="2160" w:type="dxa"/>
          </w:tcPr>
          <w:p w14:paraId="1D682DA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0.8396</w:t>
            </w:r>
          </w:p>
        </w:tc>
        <w:tc>
          <w:tcPr>
            <w:tcW w:w="2160" w:type="dxa"/>
          </w:tcPr>
          <w:p w14:paraId="40AB3A3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633.90</w:t>
            </w:r>
          </w:p>
        </w:tc>
      </w:tr>
      <w:tr w:rsidR="00696FB8" w:rsidRPr="0087300E" w14:paraId="5ABEF7B4" w14:textId="77777777" w:rsidTr="00963009">
        <w:tc>
          <w:tcPr>
            <w:tcW w:w="2160" w:type="dxa"/>
          </w:tcPr>
          <w:p w14:paraId="1A656C7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4</w:t>
            </w:r>
          </w:p>
        </w:tc>
        <w:tc>
          <w:tcPr>
            <w:tcW w:w="2160" w:type="dxa"/>
          </w:tcPr>
          <w:p w14:paraId="3FFE8850"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980</w:t>
            </w:r>
          </w:p>
        </w:tc>
        <w:tc>
          <w:tcPr>
            <w:tcW w:w="2160" w:type="dxa"/>
          </w:tcPr>
          <w:p w14:paraId="22C04DA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0.7921</w:t>
            </w:r>
          </w:p>
        </w:tc>
        <w:tc>
          <w:tcPr>
            <w:tcW w:w="2160" w:type="dxa"/>
          </w:tcPr>
          <w:p w14:paraId="46703C1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776.26</w:t>
            </w:r>
          </w:p>
        </w:tc>
      </w:tr>
    </w:tbl>
    <w:p w14:paraId="6B31A60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Sum of PVs = 2342.48</w:t>
      </w:r>
    </w:p>
    <w:p w14:paraId="6ABC55FA"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NPV = 2342.48 − 1600 = 742.48 (≈ 742.48k)</w:t>
      </w:r>
    </w:p>
    <w:p w14:paraId="563B516E"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Payback Period Calculations</w:t>
      </w:r>
    </w:p>
    <w:p w14:paraId="3CAFBB3C"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Payback = Years before recovery + (Unrecovered amount / Cash flow in recovery year)</w:t>
      </w:r>
    </w:p>
    <w:p w14:paraId="3CAEB135"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A</w:t>
      </w:r>
    </w:p>
    <w:p w14:paraId="14D111E0"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Cumulative after-tax CF after Year 2 = 510</w:t>
      </w:r>
    </w:p>
    <w:p w14:paraId="33A78D20"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Unrecovered amount = 600 − 510 = 90</w:t>
      </w:r>
    </w:p>
    <w:p w14:paraId="3DDDDACB"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Payback = 2 + (90 / 405) = 2.22 years</w:t>
      </w:r>
    </w:p>
    <w:p w14:paraId="031F733E"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B</w:t>
      </w:r>
    </w:p>
    <w:p w14:paraId="6894CEAA"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Cumulative after-tax CF after Year 2 = 737.5</w:t>
      </w:r>
    </w:p>
    <w:p w14:paraId="2FC931F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Unrecovered amount = 1000 − 737.5 = 262.5</w:t>
      </w:r>
    </w:p>
    <w:p w14:paraId="548FACC5"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Payback = 2 + (262.5 / 590) = 2.44 years</w:t>
      </w:r>
    </w:p>
    <w:p w14:paraId="26E3F70E"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Option C</w:t>
      </w:r>
    </w:p>
    <w:p w14:paraId="1289A6BC"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Cumulative after-tax CF after Year 2 = 1022.5</w:t>
      </w:r>
    </w:p>
    <w:p w14:paraId="45CE3B2F"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Unrecovered amount = 1600 − 1022.5 = 577.5</w:t>
      </w:r>
    </w:p>
    <w:p w14:paraId="13C15F75"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Payback = 2 + (577.5 / 755) = 2.76 years</w:t>
      </w:r>
    </w:p>
    <w:p w14:paraId="7C77B5C3"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Internal Rate of Return (IRR) – Option B (Interpolation)</w:t>
      </w:r>
    </w:p>
    <w:p w14:paraId="1784E4C4"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IRR = LDR + [NPV(LDR) / (NPV(LDR) − NPV(HDR))] * (HDR − LDR)</w:t>
      </w:r>
    </w:p>
    <w:p w14:paraId="6048EE78"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At 30%: NPV = 41.92 (£000)</w:t>
      </w:r>
    </w:p>
    <w:p w14:paraId="68F1656E"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lastRenderedPageBreak/>
        <w:t>At 35%: NPV = -51.98 (£000)</w:t>
      </w:r>
    </w:p>
    <w:p w14:paraId="0FCD2620"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IRR = 0.30 + [41.92 / (41.92 − -51.98)] * (0.35 − 0.30)</w:t>
      </w:r>
    </w:p>
    <w:p w14:paraId="4C3C4216"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 32.23% (≈ 32.14%)</w:t>
      </w:r>
    </w:p>
    <w:p w14:paraId="3EC02321" w14:textId="77777777" w:rsidR="00696FB8" w:rsidRPr="0087300E" w:rsidRDefault="00696FB8" w:rsidP="00696FB8">
      <w:pPr>
        <w:spacing w:line="360" w:lineRule="auto"/>
        <w:jc w:val="both"/>
        <w:rPr>
          <w:rFonts w:ascii="Times New Roman" w:hAnsi="Times New Roman" w:cs="Times New Roman"/>
          <w:b/>
          <w:bCs/>
        </w:rPr>
      </w:pPr>
      <w:r w:rsidRPr="0087300E">
        <w:rPr>
          <w:rFonts w:ascii="Times New Roman" w:hAnsi="Times New Roman" w:cs="Times New Roman"/>
          <w:b/>
          <w:bCs/>
        </w:rPr>
        <w:t>Profitability Index (PI) and Capital Rationing</w:t>
      </w:r>
    </w:p>
    <w:p w14:paraId="6C107A5C"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Formula: PI = PV of inflows / Initial outlay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0"/>
        <w:gridCol w:w="2160"/>
        <w:gridCol w:w="2160"/>
        <w:gridCol w:w="2160"/>
      </w:tblGrid>
      <w:tr w:rsidR="00696FB8" w:rsidRPr="0087300E" w14:paraId="56F98B0B" w14:textId="77777777" w:rsidTr="00963009">
        <w:tc>
          <w:tcPr>
            <w:tcW w:w="2160" w:type="dxa"/>
          </w:tcPr>
          <w:p w14:paraId="4F32FF4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Option</w:t>
            </w:r>
          </w:p>
        </w:tc>
        <w:tc>
          <w:tcPr>
            <w:tcW w:w="2160" w:type="dxa"/>
          </w:tcPr>
          <w:p w14:paraId="72790BC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PV of inflows (£000)</w:t>
            </w:r>
          </w:p>
        </w:tc>
        <w:tc>
          <w:tcPr>
            <w:tcW w:w="2160" w:type="dxa"/>
          </w:tcPr>
          <w:p w14:paraId="28C4E2B3"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Initial outlay (£000)</w:t>
            </w:r>
          </w:p>
        </w:tc>
        <w:tc>
          <w:tcPr>
            <w:tcW w:w="2160" w:type="dxa"/>
          </w:tcPr>
          <w:p w14:paraId="2439C2F9"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PI</w:t>
            </w:r>
          </w:p>
        </w:tc>
      </w:tr>
      <w:tr w:rsidR="00696FB8" w:rsidRPr="0087300E" w14:paraId="602ACBE4" w14:textId="77777777" w:rsidTr="00963009">
        <w:tc>
          <w:tcPr>
            <w:tcW w:w="2160" w:type="dxa"/>
          </w:tcPr>
          <w:p w14:paraId="3E5814D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A</w:t>
            </w:r>
          </w:p>
        </w:tc>
        <w:tc>
          <w:tcPr>
            <w:tcW w:w="2160" w:type="dxa"/>
          </w:tcPr>
          <w:p w14:paraId="54254364"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1243.17</w:t>
            </w:r>
          </w:p>
        </w:tc>
        <w:tc>
          <w:tcPr>
            <w:tcW w:w="2160" w:type="dxa"/>
          </w:tcPr>
          <w:p w14:paraId="34973CC1"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600</w:t>
            </w:r>
          </w:p>
        </w:tc>
        <w:tc>
          <w:tcPr>
            <w:tcW w:w="2160" w:type="dxa"/>
          </w:tcPr>
          <w:p w14:paraId="29028165"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2.07</w:t>
            </w:r>
          </w:p>
        </w:tc>
      </w:tr>
      <w:tr w:rsidR="00696FB8" w:rsidRPr="0087300E" w14:paraId="4683A6F0" w14:textId="77777777" w:rsidTr="00963009">
        <w:tc>
          <w:tcPr>
            <w:tcW w:w="2160" w:type="dxa"/>
          </w:tcPr>
          <w:p w14:paraId="64DCDF9D"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B</w:t>
            </w:r>
          </w:p>
        </w:tc>
        <w:tc>
          <w:tcPr>
            <w:tcW w:w="2160" w:type="dxa"/>
          </w:tcPr>
          <w:p w14:paraId="087B788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1792.23</w:t>
            </w:r>
          </w:p>
        </w:tc>
        <w:tc>
          <w:tcPr>
            <w:tcW w:w="2160" w:type="dxa"/>
          </w:tcPr>
          <w:p w14:paraId="03CCB65B"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1,000</w:t>
            </w:r>
          </w:p>
        </w:tc>
        <w:tc>
          <w:tcPr>
            <w:tcW w:w="2160" w:type="dxa"/>
          </w:tcPr>
          <w:p w14:paraId="5F7C8192"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1.79</w:t>
            </w:r>
          </w:p>
        </w:tc>
      </w:tr>
      <w:tr w:rsidR="00696FB8" w:rsidRPr="0087300E" w14:paraId="7CF1547F" w14:textId="77777777" w:rsidTr="00963009">
        <w:tc>
          <w:tcPr>
            <w:tcW w:w="2160" w:type="dxa"/>
          </w:tcPr>
          <w:p w14:paraId="43A82A6A"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C</w:t>
            </w:r>
          </w:p>
        </w:tc>
        <w:tc>
          <w:tcPr>
            <w:tcW w:w="2160" w:type="dxa"/>
          </w:tcPr>
          <w:p w14:paraId="25700D8F"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2342.48</w:t>
            </w:r>
          </w:p>
        </w:tc>
        <w:tc>
          <w:tcPr>
            <w:tcW w:w="2160" w:type="dxa"/>
          </w:tcPr>
          <w:p w14:paraId="56C4F3C0"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1,600</w:t>
            </w:r>
          </w:p>
        </w:tc>
        <w:tc>
          <w:tcPr>
            <w:tcW w:w="2160" w:type="dxa"/>
          </w:tcPr>
          <w:p w14:paraId="5CC7ED8E" w14:textId="77777777" w:rsidR="00696FB8" w:rsidRPr="0087300E" w:rsidRDefault="00696FB8" w:rsidP="00963009">
            <w:pPr>
              <w:spacing w:line="360" w:lineRule="auto"/>
              <w:jc w:val="both"/>
              <w:rPr>
                <w:rFonts w:ascii="Times New Roman" w:hAnsi="Times New Roman" w:cs="Times New Roman"/>
              </w:rPr>
            </w:pPr>
            <w:r w:rsidRPr="0087300E">
              <w:rPr>
                <w:rFonts w:ascii="Times New Roman" w:hAnsi="Times New Roman" w:cs="Times New Roman"/>
              </w:rPr>
              <w:t>1.46</w:t>
            </w:r>
          </w:p>
        </w:tc>
      </w:tr>
    </w:tbl>
    <w:p w14:paraId="51438C43"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Funding limit = 2,500 (£000). Allocation: A = 600 (100%), B = 1,000 (100%), remaining = 900 invested in C.</w:t>
      </w:r>
    </w:p>
    <w:p w14:paraId="2768D78F"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C percentage= 900 / 1,600 = 0.5625 = 56.25%</w:t>
      </w:r>
    </w:p>
    <w:p w14:paraId="7C224E08"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Total NPV under optimal allocation:</w:t>
      </w:r>
    </w:p>
    <w:p w14:paraId="4B1874E1" w14:textId="77777777" w:rsidR="00696FB8" w:rsidRPr="0087300E" w:rsidRDefault="00696FB8" w:rsidP="00696FB8">
      <w:pPr>
        <w:spacing w:line="360" w:lineRule="auto"/>
        <w:jc w:val="both"/>
        <w:rPr>
          <w:rFonts w:ascii="Times New Roman" w:hAnsi="Times New Roman" w:cs="Times New Roman"/>
        </w:rPr>
      </w:pPr>
      <w:r w:rsidRPr="0087300E">
        <w:rPr>
          <w:rFonts w:ascii="Times New Roman" w:hAnsi="Times New Roman" w:cs="Times New Roman"/>
        </w:rPr>
        <w:t>= 643.17 + 792.23 + 0.5625 * 742.48 = 1853.04 (£000) (≈ 1,853.04k)</w:t>
      </w:r>
    </w:p>
    <w:p w14:paraId="74AB00F3" w14:textId="77777777" w:rsidR="0087300E" w:rsidRDefault="0087300E" w:rsidP="00EE4DB6">
      <w:pPr>
        <w:spacing w:line="360" w:lineRule="auto"/>
        <w:jc w:val="both"/>
        <w:rPr>
          <w:rFonts w:ascii="Times New Roman" w:hAnsi="Times New Roman" w:cs="Times New Roman"/>
        </w:rPr>
      </w:pPr>
    </w:p>
    <w:p w14:paraId="2834C356" w14:textId="77777777" w:rsidR="0087300E" w:rsidRDefault="0087300E" w:rsidP="00EE4DB6">
      <w:pPr>
        <w:spacing w:line="360" w:lineRule="auto"/>
        <w:jc w:val="both"/>
        <w:rPr>
          <w:rFonts w:ascii="Times New Roman" w:hAnsi="Times New Roman" w:cs="Times New Roman"/>
        </w:rPr>
      </w:pPr>
    </w:p>
    <w:p w14:paraId="444C844C" w14:textId="77777777" w:rsidR="0087300E" w:rsidRDefault="0087300E" w:rsidP="00EE4DB6">
      <w:pPr>
        <w:spacing w:line="360" w:lineRule="auto"/>
        <w:jc w:val="both"/>
        <w:rPr>
          <w:rFonts w:ascii="Times New Roman" w:hAnsi="Times New Roman" w:cs="Times New Roman"/>
        </w:rPr>
      </w:pPr>
    </w:p>
    <w:p w14:paraId="25BE37BC" w14:textId="77777777" w:rsidR="0087300E" w:rsidRDefault="0087300E" w:rsidP="00EE4DB6">
      <w:pPr>
        <w:spacing w:line="360" w:lineRule="auto"/>
        <w:jc w:val="both"/>
        <w:rPr>
          <w:rFonts w:ascii="Times New Roman" w:hAnsi="Times New Roman" w:cs="Times New Roman"/>
        </w:rPr>
      </w:pPr>
    </w:p>
    <w:p w14:paraId="28479F1B" w14:textId="77777777" w:rsidR="0087300E" w:rsidRDefault="0087300E" w:rsidP="00EE4DB6">
      <w:pPr>
        <w:spacing w:line="360" w:lineRule="auto"/>
        <w:jc w:val="both"/>
        <w:rPr>
          <w:rFonts w:ascii="Times New Roman" w:hAnsi="Times New Roman" w:cs="Times New Roman"/>
        </w:rPr>
      </w:pPr>
    </w:p>
    <w:p w14:paraId="1233AD82" w14:textId="77777777" w:rsidR="0087300E" w:rsidRDefault="0087300E" w:rsidP="00EE4DB6">
      <w:pPr>
        <w:spacing w:line="360" w:lineRule="auto"/>
        <w:jc w:val="both"/>
        <w:rPr>
          <w:rFonts w:ascii="Times New Roman" w:hAnsi="Times New Roman" w:cs="Times New Roman"/>
        </w:rPr>
      </w:pPr>
    </w:p>
    <w:p w14:paraId="422BE83A" w14:textId="77777777" w:rsidR="0087300E" w:rsidRDefault="0087300E" w:rsidP="00EE4DB6">
      <w:pPr>
        <w:spacing w:line="360" w:lineRule="auto"/>
        <w:jc w:val="both"/>
        <w:rPr>
          <w:rFonts w:ascii="Times New Roman" w:hAnsi="Times New Roman" w:cs="Times New Roman"/>
        </w:rPr>
      </w:pPr>
    </w:p>
    <w:p w14:paraId="185787D1" w14:textId="77777777" w:rsidR="0087300E" w:rsidRDefault="0087300E" w:rsidP="00EE4DB6">
      <w:pPr>
        <w:spacing w:line="360" w:lineRule="auto"/>
        <w:jc w:val="both"/>
        <w:rPr>
          <w:rFonts w:ascii="Times New Roman" w:hAnsi="Times New Roman" w:cs="Times New Roman"/>
        </w:rPr>
      </w:pPr>
    </w:p>
    <w:p w14:paraId="76253DA2" w14:textId="77777777" w:rsidR="0087300E" w:rsidRDefault="0087300E" w:rsidP="00EE4DB6">
      <w:pPr>
        <w:spacing w:line="360" w:lineRule="auto"/>
        <w:jc w:val="both"/>
        <w:rPr>
          <w:rFonts w:ascii="Times New Roman" w:hAnsi="Times New Roman" w:cs="Times New Roman"/>
        </w:rPr>
      </w:pPr>
    </w:p>
    <w:p w14:paraId="410581E4" w14:textId="77777777" w:rsidR="0087300E" w:rsidRDefault="0087300E" w:rsidP="00EE4DB6">
      <w:pPr>
        <w:spacing w:line="360" w:lineRule="auto"/>
        <w:jc w:val="both"/>
        <w:rPr>
          <w:rFonts w:ascii="Times New Roman" w:hAnsi="Times New Roman" w:cs="Times New Roman"/>
        </w:rPr>
      </w:pPr>
    </w:p>
    <w:p w14:paraId="50262887" w14:textId="77777777" w:rsidR="0087300E" w:rsidRDefault="0087300E" w:rsidP="00EE4DB6">
      <w:pPr>
        <w:spacing w:line="360" w:lineRule="auto"/>
        <w:jc w:val="both"/>
        <w:rPr>
          <w:rFonts w:ascii="Times New Roman" w:hAnsi="Times New Roman" w:cs="Times New Roman"/>
        </w:rPr>
      </w:pPr>
    </w:p>
    <w:p w14:paraId="52C1E397" w14:textId="77777777" w:rsidR="0087300E" w:rsidRDefault="0087300E" w:rsidP="00EE4DB6">
      <w:pPr>
        <w:spacing w:line="360" w:lineRule="auto"/>
        <w:jc w:val="both"/>
        <w:rPr>
          <w:rFonts w:ascii="Times New Roman" w:hAnsi="Times New Roman" w:cs="Times New Roman"/>
        </w:rPr>
      </w:pPr>
    </w:p>
    <w:sectPr w:rsidR="0087300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A6DA7"/>
    <w:multiLevelType w:val="hybridMultilevel"/>
    <w:tmpl w:val="F7286D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D62401"/>
    <w:multiLevelType w:val="hybridMultilevel"/>
    <w:tmpl w:val="C3BEC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5D46BD"/>
    <w:multiLevelType w:val="hybridMultilevel"/>
    <w:tmpl w:val="28C215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C62659"/>
    <w:multiLevelType w:val="hybridMultilevel"/>
    <w:tmpl w:val="B6F68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81799C"/>
    <w:multiLevelType w:val="hybridMultilevel"/>
    <w:tmpl w:val="3C32B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DCD28EE"/>
    <w:multiLevelType w:val="hybridMultilevel"/>
    <w:tmpl w:val="D2AE0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80C3723"/>
    <w:multiLevelType w:val="hybridMultilevel"/>
    <w:tmpl w:val="F6B62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A609D1"/>
    <w:multiLevelType w:val="hybridMultilevel"/>
    <w:tmpl w:val="B358B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EDE47E1"/>
    <w:multiLevelType w:val="hybridMultilevel"/>
    <w:tmpl w:val="73921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77592148">
    <w:abstractNumId w:val="5"/>
  </w:num>
  <w:num w:numId="2" w16cid:durableId="2049403814">
    <w:abstractNumId w:val="0"/>
  </w:num>
  <w:num w:numId="3" w16cid:durableId="1821799933">
    <w:abstractNumId w:val="4"/>
  </w:num>
  <w:num w:numId="4" w16cid:durableId="1268539747">
    <w:abstractNumId w:val="7"/>
  </w:num>
  <w:num w:numId="5" w16cid:durableId="249701769">
    <w:abstractNumId w:val="2"/>
  </w:num>
  <w:num w:numId="6" w16cid:durableId="164248441">
    <w:abstractNumId w:val="6"/>
  </w:num>
  <w:num w:numId="7" w16cid:durableId="710036108">
    <w:abstractNumId w:val="1"/>
  </w:num>
  <w:num w:numId="8" w16cid:durableId="144276095">
    <w:abstractNumId w:val="3"/>
  </w:num>
  <w:num w:numId="9" w16cid:durableId="131710117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251"/>
    <w:rsid w:val="0001633D"/>
    <w:rsid w:val="000D2E06"/>
    <w:rsid w:val="00166E4D"/>
    <w:rsid w:val="00242A3C"/>
    <w:rsid w:val="002D55CB"/>
    <w:rsid w:val="004131FC"/>
    <w:rsid w:val="004731BF"/>
    <w:rsid w:val="004A7964"/>
    <w:rsid w:val="00527251"/>
    <w:rsid w:val="0056595B"/>
    <w:rsid w:val="00583608"/>
    <w:rsid w:val="00596431"/>
    <w:rsid w:val="005A27AF"/>
    <w:rsid w:val="005C5CD7"/>
    <w:rsid w:val="005F76A7"/>
    <w:rsid w:val="00640F1E"/>
    <w:rsid w:val="006446C9"/>
    <w:rsid w:val="006466CC"/>
    <w:rsid w:val="00696FB8"/>
    <w:rsid w:val="007F1B76"/>
    <w:rsid w:val="00815B72"/>
    <w:rsid w:val="008407EE"/>
    <w:rsid w:val="0087300E"/>
    <w:rsid w:val="0089589B"/>
    <w:rsid w:val="008B1961"/>
    <w:rsid w:val="00973B08"/>
    <w:rsid w:val="009C2564"/>
    <w:rsid w:val="00AB6B98"/>
    <w:rsid w:val="00AF15E5"/>
    <w:rsid w:val="00AF7E97"/>
    <w:rsid w:val="00B052FE"/>
    <w:rsid w:val="00B230B5"/>
    <w:rsid w:val="00BE6239"/>
    <w:rsid w:val="00BE65DB"/>
    <w:rsid w:val="00C65B8A"/>
    <w:rsid w:val="00C8388A"/>
    <w:rsid w:val="00D50C34"/>
    <w:rsid w:val="00D9771E"/>
    <w:rsid w:val="00DA5CEF"/>
    <w:rsid w:val="00E942D1"/>
    <w:rsid w:val="00E97CCA"/>
    <w:rsid w:val="00EE0AE1"/>
    <w:rsid w:val="00EE4DB6"/>
    <w:rsid w:val="00F41BCA"/>
    <w:rsid w:val="00FB6E39"/>
    <w:rsid w:val="00FD0FFD"/>
    <w:rsid w:val="00FE15E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3CF58"/>
  <w15:chartTrackingRefBased/>
  <w15:docId w15:val="{97EF29D9-A6E4-4B7B-B636-49C8934F7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B72"/>
    <w:pPr>
      <w:keepNext/>
      <w:keepLines/>
      <w:spacing w:before="360" w:after="80"/>
      <w:outlineLvl w:val="0"/>
    </w:pPr>
    <w:rPr>
      <w:rFonts w:ascii="Times New Roman" w:eastAsiaTheme="majorEastAsia" w:hAnsi="Times New Roman"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15B72"/>
    <w:pPr>
      <w:keepNext/>
      <w:keepLines/>
      <w:spacing w:before="160" w:after="80"/>
      <w:outlineLvl w:val="1"/>
    </w:pPr>
    <w:rPr>
      <w:rFonts w:ascii="Times New Roman" w:eastAsiaTheme="majorEastAsia" w:hAnsi="Times New Roman"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15B72"/>
    <w:pPr>
      <w:keepNext/>
      <w:keepLines/>
      <w:spacing w:before="160" w:after="80"/>
      <w:outlineLvl w:val="2"/>
    </w:pPr>
    <w:rPr>
      <w:rFonts w:ascii="Times New Roman" w:eastAsiaTheme="majorEastAsia" w:hAnsi="Times New Roman"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2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2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2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2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2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2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5B72"/>
    <w:rPr>
      <w:rFonts w:ascii="Times New Roman" w:eastAsiaTheme="majorEastAsia" w:hAnsi="Times New Roman" w:cstheme="majorBidi"/>
      <w:color w:val="0F4761" w:themeColor="accent1" w:themeShade="BF"/>
      <w:sz w:val="40"/>
      <w:szCs w:val="40"/>
    </w:rPr>
  </w:style>
  <w:style w:type="character" w:customStyle="1" w:styleId="Heading2Char">
    <w:name w:val="Heading 2 Char"/>
    <w:basedOn w:val="DefaultParagraphFont"/>
    <w:link w:val="Heading2"/>
    <w:uiPriority w:val="9"/>
    <w:rsid w:val="00815B72"/>
    <w:rPr>
      <w:rFonts w:ascii="Times New Roman" w:eastAsiaTheme="majorEastAsia" w:hAnsi="Times New Roman" w:cstheme="majorBidi"/>
      <w:color w:val="0F4761" w:themeColor="accent1" w:themeShade="BF"/>
      <w:sz w:val="32"/>
      <w:szCs w:val="32"/>
    </w:rPr>
  </w:style>
  <w:style w:type="character" w:customStyle="1" w:styleId="Heading3Char">
    <w:name w:val="Heading 3 Char"/>
    <w:basedOn w:val="DefaultParagraphFont"/>
    <w:link w:val="Heading3"/>
    <w:uiPriority w:val="9"/>
    <w:rsid w:val="00815B72"/>
    <w:rPr>
      <w:rFonts w:ascii="Times New Roman" w:eastAsiaTheme="majorEastAsia" w:hAnsi="Times New Roman"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2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2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2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2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2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251"/>
    <w:rPr>
      <w:rFonts w:eastAsiaTheme="majorEastAsia" w:cstheme="majorBidi"/>
      <w:color w:val="272727" w:themeColor="text1" w:themeTint="D8"/>
    </w:rPr>
  </w:style>
  <w:style w:type="paragraph" w:styleId="Title">
    <w:name w:val="Title"/>
    <w:basedOn w:val="Normal"/>
    <w:next w:val="Normal"/>
    <w:link w:val="TitleChar"/>
    <w:uiPriority w:val="10"/>
    <w:qFormat/>
    <w:rsid w:val="005272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2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2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2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251"/>
    <w:pPr>
      <w:spacing w:before="160"/>
      <w:jc w:val="center"/>
    </w:pPr>
    <w:rPr>
      <w:i/>
      <w:iCs/>
      <w:color w:val="404040" w:themeColor="text1" w:themeTint="BF"/>
    </w:rPr>
  </w:style>
  <w:style w:type="character" w:customStyle="1" w:styleId="QuoteChar">
    <w:name w:val="Quote Char"/>
    <w:basedOn w:val="DefaultParagraphFont"/>
    <w:link w:val="Quote"/>
    <w:uiPriority w:val="29"/>
    <w:rsid w:val="00527251"/>
    <w:rPr>
      <w:i/>
      <w:iCs/>
      <w:color w:val="404040" w:themeColor="text1" w:themeTint="BF"/>
    </w:rPr>
  </w:style>
  <w:style w:type="paragraph" w:styleId="ListParagraph">
    <w:name w:val="List Paragraph"/>
    <w:basedOn w:val="Normal"/>
    <w:uiPriority w:val="34"/>
    <w:qFormat/>
    <w:rsid w:val="00527251"/>
    <w:pPr>
      <w:ind w:left="720"/>
      <w:contextualSpacing/>
    </w:pPr>
  </w:style>
  <w:style w:type="character" w:styleId="IntenseEmphasis">
    <w:name w:val="Intense Emphasis"/>
    <w:basedOn w:val="DefaultParagraphFont"/>
    <w:uiPriority w:val="21"/>
    <w:qFormat/>
    <w:rsid w:val="00527251"/>
    <w:rPr>
      <w:i/>
      <w:iCs/>
      <w:color w:val="0F4761" w:themeColor="accent1" w:themeShade="BF"/>
    </w:rPr>
  </w:style>
  <w:style w:type="paragraph" w:styleId="IntenseQuote">
    <w:name w:val="Intense Quote"/>
    <w:basedOn w:val="Normal"/>
    <w:next w:val="Normal"/>
    <w:link w:val="IntenseQuoteChar"/>
    <w:uiPriority w:val="30"/>
    <w:qFormat/>
    <w:rsid w:val="005272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251"/>
    <w:rPr>
      <w:i/>
      <w:iCs/>
      <w:color w:val="0F4761" w:themeColor="accent1" w:themeShade="BF"/>
    </w:rPr>
  </w:style>
  <w:style w:type="character" w:styleId="IntenseReference">
    <w:name w:val="Intense Reference"/>
    <w:basedOn w:val="DefaultParagraphFont"/>
    <w:uiPriority w:val="32"/>
    <w:qFormat/>
    <w:rsid w:val="00527251"/>
    <w:rPr>
      <w:b/>
      <w:bCs/>
      <w:smallCaps/>
      <w:color w:val="0F4761" w:themeColor="accent1" w:themeShade="BF"/>
      <w:spacing w:val="5"/>
    </w:rPr>
  </w:style>
  <w:style w:type="paragraph" w:styleId="TOCHeading">
    <w:name w:val="TOC Heading"/>
    <w:basedOn w:val="Heading1"/>
    <w:next w:val="Normal"/>
    <w:uiPriority w:val="39"/>
    <w:unhideWhenUsed/>
    <w:qFormat/>
    <w:rsid w:val="00AB6B98"/>
    <w:pPr>
      <w:spacing w:before="240" w:after="0" w:line="259" w:lineRule="auto"/>
      <w:outlineLvl w:val="9"/>
    </w:pPr>
    <w:rPr>
      <w:rFonts w:asciiTheme="majorHAnsi" w:hAnsiTheme="majorHAnsi"/>
      <w:kern w:val="0"/>
      <w:sz w:val="32"/>
      <w:szCs w:val="32"/>
      <w14:ligatures w14:val="none"/>
    </w:rPr>
  </w:style>
  <w:style w:type="paragraph" w:styleId="TOC1">
    <w:name w:val="toc 1"/>
    <w:basedOn w:val="Normal"/>
    <w:next w:val="Normal"/>
    <w:autoRedefine/>
    <w:uiPriority w:val="39"/>
    <w:unhideWhenUsed/>
    <w:rsid w:val="00AB6B98"/>
    <w:pPr>
      <w:spacing w:after="100"/>
    </w:pPr>
  </w:style>
  <w:style w:type="paragraph" w:styleId="TOC2">
    <w:name w:val="toc 2"/>
    <w:basedOn w:val="Normal"/>
    <w:next w:val="Normal"/>
    <w:autoRedefine/>
    <w:uiPriority w:val="39"/>
    <w:unhideWhenUsed/>
    <w:rsid w:val="00AB6B98"/>
    <w:pPr>
      <w:spacing w:after="100"/>
      <w:ind w:left="240"/>
    </w:pPr>
  </w:style>
  <w:style w:type="paragraph" w:styleId="TOC3">
    <w:name w:val="toc 3"/>
    <w:basedOn w:val="Normal"/>
    <w:next w:val="Normal"/>
    <w:autoRedefine/>
    <w:uiPriority w:val="39"/>
    <w:unhideWhenUsed/>
    <w:rsid w:val="00AB6B98"/>
    <w:pPr>
      <w:spacing w:after="100"/>
      <w:ind w:left="480"/>
    </w:pPr>
  </w:style>
  <w:style w:type="character" w:styleId="Hyperlink">
    <w:name w:val="Hyperlink"/>
    <w:basedOn w:val="DefaultParagraphFont"/>
    <w:uiPriority w:val="99"/>
    <w:unhideWhenUsed/>
    <w:rsid w:val="00AB6B9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corporatefinanceinstitute.com/resources/accounting/days-payable-outstanding/" TargetMode="External"/><Relationship Id="rId18" Type="http://schemas.openxmlformats.org/officeDocument/2006/relationships/hyperlink" Target="https://www.investopedia.com/terms/p/paybackperiod.asp" TargetMode="External"/><Relationship Id="rId3" Type="http://schemas.openxmlformats.org/officeDocument/2006/relationships/customXml" Target="../customXml/item3.xml"/><Relationship Id="rId21" Type="http://schemas.openxmlformats.org/officeDocument/2006/relationships/hyperlink" Target="https://www.investopedia.com/ask/answers/011215/what-difference-between-roce-and-roe.asp" TargetMode="External"/><Relationship Id="rId7" Type="http://schemas.openxmlformats.org/officeDocument/2006/relationships/settings" Target="settings.xml"/><Relationship Id="rId12" Type="http://schemas.openxmlformats.org/officeDocument/2006/relationships/hyperlink" Target="https://corporatefinanceinstitute.com/resources/valuation/annual-recurring-revenue-arr/" TargetMode="External"/><Relationship Id="rId17" Type="http://schemas.openxmlformats.org/officeDocument/2006/relationships/hyperlink" Target="https://imarticus.org/blog/capital-budgeting-method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investopedia.com/terms/o/operatingmargin.asp" TargetMode="External"/><Relationship Id="rId20" Type="http://schemas.openxmlformats.org/officeDocument/2006/relationships/hyperlink" Target="https://doi.org/10.1016/j.worlddev.2017.04.01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rporatefinanceinstitute.com/resources/valuation/npv-vs-irr/"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investopedia.com/terms/r/returnonequity.asp" TargetMode="External"/><Relationship Id="rId23" Type="http://schemas.openxmlformats.org/officeDocument/2006/relationships/hyperlink" Target="https://corporatefinanceinstitute.com/resources/valuation/earnings-per-share-eps-formula/" TargetMode="External"/><Relationship Id="rId10" Type="http://schemas.openxmlformats.org/officeDocument/2006/relationships/hyperlink" Target="https://corporatefinanceinstitute.com/resources/accounting/liquidity-ratio/" TargetMode="External"/><Relationship Id="rId19" Type="http://schemas.openxmlformats.org/officeDocument/2006/relationships/hyperlink" Target="https://www.investopedia.com/terms/g/gearingratio.asp" TargetMode="External"/><Relationship Id="rId4" Type="http://schemas.openxmlformats.org/officeDocument/2006/relationships/customXml" Target="../customXml/item4.xml"/><Relationship Id="rId9" Type="http://schemas.openxmlformats.org/officeDocument/2006/relationships/hyperlink" Target="https://www.investopedia.com/terms/g/gross_profit_margin.asp" TargetMode="External"/><Relationship Id="rId14" Type="http://schemas.openxmlformats.org/officeDocument/2006/relationships/hyperlink" Target="https://doi.org/10.1111/j.1467-8683.2010.00801.x" TargetMode="External"/><Relationship Id="rId22" Type="http://schemas.openxmlformats.org/officeDocument/2006/relationships/hyperlink" Target="https://www.investopedia.com/terms/n/net_margin.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B6606FBCDF8B64C9AFCE91C6DA3B14F" ma:contentTypeVersion="4" ma:contentTypeDescription="Create a new document." ma:contentTypeScope="" ma:versionID="1f54f60904cbb65c31d83079c0b36c43">
  <xsd:schema xmlns:xsd="http://www.w3.org/2001/XMLSchema" xmlns:xs="http://www.w3.org/2001/XMLSchema" xmlns:p="http://schemas.microsoft.com/office/2006/metadata/properties" xmlns:ns3="e9e5a896-d793-4bb8-8f2d-bbf01f995aa8" targetNamespace="http://schemas.microsoft.com/office/2006/metadata/properties" ma:root="true" ma:fieldsID="0f5997c6c2f41bfdbd14df5d08c31368" ns3:_="">
    <xsd:import namespace="e9e5a896-d793-4bb8-8f2d-bbf01f995aa8"/>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9e5a896-d793-4bb8-8f2d-bbf01f995aa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47B2FE-01E9-4C1B-8222-B5BC4D81A1EE}">
  <ds:schemaRefs>
    <ds:schemaRef ds:uri="http://schemas.openxmlformats.org/officeDocument/2006/bibliography"/>
  </ds:schemaRefs>
</ds:datastoreItem>
</file>

<file path=customXml/itemProps2.xml><?xml version="1.0" encoding="utf-8"?>
<ds:datastoreItem xmlns:ds="http://schemas.openxmlformats.org/officeDocument/2006/customXml" ds:itemID="{78B71DC2-A88D-4D72-AF31-6A72DDD48FD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D70CFC1-4025-4915-A74A-A51252663563}">
  <ds:schemaRefs>
    <ds:schemaRef ds:uri="http://schemas.microsoft.com/sharepoint/v3/contenttype/forms"/>
  </ds:schemaRefs>
</ds:datastoreItem>
</file>

<file path=customXml/itemProps4.xml><?xml version="1.0" encoding="utf-8"?>
<ds:datastoreItem xmlns:ds="http://schemas.openxmlformats.org/officeDocument/2006/customXml" ds:itemID="{CB55493B-6B12-44C5-95F6-0730163B6A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9e5a896-d793-4bb8-8f2d-bbf01f995a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43</Pages>
  <Words>10332</Words>
  <Characters>58899</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Lutfor Rahman</dc:creator>
  <cp:keywords/>
  <dc:description/>
  <cp:lastModifiedBy>Lutfor Rahman</cp:lastModifiedBy>
  <cp:revision>2</cp:revision>
  <dcterms:created xsi:type="dcterms:W3CDTF">2026-01-11T15:15:00Z</dcterms:created>
  <dcterms:modified xsi:type="dcterms:W3CDTF">2026-01-11T15:15:00Z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0x010100BB6606FBCDF8B64C9AFCE91C6DA3B14F</vt:lpwstr>
  </property>
</Properties>
</file>