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45869" w14:textId="77777777" w:rsidR="003F12A3" w:rsidRPr="004D7BFA" w:rsidRDefault="003F12A3" w:rsidP="006453A7">
      <w:pPr>
        <w:rPr>
          <w:rFonts w:ascii="Arial" w:eastAsia="Times New Roman" w:hAnsi="Arial" w:cs="Arial"/>
          <w:b/>
          <w:bCs/>
          <w:kern w:val="0"/>
          <w:sz w:val="22"/>
          <w:szCs w:val="22"/>
          <w:lang w:eastAsia="en-GB"/>
          <w14:ligatures w14:val="none"/>
        </w:rPr>
      </w:pPr>
    </w:p>
    <w:p w14:paraId="2365BFB6" w14:textId="5D7F6268" w:rsidR="003F12A3" w:rsidRPr="004D7BFA" w:rsidRDefault="003F12A3" w:rsidP="006453A7">
      <w:pPr>
        <w:rPr>
          <w:rFonts w:ascii="Arial" w:eastAsia="Times New Roman" w:hAnsi="Arial" w:cs="Arial"/>
          <w:b/>
          <w:bCs/>
          <w:kern w:val="0"/>
          <w:sz w:val="22"/>
          <w:szCs w:val="22"/>
          <w:lang w:eastAsia="en-GB"/>
          <w14:ligatures w14:val="none"/>
        </w:rPr>
      </w:pPr>
      <w:r w:rsidRPr="004D7BFA">
        <w:rPr>
          <w:rFonts w:ascii="Arial" w:eastAsia="Times New Roman" w:hAnsi="Arial" w:cs="Arial"/>
          <w:b/>
          <w:bCs/>
          <w:kern w:val="0"/>
          <w:sz w:val="22"/>
          <w:szCs w:val="22"/>
          <w:lang w:eastAsia="en-GB"/>
          <w14:ligatures w14:val="none"/>
        </w:rPr>
        <w:t>Organisational Culture: Individual report for Tesco PLC</w:t>
      </w:r>
    </w:p>
    <w:p w14:paraId="59BC6328" w14:textId="1B478FD6" w:rsidR="006453A7" w:rsidRPr="004D7BFA" w:rsidRDefault="006453A7" w:rsidP="006453A7">
      <w:pPr>
        <w:rPr>
          <w:rFonts w:ascii="Arial" w:eastAsia="Times New Roman" w:hAnsi="Arial" w:cs="Arial"/>
          <w:b/>
          <w:bCs/>
          <w:kern w:val="0"/>
          <w:sz w:val="22"/>
          <w:szCs w:val="22"/>
          <w:lang w:eastAsia="en-GB"/>
          <w14:ligatures w14:val="none"/>
        </w:rPr>
      </w:pPr>
      <w:r w:rsidRPr="004D7BFA">
        <w:rPr>
          <w:rFonts w:ascii="Arial" w:eastAsia="Times New Roman" w:hAnsi="Arial" w:cs="Arial"/>
          <w:b/>
          <w:bCs/>
          <w:kern w:val="0"/>
          <w:sz w:val="22"/>
          <w:szCs w:val="22"/>
          <w:lang w:eastAsia="en-GB"/>
          <w14:ligatures w14:val="none"/>
        </w:rPr>
        <w:t>Student Name:</w:t>
      </w:r>
      <w:r w:rsidR="00CA4ACA" w:rsidRPr="004D7BFA">
        <w:rPr>
          <w:rFonts w:ascii="Arial" w:eastAsia="Times New Roman" w:hAnsi="Arial" w:cs="Arial"/>
          <w:b/>
          <w:bCs/>
          <w:kern w:val="0"/>
          <w:sz w:val="22"/>
          <w:szCs w:val="22"/>
          <w:lang w:eastAsia="en-GB"/>
          <w14:ligatures w14:val="none"/>
        </w:rPr>
        <w:t xml:space="preserve"> </w:t>
      </w:r>
      <w:proofErr w:type="spellStart"/>
      <w:r w:rsidR="00CA4ACA" w:rsidRPr="004D7BFA">
        <w:rPr>
          <w:rFonts w:ascii="Arial" w:eastAsia="Times New Roman" w:hAnsi="Arial" w:cs="Arial"/>
          <w:kern w:val="0"/>
          <w:sz w:val="22"/>
          <w:szCs w:val="22"/>
          <w:lang w:eastAsia="en-GB"/>
          <w14:ligatures w14:val="none"/>
        </w:rPr>
        <w:t>Shelima</w:t>
      </w:r>
      <w:proofErr w:type="spellEnd"/>
      <w:r w:rsidR="00CA4ACA" w:rsidRPr="004D7BFA">
        <w:rPr>
          <w:rFonts w:ascii="Arial" w:eastAsia="Times New Roman" w:hAnsi="Arial" w:cs="Arial"/>
          <w:kern w:val="0"/>
          <w:sz w:val="22"/>
          <w:szCs w:val="22"/>
          <w:lang w:eastAsia="en-GB"/>
          <w14:ligatures w14:val="none"/>
        </w:rPr>
        <w:t xml:space="preserve"> Begum</w:t>
      </w:r>
    </w:p>
    <w:p w14:paraId="33867621" w14:textId="7A5EEF5B"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b/>
          <w:bCs/>
          <w:kern w:val="0"/>
          <w:sz w:val="22"/>
          <w:szCs w:val="22"/>
          <w:lang w:eastAsia="en-GB"/>
          <w14:ligatures w14:val="none"/>
        </w:rPr>
        <w:t>Student ID:</w:t>
      </w:r>
      <w:r w:rsidR="00DB4ABA" w:rsidRPr="004D7BFA">
        <w:rPr>
          <w:rFonts w:ascii="Arial" w:eastAsia="Times New Roman" w:hAnsi="Arial" w:cs="Arial"/>
          <w:b/>
          <w:bCs/>
          <w:kern w:val="0"/>
          <w:sz w:val="22"/>
          <w:szCs w:val="22"/>
          <w:lang w:eastAsia="en-GB"/>
          <w14:ligatures w14:val="none"/>
        </w:rPr>
        <w:t xml:space="preserve"> </w:t>
      </w:r>
      <w:r w:rsidR="00777B6D">
        <w:rPr>
          <w:rFonts w:ascii="Arial" w:eastAsia="Times New Roman" w:hAnsi="Arial" w:cs="Arial"/>
          <w:b/>
          <w:bCs/>
          <w:kern w:val="0"/>
          <w:sz w:val="22"/>
          <w:szCs w:val="22"/>
          <w:lang w:eastAsia="en-GB"/>
          <w14:ligatures w14:val="none"/>
        </w:rPr>
        <w:t>2410917</w:t>
      </w:r>
      <w:r w:rsidRPr="004D7BFA">
        <w:rPr>
          <w:rFonts w:ascii="Arial" w:eastAsia="Times New Roman" w:hAnsi="Arial" w:cs="Arial"/>
          <w:kern w:val="0"/>
          <w:sz w:val="22"/>
          <w:szCs w:val="22"/>
          <w:lang w:eastAsia="en-GB"/>
          <w14:ligatures w14:val="none"/>
        </w:rPr>
        <w:br/>
      </w:r>
      <w:r w:rsidRPr="004D7BFA">
        <w:rPr>
          <w:rFonts w:ascii="Arial" w:eastAsia="Times New Roman" w:hAnsi="Arial" w:cs="Arial"/>
          <w:b/>
          <w:bCs/>
          <w:kern w:val="0"/>
          <w:sz w:val="22"/>
          <w:szCs w:val="22"/>
          <w:lang w:eastAsia="en-GB"/>
          <w14:ligatures w14:val="none"/>
        </w:rPr>
        <w:t>Module:</w:t>
      </w:r>
      <w:r w:rsidRPr="004D7BFA">
        <w:rPr>
          <w:rFonts w:ascii="Arial" w:eastAsia="Times New Roman" w:hAnsi="Arial" w:cs="Arial"/>
          <w:kern w:val="0"/>
          <w:sz w:val="22"/>
          <w:szCs w:val="22"/>
          <w:lang w:eastAsia="en-GB"/>
          <w14:ligatures w14:val="none"/>
        </w:rPr>
        <w:t xml:space="preserve"> LCLM5005 – Organisational Culture</w:t>
      </w:r>
      <w:r w:rsidRPr="004D7BFA">
        <w:rPr>
          <w:rFonts w:ascii="Arial" w:eastAsia="Times New Roman" w:hAnsi="Arial" w:cs="Arial"/>
          <w:kern w:val="0"/>
          <w:sz w:val="22"/>
          <w:szCs w:val="22"/>
          <w:lang w:eastAsia="en-GB"/>
          <w14:ligatures w14:val="none"/>
        </w:rPr>
        <w:br/>
      </w:r>
      <w:r w:rsidRPr="004D7BFA">
        <w:rPr>
          <w:rFonts w:ascii="Arial" w:eastAsia="Times New Roman" w:hAnsi="Arial" w:cs="Arial"/>
          <w:b/>
          <w:bCs/>
          <w:kern w:val="0"/>
          <w:sz w:val="22"/>
          <w:szCs w:val="22"/>
          <w:lang w:eastAsia="en-GB"/>
          <w14:ligatures w14:val="none"/>
        </w:rPr>
        <w:t>Word Count:</w:t>
      </w:r>
      <w:r w:rsidRPr="004D7BFA">
        <w:rPr>
          <w:rFonts w:ascii="Arial" w:eastAsia="Times New Roman" w:hAnsi="Arial" w:cs="Arial"/>
          <w:kern w:val="0"/>
          <w:sz w:val="22"/>
          <w:szCs w:val="22"/>
          <w:lang w:eastAsia="en-GB"/>
          <w14:ligatures w14:val="none"/>
        </w:rPr>
        <w:t xml:space="preserve"> Approximately 3,000 words</w:t>
      </w:r>
      <w:r w:rsidRPr="004D7BFA">
        <w:rPr>
          <w:rFonts w:ascii="Arial" w:eastAsia="Times New Roman" w:hAnsi="Arial" w:cs="Arial"/>
          <w:kern w:val="0"/>
          <w:sz w:val="22"/>
          <w:szCs w:val="22"/>
          <w:lang w:eastAsia="en-GB"/>
          <w14:ligatures w14:val="none"/>
        </w:rPr>
        <w:br/>
      </w:r>
      <w:r w:rsidRPr="004D7BFA">
        <w:rPr>
          <w:rFonts w:ascii="Arial" w:eastAsia="Times New Roman" w:hAnsi="Arial" w:cs="Arial"/>
          <w:b/>
          <w:bCs/>
          <w:kern w:val="0"/>
          <w:sz w:val="22"/>
          <w:szCs w:val="22"/>
          <w:lang w:eastAsia="en-GB"/>
          <w14:ligatures w14:val="none"/>
        </w:rPr>
        <w:t>Submission Date:</w:t>
      </w:r>
      <w:r w:rsidRPr="004D7BFA">
        <w:rPr>
          <w:rFonts w:ascii="Arial" w:eastAsia="Times New Roman" w:hAnsi="Arial" w:cs="Arial"/>
          <w:kern w:val="0"/>
          <w:sz w:val="22"/>
          <w:szCs w:val="22"/>
          <w:lang w:eastAsia="en-GB"/>
          <w14:ligatures w14:val="none"/>
        </w:rPr>
        <w:t xml:space="preserve"> 13 July 2026</w:t>
      </w:r>
    </w:p>
    <w:p w14:paraId="35B90771"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60A0F4D4"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5A8E03E2"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3938A34D" w14:textId="4DF8C529" w:rsidR="00A77582" w:rsidRPr="004D7BFA" w:rsidRDefault="00A77582" w:rsidP="006453A7">
      <w:pPr>
        <w:tabs>
          <w:tab w:val="left" w:pos="1176"/>
        </w:tabs>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69CB8ECA"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2C275030"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4C1D4265"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37F8FEF9"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364828A5"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4690A7D0"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4ED2EFCC"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57E13B1F" w14:textId="77777777" w:rsidR="00861329" w:rsidRPr="004D7BFA" w:rsidRDefault="00861329"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581C1C90" w14:textId="77777777" w:rsidR="00861329" w:rsidRPr="004D7BFA" w:rsidRDefault="00861329"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670B0BCD" w14:textId="77777777" w:rsidR="00861329" w:rsidRPr="004D7BFA" w:rsidRDefault="00861329"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393A8F81" w14:textId="77777777" w:rsidR="00861329" w:rsidRPr="004D7BFA" w:rsidRDefault="00861329"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554FF354" w14:textId="77777777" w:rsidR="00861329" w:rsidRPr="004D7BFA" w:rsidRDefault="00861329"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3185D317" w14:textId="77777777" w:rsidR="00A5354A" w:rsidRDefault="00A5354A" w:rsidP="00DA7A2B">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6C27AAE1" w14:textId="77777777" w:rsidR="00DA7A2B" w:rsidRDefault="00DA7A2B" w:rsidP="00DA7A2B">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p>
    <w:p w14:paraId="486EA961" w14:textId="186A0E45" w:rsidR="00A77582" w:rsidRPr="004D7BFA" w:rsidRDefault="00A77582" w:rsidP="00403B5A">
      <w:pPr>
        <w:spacing w:before="100" w:beforeAutospacing="1" w:after="100" w:afterAutospacing="1" w:line="360" w:lineRule="auto"/>
        <w:ind w:firstLine="360"/>
        <w:outlineLvl w:val="2"/>
        <w:rPr>
          <w:rFonts w:ascii="Arial" w:eastAsia="Times New Roman" w:hAnsi="Arial" w:cs="Arial"/>
          <w:b/>
          <w:bCs/>
          <w:kern w:val="0"/>
          <w:sz w:val="22"/>
          <w:szCs w:val="22"/>
          <w:lang w:eastAsia="en-GB"/>
          <w14:ligatures w14:val="none"/>
        </w:rPr>
      </w:pPr>
      <w:r w:rsidRPr="004D7BFA">
        <w:rPr>
          <w:rFonts w:ascii="Arial" w:eastAsia="Times New Roman" w:hAnsi="Arial" w:cs="Arial"/>
          <w:b/>
          <w:bCs/>
          <w:kern w:val="0"/>
          <w:sz w:val="22"/>
          <w:szCs w:val="22"/>
          <w:lang w:eastAsia="en-GB"/>
          <w14:ligatures w14:val="none"/>
        </w:rPr>
        <w:lastRenderedPageBreak/>
        <w:t>Table of Contents</w:t>
      </w:r>
      <w:r w:rsidR="00DC408E">
        <w:rPr>
          <w:rFonts w:ascii="Arial" w:eastAsia="Times New Roman" w:hAnsi="Arial" w:cs="Arial"/>
          <w:b/>
          <w:bCs/>
          <w:kern w:val="0"/>
          <w:sz w:val="22"/>
          <w:szCs w:val="22"/>
          <w:lang w:eastAsia="en-GB"/>
          <w14:ligatures w14:val="none"/>
        </w:rPr>
        <w:tab/>
      </w:r>
      <w:r w:rsidR="00DC408E">
        <w:rPr>
          <w:rFonts w:ascii="Arial" w:eastAsia="Times New Roman" w:hAnsi="Arial" w:cs="Arial"/>
          <w:b/>
          <w:bCs/>
          <w:kern w:val="0"/>
          <w:sz w:val="22"/>
          <w:szCs w:val="22"/>
          <w:lang w:eastAsia="en-GB"/>
          <w14:ligatures w14:val="none"/>
        </w:rPr>
        <w:tab/>
      </w:r>
      <w:r w:rsidR="00DC408E">
        <w:rPr>
          <w:rFonts w:ascii="Arial" w:eastAsia="Times New Roman" w:hAnsi="Arial" w:cs="Arial"/>
          <w:b/>
          <w:bCs/>
          <w:kern w:val="0"/>
          <w:sz w:val="22"/>
          <w:szCs w:val="22"/>
          <w:lang w:eastAsia="en-GB"/>
          <w14:ligatures w14:val="none"/>
        </w:rPr>
        <w:tab/>
      </w:r>
      <w:r w:rsidR="00DC408E">
        <w:rPr>
          <w:rFonts w:ascii="Arial" w:eastAsia="Times New Roman" w:hAnsi="Arial" w:cs="Arial"/>
          <w:b/>
          <w:bCs/>
          <w:kern w:val="0"/>
          <w:sz w:val="22"/>
          <w:szCs w:val="22"/>
          <w:lang w:eastAsia="en-GB"/>
          <w14:ligatures w14:val="none"/>
        </w:rPr>
        <w:tab/>
      </w:r>
      <w:r w:rsidR="00DC408E">
        <w:rPr>
          <w:rFonts w:ascii="Arial" w:eastAsia="Times New Roman" w:hAnsi="Arial" w:cs="Arial"/>
          <w:b/>
          <w:bCs/>
          <w:kern w:val="0"/>
          <w:sz w:val="22"/>
          <w:szCs w:val="22"/>
          <w:lang w:eastAsia="en-GB"/>
          <w14:ligatures w14:val="none"/>
        </w:rPr>
        <w:tab/>
      </w:r>
      <w:r w:rsidR="00DC408E">
        <w:rPr>
          <w:rFonts w:ascii="Arial" w:eastAsia="Times New Roman" w:hAnsi="Arial" w:cs="Arial"/>
          <w:b/>
          <w:bCs/>
          <w:kern w:val="0"/>
          <w:sz w:val="22"/>
          <w:szCs w:val="22"/>
          <w:lang w:eastAsia="en-GB"/>
          <w14:ligatures w14:val="none"/>
        </w:rPr>
        <w:tab/>
      </w:r>
      <w:r w:rsidR="00AB4F93">
        <w:rPr>
          <w:rFonts w:ascii="Arial" w:eastAsia="Times New Roman" w:hAnsi="Arial" w:cs="Arial"/>
          <w:b/>
          <w:bCs/>
          <w:kern w:val="0"/>
          <w:sz w:val="22"/>
          <w:szCs w:val="22"/>
          <w:lang w:eastAsia="en-GB"/>
          <w14:ligatures w14:val="none"/>
        </w:rPr>
        <w:tab/>
      </w:r>
      <w:r w:rsidR="00DC408E">
        <w:rPr>
          <w:rFonts w:ascii="Arial" w:eastAsia="Times New Roman" w:hAnsi="Arial" w:cs="Arial"/>
          <w:b/>
          <w:bCs/>
          <w:kern w:val="0"/>
          <w:sz w:val="22"/>
          <w:szCs w:val="22"/>
          <w:lang w:eastAsia="en-GB"/>
          <w14:ligatures w14:val="none"/>
        </w:rPr>
        <w:t>Page</w:t>
      </w:r>
    </w:p>
    <w:p w14:paraId="5864BC76" w14:textId="350B1F70" w:rsidR="00A77582" w:rsidRPr="004D7BFA" w:rsidRDefault="00A77582" w:rsidP="00065E8E">
      <w:pPr>
        <w:numPr>
          <w:ilvl w:val="0"/>
          <w:numId w:val="2"/>
        </w:num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Introduction</w:t>
      </w:r>
      <w:r w:rsidR="00DC408E">
        <w:rPr>
          <w:rFonts w:ascii="Arial" w:eastAsia="Times New Roman" w:hAnsi="Arial" w:cs="Arial"/>
          <w:kern w:val="0"/>
          <w:sz w:val="22"/>
          <w:szCs w:val="22"/>
          <w:lang w:eastAsia="en-GB"/>
          <w14:ligatures w14:val="none"/>
        </w:rPr>
        <w:tab/>
      </w:r>
      <w:r w:rsidR="00DC408E">
        <w:rPr>
          <w:rFonts w:ascii="Arial" w:eastAsia="Times New Roman" w:hAnsi="Arial" w:cs="Arial"/>
          <w:kern w:val="0"/>
          <w:sz w:val="22"/>
          <w:szCs w:val="22"/>
          <w:lang w:eastAsia="en-GB"/>
          <w14:ligatures w14:val="none"/>
        </w:rPr>
        <w:tab/>
      </w:r>
      <w:r w:rsidR="00403B5A">
        <w:rPr>
          <w:rFonts w:ascii="Arial" w:eastAsia="Times New Roman" w:hAnsi="Arial" w:cs="Arial"/>
          <w:kern w:val="0"/>
          <w:sz w:val="22"/>
          <w:szCs w:val="22"/>
          <w:lang w:eastAsia="en-GB"/>
          <w14:ligatures w14:val="none"/>
        </w:rPr>
        <w:t xml:space="preserve">        </w:t>
      </w:r>
      <w:r w:rsidR="00DC408E">
        <w:rPr>
          <w:rFonts w:ascii="Arial" w:eastAsia="Times New Roman" w:hAnsi="Arial" w:cs="Arial"/>
          <w:kern w:val="0"/>
          <w:sz w:val="22"/>
          <w:szCs w:val="22"/>
          <w:lang w:eastAsia="en-GB"/>
          <w14:ligatures w14:val="none"/>
        </w:rPr>
        <w:tab/>
      </w:r>
      <w:r w:rsidR="00DA7A2B">
        <w:rPr>
          <w:rFonts w:ascii="Arial" w:eastAsia="Times New Roman" w:hAnsi="Arial" w:cs="Arial"/>
          <w:kern w:val="0"/>
          <w:sz w:val="22"/>
          <w:szCs w:val="22"/>
          <w:lang w:eastAsia="en-GB"/>
          <w14:ligatures w14:val="none"/>
        </w:rPr>
        <w:t xml:space="preserve">       </w:t>
      </w:r>
      <w:r w:rsidR="00DC408E">
        <w:rPr>
          <w:rFonts w:ascii="Arial" w:eastAsia="Times New Roman" w:hAnsi="Arial" w:cs="Arial"/>
          <w:kern w:val="0"/>
          <w:sz w:val="22"/>
          <w:szCs w:val="22"/>
          <w:lang w:eastAsia="en-GB"/>
          <w14:ligatures w14:val="none"/>
        </w:rPr>
        <w:tab/>
      </w:r>
      <w:r w:rsidR="00DA7A2B">
        <w:rPr>
          <w:rFonts w:ascii="Arial" w:eastAsia="Times New Roman" w:hAnsi="Arial" w:cs="Arial"/>
          <w:kern w:val="0"/>
          <w:sz w:val="22"/>
          <w:szCs w:val="22"/>
          <w:lang w:eastAsia="en-GB"/>
          <w14:ligatures w14:val="none"/>
        </w:rPr>
        <w:t xml:space="preserve">                                            </w:t>
      </w:r>
      <w:r w:rsidR="00AB4F93">
        <w:rPr>
          <w:rFonts w:ascii="Arial" w:eastAsia="Times New Roman" w:hAnsi="Arial" w:cs="Arial"/>
          <w:kern w:val="0"/>
          <w:sz w:val="22"/>
          <w:szCs w:val="22"/>
          <w:lang w:eastAsia="en-GB"/>
          <w14:ligatures w14:val="none"/>
        </w:rPr>
        <w:t>3</w:t>
      </w:r>
      <w:r w:rsidR="00DA7A2B">
        <w:rPr>
          <w:rFonts w:ascii="Arial" w:eastAsia="Times New Roman" w:hAnsi="Arial" w:cs="Arial"/>
          <w:kern w:val="0"/>
          <w:sz w:val="22"/>
          <w:szCs w:val="22"/>
          <w:lang w:eastAsia="en-GB"/>
          <w14:ligatures w14:val="none"/>
        </w:rPr>
        <w:t xml:space="preserve">   </w:t>
      </w:r>
    </w:p>
    <w:p w14:paraId="2B9EECFC" w14:textId="01431DDC" w:rsidR="00A77582" w:rsidRPr="004D7BFA" w:rsidRDefault="00A77582" w:rsidP="00065E8E">
      <w:pPr>
        <w:numPr>
          <w:ilvl w:val="0"/>
          <w:numId w:val="2"/>
        </w:num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Organisational Culture of Tesco</w:t>
      </w:r>
      <w:r w:rsidR="00403B5A">
        <w:rPr>
          <w:rFonts w:ascii="Arial" w:eastAsia="Times New Roman" w:hAnsi="Arial" w:cs="Arial"/>
          <w:kern w:val="0"/>
          <w:sz w:val="22"/>
          <w:szCs w:val="22"/>
          <w:lang w:eastAsia="en-GB"/>
          <w14:ligatures w14:val="none"/>
        </w:rPr>
        <w:tab/>
      </w:r>
      <w:r w:rsidR="00403B5A">
        <w:rPr>
          <w:rFonts w:ascii="Arial" w:eastAsia="Times New Roman" w:hAnsi="Arial" w:cs="Arial"/>
          <w:kern w:val="0"/>
          <w:sz w:val="22"/>
          <w:szCs w:val="22"/>
          <w:lang w:eastAsia="en-GB"/>
          <w14:ligatures w14:val="none"/>
        </w:rPr>
        <w:tab/>
      </w:r>
      <w:r w:rsidR="00403B5A">
        <w:rPr>
          <w:rFonts w:ascii="Arial" w:eastAsia="Times New Roman" w:hAnsi="Arial" w:cs="Arial"/>
          <w:kern w:val="0"/>
          <w:sz w:val="22"/>
          <w:szCs w:val="22"/>
          <w:lang w:eastAsia="en-GB"/>
          <w14:ligatures w14:val="none"/>
        </w:rPr>
        <w:tab/>
      </w:r>
      <w:r w:rsidR="00403B5A">
        <w:rPr>
          <w:rFonts w:ascii="Arial" w:eastAsia="Times New Roman" w:hAnsi="Arial" w:cs="Arial"/>
          <w:kern w:val="0"/>
          <w:sz w:val="22"/>
          <w:szCs w:val="22"/>
          <w:lang w:eastAsia="en-GB"/>
          <w14:ligatures w14:val="none"/>
        </w:rPr>
        <w:tab/>
      </w:r>
      <w:r w:rsidR="009F1176">
        <w:rPr>
          <w:rFonts w:ascii="Arial" w:eastAsia="Times New Roman" w:hAnsi="Arial" w:cs="Arial"/>
          <w:kern w:val="0"/>
          <w:sz w:val="22"/>
          <w:szCs w:val="22"/>
          <w:lang w:eastAsia="en-GB"/>
          <w14:ligatures w14:val="none"/>
        </w:rPr>
        <w:t xml:space="preserve">         </w:t>
      </w:r>
      <w:r w:rsidR="00D53651">
        <w:rPr>
          <w:rFonts w:ascii="Arial" w:eastAsia="Times New Roman" w:hAnsi="Arial" w:cs="Arial"/>
          <w:kern w:val="0"/>
          <w:sz w:val="22"/>
          <w:szCs w:val="22"/>
          <w:lang w:eastAsia="en-GB"/>
          <w14:ligatures w14:val="none"/>
        </w:rPr>
        <w:t>4</w:t>
      </w:r>
      <w:r w:rsidR="00353916">
        <w:rPr>
          <w:rFonts w:ascii="Arial" w:eastAsia="Times New Roman" w:hAnsi="Arial" w:cs="Arial"/>
          <w:kern w:val="0"/>
          <w:sz w:val="22"/>
          <w:szCs w:val="22"/>
          <w:lang w:eastAsia="en-GB"/>
          <w14:ligatures w14:val="none"/>
        </w:rPr>
        <w:t>-5</w:t>
      </w:r>
    </w:p>
    <w:p w14:paraId="0AF64B87" w14:textId="54383FB1" w:rsidR="00A77582" w:rsidRPr="004D7BFA" w:rsidRDefault="00A77582" w:rsidP="00065E8E">
      <w:pPr>
        <w:numPr>
          <w:ilvl w:val="0"/>
          <w:numId w:val="2"/>
        </w:num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Influence of Culture on Structure and Decision-Making</w:t>
      </w:r>
      <w:r w:rsidR="00D53651">
        <w:rPr>
          <w:rFonts w:ascii="Arial" w:eastAsia="Times New Roman" w:hAnsi="Arial" w:cs="Arial"/>
          <w:kern w:val="0"/>
          <w:sz w:val="22"/>
          <w:szCs w:val="22"/>
          <w:lang w:eastAsia="en-GB"/>
          <w14:ligatures w14:val="none"/>
        </w:rPr>
        <w:tab/>
      </w:r>
      <w:r w:rsidR="0017705B">
        <w:rPr>
          <w:rFonts w:ascii="Arial" w:eastAsia="Times New Roman" w:hAnsi="Arial" w:cs="Arial"/>
          <w:kern w:val="0"/>
          <w:sz w:val="22"/>
          <w:szCs w:val="22"/>
          <w:lang w:eastAsia="en-GB"/>
          <w14:ligatures w14:val="none"/>
        </w:rPr>
        <w:t xml:space="preserve">         </w:t>
      </w:r>
      <w:r w:rsidR="00D53651">
        <w:rPr>
          <w:rFonts w:ascii="Arial" w:eastAsia="Times New Roman" w:hAnsi="Arial" w:cs="Arial"/>
          <w:kern w:val="0"/>
          <w:sz w:val="22"/>
          <w:szCs w:val="22"/>
          <w:lang w:eastAsia="en-GB"/>
          <w14:ligatures w14:val="none"/>
        </w:rPr>
        <w:t>5</w:t>
      </w:r>
      <w:r w:rsidR="0017705B">
        <w:rPr>
          <w:rFonts w:ascii="Arial" w:eastAsia="Times New Roman" w:hAnsi="Arial" w:cs="Arial"/>
          <w:kern w:val="0"/>
          <w:sz w:val="22"/>
          <w:szCs w:val="22"/>
          <w:lang w:eastAsia="en-GB"/>
          <w14:ligatures w14:val="none"/>
        </w:rPr>
        <w:t>-6</w:t>
      </w:r>
    </w:p>
    <w:p w14:paraId="25BC3490" w14:textId="41055C2D" w:rsidR="00A77582" w:rsidRPr="004D7BFA" w:rsidRDefault="00A77582" w:rsidP="00065E8E">
      <w:pPr>
        <w:numPr>
          <w:ilvl w:val="0"/>
          <w:numId w:val="2"/>
        </w:num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Identifying Cultural Types: Models and Frameworks</w:t>
      </w:r>
      <w:r w:rsidR="009F1176">
        <w:rPr>
          <w:rFonts w:ascii="Arial" w:eastAsia="Times New Roman" w:hAnsi="Arial" w:cs="Arial"/>
          <w:kern w:val="0"/>
          <w:sz w:val="22"/>
          <w:szCs w:val="22"/>
          <w:lang w:eastAsia="en-GB"/>
          <w14:ligatures w14:val="none"/>
        </w:rPr>
        <w:t xml:space="preserve">    </w:t>
      </w:r>
      <w:r w:rsidR="009F1176">
        <w:rPr>
          <w:rFonts w:ascii="Arial" w:eastAsia="Times New Roman" w:hAnsi="Arial" w:cs="Arial"/>
          <w:kern w:val="0"/>
          <w:sz w:val="22"/>
          <w:szCs w:val="22"/>
          <w:lang w:eastAsia="en-GB"/>
          <w14:ligatures w14:val="none"/>
        </w:rPr>
        <w:tab/>
        <w:t xml:space="preserve">         6-8</w:t>
      </w:r>
    </w:p>
    <w:p w14:paraId="40394CD5" w14:textId="7452813D" w:rsidR="00A77582" w:rsidRPr="004D7BFA" w:rsidRDefault="00A77582" w:rsidP="00065E8E">
      <w:pPr>
        <w:numPr>
          <w:ilvl w:val="0"/>
          <w:numId w:val="2"/>
        </w:num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Culture and the External Environment</w:t>
      </w:r>
      <w:r w:rsidR="00661677">
        <w:rPr>
          <w:rFonts w:ascii="Arial" w:eastAsia="Times New Roman" w:hAnsi="Arial" w:cs="Arial"/>
          <w:kern w:val="0"/>
          <w:sz w:val="22"/>
          <w:szCs w:val="22"/>
          <w:lang w:eastAsia="en-GB"/>
          <w14:ligatures w14:val="none"/>
        </w:rPr>
        <w:tab/>
      </w:r>
      <w:r w:rsidR="00661677">
        <w:rPr>
          <w:rFonts w:ascii="Arial" w:eastAsia="Times New Roman" w:hAnsi="Arial" w:cs="Arial"/>
          <w:kern w:val="0"/>
          <w:sz w:val="22"/>
          <w:szCs w:val="22"/>
          <w:lang w:eastAsia="en-GB"/>
          <w14:ligatures w14:val="none"/>
        </w:rPr>
        <w:tab/>
      </w:r>
      <w:r w:rsidR="00661677">
        <w:rPr>
          <w:rFonts w:ascii="Arial" w:eastAsia="Times New Roman" w:hAnsi="Arial" w:cs="Arial"/>
          <w:kern w:val="0"/>
          <w:sz w:val="22"/>
          <w:szCs w:val="22"/>
          <w:lang w:eastAsia="en-GB"/>
          <w14:ligatures w14:val="none"/>
        </w:rPr>
        <w:tab/>
      </w:r>
      <w:r w:rsidR="0017705B">
        <w:rPr>
          <w:rFonts w:ascii="Arial" w:eastAsia="Times New Roman" w:hAnsi="Arial" w:cs="Arial"/>
          <w:kern w:val="0"/>
          <w:sz w:val="22"/>
          <w:szCs w:val="22"/>
          <w:lang w:eastAsia="en-GB"/>
          <w14:ligatures w14:val="none"/>
        </w:rPr>
        <w:t xml:space="preserve">         </w:t>
      </w:r>
      <w:r w:rsidR="00661677">
        <w:rPr>
          <w:rFonts w:ascii="Arial" w:eastAsia="Times New Roman" w:hAnsi="Arial" w:cs="Arial"/>
          <w:kern w:val="0"/>
          <w:sz w:val="22"/>
          <w:szCs w:val="22"/>
          <w:lang w:eastAsia="en-GB"/>
          <w14:ligatures w14:val="none"/>
        </w:rPr>
        <w:t>8-9</w:t>
      </w:r>
    </w:p>
    <w:p w14:paraId="71455D05" w14:textId="6D79D3B5" w:rsidR="00A77582" w:rsidRPr="004D7BFA" w:rsidRDefault="00A77582" w:rsidP="00065E8E">
      <w:pPr>
        <w:numPr>
          <w:ilvl w:val="0"/>
          <w:numId w:val="2"/>
        </w:num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Organisational Culture as a Barrier and Enabler</w:t>
      </w:r>
      <w:r w:rsidR="006F010B">
        <w:rPr>
          <w:rFonts w:ascii="Arial" w:eastAsia="Times New Roman" w:hAnsi="Arial" w:cs="Arial"/>
          <w:kern w:val="0"/>
          <w:sz w:val="22"/>
          <w:szCs w:val="22"/>
          <w:lang w:eastAsia="en-GB"/>
          <w14:ligatures w14:val="none"/>
        </w:rPr>
        <w:tab/>
      </w:r>
      <w:r w:rsidR="006F010B">
        <w:rPr>
          <w:rFonts w:ascii="Arial" w:eastAsia="Times New Roman" w:hAnsi="Arial" w:cs="Arial"/>
          <w:kern w:val="0"/>
          <w:sz w:val="22"/>
          <w:szCs w:val="22"/>
          <w:lang w:eastAsia="en-GB"/>
          <w14:ligatures w14:val="none"/>
        </w:rPr>
        <w:tab/>
      </w:r>
      <w:r w:rsidR="00661677">
        <w:rPr>
          <w:rFonts w:ascii="Arial" w:eastAsia="Times New Roman" w:hAnsi="Arial" w:cs="Arial"/>
          <w:kern w:val="0"/>
          <w:sz w:val="22"/>
          <w:szCs w:val="22"/>
          <w:lang w:eastAsia="en-GB"/>
          <w14:ligatures w14:val="none"/>
        </w:rPr>
        <w:t xml:space="preserve">         9-10</w:t>
      </w:r>
    </w:p>
    <w:p w14:paraId="0D0E7A43" w14:textId="358A68D4" w:rsidR="00A77582" w:rsidRPr="004D7BFA" w:rsidRDefault="00A77582" w:rsidP="00065E8E">
      <w:pPr>
        <w:numPr>
          <w:ilvl w:val="0"/>
          <w:numId w:val="2"/>
        </w:num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Impact of Culture on Organisational Performance</w:t>
      </w:r>
      <w:r w:rsidR="006F010B">
        <w:rPr>
          <w:rFonts w:ascii="Arial" w:eastAsia="Times New Roman" w:hAnsi="Arial" w:cs="Arial"/>
          <w:kern w:val="0"/>
          <w:sz w:val="22"/>
          <w:szCs w:val="22"/>
          <w:lang w:eastAsia="en-GB"/>
          <w14:ligatures w14:val="none"/>
        </w:rPr>
        <w:tab/>
      </w:r>
      <w:r w:rsidR="006F010B">
        <w:rPr>
          <w:rFonts w:ascii="Arial" w:eastAsia="Times New Roman" w:hAnsi="Arial" w:cs="Arial"/>
          <w:kern w:val="0"/>
          <w:sz w:val="22"/>
          <w:szCs w:val="22"/>
          <w:lang w:eastAsia="en-GB"/>
          <w14:ligatures w14:val="none"/>
        </w:rPr>
        <w:tab/>
        <w:t xml:space="preserve">         </w:t>
      </w:r>
      <w:r w:rsidR="00661677">
        <w:rPr>
          <w:rFonts w:ascii="Arial" w:eastAsia="Times New Roman" w:hAnsi="Arial" w:cs="Arial"/>
          <w:kern w:val="0"/>
          <w:sz w:val="22"/>
          <w:szCs w:val="22"/>
          <w:lang w:eastAsia="en-GB"/>
          <w14:ligatures w14:val="none"/>
        </w:rPr>
        <w:t>10-</w:t>
      </w:r>
      <w:r w:rsidR="006F010B">
        <w:rPr>
          <w:rFonts w:ascii="Arial" w:eastAsia="Times New Roman" w:hAnsi="Arial" w:cs="Arial"/>
          <w:kern w:val="0"/>
          <w:sz w:val="22"/>
          <w:szCs w:val="22"/>
          <w:lang w:eastAsia="en-GB"/>
          <w14:ligatures w14:val="none"/>
        </w:rPr>
        <w:t>12</w:t>
      </w:r>
    </w:p>
    <w:p w14:paraId="48F81615" w14:textId="293C5995" w:rsidR="00A77582" w:rsidRPr="00015EEF" w:rsidRDefault="00A77582" w:rsidP="00015EEF">
      <w:pPr>
        <w:numPr>
          <w:ilvl w:val="0"/>
          <w:numId w:val="2"/>
        </w:num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015EEF">
        <w:rPr>
          <w:rFonts w:ascii="Arial" w:eastAsia="Times New Roman" w:hAnsi="Arial" w:cs="Arial"/>
          <w:kern w:val="0"/>
          <w:sz w:val="22"/>
          <w:szCs w:val="22"/>
          <w:lang w:eastAsia="en-GB"/>
          <w14:ligatures w14:val="none"/>
        </w:rPr>
        <w:t>Conclusion</w:t>
      </w:r>
      <w:r w:rsidR="00E53A5A" w:rsidRPr="00015EEF">
        <w:rPr>
          <w:rFonts w:ascii="Arial" w:eastAsia="Times New Roman" w:hAnsi="Arial" w:cs="Arial"/>
          <w:kern w:val="0"/>
          <w:sz w:val="22"/>
          <w:szCs w:val="22"/>
          <w:lang w:eastAsia="en-GB"/>
          <w14:ligatures w14:val="none"/>
        </w:rPr>
        <w:tab/>
      </w:r>
      <w:r w:rsidR="00E53A5A" w:rsidRPr="00015EEF">
        <w:rPr>
          <w:rFonts w:ascii="Arial" w:eastAsia="Times New Roman" w:hAnsi="Arial" w:cs="Arial"/>
          <w:kern w:val="0"/>
          <w:sz w:val="22"/>
          <w:szCs w:val="22"/>
          <w:lang w:eastAsia="en-GB"/>
          <w14:ligatures w14:val="none"/>
        </w:rPr>
        <w:tab/>
      </w:r>
      <w:r w:rsidR="00E53A5A" w:rsidRPr="00015EEF">
        <w:rPr>
          <w:rFonts w:ascii="Arial" w:eastAsia="Times New Roman" w:hAnsi="Arial" w:cs="Arial"/>
          <w:kern w:val="0"/>
          <w:sz w:val="22"/>
          <w:szCs w:val="22"/>
          <w:lang w:eastAsia="en-GB"/>
          <w14:ligatures w14:val="none"/>
        </w:rPr>
        <w:tab/>
      </w:r>
      <w:r w:rsidR="00E53A5A" w:rsidRPr="00015EEF">
        <w:rPr>
          <w:rFonts w:ascii="Arial" w:eastAsia="Times New Roman" w:hAnsi="Arial" w:cs="Arial"/>
          <w:kern w:val="0"/>
          <w:sz w:val="22"/>
          <w:szCs w:val="22"/>
          <w:lang w:eastAsia="en-GB"/>
          <w14:ligatures w14:val="none"/>
        </w:rPr>
        <w:tab/>
      </w:r>
      <w:r w:rsidR="00E53A5A" w:rsidRPr="00015EEF">
        <w:rPr>
          <w:rFonts w:ascii="Arial" w:eastAsia="Times New Roman" w:hAnsi="Arial" w:cs="Arial"/>
          <w:kern w:val="0"/>
          <w:sz w:val="22"/>
          <w:szCs w:val="22"/>
          <w:lang w:eastAsia="en-GB"/>
          <w14:ligatures w14:val="none"/>
        </w:rPr>
        <w:tab/>
      </w:r>
      <w:r w:rsidR="00E53A5A" w:rsidRPr="00015EEF">
        <w:rPr>
          <w:rFonts w:ascii="Arial" w:eastAsia="Times New Roman" w:hAnsi="Arial" w:cs="Arial"/>
          <w:kern w:val="0"/>
          <w:sz w:val="22"/>
          <w:szCs w:val="22"/>
          <w:lang w:eastAsia="en-GB"/>
          <w14:ligatures w14:val="none"/>
        </w:rPr>
        <w:tab/>
      </w:r>
      <w:r w:rsidR="00E53A5A" w:rsidRPr="00015EEF">
        <w:rPr>
          <w:rFonts w:ascii="Arial" w:eastAsia="Times New Roman" w:hAnsi="Arial" w:cs="Arial"/>
          <w:kern w:val="0"/>
          <w:sz w:val="22"/>
          <w:szCs w:val="22"/>
          <w:lang w:eastAsia="en-GB"/>
          <w14:ligatures w14:val="none"/>
        </w:rPr>
        <w:tab/>
      </w:r>
      <w:r w:rsidR="00353916">
        <w:rPr>
          <w:rFonts w:ascii="Arial" w:eastAsia="Times New Roman" w:hAnsi="Arial" w:cs="Arial"/>
          <w:kern w:val="0"/>
          <w:sz w:val="22"/>
          <w:szCs w:val="22"/>
          <w:lang w:eastAsia="en-GB"/>
          <w14:ligatures w14:val="none"/>
        </w:rPr>
        <w:t xml:space="preserve">         </w:t>
      </w:r>
      <w:r w:rsidR="006F010B">
        <w:rPr>
          <w:rFonts w:ascii="Arial" w:eastAsia="Times New Roman" w:hAnsi="Arial" w:cs="Arial"/>
          <w:kern w:val="0"/>
          <w:sz w:val="22"/>
          <w:szCs w:val="22"/>
          <w:lang w:eastAsia="en-GB"/>
          <w14:ligatures w14:val="none"/>
        </w:rPr>
        <w:t>12</w:t>
      </w:r>
    </w:p>
    <w:p w14:paraId="7073ECAE" w14:textId="58CC1B33" w:rsidR="00A77582" w:rsidRPr="004D7BFA" w:rsidRDefault="00A77582" w:rsidP="00065E8E">
      <w:pPr>
        <w:numPr>
          <w:ilvl w:val="0"/>
          <w:numId w:val="2"/>
        </w:num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References</w:t>
      </w:r>
      <w:r w:rsidR="00E53A5A">
        <w:rPr>
          <w:rFonts w:ascii="Arial" w:eastAsia="Times New Roman" w:hAnsi="Arial" w:cs="Arial"/>
          <w:kern w:val="0"/>
          <w:sz w:val="22"/>
          <w:szCs w:val="22"/>
          <w:lang w:eastAsia="en-GB"/>
          <w14:ligatures w14:val="none"/>
        </w:rPr>
        <w:tab/>
      </w:r>
      <w:r w:rsidR="00E53A5A">
        <w:rPr>
          <w:rFonts w:ascii="Arial" w:eastAsia="Times New Roman" w:hAnsi="Arial" w:cs="Arial"/>
          <w:kern w:val="0"/>
          <w:sz w:val="22"/>
          <w:szCs w:val="22"/>
          <w:lang w:eastAsia="en-GB"/>
          <w14:ligatures w14:val="none"/>
        </w:rPr>
        <w:tab/>
      </w:r>
      <w:r w:rsidR="00E53A5A">
        <w:rPr>
          <w:rFonts w:ascii="Arial" w:eastAsia="Times New Roman" w:hAnsi="Arial" w:cs="Arial"/>
          <w:kern w:val="0"/>
          <w:sz w:val="22"/>
          <w:szCs w:val="22"/>
          <w:lang w:eastAsia="en-GB"/>
          <w14:ligatures w14:val="none"/>
        </w:rPr>
        <w:tab/>
      </w:r>
      <w:r w:rsidR="00E53A5A">
        <w:rPr>
          <w:rFonts w:ascii="Arial" w:eastAsia="Times New Roman" w:hAnsi="Arial" w:cs="Arial"/>
          <w:kern w:val="0"/>
          <w:sz w:val="22"/>
          <w:szCs w:val="22"/>
          <w:lang w:eastAsia="en-GB"/>
          <w14:ligatures w14:val="none"/>
        </w:rPr>
        <w:tab/>
      </w:r>
      <w:r w:rsidR="00E53A5A">
        <w:rPr>
          <w:rFonts w:ascii="Arial" w:eastAsia="Times New Roman" w:hAnsi="Arial" w:cs="Arial"/>
          <w:kern w:val="0"/>
          <w:sz w:val="22"/>
          <w:szCs w:val="22"/>
          <w:lang w:eastAsia="en-GB"/>
          <w14:ligatures w14:val="none"/>
        </w:rPr>
        <w:tab/>
      </w:r>
      <w:r w:rsidR="00E53A5A">
        <w:rPr>
          <w:rFonts w:ascii="Arial" w:eastAsia="Times New Roman" w:hAnsi="Arial" w:cs="Arial"/>
          <w:kern w:val="0"/>
          <w:sz w:val="22"/>
          <w:szCs w:val="22"/>
          <w:lang w:eastAsia="en-GB"/>
          <w14:ligatures w14:val="none"/>
        </w:rPr>
        <w:tab/>
      </w:r>
      <w:r w:rsidR="00E53A5A">
        <w:rPr>
          <w:rFonts w:ascii="Arial" w:eastAsia="Times New Roman" w:hAnsi="Arial" w:cs="Arial"/>
          <w:kern w:val="0"/>
          <w:sz w:val="22"/>
          <w:szCs w:val="22"/>
          <w:lang w:eastAsia="en-GB"/>
          <w14:ligatures w14:val="none"/>
        </w:rPr>
        <w:tab/>
      </w:r>
      <w:r w:rsidR="00353916">
        <w:rPr>
          <w:rFonts w:ascii="Arial" w:eastAsia="Times New Roman" w:hAnsi="Arial" w:cs="Arial"/>
          <w:kern w:val="0"/>
          <w:sz w:val="22"/>
          <w:szCs w:val="22"/>
          <w:lang w:eastAsia="en-GB"/>
          <w14:ligatures w14:val="none"/>
        </w:rPr>
        <w:t xml:space="preserve">         </w:t>
      </w:r>
      <w:r w:rsidR="00E53A5A">
        <w:rPr>
          <w:rFonts w:ascii="Arial" w:eastAsia="Times New Roman" w:hAnsi="Arial" w:cs="Arial"/>
          <w:kern w:val="0"/>
          <w:sz w:val="22"/>
          <w:szCs w:val="22"/>
          <w:lang w:eastAsia="en-GB"/>
          <w14:ligatures w14:val="none"/>
        </w:rPr>
        <w:t>13</w:t>
      </w:r>
    </w:p>
    <w:p w14:paraId="2A4BD33C" w14:textId="60A82D7A"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363C73DA"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3B82972E"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2BD8E425"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54A8793C"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506F3CD3"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222BDFBF"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34803050"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4BE721EE"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0B260D23"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2876AC06" w14:textId="77777777" w:rsidR="00A77582" w:rsidRPr="004D7BFA" w:rsidRDefault="00A7758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4260029C" w14:textId="77777777" w:rsidR="00CC35BD" w:rsidRPr="004D7BFA" w:rsidRDefault="00CC35BD"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2196A378" w14:textId="77777777" w:rsidR="003F12A3" w:rsidRPr="004D7BFA" w:rsidRDefault="003F12A3"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39ABC598" w14:textId="77777777" w:rsidR="003F12A3" w:rsidRPr="004D7BFA" w:rsidRDefault="003F12A3"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53CADFE8" w14:textId="77777777" w:rsidR="003F12A3" w:rsidRPr="004D7BFA" w:rsidRDefault="003F12A3"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02DFA582" w14:textId="77777777" w:rsidR="003F12A3" w:rsidRPr="004D7BFA" w:rsidRDefault="003F12A3"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39F380BC" w14:textId="3FA89B71" w:rsidR="00A77582" w:rsidRPr="004D7BFA" w:rsidRDefault="00A77582" w:rsidP="00065E8E">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4D7BFA">
        <w:rPr>
          <w:rFonts w:ascii="Arial" w:eastAsia="Times New Roman" w:hAnsi="Arial" w:cs="Arial"/>
          <w:b/>
          <w:bCs/>
          <w:kern w:val="0"/>
          <w:sz w:val="22"/>
          <w:szCs w:val="22"/>
          <w:lang w:eastAsia="en-GB"/>
          <w14:ligatures w14:val="none"/>
        </w:rPr>
        <w:lastRenderedPageBreak/>
        <w:t>1. Introduction</w:t>
      </w:r>
    </w:p>
    <w:p w14:paraId="233EA3A7" w14:textId="0E86C969" w:rsidR="00A91720" w:rsidRPr="004D7BFA" w:rsidRDefault="005709AB"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O</w:t>
      </w:r>
      <w:r w:rsidR="008201B1" w:rsidRPr="004D7BFA">
        <w:rPr>
          <w:rFonts w:ascii="Arial" w:eastAsia="Times New Roman" w:hAnsi="Arial" w:cs="Arial"/>
          <w:kern w:val="0"/>
          <w:sz w:val="22"/>
          <w:szCs w:val="22"/>
          <w:lang w:eastAsia="en-GB"/>
          <w14:ligatures w14:val="none"/>
        </w:rPr>
        <w:t>rganisational culture has a significant impact on how businesses function, make choices, and succeed over the long run. Organisational performance is influenced by resources like cash, technology, and strategy, while employee behaviour, communication, and problem-solving are determined by culture. Organisational culture is defined by Mullins and Christy (2016) as the common values, presumptions, and beliefs that shape "how things are done" inside an organization. These cultural traits influence an organization's overall efficacy, decision-making procedures, employee motivation, and leadership styles.</w:t>
      </w:r>
    </w:p>
    <w:p w14:paraId="1B103F55" w14:textId="0F5CD1A9" w:rsidR="00553821" w:rsidRPr="004D7BFA" w:rsidRDefault="00F266DE"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 xml:space="preserve">Strong organisational cultures can give workers a clear sense of purpose and promote actions that advance the goals of the company. Schein (2010) contends that as companies adapt to both internal and external constraints, culture is formed via shared experiences. These encounters eventually lead to the development of standard operating procedures that affect worker behaviour. However, if ingrained beliefs foster resistance to change, stifle innovation, or make it difficult for companies to adjust to shifting circumstances, culture can also constitute a barrier (Denison, 1990). Therefore, while assessing how businesses sustain competitiveness in complicated business settings, a grasp of organisational culture is </w:t>
      </w:r>
      <w:r w:rsidR="00553821" w:rsidRPr="004D7BFA">
        <w:rPr>
          <w:rFonts w:ascii="Arial" w:eastAsia="Times New Roman" w:hAnsi="Arial" w:cs="Arial"/>
          <w:kern w:val="0"/>
          <w:sz w:val="22"/>
          <w:szCs w:val="22"/>
          <w:lang w:eastAsia="en-GB"/>
          <w14:ligatures w14:val="none"/>
        </w:rPr>
        <w:t>Tesco PLC has been selected for this report due to its position as one of the largest retailers in the United Kingdom and its experience of significant cultural change. Founded in 1919, Tesco has developed into a multinational retailer operating across supermarkets, convenience stores and online platforms. The organisation serves millions of customers each week and employs over 330,000 people globally (Tesco PLC, 2024). Managing operations on this scale requires a culture that promotes consistency, accountability and customer focus while also allowing flexibility to respond to changing market conditions.</w:t>
      </w:r>
    </w:p>
    <w:p w14:paraId="03B9AE05" w14:textId="77777777" w:rsidR="00182A02" w:rsidRPr="004D7BFA" w:rsidRDefault="00182A02" w:rsidP="00182A02">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Tesco experienced substantial culture change in the wake of the 2014 accounting scandal, with an emphasis on enhancing governance, openness, and moral decision-making (Tesco PLC, 2024). The company has highlighted customer value, sustainability, and digital transformation as top strategic concerns in more recent times.</w:t>
      </w:r>
    </w:p>
    <w:p w14:paraId="6CA124AD" w14:textId="0555A0B7" w:rsidR="00E66B16" w:rsidRPr="004D7BFA" w:rsidRDefault="00182A02" w:rsidP="00182A02">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The organisational culture of Tesco is critically assessed in this research, along with its impact on decision-making and organisational structure. It evaluates Tesco's dominant culture using established frameworks, such as Denison's Organisational Culture Model, Hofstede's Cultural Dimensions, Handy's Cultural Types, and Schein's Three Levels of Culture. The paper also examines Tesco's use of culture in response to external forces, determines if culture facilitates or hinders success, and analyses its effect on overall organisational performance.</w:t>
      </w:r>
    </w:p>
    <w:p w14:paraId="4076AE8A" w14:textId="77777777" w:rsidR="00477BB4" w:rsidRPr="004D7BFA" w:rsidRDefault="00477BB4"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7D28D579" w14:textId="77777777" w:rsidR="00477BB4" w:rsidRPr="004D7BFA" w:rsidRDefault="00477BB4"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1282C98D" w14:textId="77777777" w:rsidR="00182A02" w:rsidRPr="004D7BFA" w:rsidRDefault="00182A0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0AAAF1F1" w14:textId="77777777" w:rsidR="00182A02" w:rsidRPr="004D7BFA" w:rsidRDefault="00182A02"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285C7330" w14:textId="77777777" w:rsidR="00BA6813" w:rsidRPr="004D7BFA" w:rsidRDefault="00BA6813" w:rsidP="00065E8E">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4D7BFA">
        <w:rPr>
          <w:rFonts w:ascii="Arial" w:eastAsia="Times New Roman" w:hAnsi="Arial" w:cs="Arial"/>
          <w:b/>
          <w:bCs/>
          <w:kern w:val="0"/>
          <w:sz w:val="22"/>
          <w:szCs w:val="22"/>
          <w:lang w:eastAsia="en-GB"/>
          <w14:ligatures w14:val="none"/>
        </w:rPr>
        <w:t>2. Organisational Culture of Tesco</w:t>
      </w:r>
    </w:p>
    <w:p w14:paraId="00B9E63B" w14:textId="77777777" w:rsidR="004805A7" w:rsidRPr="004D7BFA" w:rsidRDefault="004805A7"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The common values, attitudes, and behaviours that affect how people behave and how organisations accomplish their goals are referred to as organisational culture. In contrast to formal regulations or processes, organisational experiences, leadership practices, and daily interactions all contribute to the development of culture. According to Mullins and Christy (2016), culture has a big impact on how productive an organization is since it influences things like employee behaviour, motivation, communication, and leadership. Tesco's culture has developed into a crucial strategic asset that helps maintain uniformity throughout its extensive operations and allows the company to adapt to developments in the retail industry.</w:t>
      </w:r>
    </w:p>
    <w:p w14:paraId="6C2A825E" w14:textId="77777777" w:rsidR="00590AA5" w:rsidRPr="004D7BFA" w:rsidRDefault="00590AA5"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Tesco's corporate culture might be characterised as performance-oriented, customer-centred, and increasingly focused on sustainability and accountability. The company's mission statement, "Serving our customers, communities and planet a little better every day," highlights its dedication to generating value for clients and other stakeholders rather than concentrating only on financial results (Tesco PLC, 2024). Through corporate responsibility programs, leadership communication, and employee training, these principles are reaffirmed, fostering a common understanding of appropriate behaviour across the whole organization.</w:t>
      </w:r>
    </w:p>
    <w:p w14:paraId="0FDB6DA8" w14:textId="71DDFC71" w:rsidR="00E0053B" w:rsidRPr="004D7BFA" w:rsidRDefault="00E0053B"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The development of Tesco’s current culture has been influenced by both organisational success and previous challenges. The accounting scandal in 2014 damaged stakeholder trust and highlighted weaknesses in governance and ethical decision-making. In response, Tesco introduced significant cultural changes focused on transparency, stronger controls and greater accountability (Tesco PLC, 2024). This demonstrates that organisational culture is not fixed but can evolve when organisations face internal problems or external pressures. Schein (2010) argues that culture develops through organisational learning, as new values and assumptions emerge when businesses adapt to changing circumstances.</w:t>
      </w:r>
    </w:p>
    <w:p w14:paraId="700A8FAF" w14:textId="77777777" w:rsidR="00E0053B" w:rsidRPr="004D7BFA" w:rsidRDefault="00E0053B"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Tesco’s culture can also be understood through Schein’s (2010) Three Levels of Culture. The first level, artefacts, represents the visible aspects of culture that can be observed by employees and customers. Within Tesco, these include store layouts, employee uniforms, digital self-service systems, online shopping platforms and the Clubcard loyalty programme. These features reflect an organisation focused on efficiency, convenience and customer experience.</w:t>
      </w:r>
    </w:p>
    <w:p w14:paraId="60371B9E" w14:textId="77777777" w:rsidR="00E0053B" w:rsidRPr="004D7BFA" w:rsidRDefault="00E0053B"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 xml:space="preserve">The second level concerns espoused values, which represent the principles an organisation promotes. Tesco highlights values such as customer satisfaction, teamwork, inclusion and responsible business practices. Its investment in reducing food waste, lowering carbon emissions and supporting local communities demonstrates how sustainability has become embedded within its organisational values </w:t>
      </w:r>
      <w:r w:rsidRPr="004D7BFA">
        <w:rPr>
          <w:rFonts w:ascii="Arial" w:eastAsia="Times New Roman" w:hAnsi="Arial" w:cs="Arial"/>
          <w:kern w:val="0"/>
          <w:sz w:val="22"/>
          <w:szCs w:val="22"/>
          <w:lang w:eastAsia="en-GB"/>
          <w14:ligatures w14:val="none"/>
        </w:rPr>
        <w:lastRenderedPageBreak/>
        <w:t>(Tesco PLC, 2024). These values contribute to employee commitment by creating a sense of shared purpose.</w:t>
      </w:r>
    </w:p>
    <w:p w14:paraId="3D2B5DBB" w14:textId="77777777" w:rsidR="00E0053B" w:rsidRPr="004D7BFA" w:rsidRDefault="00E0053B"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 xml:space="preserve">The final level of Schein’s model focuses on underlying assumptions, which are the deeply held beliefs that influence everyday behaviour. At Tesco, a key assumption is that understanding customers and improving operational efficiency are essential for long-term success. This is demonstrated </w:t>
      </w:r>
      <w:proofErr w:type="gramStart"/>
      <w:r w:rsidRPr="004D7BFA">
        <w:rPr>
          <w:rFonts w:ascii="Arial" w:eastAsia="Times New Roman" w:hAnsi="Arial" w:cs="Arial"/>
          <w:kern w:val="0"/>
          <w:sz w:val="22"/>
          <w:szCs w:val="22"/>
          <w:lang w:eastAsia="en-GB"/>
          <w14:ligatures w14:val="none"/>
        </w:rPr>
        <w:t>through the use of</w:t>
      </w:r>
      <w:proofErr w:type="gramEnd"/>
      <w:r w:rsidRPr="004D7BFA">
        <w:rPr>
          <w:rFonts w:ascii="Arial" w:eastAsia="Times New Roman" w:hAnsi="Arial" w:cs="Arial"/>
          <w:kern w:val="0"/>
          <w:sz w:val="22"/>
          <w:szCs w:val="22"/>
          <w:lang w:eastAsia="en-GB"/>
          <w14:ligatures w14:val="none"/>
        </w:rPr>
        <w:t xml:space="preserve"> customer data collected through Clubcard, which allows Tesco to analyse purchasing patterns, improve stock management and make evidence-based decisions.</w:t>
      </w:r>
    </w:p>
    <w:p w14:paraId="43B7A6E6" w14:textId="77777777" w:rsidR="00E0053B" w:rsidRPr="004D7BFA" w:rsidRDefault="00E0053B"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However, Tesco’s performance-driven culture may also create challenges. A strong focus on efficiency, targets and standardisation can place pressure on employees and potentially limit creativity. Elliott et al. (2023) suggest that highly performance-focused cultures may reduce innovation if employees become more concerned with following established processes than developing new ideas. Therefore, although Tesco’s culture provides stability and operational strength, maintaining competitiveness will require continued investment in innovation, employee empowerment and organisational learning.</w:t>
      </w:r>
    </w:p>
    <w:p w14:paraId="48BD2BBC" w14:textId="77777777" w:rsidR="00E66B16" w:rsidRPr="004D7BFA" w:rsidRDefault="00E66B16"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7E891C25" w14:textId="77777777" w:rsidR="00787E97" w:rsidRPr="004D7BFA" w:rsidRDefault="00787E97" w:rsidP="00065E8E">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4D7BFA">
        <w:rPr>
          <w:rFonts w:ascii="Arial" w:eastAsia="Times New Roman" w:hAnsi="Arial" w:cs="Arial"/>
          <w:b/>
          <w:bCs/>
          <w:kern w:val="0"/>
          <w:sz w:val="22"/>
          <w:szCs w:val="22"/>
          <w:lang w:eastAsia="en-GB"/>
          <w14:ligatures w14:val="none"/>
        </w:rPr>
        <w:t>3. Influence of Culture on Structure and Decision-Making</w:t>
      </w:r>
    </w:p>
    <w:p w14:paraId="3872C1ED" w14:textId="77777777" w:rsidR="00A54C1F" w:rsidRPr="004D7BFA" w:rsidRDefault="00A54C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Organisational culture and structure are closely connected because culture influences how authority is distributed, how employees communicate and how decisions are made. While organisational structure establishes formal reporting relationships and responsibilities, culture determines how these systems operate in practice (Mullins and Christy, 2016). Within a large organisation such as Tesco, culture provides employees with shared expectations that support coordination across thousands of stores, departments and operational areas.</w:t>
      </w:r>
    </w:p>
    <w:p w14:paraId="25867DDC" w14:textId="77777777" w:rsidR="00A54C1F" w:rsidRPr="004D7BFA" w:rsidRDefault="00A54C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Tesco operates through a mainly hierarchical structure, where strategic decisions are developed by senior leadership before being implemented across regional and store-level operations. However, the organisation also incorporates elements of decentralisation by allowing managers to make operational decisions based on local customer needs. This combination reflects Tesco’s cultural emphasis on maintaining consistency while remaining responsive to different markets and customer expectations (Tesco PLC, 2024).</w:t>
      </w:r>
    </w:p>
    <w:p w14:paraId="339735D1" w14:textId="77777777" w:rsidR="00A54C1F" w:rsidRPr="004D7BFA" w:rsidRDefault="00A54C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The relationship between Tesco’s culture and structure can be examined through Burns and Stalker’s (1961) distinction between mechanistic and organic organisations. A mechanistic structure is based on formal procedures, clearly defined roles and centralised control, whereas an organic structure encourages flexibility, collaboration and employee involvement. Tesco demonstrates characteristics of both approaches. Its operations rely heavily on standardised processes relating to areas such as stock management, food safety, pricing and financial reporting. These systems support efficiency and ensure customers receive consistent service across different locations.</w:t>
      </w:r>
    </w:p>
    <w:p w14:paraId="4AF8650C" w14:textId="77777777" w:rsidR="00A54C1F" w:rsidRPr="004D7BFA" w:rsidRDefault="00A54C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lastRenderedPageBreak/>
        <w:t>However, Tesco also demonstrates elements of an organic structure through its ability to adapt to changing customer requirements. Store managers have responsibility for managing staffing, customer service and local operational issues, allowing decisions to be made closer to customers. This reflects a culture that values accountability and empowers employees to respond to practical challenges.</w:t>
      </w:r>
    </w:p>
    <w:p w14:paraId="36495A32" w14:textId="77777777" w:rsidR="00A54C1F" w:rsidRPr="004D7BFA" w:rsidRDefault="00A54C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 xml:space="preserve">Decision-making within Tesco is strongly influenced by data and evidence. The organisation’s Clubcard programme provides detailed information about customer purchasing behaviour, allowing managers to identify trends, improve promotions and manage stock more effectively (Tesco PLC, 2024). This data-driven approach reflects a cultural belief that decisions should be supported by evidence rather than assumptions. According to </w:t>
      </w:r>
      <w:proofErr w:type="spellStart"/>
      <w:r w:rsidRPr="004D7BFA">
        <w:rPr>
          <w:rFonts w:ascii="Arial" w:eastAsia="Times New Roman" w:hAnsi="Arial" w:cs="Arial"/>
          <w:kern w:val="0"/>
          <w:sz w:val="22"/>
          <w:szCs w:val="22"/>
          <w:lang w:eastAsia="en-GB"/>
          <w14:ligatures w14:val="none"/>
        </w:rPr>
        <w:t>Kiziloglu</w:t>
      </w:r>
      <w:proofErr w:type="spellEnd"/>
      <w:r w:rsidRPr="004D7BFA">
        <w:rPr>
          <w:rFonts w:ascii="Arial" w:eastAsia="Times New Roman" w:hAnsi="Arial" w:cs="Arial"/>
          <w:kern w:val="0"/>
          <w:sz w:val="22"/>
          <w:szCs w:val="22"/>
          <w:lang w:eastAsia="en-GB"/>
          <w14:ligatures w14:val="none"/>
        </w:rPr>
        <w:t xml:space="preserve"> (2021), organisations that integrate knowledge management and learning into decision-making processes often achieve improved operational performance.</w:t>
      </w:r>
    </w:p>
    <w:p w14:paraId="37160C07" w14:textId="77777777" w:rsidR="00A54C1F" w:rsidRPr="004D7BFA" w:rsidRDefault="00A54C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Despite these advantages, Tesco’s reliance on performance data may also create limitations. Excessive focus on measurable outcomes, such as sales targets and productivity levels, may discourage creativity and risk-taking. Wiese et al. (2024) argue that organisations with highly analytical cultures can become less innovative when employees prioritise achieving existing targets rather than exploring new approaches.</w:t>
      </w:r>
    </w:p>
    <w:p w14:paraId="63D8368B" w14:textId="77777777" w:rsidR="00A54C1F" w:rsidRPr="004D7BFA" w:rsidRDefault="00A54C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Leadership has also played an important role in shaping Tesco’s decision-making culture. Following the 2014 accounting scandal, Tesco strengthened ethical leadership, transparency and accountability across the organisation (Tesco PLC, 2024). Schein (2010) highlights that leaders are central in creating and maintaining culture because employees often adopt behaviours demonstrated and rewarded by senior managers.</w:t>
      </w:r>
    </w:p>
    <w:p w14:paraId="78B14FB4" w14:textId="77777777" w:rsidR="00A54C1F" w:rsidRPr="004D7BFA" w:rsidRDefault="00A54C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Overall, Tesco’s culture has significantly influenced its structure and decision-making processes. Its combination of hierarchical control, local responsibility and evidence-based decision-making allows the organisation to maintain efficiency while responding to customer needs. However, Tesco must continue balancing operational control with greater flexibility and employee empowerment to encourage innovation in an increasingly competitive retail environment.</w:t>
      </w:r>
    </w:p>
    <w:p w14:paraId="3AF5ABA5" w14:textId="77777777" w:rsidR="00E66B16" w:rsidRPr="004D7BFA" w:rsidRDefault="00E66B16"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68FDE714" w14:textId="77777777" w:rsidR="009B449B" w:rsidRPr="004D7BFA" w:rsidRDefault="009B449B" w:rsidP="00065E8E">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4D7BFA">
        <w:rPr>
          <w:rFonts w:ascii="Arial" w:eastAsia="Times New Roman" w:hAnsi="Arial" w:cs="Arial"/>
          <w:b/>
          <w:bCs/>
          <w:kern w:val="0"/>
          <w:sz w:val="22"/>
          <w:szCs w:val="22"/>
          <w:lang w:eastAsia="en-GB"/>
          <w14:ligatures w14:val="none"/>
        </w:rPr>
        <w:t>4. Identifying Cultural Types: Models and Frameworks</w:t>
      </w:r>
    </w:p>
    <w:p w14:paraId="5B9ACBEA" w14:textId="77777777" w:rsidR="00015521" w:rsidRPr="004D7BFA" w:rsidRDefault="00015521"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Understanding organisational culture requires analysing the underlying values and behaviours that influence how employees work and how organisations achieve their objectives. Several theoretical frameworks have been developed to explain cultural characteristics and their relationship with organisational effectiveness. Applying these models to Tesco provides a deeper understanding of the organisation’s prevailing culture and highlights both its strengths and potential limitations.</w:t>
      </w:r>
    </w:p>
    <w:p w14:paraId="5C8DC92A" w14:textId="77777777" w:rsidR="00015521" w:rsidRPr="004D7BFA" w:rsidRDefault="00015521"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 xml:space="preserve">Schein’s (2010) Three Levels of Organisational Culture is one of the most widely used frameworks for analysing culture. The model identifies three levels: artefacts, espoused values and underlying </w:t>
      </w:r>
      <w:r w:rsidRPr="004D7BFA">
        <w:rPr>
          <w:rFonts w:ascii="Arial" w:eastAsia="Times New Roman" w:hAnsi="Arial" w:cs="Arial"/>
          <w:kern w:val="0"/>
          <w:sz w:val="22"/>
          <w:szCs w:val="22"/>
          <w:lang w:eastAsia="en-GB"/>
          <w14:ligatures w14:val="none"/>
        </w:rPr>
        <w:lastRenderedPageBreak/>
        <w:t>assumptions. Tesco’s artefacts include visible features such as store designs, employee uniforms, online shopping platforms, self-service technology and the Clubcard loyalty programme. These elements demonstrate an organisation focused on customer convenience, efficiency and technological development. However, Schein (2010) argues that visible behaviours alone do not fully explain culture because they are influenced by deeper values and assumptions.</w:t>
      </w:r>
    </w:p>
    <w:p w14:paraId="466B4572" w14:textId="77777777" w:rsidR="00015521" w:rsidRPr="004D7BFA" w:rsidRDefault="00015521"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Tesco’s espoused values demonstrate a strong focus on customer service, teamwork, inclusion and responsible business practices. These values are communicated through corporate strategies, employee development initiatives and sustainability commitments. For example, Tesco’s focus on reducing food waste, improving environmental performance and supporting communities shows that sustainability has become increasingly embedded within its organisational culture (Tesco PLC, 2024). At the deepest level, Tesco’s underlying assumptions centre on the belief that customer loyalty, operational efficiency and continuous improvement are essential for long-term success. These assumptions influence decisions across areas such as supply chain management, pricing and customer engagement.</w:t>
      </w:r>
    </w:p>
    <w:p w14:paraId="1C54038D" w14:textId="77777777" w:rsidR="00015521" w:rsidRPr="004D7BFA" w:rsidRDefault="00015521"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Handy’s (1993) Cultural Types Model provides another perspective by identifying four types of culture: power culture, role culture, task culture and person culture. Tesco most closely reflects a role culture, which is characterised by formal procedures, clearly defined responsibilities and hierarchical structures. This is appropriate for a large retail organisation where consistency, safety and efficiency are essential. Tesco’s standardised systems for inventory control, food safety and employee responsibilities demonstrate the influence of role culture throughout the organisation.</w:t>
      </w:r>
    </w:p>
    <w:p w14:paraId="5E190998" w14:textId="77777777" w:rsidR="00015521" w:rsidRPr="004D7BFA" w:rsidRDefault="00015521"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However, role cultures can create challenges because they may reduce flexibility and slow decision-making. Employees operating within highly structured environments may become dependent on established procedures rather than developing innovative solutions (Handy, 1993). This criticism is relevant to Tesco, where maintaining operational consistency must be balanced with encouraging creativity and adaptation.</w:t>
      </w:r>
    </w:p>
    <w:p w14:paraId="0191F01A" w14:textId="77777777" w:rsidR="00015521" w:rsidRPr="004D7BFA" w:rsidRDefault="00015521"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Tesco also demonstrates characteristics of task culture, particularly through digital transformation and innovation projects. Task cultures emphasise teamwork, collaboration and problem-solving. Tesco’s investment in online retailing, data analytics and automation requires employees from different departments to work together towards shared objectives (Tesco PLC, 2024). These examples suggest that Tesco combines traditional hierarchical elements with more collaborative approaches when responding to strategic challenges.</w:t>
      </w:r>
    </w:p>
    <w:p w14:paraId="56B4CDCA" w14:textId="77777777" w:rsidR="00015521" w:rsidRPr="004D7BFA" w:rsidRDefault="00015521"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 xml:space="preserve">Hofstede’s (2001) Cultural Dimensions Theory provides further insight into Tesco’s cultural characteristics. Although originally developed to analyse national cultures, the framework can help explain organisational behaviours. Tesco demonstrates elements of lower power distance through employee feedback systems, engagement surveys and communication channels that allow staff to share ideas. However, the </w:t>
      </w:r>
      <w:r w:rsidRPr="004D7BFA">
        <w:rPr>
          <w:rFonts w:ascii="Arial" w:eastAsia="Times New Roman" w:hAnsi="Arial" w:cs="Arial"/>
          <w:kern w:val="0"/>
          <w:sz w:val="22"/>
          <w:szCs w:val="22"/>
          <w:lang w:eastAsia="en-GB"/>
          <w14:ligatures w14:val="none"/>
        </w:rPr>
        <w:lastRenderedPageBreak/>
        <w:t>organisation also reflects higher uncertainty avoidance through its reliance on procedures, risk management and operational controls.</w:t>
      </w:r>
    </w:p>
    <w:p w14:paraId="7147AF00" w14:textId="77777777" w:rsidR="00015521" w:rsidRPr="004D7BFA" w:rsidRDefault="00015521"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Finally, Denison’s (1990) Organisational Culture Model highlights four characteristics linked to organisational effectiveness: mission, adaptability, involvement and consistency. Tesco demonstrates a strong mission through its customer-focused purpose and clear strategic objectives. Its consistency is shown through standardised processes, while adaptability is reflected through investment in digital technology and changing customer services. Employee involvement is supported through engagement initiatives and development opportunities.</w:t>
      </w:r>
    </w:p>
    <w:p w14:paraId="66117887" w14:textId="77777777" w:rsidR="00015521" w:rsidRPr="004D7BFA" w:rsidRDefault="00015521"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Overall, these frameworks suggest that Tesco’s culture is primarily a role culture supported by elements of task culture. Its strong emphasis on consistency, accountability and customer focus provides stability, while increasing investment in innovation and employee involvement supports adaptability. Maintaining this balance will be essential for Tesco’s future competitiveness within a rapidly changing retail environment.</w:t>
      </w:r>
    </w:p>
    <w:p w14:paraId="3FA25996" w14:textId="644B14A5" w:rsidR="009B449B" w:rsidRPr="004D7BFA" w:rsidRDefault="009B449B"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3E876E4F" w14:textId="77777777" w:rsidR="00856683" w:rsidRPr="004D7BFA" w:rsidRDefault="00856683" w:rsidP="00065E8E">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4D7BFA">
        <w:rPr>
          <w:rFonts w:ascii="Arial" w:eastAsia="Times New Roman" w:hAnsi="Arial" w:cs="Arial"/>
          <w:b/>
          <w:bCs/>
          <w:kern w:val="0"/>
          <w:sz w:val="22"/>
          <w:szCs w:val="22"/>
          <w:lang w:eastAsia="en-GB"/>
          <w14:ligatures w14:val="none"/>
        </w:rPr>
        <w:t>5. Culture and the External Environment</w:t>
      </w:r>
    </w:p>
    <w:p w14:paraId="0E37E6D3" w14:textId="77777777" w:rsidR="00E5751F" w:rsidRPr="004D7BFA" w:rsidRDefault="00E575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Organisations operate within constantly changing environments influenced by economic conditions, technological developments, social expectations and regulatory pressures. The ability to respond effectively to these external factors is often determined by the flexibility of organisational culture. Mullins and Christy (2016) argue that organisations with cultures that encourage learning, adaptability and continuous improvement are better equipped to manage environmental change. For Tesco, organisational culture has played an important role in maintaining competitiveness within a highly challenging retail sector.</w:t>
      </w:r>
    </w:p>
    <w:p w14:paraId="119EEBE5" w14:textId="77777777" w:rsidR="00E5751F" w:rsidRPr="004D7BFA" w:rsidRDefault="00E575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The UK grocery market is extremely competitive, with Tesco facing pressure from established supermarkets and discount retailers such as Aldi and Lidl. Rising inflation and changes in consumer spending patterns have increased customer demand for value while maintaining quality. Tesco has responded by strengthening a culture focused on customer understanding and affordability through initiatives such as Clubcard Prices and investment in own-brand products (Tesco PLC, 2024). These actions demonstrate how Tesco’s customer-centred culture supports its ability to adapt to changing consumer expectations.</w:t>
      </w:r>
    </w:p>
    <w:p w14:paraId="18CC6F5C" w14:textId="77777777" w:rsidR="00E5751F" w:rsidRPr="004D7BFA" w:rsidRDefault="00E575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Technological development has also significantly influenced the retail industry. Customers increasingly expect convenient digital services, personalised shopping experiences and efficient delivery options. Tesco has responded by investing in online grocery platforms, automation, data analytics and digital services. These developments reflect a cultural shift towards innovation and continuous improvement, as employees are required to develop new skills and adapt to changing ways of working. Kotter (2012) suggests that organisations that embed change into their culture are more likely to achieve long-term success because employees become more accepting of new approaches.</w:t>
      </w:r>
    </w:p>
    <w:p w14:paraId="75D8D49D" w14:textId="77777777" w:rsidR="00E5751F" w:rsidRPr="004D7BFA" w:rsidRDefault="00E575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lastRenderedPageBreak/>
        <w:t>Sustainability has become another major external influence affecting Tesco’s organisational culture. Consumers, governments and investors increasingly expect businesses to demonstrate environmental responsibility. Tesco has responded by introducing initiatives focused on reducing carbon emissions, minimising food waste and improving sustainable sourcing (Tesco PLC, 2024). These commitments demonstrate that sustainability has moved beyond being a separate corporate responsibility activity and has become part of the organisation’s wider values and decision-making processes.</w:t>
      </w:r>
    </w:p>
    <w:p w14:paraId="1A619415" w14:textId="77777777" w:rsidR="00E5751F" w:rsidRPr="004D7BFA" w:rsidRDefault="00E575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Regulatory pressures have also shaped Tesco’s culture. Food safety requirements, employment legislation and corporate governance expectations require strong compliance systems. Following the accounting scandal in 2014, Tesco strengthened its internal controls and ethical standards to rebuild stakeholder trust. This illustrates how external pressures can influence organisational culture by encouraging greater transparency, accountability and responsible leadership.</w:t>
      </w:r>
    </w:p>
    <w:p w14:paraId="2C7AA5A6" w14:textId="77777777" w:rsidR="00E5751F" w:rsidRPr="004D7BFA" w:rsidRDefault="00E575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Denison’s (1990) Organisational Culture Model provides a useful framework for evaluating Tesco’s ability to respond to external challenges. The model identifies four cultural traits: mission, adaptability, involvement and consistency. Tesco demonstrates a clear mission through its focus on customers, communities and sustainability. Its consistency is reflected through standardised processes that allow reliable service across its operations. At the same time, investment in digital transformation and changing customer services demonstrates adaptability.</w:t>
      </w:r>
    </w:p>
    <w:p w14:paraId="783197BC" w14:textId="77777777" w:rsidR="00E5751F" w:rsidRPr="004D7BFA" w:rsidRDefault="00E575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However, maintaining a balance between consistency and adaptability remains a challenge. While strong procedures support efficiency, excessive reliance on established methods may reduce flexibility and innovation. Elliott et al. (2023) argue that organisations must continually develop their cultures to remain responsive in uncertain environments.</w:t>
      </w:r>
    </w:p>
    <w:p w14:paraId="2196FD9C" w14:textId="77777777" w:rsidR="00E5751F" w:rsidRPr="004D7BFA" w:rsidRDefault="00E5751F"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Overall, Tesco’s culture has enabled the organisation to respond effectively to competition, technology, sustainability expectations and regulatory change. However, continued focus on innovation, employee involvement and organisational learning will be necessary to ensure long-term resilience.</w:t>
      </w:r>
    </w:p>
    <w:p w14:paraId="7AC0D82B" w14:textId="77777777" w:rsidR="00E66B16" w:rsidRPr="004D7BFA" w:rsidRDefault="00E66B16"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5E28DD2E" w14:textId="7A8ECB74" w:rsidR="00E24556" w:rsidRPr="004D7BFA" w:rsidRDefault="00E24556" w:rsidP="00065E8E">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4D7BFA">
        <w:rPr>
          <w:rFonts w:ascii="Arial" w:eastAsia="Times New Roman" w:hAnsi="Arial" w:cs="Arial"/>
          <w:b/>
          <w:bCs/>
          <w:kern w:val="0"/>
          <w:sz w:val="22"/>
          <w:szCs w:val="22"/>
          <w:lang w:eastAsia="en-GB"/>
          <w14:ligatures w14:val="none"/>
        </w:rPr>
        <w:t xml:space="preserve">6. Organisational Culture as a Barrier and Enabler </w:t>
      </w:r>
    </w:p>
    <w:p w14:paraId="60BA1B2F" w14:textId="77777777" w:rsidR="00E24556" w:rsidRPr="004D7BFA" w:rsidRDefault="00E24556"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Organisational culture can influence success by providing employees with shared values and clear expectations, but it can also create barriers when established behaviours prevent change. Therefore, a strong culture should not automatically be viewed as beneficial, as its impact depends on whether cultural values support organisational objectives and the ability to adapt. Tesco demonstrates how culture can operate as both an enabler and a potential limitation within a competitive retail environment.</w:t>
      </w:r>
    </w:p>
    <w:p w14:paraId="5EB1B303" w14:textId="77777777" w:rsidR="00E24556" w:rsidRPr="004D7BFA" w:rsidRDefault="00E24556"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 xml:space="preserve">One of Tesco’s key cultural strengths is its focus on customers, accountability and operational excellence. Shared values provide employees with guidance regarding expected behaviours and service standards, </w:t>
      </w:r>
      <w:r w:rsidRPr="004D7BFA">
        <w:rPr>
          <w:rFonts w:ascii="Arial" w:eastAsia="Times New Roman" w:hAnsi="Arial" w:cs="Arial"/>
          <w:kern w:val="0"/>
          <w:sz w:val="22"/>
          <w:szCs w:val="22"/>
          <w:lang w:eastAsia="en-GB"/>
          <w14:ligatures w14:val="none"/>
        </w:rPr>
        <w:lastRenderedPageBreak/>
        <w:t>allowing the organisation to deliver consistent experiences across its large network of stores. Schein (2010) suggests that strong cultures can improve organisational effectiveness because employees understand the behaviours and priorities required to achieve shared goals. For Tesco, this has supported brand consistency, customer loyalty and operational reliability.</w:t>
      </w:r>
    </w:p>
    <w:p w14:paraId="622D6B3B" w14:textId="77777777" w:rsidR="00E24556" w:rsidRPr="004D7BFA" w:rsidRDefault="00E24556"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The organisation’s cultural transformation following the 2014 accounting scandal also demonstrates how culture can act as an enabler. By strengthening ethical leadership, transparency and governance, Tesco improved stakeholder confidence and created greater accountability within decision-making processes (Tesco PLC, 2024). This shows that culture can support organisational recovery when values and behaviours are aligned with responsible business practices.</w:t>
      </w:r>
    </w:p>
    <w:p w14:paraId="03779AEB" w14:textId="77777777" w:rsidR="00E24556" w:rsidRPr="004D7BFA" w:rsidRDefault="00E24556"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 xml:space="preserve">Furthermore, Tesco’s investment in employee development, inclusion and wellbeing demonstrates the positive relationship between culture and employee engagement. A culture that supports learning and involvement can improve motivation and encourage employees to contribute towards organisational objectives. </w:t>
      </w:r>
      <w:proofErr w:type="spellStart"/>
      <w:r w:rsidRPr="004D7BFA">
        <w:rPr>
          <w:rFonts w:ascii="Arial" w:eastAsia="Times New Roman" w:hAnsi="Arial" w:cs="Arial"/>
          <w:kern w:val="0"/>
          <w:sz w:val="22"/>
          <w:szCs w:val="22"/>
          <w:lang w:eastAsia="en-GB"/>
          <w14:ligatures w14:val="none"/>
        </w:rPr>
        <w:t>Kiziloglu</w:t>
      </w:r>
      <w:proofErr w:type="spellEnd"/>
      <w:r w:rsidRPr="004D7BFA">
        <w:rPr>
          <w:rFonts w:ascii="Arial" w:eastAsia="Times New Roman" w:hAnsi="Arial" w:cs="Arial"/>
          <w:kern w:val="0"/>
          <w:sz w:val="22"/>
          <w:szCs w:val="22"/>
          <w:lang w:eastAsia="en-GB"/>
          <w14:ligatures w14:val="none"/>
        </w:rPr>
        <w:t xml:space="preserve"> (2021) argues that organisations with strong learning cultures are more effective because employees are encouraged to share knowledge and develop their capabilities.</w:t>
      </w:r>
    </w:p>
    <w:p w14:paraId="1E7ECCBD" w14:textId="77777777" w:rsidR="00E24556" w:rsidRPr="004D7BFA" w:rsidRDefault="00E24556"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However, Tesco’s culture may also create barriers. Its strong focus on efficiency, performance targets and standardisation can reduce flexibility if employees become focused on meeting existing procedures rather than exploring new ideas. Wiese et al. (2024) suggest that highly structured cultures can limit innovation because employees may become risk-averse and less willing to challenge established practices. Within Tesco, this could become a disadvantage in a retail environment where technological change and customer expectations are developing rapidly.</w:t>
      </w:r>
    </w:p>
    <w:p w14:paraId="01813E50" w14:textId="77777777" w:rsidR="00E24556" w:rsidRPr="004D7BFA" w:rsidRDefault="00E24556"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The size of Tesco also creates cultural challenges. Managing more than 330,000 employees requires formal processes and clear structures, but these systems may slow decision-making and make organisational change more difficult (Tesco PLC, 2024). Employees may experience delays when implementing new ideas because decisions often require approval through several management levels.</w:t>
      </w:r>
    </w:p>
    <w:p w14:paraId="564039C2" w14:textId="77777777" w:rsidR="00E24556" w:rsidRPr="004D7BFA" w:rsidRDefault="00E24556"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Overall, Tesco’s culture currently functions more as an enabler than a barrier. Its emphasis on customer service, accountability and consistency has contributed to organisational success. However, future competitiveness will depend on Tesco’s ability to maintain these strengths while encouraging greater innovation, employee empowerment and flexibility.</w:t>
      </w:r>
    </w:p>
    <w:p w14:paraId="64354211" w14:textId="77777777" w:rsidR="00E66B16" w:rsidRPr="004D7BFA" w:rsidRDefault="00E66B16"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p>
    <w:p w14:paraId="720CE61A" w14:textId="77777777" w:rsidR="00A97499" w:rsidRDefault="00D23B8C" w:rsidP="00065E8E">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4D7BFA">
        <w:rPr>
          <w:rFonts w:ascii="Arial" w:eastAsia="Times New Roman" w:hAnsi="Arial" w:cs="Arial"/>
          <w:b/>
          <w:bCs/>
          <w:kern w:val="0"/>
          <w:sz w:val="22"/>
          <w:szCs w:val="22"/>
          <w:lang w:eastAsia="en-GB"/>
          <w14:ligatures w14:val="none"/>
        </w:rPr>
        <w:t xml:space="preserve">7. Impact of Culture on Organisational Performance </w:t>
      </w:r>
    </w:p>
    <w:p w14:paraId="5631A710" w14:textId="3D6BF7C4" w:rsidR="00D23B8C" w:rsidRPr="00A97499" w:rsidRDefault="00D23B8C" w:rsidP="00065E8E">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4D7BFA">
        <w:rPr>
          <w:rFonts w:ascii="Arial" w:eastAsia="Times New Roman" w:hAnsi="Arial" w:cs="Arial"/>
          <w:kern w:val="0"/>
          <w:sz w:val="22"/>
          <w:szCs w:val="22"/>
          <w:lang w:eastAsia="en-GB"/>
          <w14:ligatures w14:val="none"/>
        </w:rPr>
        <w:t xml:space="preserve">Organisational culture has a significant influence on performance because it affects how employees behave, how effectively teams work together and how organisations respond to challenges. Although factors such as financial resources, technology and market position contribute to success, these elements </w:t>
      </w:r>
      <w:r w:rsidRPr="004D7BFA">
        <w:rPr>
          <w:rFonts w:ascii="Arial" w:eastAsia="Times New Roman" w:hAnsi="Arial" w:cs="Arial"/>
          <w:kern w:val="0"/>
          <w:sz w:val="22"/>
          <w:szCs w:val="22"/>
          <w:lang w:eastAsia="en-GB"/>
          <w14:ligatures w14:val="none"/>
        </w:rPr>
        <w:lastRenderedPageBreak/>
        <w:t>are strengthened when supported by an effective organisational culture. Mullins and Christy (2016) highlight that culture influences motivation, communication, leadership and decision-making, all of which contribute to organisational effectiveness. Tesco demonstrates how culture can support customer loyalty, operational efficiency and long-term resilience.</w:t>
      </w:r>
    </w:p>
    <w:p w14:paraId="49E2F73D" w14:textId="77777777" w:rsidR="00D23B8C" w:rsidRPr="004D7BFA" w:rsidRDefault="00D23B8C"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 xml:space="preserve">One of the most important ways Tesco’s </w:t>
      </w:r>
      <w:proofErr w:type="gramStart"/>
      <w:r w:rsidRPr="004D7BFA">
        <w:rPr>
          <w:rFonts w:ascii="Arial" w:eastAsia="Times New Roman" w:hAnsi="Arial" w:cs="Arial"/>
          <w:kern w:val="0"/>
          <w:sz w:val="22"/>
          <w:szCs w:val="22"/>
          <w:lang w:eastAsia="en-GB"/>
          <w14:ligatures w14:val="none"/>
        </w:rPr>
        <w:t>culture</w:t>
      </w:r>
      <w:proofErr w:type="gramEnd"/>
      <w:r w:rsidRPr="004D7BFA">
        <w:rPr>
          <w:rFonts w:ascii="Arial" w:eastAsia="Times New Roman" w:hAnsi="Arial" w:cs="Arial"/>
          <w:kern w:val="0"/>
          <w:sz w:val="22"/>
          <w:szCs w:val="22"/>
          <w:lang w:eastAsia="en-GB"/>
          <w14:ligatures w14:val="none"/>
        </w:rPr>
        <w:t xml:space="preserve"> contributes to performance is through its strong customer focus. Customer satisfaction is embedded within Tesco’s organisational values and influences decisions across different levels of the business. Employees are encouraged to provide reliable service, maintain product availability and respond to customer expectations. This customer-centred approach has helped Tesco maintain its position as one of the UK’s leading supermarket retailers, serving millions of customers every week (Tesco PLC, 2024).</w:t>
      </w:r>
    </w:p>
    <w:p w14:paraId="2333C49D" w14:textId="77777777" w:rsidR="00D23B8C" w:rsidRPr="004D7BFA" w:rsidRDefault="00D23B8C"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The Clubcard loyalty programme provides an example of how culture supports organisational performance. Tesco’s emphasis on understanding customers and using evidence-based decisions allows the organisation to analyse purchasing behaviour, personalise promotions and improve stock management. This demonstrates how cultural values can become embedded within operational practices. Schein (2010) argues that when organisational values are consistently reinforced through daily activities, they influence behaviours that support strategic objectives.</w:t>
      </w:r>
    </w:p>
    <w:p w14:paraId="140A92A1" w14:textId="77777777" w:rsidR="00D23B8C" w:rsidRPr="004D7BFA" w:rsidRDefault="00D23B8C"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 xml:space="preserve">Employee engagement is another area where culture affects performance. Tesco has invested in leadership development, employee wellbeing initiatives and communication systems to improve staff involvement and create a more supportive working environment (Tesco PLC, 2024). Employees who understand organisational goals and feel valued are more likely to contribute positively to performance. </w:t>
      </w:r>
      <w:proofErr w:type="spellStart"/>
      <w:r w:rsidRPr="004D7BFA">
        <w:rPr>
          <w:rFonts w:ascii="Arial" w:eastAsia="Times New Roman" w:hAnsi="Arial" w:cs="Arial"/>
          <w:kern w:val="0"/>
          <w:sz w:val="22"/>
          <w:szCs w:val="22"/>
          <w:lang w:eastAsia="en-GB"/>
          <w14:ligatures w14:val="none"/>
        </w:rPr>
        <w:t>Kiziloglu</w:t>
      </w:r>
      <w:proofErr w:type="spellEnd"/>
      <w:r w:rsidRPr="004D7BFA">
        <w:rPr>
          <w:rFonts w:ascii="Arial" w:eastAsia="Times New Roman" w:hAnsi="Arial" w:cs="Arial"/>
          <w:kern w:val="0"/>
          <w:sz w:val="22"/>
          <w:szCs w:val="22"/>
          <w:lang w:eastAsia="en-GB"/>
          <w14:ligatures w14:val="none"/>
        </w:rPr>
        <w:t xml:space="preserve"> (2021) suggests that learning-focused cultures improve organisational capability because employees are encouraged to develop skills and share knowledge.</w:t>
      </w:r>
    </w:p>
    <w:p w14:paraId="74A7EAEC" w14:textId="77777777" w:rsidR="00D23B8C" w:rsidRPr="004D7BFA" w:rsidRDefault="00D23B8C"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Tesco’s culture also supports operational efficiency through its emphasis on consistency, accountability and continuous improvement. Standardised procedures help the organisation manage complex operations, reduce errors and maintain quality standards across its stores and supply chains. These cultural characteristics contribute to cost control and reliable customer service, which are essential within the competitive retail sector.</w:t>
      </w:r>
    </w:p>
    <w:p w14:paraId="68EC6807" w14:textId="77777777" w:rsidR="00D23B8C" w:rsidRPr="004D7BFA" w:rsidRDefault="00D23B8C"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t>However, aspects of Tesco’s culture may also negatively affect performance if not managed effectively. A strong focus on targets, productivity and efficiency may discourage creativity and innovation. Wiese et al. (2024) argue that organisations focused heavily on measurable performance outcomes can struggle to encourage experimentation because employees may prioritise achieving existing goals rather than developing new solutions. In addition, high-performance expectations can increase pressure on employees, potentially affecting motivation and wellbeing.</w:t>
      </w:r>
    </w:p>
    <w:p w14:paraId="505FBDF7" w14:textId="77777777" w:rsidR="00D23B8C" w:rsidRPr="004D7BFA" w:rsidRDefault="00D23B8C" w:rsidP="00065E8E">
      <w:pPr>
        <w:spacing w:before="100" w:beforeAutospacing="1" w:after="100" w:afterAutospacing="1" w:line="360" w:lineRule="auto"/>
        <w:outlineLvl w:val="2"/>
        <w:rPr>
          <w:rFonts w:ascii="Arial" w:eastAsia="Times New Roman" w:hAnsi="Arial" w:cs="Arial"/>
          <w:kern w:val="0"/>
          <w:sz w:val="22"/>
          <w:szCs w:val="22"/>
          <w:lang w:eastAsia="en-GB"/>
          <w14:ligatures w14:val="none"/>
        </w:rPr>
      </w:pPr>
      <w:r w:rsidRPr="004D7BFA">
        <w:rPr>
          <w:rFonts w:ascii="Arial" w:eastAsia="Times New Roman" w:hAnsi="Arial" w:cs="Arial"/>
          <w:kern w:val="0"/>
          <w:sz w:val="22"/>
          <w:szCs w:val="22"/>
          <w:lang w:eastAsia="en-GB"/>
          <w14:ligatures w14:val="none"/>
        </w:rPr>
        <w:lastRenderedPageBreak/>
        <w:t>Overall, Tesco’s organisational culture has had a largely positive impact on performance by supporting customer loyalty, operational effectiveness and organisational stability. Nevertheless, maintaining future success will require Tesco to continue balancing efficiency with innovation, employee empowerment and adaptability.</w:t>
      </w:r>
    </w:p>
    <w:p w14:paraId="3E372EB9" w14:textId="77777777" w:rsidR="00E66B16" w:rsidRPr="004D7BFA" w:rsidRDefault="00E66B16" w:rsidP="00065E8E">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p>
    <w:p w14:paraId="6BA1C4F6" w14:textId="71CC1B10" w:rsidR="00D23B8C" w:rsidRPr="004D7BFA" w:rsidRDefault="00D23B8C" w:rsidP="00065E8E">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4D7BFA">
        <w:rPr>
          <w:rFonts w:ascii="Arial" w:eastAsia="Times New Roman" w:hAnsi="Arial" w:cs="Arial"/>
          <w:b/>
          <w:bCs/>
          <w:kern w:val="0"/>
          <w:sz w:val="22"/>
          <w:szCs w:val="22"/>
          <w:lang w:eastAsia="en-GB"/>
          <w14:ligatures w14:val="none"/>
        </w:rPr>
        <w:t xml:space="preserve">8. Conclusion </w:t>
      </w:r>
    </w:p>
    <w:p w14:paraId="68A99A7F" w14:textId="77777777" w:rsidR="004D7BFA" w:rsidRPr="004D7BFA" w:rsidRDefault="004D7BFA" w:rsidP="004D7BFA">
      <w:pPr>
        <w:pStyle w:val="NormalWeb"/>
        <w:spacing w:line="360" w:lineRule="auto"/>
        <w:rPr>
          <w:rFonts w:ascii="Arial" w:hAnsi="Arial" w:cs="Arial"/>
          <w:sz w:val="22"/>
          <w:szCs w:val="22"/>
        </w:rPr>
      </w:pPr>
      <w:r w:rsidRPr="004D7BFA">
        <w:rPr>
          <w:rFonts w:ascii="Arial" w:hAnsi="Arial" w:cs="Arial"/>
          <w:sz w:val="22"/>
          <w:szCs w:val="22"/>
        </w:rPr>
        <w:t>Organisational culture plays a central role in shaping how organisations operate, make decisions and achieve long-term success. This report has demonstrated that Tesco’s organisational culture has significantly influenced its structure, decision-making processes and ability to respond to changes within the retail environment. As highlighted by Mullins and Christy (2016), culture provides the foundation for employee behaviour, leadership approaches and organisational effectiveness.</w:t>
      </w:r>
    </w:p>
    <w:p w14:paraId="4D98EC2D" w14:textId="77777777" w:rsidR="004D7BFA" w:rsidRPr="004D7BFA" w:rsidRDefault="004D7BFA" w:rsidP="004D7BFA">
      <w:pPr>
        <w:pStyle w:val="NormalWeb"/>
        <w:spacing w:line="360" w:lineRule="auto"/>
        <w:rPr>
          <w:rFonts w:ascii="Arial" w:hAnsi="Arial" w:cs="Arial"/>
          <w:sz w:val="22"/>
          <w:szCs w:val="22"/>
        </w:rPr>
      </w:pPr>
      <w:r w:rsidRPr="004D7BFA">
        <w:rPr>
          <w:rFonts w:ascii="Arial" w:hAnsi="Arial" w:cs="Arial"/>
          <w:sz w:val="22"/>
          <w:szCs w:val="22"/>
        </w:rPr>
        <w:t>The analysis identified Tesco’s culture as primarily focused on customer service, accountability, operational efficiency and continuous improvement. Applying Schein’s Three Levels of Culture, Handy’s Cultural Types, Hofstede’s Cultural Dimensions and Denison’s Organisational Culture Model demonstrated that Tesco operates mainly through a role culture supported by elements of task culture. This combination allows Tesco to maintain consistency across its large operations while developing flexibility through collaboration, digital innovation and sustainability initiatives.</w:t>
      </w:r>
    </w:p>
    <w:p w14:paraId="7EA965B7" w14:textId="77777777" w:rsidR="004D7BFA" w:rsidRPr="004D7BFA" w:rsidRDefault="004D7BFA" w:rsidP="004D7BFA">
      <w:pPr>
        <w:pStyle w:val="NormalWeb"/>
        <w:spacing w:line="360" w:lineRule="auto"/>
        <w:rPr>
          <w:rFonts w:ascii="Arial" w:hAnsi="Arial" w:cs="Arial"/>
          <w:sz w:val="22"/>
          <w:szCs w:val="22"/>
        </w:rPr>
      </w:pPr>
      <w:r w:rsidRPr="004D7BFA">
        <w:rPr>
          <w:rFonts w:ascii="Arial" w:hAnsi="Arial" w:cs="Arial"/>
          <w:sz w:val="22"/>
          <w:szCs w:val="22"/>
        </w:rPr>
        <w:t>The report also found that Tesco’s culture has positively influenced its response to external pressures, including increased competition, technological advancement, sustainability expectations and changing customer behaviour. However, challenges remain, as a strong focus on efficiency, performance measurement and standardisation may limit creativity if employees are not encouraged to challenge existing practices.</w:t>
      </w:r>
    </w:p>
    <w:p w14:paraId="43B028D9" w14:textId="77777777" w:rsidR="004D7BFA" w:rsidRPr="004D7BFA" w:rsidRDefault="004D7BFA" w:rsidP="004D7BFA">
      <w:pPr>
        <w:pStyle w:val="NormalWeb"/>
        <w:spacing w:line="360" w:lineRule="auto"/>
        <w:rPr>
          <w:rFonts w:ascii="Arial" w:hAnsi="Arial" w:cs="Arial"/>
          <w:sz w:val="22"/>
          <w:szCs w:val="22"/>
        </w:rPr>
      </w:pPr>
      <w:r w:rsidRPr="004D7BFA">
        <w:rPr>
          <w:rFonts w:ascii="Arial" w:hAnsi="Arial" w:cs="Arial"/>
          <w:sz w:val="22"/>
          <w:szCs w:val="22"/>
        </w:rPr>
        <w:t>To maintain future competitiveness, Tesco should continue developing a culture that promotes innovation, employee empowerment and organisational learning. Increasing employee involvement through idea-sharing initiatives, strengthening transformational leadership approaches and maintaining a balance between performance expectations and employee wellbeing would support greater adaptability. Furthermore, embedding sustainability more deeply into everyday organisational practices would strengthen Tesco’s reputation and alignment with stakeholder expectations.</w:t>
      </w:r>
    </w:p>
    <w:p w14:paraId="581BE0FA" w14:textId="77777777" w:rsidR="004D7BFA" w:rsidRPr="004D7BFA" w:rsidRDefault="004D7BFA" w:rsidP="004D7BFA">
      <w:pPr>
        <w:pStyle w:val="NormalWeb"/>
        <w:spacing w:line="360" w:lineRule="auto"/>
        <w:rPr>
          <w:rFonts w:ascii="Arial" w:hAnsi="Arial" w:cs="Arial"/>
          <w:sz w:val="22"/>
          <w:szCs w:val="22"/>
        </w:rPr>
      </w:pPr>
      <w:r w:rsidRPr="004D7BFA">
        <w:rPr>
          <w:rFonts w:ascii="Arial" w:hAnsi="Arial" w:cs="Arial"/>
          <w:sz w:val="22"/>
          <w:szCs w:val="22"/>
        </w:rPr>
        <w:t>Overall, organisational culture remains one of Tesco’s most valuable strategic resources. By preserving its strengths in customer focus and operational excellence while encouraging innovation, collaboration and employee development, Tesco can continue improving organisational performance and responding effectively to future challenges within the evolving retail sector.</w:t>
      </w:r>
    </w:p>
    <w:p w14:paraId="4C8BA06F" w14:textId="77777777" w:rsidR="004B0C5E" w:rsidRPr="004D7BFA" w:rsidRDefault="004B0C5E" w:rsidP="00065E8E">
      <w:pPr>
        <w:spacing w:after="0" w:line="360" w:lineRule="auto"/>
        <w:rPr>
          <w:rFonts w:ascii="Arial" w:eastAsia="Times New Roman" w:hAnsi="Arial" w:cs="Arial"/>
          <w:kern w:val="0"/>
          <w:sz w:val="22"/>
          <w:szCs w:val="22"/>
          <w:lang w:eastAsia="en-GB"/>
          <w14:ligatures w14:val="none"/>
        </w:rPr>
      </w:pPr>
    </w:p>
    <w:p w14:paraId="30A92ED2" w14:textId="77777777" w:rsidR="0051511E" w:rsidRPr="00816EEA" w:rsidRDefault="0051511E" w:rsidP="00065E8E">
      <w:pPr>
        <w:spacing w:line="360" w:lineRule="auto"/>
        <w:rPr>
          <w:rFonts w:ascii="Arial" w:eastAsia="Times New Roman" w:hAnsi="Arial" w:cs="Arial"/>
          <w:kern w:val="0"/>
          <w:sz w:val="22"/>
          <w:szCs w:val="22"/>
          <w:lang w:eastAsia="en-GB"/>
          <w14:ligatures w14:val="none"/>
        </w:rPr>
      </w:pPr>
      <w:r w:rsidRPr="00816EEA">
        <w:rPr>
          <w:rFonts w:ascii="Arial" w:eastAsia="Times New Roman" w:hAnsi="Arial" w:cs="Arial"/>
          <w:kern w:val="0"/>
          <w:sz w:val="22"/>
          <w:szCs w:val="22"/>
          <w:lang w:eastAsia="en-GB"/>
          <w14:ligatures w14:val="none"/>
        </w:rPr>
        <w:lastRenderedPageBreak/>
        <w:t>References</w:t>
      </w:r>
    </w:p>
    <w:p w14:paraId="3D9046A7" w14:textId="77777777" w:rsidR="000672E3" w:rsidRPr="000672E3" w:rsidRDefault="000672E3" w:rsidP="000672E3">
      <w:pPr>
        <w:spacing w:line="360" w:lineRule="auto"/>
        <w:rPr>
          <w:rFonts w:ascii="Arial" w:eastAsia="Times New Roman" w:hAnsi="Arial" w:cs="Arial"/>
          <w:kern w:val="0"/>
          <w:sz w:val="22"/>
          <w:szCs w:val="22"/>
          <w:lang w:eastAsia="en-GB"/>
          <w14:ligatures w14:val="none"/>
        </w:rPr>
      </w:pPr>
      <w:r w:rsidRPr="000672E3">
        <w:rPr>
          <w:rFonts w:ascii="Arial" w:eastAsia="Times New Roman" w:hAnsi="Arial" w:cs="Arial"/>
          <w:kern w:val="0"/>
          <w:sz w:val="22"/>
          <w:szCs w:val="22"/>
          <w:lang w:eastAsia="en-GB"/>
          <w14:ligatures w14:val="none"/>
        </w:rPr>
        <w:t xml:space="preserve">Bass, B.M. and Riggio, R.E. (2006) </w:t>
      </w:r>
      <w:r w:rsidRPr="000672E3">
        <w:rPr>
          <w:rFonts w:ascii="Arial" w:eastAsia="Times New Roman" w:hAnsi="Arial" w:cs="Arial"/>
          <w:i/>
          <w:iCs/>
          <w:kern w:val="0"/>
          <w:sz w:val="22"/>
          <w:szCs w:val="22"/>
          <w:lang w:eastAsia="en-GB"/>
          <w14:ligatures w14:val="none"/>
        </w:rPr>
        <w:t>Transformational Leadership</w:t>
      </w:r>
      <w:r w:rsidRPr="000672E3">
        <w:rPr>
          <w:rFonts w:ascii="Arial" w:eastAsia="Times New Roman" w:hAnsi="Arial" w:cs="Arial"/>
          <w:kern w:val="0"/>
          <w:sz w:val="22"/>
          <w:szCs w:val="22"/>
          <w:lang w:eastAsia="en-GB"/>
          <w14:ligatures w14:val="none"/>
        </w:rPr>
        <w:t xml:space="preserve">. 2nd </w:t>
      </w:r>
      <w:proofErr w:type="spellStart"/>
      <w:r w:rsidRPr="000672E3">
        <w:rPr>
          <w:rFonts w:ascii="Arial" w:eastAsia="Times New Roman" w:hAnsi="Arial" w:cs="Arial"/>
          <w:kern w:val="0"/>
          <w:sz w:val="22"/>
          <w:szCs w:val="22"/>
          <w:lang w:eastAsia="en-GB"/>
          <w14:ligatures w14:val="none"/>
        </w:rPr>
        <w:t>edn</w:t>
      </w:r>
      <w:proofErr w:type="spellEnd"/>
      <w:r w:rsidRPr="000672E3">
        <w:rPr>
          <w:rFonts w:ascii="Arial" w:eastAsia="Times New Roman" w:hAnsi="Arial" w:cs="Arial"/>
          <w:kern w:val="0"/>
          <w:sz w:val="22"/>
          <w:szCs w:val="22"/>
          <w:lang w:eastAsia="en-GB"/>
          <w14:ligatures w14:val="none"/>
        </w:rPr>
        <w:t>. New York: Psychology Press.</w:t>
      </w:r>
    </w:p>
    <w:p w14:paraId="62F33913" w14:textId="77777777" w:rsidR="000672E3" w:rsidRPr="000672E3" w:rsidRDefault="000672E3" w:rsidP="000672E3">
      <w:pPr>
        <w:spacing w:line="360" w:lineRule="auto"/>
        <w:rPr>
          <w:rFonts w:ascii="Arial" w:eastAsia="Times New Roman" w:hAnsi="Arial" w:cs="Arial"/>
          <w:kern w:val="0"/>
          <w:sz w:val="22"/>
          <w:szCs w:val="22"/>
          <w:lang w:eastAsia="en-GB"/>
          <w14:ligatures w14:val="none"/>
        </w:rPr>
      </w:pPr>
      <w:r w:rsidRPr="000672E3">
        <w:rPr>
          <w:rFonts w:ascii="Arial" w:eastAsia="Times New Roman" w:hAnsi="Arial" w:cs="Arial"/>
          <w:kern w:val="0"/>
          <w:sz w:val="22"/>
          <w:szCs w:val="22"/>
          <w:lang w:eastAsia="en-GB"/>
          <w14:ligatures w14:val="none"/>
        </w:rPr>
        <w:t xml:space="preserve">Burns, T. and Stalker, G.M. (1961) </w:t>
      </w:r>
      <w:r w:rsidRPr="000672E3">
        <w:rPr>
          <w:rFonts w:ascii="Arial" w:eastAsia="Times New Roman" w:hAnsi="Arial" w:cs="Arial"/>
          <w:i/>
          <w:iCs/>
          <w:kern w:val="0"/>
          <w:sz w:val="22"/>
          <w:szCs w:val="22"/>
          <w:lang w:eastAsia="en-GB"/>
          <w14:ligatures w14:val="none"/>
        </w:rPr>
        <w:t>The Management of Innovation</w:t>
      </w:r>
      <w:r w:rsidRPr="000672E3">
        <w:rPr>
          <w:rFonts w:ascii="Arial" w:eastAsia="Times New Roman" w:hAnsi="Arial" w:cs="Arial"/>
          <w:kern w:val="0"/>
          <w:sz w:val="22"/>
          <w:szCs w:val="22"/>
          <w:lang w:eastAsia="en-GB"/>
          <w14:ligatures w14:val="none"/>
        </w:rPr>
        <w:t>. London: Tavistock Publications.</w:t>
      </w:r>
    </w:p>
    <w:p w14:paraId="27E187E3" w14:textId="77777777" w:rsidR="000672E3" w:rsidRPr="000672E3" w:rsidRDefault="000672E3" w:rsidP="000672E3">
      <w:pPr>
        <w:spacing w:line="360" w:lineRule="auto"/>
        <w:rPr>
          <w:rFonts w:ascii="Arial" w:eastAsia="Times New Roman" w:hAnsi="Arial" w:cs="Arial"/>
          <w:kern w:val="0"/>
          <w:sz w:val="22"/>
          <w:szCs w:val="22"/>
          <w:lang w:eastAsia="en-GB"/>
          <w14:ligatures w14:val="none"/>
        </w:rPr>
      </w:pPr>
      <w:r w:rsidRPr="000672E3">
        <w:rPr>
          <w:rFonts w:ascii="Arial" w:eastAsia="Times New Roman" w:hAnsi="Arial" w:cs="Arial"/>
          <w:kern w:val="0"/>
          <w:sz w:val="22"/>
          <w:szCs w:val="22"/>
          <w:lang w:eastAsia="en-GB"/>
          <w14:ligatures w14:val="none"/>
        </w:rPr>
        <w:t xml:space="preserve">Denison, D.R. (1990) </w:t>
      </w:r>
      <w:r w:rsidRPr="000672E3">
        <w:rPr>
          <w:rFonts w:ascii="Arial" w:eastAsia="Times New Roman" w:hAnsi="Arial" w:cs="Arial"/>
          <w:i/>
          <w:iCs/>
          <w:kern w:val="0"/>
          <w:sz w:val="22"/>
          <w:szCs w:val="22"/>
          <w:lang w:eastAsia="en-GB"/>
          <w14:ligatures w14:val="none"/>
        </w:rPr>
        <w:t>Corporate Culture and Organisational Effectiveness</w:t>
      </w:r>
      <w:r w:rsidRPr="000672E3">
        <w:rPr>
          <w:rFonts w:ascii="Arial" w:eastAsia="Times New Roman" w:hAnsi="Arial" w:cs="Arial"/>
          <w:kern w:val="0"/>
          <w:sz w:val="22"/>
          <w:szCs w:val="22"/>
          <w:lang w:eastAsia="en-GB"/>
          <w14:ligatures w14:val="none"/>
        </w:rPr>
        <w:t>. New York: Wiley.</w:t>
      </w:r>
    </w:p>
    <w:p w14:paraId="1226DE38" w14:textId="77777777" w:rsidR="000672E3" w:rsidRPr="000672E3" w:rsidRDefault="000672E3" w:rsidP="000672E3">
      <w:pPr>
        <w:spacing w:line="360" w:lineRule="auto"/>
        <w:rPr>
          <w:rFonts w:ascii="Arial" w:eastAsia="Times New Roman" w:hAnsi="Arial" w:cs="Arial"/>
          <w:kern w:val="0"/>
          <w:sz w:val="22"/>
          <w:szCs w:val="22"/>
          <w:lang w:eastAsia="en-GB"/>
          <w14:ligatures w14:val="none"/>
        </w:rPr>
      </w:pPr>
      <w:r w:rsidRPr="000672E3">
        <w:rPr>
          <w:rFonts w:ascii="Arial" w:eastAsia="Times New Roman" w:hAnsi="Arial" w:cs="Arial"/>
          <w:kern w:val="0"/>
          <w:sz w:val="22"/>
          <w:szCs w:val="22"/>
          <w:lang w:eastAsia="en-GB"/>
          <w14:ligatures w14:val="none"/>
        </w:rPr>
        <w:t xml:space="preserve">Handy, C. (1993) </w:t>
      </w:r>
      <w:r w:rsidRPr="000672E3">
        <w:rPr>
          <w:rFonts w:ascii="Arial" w:eastAsia="Times New Roman" w:hAnsi="Arial" w:cs="Arial"/>
          <w:i/>
          <w:iCs/>
          <w:kern w:val="0"/>
          <w:sz w:val="22"/>
          <w:szCs w:val="22"/>
          <w:lang w:eastAsia="en-GB"/>
          <w14:ligatures w14:val="none"/>
        </w:rPr>
        <w:t>Understanding Organisations</w:t>
      </w:r>
      <w:r w:rsidRPr="000672E3">
        <w:rPr>
          <w:rFonts w:ascii="Arial" w:eastAsia="Times New Roman" w:hAnsi="Arial" w:cs="Arial"/>
          <w:kern w:val="0"/>
          <w:sz w:val="22"/>
          <w:szCs w:val="22"/>
          <w:lang w:eastAsia="en-GB"/>
          <w14:ligatures w14:val="none"/>
        </w:rPr>
        <w:t xml:space="preserve">. 4th </w:t>
      </w:r>
      <w:proofErr w:type="spellStart"/>
      <w:r w:rsidRPr="000672E3">
        <w:rPr>
          <w:rFonts w:ascii="Arial" w:eastAsia="Times New Roman" w:hAnsi="Arial" w:cs="Arial"/>
          <w:kern w:val="0"/>
          <w:sz w:val="22"/>
          <w:szCs w:val="22"/>
          <w:lang w:eastAsia="en-GB"/>
          <w14:ligatures w14:val="none"/>
        </w:rPr>
        <w:t>edn</w:t>
      </w:r>
      <w:proofErr w:type="spellEnd"/>
      <w:r w:rsidRPr="000672E3">
        <w:rPr>
          <w:rFonts w:ascii="Arial" w:eastAsia="Times New Roman" w:hAnsi="Arial" w:cs="Arial"/>
          <w:kern w:val="0"/>
          <w:sz w:val="22"/>
          <w:szCs w:val="22"/>
          <w:lang w:eastAsia="en-GB"/>
          <w14:ligatures w14:val="none"/>
        </w:rPr>
        <w:t>. London: Penguin Business.</w:t>
      </w:r>
    </w:p>
    <w:p w14:paraId="7827BA25" w14:textId="77777777" w:rsidR="000672E3" w:rsidRPr="000672E3" w:rsidRDefault="000672E3" w:rsidP="000672E3">
      <w:pPr>
        <w:spacing w:line="360" w:lineRule="auto"/>
        <w:rPr>
          <w:rFonts w:ascii="Arial" w:eastAsia="Times New Roman" w:hAnsi="Arial" w:cs="Arial"/>
          <w:kern w:val="0"/>
          <w:sz w:val="22"/>
          <w:szCs w:val="22"/>
          <w:lang w:eastAsia="en-GB"/>
          <w14:ligatures w14:val="none"/>
        </w:rPr>
      </w:pPr>
      <w:r w:rsidRPr="000672E3">
        <w:rPr>
          <w:rFonts w:ascii="Arial" w:eastAsia="Times New Roman" w:hAnsi="Arial" w:cs="Arial"/>
          <w:kern w:val="0"/>
          <w:sz w:val="22"/>
          <w:szCs w:val="22"/>
          <w:lang w:eastAsia="en-GB"/>
          <w14:ligatures w14:val="none"/>
        </w:rPr>
        <w:t xml:space="preserve">Hofstede, G. (2001) </w:t>
      </w:r>
      <w:r w:rsidRPr="000672E3">
        <w:rPr>
          <w:rFonts w:ascii="Arial" w:eastAsia="Times New Roman" w:hAnsi="Arial" w:cs="Arial"/>
          <w:i/>
          <w:iCs/>
          <w:kern w:val="0"/>
          <w:sz w:val="22"/>
          <w:szCs w:val="22"/>
          <w:lang w:eastAsia="en-GB"/>
          <w14:ligatures w14:val="none"/>
        </w:rPr>
        <w:t xml:space="preserve">Culture’s Consequences: Comparing Values, </w:t>
      </w:r>
      <w:proofErr w:type="spellStart"/>
      <w:r w:rsidRPr="000672E3">
        <w:rPr>
          <w:rFonts w:ascii="Arial" w:eastAsia="Times New Roman" w:hAnsi="Arial" w:cs="Arial"/>
          <w:i/>
          <w:iCs/>
          <w:kern w:val="0"/>
          <w:sz w:val="22"/>
          <w:szCs w:val="22"/>
          <w:lang w:eastAsia="en-GB"/>
          <w14:ligatures w14:val="none"/>
        </w:rPr>
        <w:t>Behaviors</w:t>
      </w:r>
      <w:proofErr w:type="spellEnd"/>
      <w:r w:rsidRPr="000672E3">
        <w:rPr>
          <w:rFonts w:ascii="Arial" w:eastAsia="Times New Roman" w:hAnsi="Arial" w:cs="Arial"/>
          <w:i/>
          <w:iCs/>
          <w:kern w:val="0"/>
          <w:sz w:val="22"/>
          <w:szCs w:val="22"/>
          <w:lang w:eastAsia="en-GB"/>
          <w14:ligatures w14:val="none"/>
        </w:rPr>
        <w:t>, Institutions and Organizations Across Nations</w:t>
      </w:r>
      <w:r w:rsidRPr="000672E3">
        <w:rPr>
          <w:rFonts w:ascii="Arial" w:eastAsia="Times New Roman" w:hAnsi="Arial" w:cs="Arial"/>
          <w:kern w:val="0"/>
          <w:sz w:val="22"/>
          <w:szCs w:val="22"/>
          <w:lang w:eastAsia="en-GB"/>
          <w14:ligatures w14:val="none"/>
        </w:rPr>
        <w:t xml:space="preserve">. 2nd </w:t>
      </w:r>
      <w:proofErr w:type="spellStart"/>
      <w:r w:rsidRPr="000672E3">
        <w:rPr>
          <w:rFonts w:ascii="Arial" w:eastAsia="Times New Roman" w:hAnsi="Arial" w:cs="Arial"/>
          <w:kern w:val="0"/>
          <w:sz w:val="22"/>
          <w:szCs w:val="22"/>
          <w:lang w:eastAsia="en-GB"/>
          <w14:ligatures w14:val="none"/>
        </w:rPr>
        <w:t>edn</w:t>
      </w:r>
      <w:proofErr w:type="spellEnd"/>
      <w:r w:rsidRPr="000672E3">
        <w:rPr>
          <w:rFonts w:ascii="Arial" w:eastAsia="Times New Roman" w:hAnsi="Arial" w:cs="Arial"/>
          <w:kern w:val="0"/>
          <w:sz w:val="22"/>
          <w:szCs w:val="22"/>
          <w:lang w:eastAsia="en-GB"/>
          <w14:ligatures w14:val="none"/>
        </w:rPr>
        <w:t>. Thousand Oaks: Sage Publications.</w:t>
      </w:r>
    </w:p>
    <w:p w14:paraId="271D194D" w14:textId="77777777" w:rsidR="000672E3" w:rsidRPr="000672E3" w:rsidRDefault="000672E3" w:rsidP="000672E3">
      <w:pPr>
        <w:spacing w:line="360" w:lineRule="auto"/>
        <w:rPr>
          <w:rFonts w:ascii="Arial" w:eastAsia="Times New Roman" w:hAnsi="Arial" w:cs="Arial"/>
          <w:kern w:val="0"/>
          <w:sz w:val="22"/>
          <w:szCs w:val="22"/>
          <w:lang w:eastAsia="en-GB"/>
          <w14:ligatures w14:val="none"/>
        </w:rPr>
      </w:pPr>
      <w:r w:rsidRPr="000672E3">
        <w:rPr>
          <w:rFonts w:ascii="Arial" w:eastAsia="Times New Roman" w:hAnsi="Arial" w:cs="Arial"/>
          <w:kern w:val="0"/>
          <w:sz w:val="22"/>
          <w:szCs w:val="22"/>
          <w:lang w:eastAsia="en-GB"/>
          <w14:ligatures w14:val="none"/>
        </w:rPr>
        <w:t xml:space="preserve">Kotter, J.P. (2012) </w:t>
      </w:r>
      <w:r w:rsidRPr="000672E3">
        <w:rPr>
          <w:rFonts w:ascii="Arial" w:eastAsia="Times New Roman" w:hAnsi="Arial" w:cs="Arial"/>
          <w:i/>
          <w:iCs/>
          <w:kern w:val="0"/>
          <w:sz w:val="22"/>
          <w:szCs w:val="22"/>
          <w:lang w:eastAsia="en-GB"/>
          <w14:ligatures w14:val="none"/>
        </w:rPr>
        <w:t>Leading Change</w:t>
      </w:r>
      <w:r w:rsidRPr="000672E3">
        <w:rPr>
          <w:rFonts w:ascii="Arial" w:eastAsia="Times New Roman" w:hAnsi="Arial" w:cs="Arial"/>
          <w:kern w:val="0"/>
          <w:sz w:val="22"/>
          <w:szCs w:val="22"/>
          <w:lang w:eastAsia="en-GB"/>
          <w14:ligatures w14:val="none"/>
        </w:rPr>
        <w:t>. Boston: Harvard Business Review Press.</w:t>
      </w:r>
    </w:p>
    <w:p w14:paraId="22605C31" w14:textId="77777777" w:rsidR="000672E3" w:rsidRPr="000672E3" w:rsidRDefault="000672E3" w:rsidP="000672E3">
      <w:pPr>
        <w:spacing w:line="360" w:lineRule="auto"/>
        <w:rPr>
          <w:rFonts w:ascii="Arial" w:eastAsia="Times New Roman" w:hAnsi="Arial" w:cs="Arial"/>
          <w:kern w:val="0"/>
          <w:sz w:val="22"/>
          <w:szCs w:val="22"/>
          <w:lang w:eastAsia="en-GB"/>
          <w14:ligatures w14:val="none"/>
        </w:rPr>
      </w:pPr>
      <w:r w:rsidRPr="000672E3">
        <w:rPr>
          <w:rFonts w:ascii="Arial" w:eastAsia="Times New Roman" w:hAnsi="Arial" w:cs="Arial"/>
          <w:kern w:val="0"/>
          <w:sz w:val="22"/>
          <w:szCs w:val="22"/>
          <w:lang w:eastAsia="en-GB"/>
          <w14:ligatures w14:val="none"/>
        </w:rPr>
        <w:t xml:space="preserve">Mullins, L.J. and Christy, G. (2016) </w:t>
      </w:r>
      <w:r w:rsidRPr="000672E3">
        <w:rPr>
          <w:rFonts w:ascii="Arial" w:eastAsia="Times New Roman" w:hAnsi="Arial" w:cs="Arial"/>
          <w:i/>
          <w:iCs/>
          <w:kern w:val="0"/>
          <w:sz w:val="22"/>
          <w:szCs w:val="22"/>
          <w:lang w:eastAsia="en-GB"/>
          <w14:ligatures w14:val="none"/>
        </w:rPr>
        <w:t>Management and Organisational Behaviour</w:t>
      </w:r>
      <w:r w:rsidRPr="000672E3">
        <w:rPr>
          <w:rFonts w:ascii="Arial" w:eastAsia="Times New Roman" w:hAnsi="Arial" w:cs="Arial"/>
          <w:kern w:val="0"/>
          <w:sz w:val="22"/>
          <w:szCs w:val="22"/>
          <w:lang w:eastAsia="en-GB"/>
          <w14:ligatures w14:val="none"/>
        </w:rPr>
        <w:t xml:space="preserve">. 11th </w:t>
      </w:r>
      <w:proofErr w:type="spellStart"/>
      <w:r w:rsidRPr="000672E3">
        <w:rPr>
          <w:rFonts w:ascii="Arial" w:eastAsia="Times New Roman" w:hAnsi="Arial" w:cs="Arial"/>
          <w:kern w:val="0"/>
          <w:sz w:val="22"/>
          <w:szCs w:val="22"/>
          <w:lang w:eastAsia="en-GB"/>
          <w14:ligatures w14:val="none"/>
        </w:rPr>
        <w:t>edn</w:t>
      </w:r>
      <w:proofErr w:type="spellEnd"/>
      <w:r w:rsidRPr="000672E3">
        <w:rPr>
          <w:rFonts w:ascii="Arial" w:eastAsia="Times New Roman" w:hAnsi="Arial" w:cs="Arial"/>
          <w:kern w:val="0"/>
          <w:sz w:val="22"/>
          <w:szCs w:val="22"/>
          <w:lang w:eastAsia="en-GB"/>
          <w14:ligatures w14:val="none"/>
        </w:rPr>
        <w:t>. Harlow: Pearson Education.</w:t>
      </w:r>
    </w:p>
    <w:p w14:paraId="65BD86A3" w14:textId="77777777" w:rsidR="000672E3" w:rsidRPr="000672E3" w:rsidRDefault="000672E3" w:rsidP="000672E3">
      <w:pPr>
        <w:spacing w:line="360" w:lineRule="auto"/>
        <w:rPr>
          <w:rFonts w:ascii="Arial" w:eastAsia="Times New Roman" w:hAnsi="Arial" w:cs="Arial"/>
          <w:kern w:val="0"/>
          <w:sz w:val="22"/>
          <w:szCs w:val="22"/>
          <w:lang w:eastAsia="en-GB"/>
          <w14:ligatures w14:val="none"/>
        </w:rPr>
      </w:pPr>
      <w:r w:rsidRPr="000672E3">
        <w:rPr>
          <w:rFonts w:ascii="Arial" w:eastAsia="Times New Roman" w:hAnsi="Arial" w:cs="Arial"/>
          <w:kern w:val="0"/>
          <w:sz w:val="22"/>
          <w:szCs w:val="22"/>
          <w:lang w:eastAsia="en-GB"/>
          <w14:ligatures w14:val="none"/>
        </w:rPr>
        <w:t xml:space="preserve">Schein, E.H. (2010) </w:t>
      </w:r>
      <w:r w:rsidRPr="000672E3">
        <w:rPr>
          <w:rFonts w:ascii="Arial" w:eastAsia="Times New Roman" w:hAnsi="Arial" w:cs="Arial"/>
          <w:i/>
          <w:iCs/>
          <w:kern w:val="0"/>
          <w:sz w:val="22"/>
          <w:szCs w:val="22"/>
          <w:lang w:eastAsia="en-GB"/>
          <w14:ligatures w14:val="none"/>
        </w:rPr>
        <w:t>Organizational Culture and Leadership</w:t>
      </w:r>
      <w:r w:rsidRPr="000672E3">
        <w:rPr>
          <w:rFonts w:ascii="Arial" w:eastAsia="Times New Roman" w:hAnsi="Arial" w:cs="Arial"/>
          <w:kern w:val="0"/>
          <w:sz w:val="22"/>
          <w:szCs w:val="22"/>
          <w:lang w:eastAsia="en-GB"/>
          <w14:ligatures w14:val="none"/>
        </w:rPr>
        <w:t xml:space="preserve">. 4th </w:t>
      </w:r>
      <w:proofErr w:type="spellStart"/>
      <w:r w:rsidRPr="000672E3">
        <w:rPr>
          <w:rFonts w:ascii="Arial" w:eastAsia="Times New Roman" w:hAnsi="Arial" w:cs="Arial"/>
          <w:kern w:val="0"/>
          <w:sz w:val="22"/>
          <w:szCs w:val="22"/>
          <w:lang w:eastAsia="en-GB"/>
          <w14:ligatures w14:val="none"/>
        </w:rPr>
        <w:t>edn</w:t>
      </w:r>
      <w:proofErr w:type="spellEnd"/>
      <w:r w:rsidRPr="000672E3">
        <w:rPr>
          <w:rFonts w:ascii="Arial" w:eastAsia="Times New Roman" w:hAnsi="Arial" w:cs="Arial"/>
          <w:kern w:val="0"/>
          <w:sz w:val="22"/>
          <w:szCs w:val="22"/>
          <w:lang w:eastAsia="en-GB"/>
          <w14:ligatures w14:val="none"/>
        </w:rPr>
        <w:t>. San Francisco: Jossey-Bass.</w:t>
      </w:r>
    </w:p>
    <w:p w14:paraId="32E2F5F4" w14:textId="77777777" w:rsidR="000672E3" w:rsidRPr="000672E3" w:rsidRDefault="000672E3" w:rsidP="000672E3">
      <w:pPr>
        <w:spacing w:line="360" w:lineRule="auto"/>
        <w:rPr>
          <w:rFonts w:ascii="Arial" w:eastAsia="Times New Roman" w:hAnsi="Arial" w:cs="Arial"/>
          <w:kern w:val="0"/>
          <w:sz w:val="22"/>
          <w:szCs w:val="22"/>
          <w:lang w:eastAsia="en-GB"/>
          <w14:ligatures w14:val="none"/>
        </w:rPr>
      </w:pPr>
      <w:r w:rsidRPr="000672E3">
        <w:rPr>
          <w:rFonts w:ascii="Arial" w:eastAsia="Times New Roman" w:hAnsi="Arial" w:cs="Arial"/>
          <w:kern w:val="0"/>
          <w:sz w:val="22"/>
          <w:szCs w:val="22"/>
          <w:lang w:eastAsia="en-GB"/>
          <w14:ligatures w14:val="none"/>
        </w:rPr>
        <w:t xml:space="preserve">Senge, P.M. (2006) </w:t>
      </w:r>
      <w:r w:rsidRPr="000672E3">
        <w:rPr>
          <w:rFonts w:ascii="Arial" w:eastAsia="Times New Roman" w:hAnsi="Arial" w:cs="Arial"/>
          <w:i/>
          <w:iCs/>
          <w:kern w:val="0"/>
          <w:sz w:val="22"/>
          <w:szCs w:val="22"/>
          <w:lang w:eastAsia="en-GB"/>
          <w14:ligatures w14:val="none"/>
        </w:rPr>
        <w:t>The Fifth Discipline: The Art and Practice of the Learning Organization</w:t>
      </w:r>
      <w:r w:rsidRPr="000672E3">
        <w:rPr>
          <w:rFonts w:ascii="Arial" w:eastAsia="Times New Roman" w:hAnsi="Arial" w:cs="Arial"/>
          <w:kern w:val="0"/>
          <w:sz w:val="22"/>
          <w:szCs w:val="22"/>
          <w:lang w:eastAsia="en-GB"/>
          <w14:ligatures w14:val="none"/>
        </w:rPr>
        <w:t xml:space="preserve">. Revised </w:t>
      </w:r>
      <w:proofErr w:type="spellStart"/>
      <w:r w:rsidRPr="000672E3">
        <w:rPr>
          <w:rFonts w:ascii="Arial" w:eastAsia="Times New Roman" w:hAnsi="Arial" w:cs="Arial"/>
          <w:kern w:val="0"/>
          <w:sz w:val="22"/>
          <w:szCs w:val="22"/>
          <w:lang w:eastAsia="en-GB"/>
          <w14:ligatures w14:val="none"/>
        </w:rPr>
        <w:t>edn</w:t>
      </w:r>
      <w:proofErr w:type="spellEnd"/>
      <w:r w:rsidRPr="000672E3">
        <w:rPr>
          <w:rFonts w:ascii="Arial" w:eastAsia="Times New Roman" w:hAnsi="Arial" w:cs="Arial"/>
          <w:kern w:val="0"/>
          <w:sz w:val="22"/>
          <w:szCs w:val="22"/>
          <w:lang w:eastAsia="en-GB"/>
          <w14:ligatures w14:val="none"/>
        </w:rPr>
        <w:t>. London: Random House.</w:t>
      </w:r>
    </w:p>
    <w:p w14:paraId="48026A35" w14:textId="77777777" w:rsidR="000672E3" w:rsidRPr="000672E3" w:rsidRDefault="000672E3" w:rsidP="000672E3">
      <w:pPr>
        <w:spacing w:line="360" w:lineRule="auto"/>
        <w:rPr>
          <w:rFonts w:ascii="Arial" w:eastAsia="Times New Roman" w:hAnsi="Arial" w:cs="Arial"/>
          <w:kern w:val="0"/>
          <w:sz w:val="22"/>
          <w:szCs w:val="22"/>
          <w:lang w:eastAsia="en-GB"/>
          <w14:ligatures w14:val="none"/>
        </w:rPr>
      </w:pPr>
      <w:r w:rsidRPr="000672E3">
        <w:rPr>
          <w:rFonts w:ascii="Arial" w:eastAsia="Times New Roman" w:hAnsi="Arial" w:cs="Arial"/>
          <w:kern w:val="0"/>
          <w:sz w:val="22"/>
          <w:szCs w:val="22"/>
          <w:lang w:eastAsia="en-GB"/>
          <w14:ligatures w14:val="none"/>
        </w:rPr>
        <w:t xml:space="preserve">Tesco PLC (2024) </w:t>
      </w:r>
      <w:r w:rsidRPr="000672E3">
        <w:rPr>
          <w:rFonts w:ascii="Arial" w:eastAsia="Times New Roman" w:hAnsi="Arial" w:cs="Arial"/>
          <w:i/>
          <w:iCs/>
          <w:kern w:val="0"/>
          <w:sz w:val="22"/>
          <w:szCs w:val="22"/>
          <w:lang w:eastAsia="en-GB"/>
          <w14:ligatures w14:val="none"/>
        </w:rPr>
        <w:t>Annual Report and Financial Statements 2024</w:t>
      </w:r>
      <w:r w:rsidRPr="000672E3">
        <w:rPr>
          <w:rFonts w:ascii="Arial" w:eastAsia="Times New Roman" w:hAnsi="Arial" w:cs="Arial"/>
          <w:kern w:val="0"/>
          <w:sz w:val="22"/>
          <w:szCs w:val="22"/>
          <w:lang w:eastAsia="en-GB"/>
          <w14:ligatures w14:val="none"/>
        </w:rPr>
        <w:t xml:space="preserve">. Available at: </w:t>
      </w:r>
      <w:hyperlink r:id="rId7" w:tgtFrame="_new" w:history="1">
        <w:r w:rsidRPr="000672E3">
          <w:rPr>
            <w:rStyle w:val="Hyperlink"/>
            <w:rFonts w:ascii="Arial" w:eastAsia="Times New Roman" w:hAnsi="Arial" w:cs="Arial"/>
            <w:kern w:val="0"/>
            <w:sz w:val="22"/>
            <w:szCs w:val="22"/>
            <w:lang w:eastAsia="en-GB"/>
            <w14:ligatures w14:val="none"/>
          </w:rPr>
          <w:t>https://www.tescoplc.com</w:t>
        </w:r>
      </w:hyperlink>
      <w:r w:rsidRPr="000672E3">
        <w:rPr>
          <w:rFonts w:ascii="Arial" w:eastAsia="Times New Roman" w:hAnsi="Arial" w:cs="Arial"/>
          <w:kern w:val="0"/>
          <w:sz w:val="22"/>
          <w:szCs w:val="22"/>
          <w:lang w:eastAsia="en-GB"/>
          <w14:ligatures w14:val="none"/>
        </w:rPr>
        <w:t xml:space="preserve"> (Accessed: 12 July 2026).</w:t>
      </w:r>
    </w:p>
    <w:p w14:paraId="4149EA89" w14:textId="77777777" w:rsidR="00F3596E" w:rsidRPr="00816EEA" w:rsidRDefault="00F3596E" w:rsidP="000672E3">
      <w:pPr>
        <w:spacing w:line="360" w:lineRule="auto"/>
        <w:rPr>
          <w:rFonts w:ascii="Arial" w:hAnsi="Arial" w:cs="Arial"/>
          <w:sz w:val="22"/>
          <w:szCs w:val="22"/>
        </w:rPr>
      </w:pPr>
    </w:p>
    <w:sectPr w:rsidR="00F3596E" w:rsidRPr="00816EEA" w:rsidSect="004B0C5E">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5A66D" w14:textId="77777777" w:rsidR="00394AFE" w:rsidRDefault="00394AFE" w:rsidP="009D6925">
      <w:pPr>
        <w:spacing w:after="0" w:line="240" w:lineRule="auto"/>
      </w:pPr>
      <w:r>
        <w:separator/>
      </w:r>
    </w:p>
  </w:endnote>
  <w:endnote w:type="continuationSeparator" w:id="0">
    <w:p w14:paraId="1F0D014B" w14:textId="77777777" w:rsidR="00394AFE" w:rsidRDefault="00394AFE" w:rsidP="009D6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103714"/>
      <w:docPartObj>
        <w:docPartGallery w:val="Page Numbers (Bottom of Page)"/>
        <w:docPartUnique/>
      </w:docPartObj>
    </w:sdtPr>
    <w:sdtEndPr/>
    <w:sdtContent>
      <w:p w14:paraId="6B231381" w14:textId="46B4A350" w:rsidR="008B0885" w:rsidRDefault="008B0885">
        <w:pPr>
          <w:pStyle w:val="Footer"/>
          <w:jc w:val="right"/>
        </w:pPr>
        <w:r>
          <w:fldChar w:fldCharType="begin"/>
        </w:r>
        <w:r>
          <w:instrText>PAGE   \* MERGEFORMAT</w:instrText>
        </w:r>
        <w:r>
          <w:fldChar w:fldCharType="separate"/>
        </w:r>
        <w:r>
          <w:t>2</w:t>
        </w:r>
        <w:r>
          <w:fldChar w:fldCharType="end"/>
        </w:r>
      </w:p>
    </w:sdtContent>
  </w:sdt>
  <w:p w14:paraId="672E0C50" w14:textId="4F3B2819" w:rsidR="009D6925" w:rsidRDefault="009D6925" w:rsidP="00AA5C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771FA" w14:textId="77777777" w:rsidR="00394AFE" w:rsidRDefault="00394AFE" w:rsidP="009D6925">
      <w:pPr>
        <w:spacing w:after="0" w:line="240" w:lineRule="auto"/>
      </w:pPr>
      <w:r>
        <w:separator/>
      </w:r>
    </w:p>
  </w:footnote>
  <w:footnote w:type="continuationSeparator" w:id="0">
    <w:p w14:paraId="46C48D9F" w14:textId="77777777" w:rsidR="00394AFE" w:rsidRDefault="00394AFE" w:rsidP="009D69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14132"/>
    <w:multiLevelType w:val="multilevel"/>
    <w:tmpl w:val="BB006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A3338D"/>
    <w:multiLevelType w:val="multilevel"/>
    <w:tmpl w:val="CF48A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5811868">
    <w:abstractNumId w:val="1"/>
  </w:num>
  <w:num w:numId="2" w16cid:durableId="1120492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C5E"/>
    <w:rsid w:val="00015521"/>
    <w:rsid w:val="00015EEF"/>
    <w:rsid w:val="00057DBD"/>
    <w:rsid w:val="00065E8E"/>
    <w:rsid w:val="000672E3"/>
    <w:rsid w:val="00100106"/>
    <w:rsid w:val="0017705B"/>
    <w:rsid w:val="00182A02"/>
    <w:rsid w:val="001B3E05"/>
    <w:rsid w:val="001C6574"/>
    <w:rsid w:val="001D56BE"/>
    <w:rsid w:val="002138EC"/>
    <w:rsid w:val="00225A8F"/>
    <w:rsid w:val="0026291E"/>
    <w:rsid w:val="002D27D0"/>
    <w:rsid w:val="002D73AA"/>
    <w:rsid w:val="00353916"/>
    <w:rsid w:val="00393A5F"/>
    <w:rsid w:val="00394AFE"/>
    <w:rsid w:val="003F12A3"/>
    <w:rsid w:val="00403B5A"/>
    <w:rsid w:val="00464FDB"/>
    <w:rsid w:val="00477BB4"/>
    <w:rsid w:val="004805A7"/>
    <w:rsid w:val="004B0C5E"/>
    <w:rsid w:val="004D7BFA"/>
    <w:rsid w:val="0051511E"/>
    <w:rsid w:val="00553821"/>
    <w:rsid w:val="005709AB"/>
    <w:rsid w:val="00572B8A"/>
    <w:rsid w:val="00590AA5"/>
    <w:rsid w:val="00641158"/>
    <w:rsid w:val="006453A7"/>
    <w:rsid w:val="00661677"/>
    <w:rsid w:val="006F010B"/>
    <w:rsid w:val="00777838"/>
    <w:rsid w:val="00777B6D"/>
    <w:rsid w:val="00787E97"/>
    <w:rsid w:val="007E6B87"/>
    <w:rsid w:val="00816EEA"/>
    <w:rsid w:val="008201B1"/>
    <w:rsid w:val="00856683"/>
    <w:rsid w:val="00861329"/>
    <w:rsid w:val="008B0885"/>
    <w:rsid w:val="009B449B"/>
    <w:rsid w:val="009D6925"/>
    <w:rsid w:val="009F1176"/>
    <w:rsid w:val="00A5354A"/>
    <w:rsid w:val="00A54C1F"/>
    <w:rsid w:val="00A77582"/>
    <w:rsid w:val="00A91720"/>
    <w:rsid w:val="00A97499"/>
    <w:rsid w:val="00AA5C95"/>
    <w:rsid w:val="00AB4F93"/>
    <w:rsid w:val="00BA6813"/>
    <w:rsid w:val="00C62879"/>
    <w:rsid w:val="00CA4ACA"/>
    <w:rsid w:val="00CC35BD"/>
    <w:rsid w:val="00CF03C2"/>
    <w:rsid w:val="00D23B8C"/>
    <w:rsid w:val="00D53651"/>
    <w:rsid w:val="00DA7A2B"/>
    <w:rsid w:val="00DB4ABA"/>
    <w:rsid w:val="00DC408E"/>
    <w:rsid w:val="00DF343B"/>
    <w:rsid w:val="00E0053B"/>
    <w:rsid w:val="00E24556"/>
    <w:rsid w:val="00E53A5A"/>
    <w:rsid w:val="00E5751F"/>
    <w:rsid w:val="00E66B16"/>
    <w:rsid w:val="00E81586"/>
    <w:rsid w:val="00F266DE"/>
    <w:rsid w:val="00F35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384B2"/>
  <w15:chartTrackingRefBased/>
  <w15:docId w15:val="{C38B6BE7-B15E-4F0F-92AD-D18EE13C5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0C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0C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0C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0C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0C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0C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C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C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C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C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0C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0C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0C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0C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0C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C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C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C5E"/>
    <w:rPr>
      <w:rFonts w:eastAsiaTheme="majorEastAsia" w:cstheme="majorBidi"/>
      <w:color w:val="272727" w:themeColor="text1" w:themeTint="D8"/>
    </w:rPr>
  </w:style>
  <w:style w:type="paragraph" w:styleId="Title">
    <w:name w:val="Title"/>
    <w:basedOn w:val="Normal"/>
    <w:next w:val="Normal"/>
    <w:link w:val="TitleChar"/>
    <w:uiPriority w:val="10"/>
    <w:qFormat/>
    <w:rsid w:val="004B0C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C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C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C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C5E"/>
    <w:pPr>
      <w:spacing w:before="160"/>
      <w:jc w:val="center"/>
    </w:pPr>
    <w:rPr>
      <w:i/>
      <w:iCs/>
      <w:color w:val="404040" w:themeColor="text1" w:themeTint="BF"/>
    </w:rPr>
  </w:style>
  <w:style w:type="character" w:customStyle="1" w:styleId="QuoteChar">
    <w:name w:val="Quote Char"/>
    <w:basedOn w:val="DefaultParagraphFont"/>
    <w:link w:val="Quote"/>
    <w:uiPriority w:val="29"/>
    <w:rsid w:val="004B0C5E"/>
    <w:rPr>
      <w:i/>
      <w:iCs/>
      <w:color w:val="404040" w:themeColor="text1" w:themeTint="BF"/>
    </w:rPr>
  </w:style>
  <w:style w:type="paragraph" w:styleId="ListParagraph">
    <w:name w:val="List Paragraph"/>
    <w:basedOn w:val="Normal"/>
    <w:uiPriority w:val="34"/>
    <w:qFormat/>
    <w:rsid w:val="004B0C5E"/>
    <w:pPr>
      <w:ind w:left="720"/>
      <w:contextualSpacing/>
    </w:pPr>
  </w:style>
  <w:style w:type="character" w:styleId="IntenseEmphasis">
    <w:name w:val="Intense Emphasis"/>
    <w:basedOn w:val="DefaultParagraphFont"/>
    <w:uiPriority w:val="21"/>
    <w:qFormat/>
    <w:rsid w:val="004B0C5E"/>
    <w:rPr>
      <w:i/>
      <w:iCs/>
      <w:color w:val="0F4761" w:themeColor="accent1" w:themeShade="BF"/>
    </w:rPr>
  </w:style>
  <w:style w:type="paragraph" w:styleId="IntenseQuote">
    <w:name w:val="Intense Quote"/>
    <w:basedOn w:val="Normal"/>
    <w:next w:val="Normal"/>
    <w:link w:val="IntenseQuoteChar"/>
    <w:uiPriority w:val="30"/>
    <w:qFormat/>
    <w:rsid w:val="004B0C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0C5E"/>
    <w:rPr>
      <w:i/>
      <w:iCs/>
      <w:color w:val="0F4761" w:themeColor="accent1" w:themeShade="BF"/>
    </w:rPr>
  </w:style>
  <w:style w:type="character" w:styleId="IntenseReference">
    <w:name w:val="Intense Reference"/>
    <w:basedOn w:val="DefaultParagraphFont"/>
    <w:uiPriority w:val="32"/>
    <w:qFormat/>
    <w:rsid w:val="004B0C5E"/>
    <w:rPr>
      <w:b/>
      <w:bCs/>
      <w:smallCaps/>
      <w:color w:val="0F4761" w:themeColor="accent1" w:themeShade="BF"/>
      <w:spacing w:val="5"/>
    </w:rPr>
  </w:style>
  <w:style w:type="paragraph" w:styleId="NormalWeb">
    <w:name w:val="Normal (Web)"/>
    <w:basedOn w:val="Normal"/>
    <w:uiPriority w:val="99"/>
    <w:semiHidden/>
    <w:unhideWhenUsed/>
    <w:rsid w:val="002D27D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51511E"/>
    <w:rPr>
      <w:color w:val="467886" w:themeColor="hyperlink"/>
      <w:u w:val="single"/>
    </w:rPr>
  </w:style>
  <w:style w:type="character" w:styleId="UnresolvedMention">
    <w:name w:val="Unresolved Mention"/>
    <w:basedOn w:val="DefaultParagraphFont"/>
    <w:uiPriority w:val="99"/>
    <w:semiHidden/>
    <w:unhideWhenUsed/>
    <w:rsid w:val="0051511E"/>
    <w:rPr>
      <w:color w:val="605E5C"/>
      <w:shd w:val="clear" w:color="auto" w:fill="E1DFDD"/>
    </w:rPr>
  </w:style>
  <w:style w:type="paragraph" w:styleId="Header">
    <w:name w:val="header"/>
    <w:basedOn w:val="Normal"/>
    <w:link w:val="HeaderChar"/>
    <w:uiPriority w:val="99"/>
    <w:unhideWhenUsed/>
    <w:rsid w:val="009D69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925"/>
  </w:style>
  <w:style w:type="paragraph" w:styleId="Footer">
    <w:name w:val="footer"/>
    <w:basedOn w:val="Normal"/>
    <w:link w:val="FooterChar"/>
    <w:uiPriority w:val="99"/>
    <w:unhideWhenUsed/>
    <w:rsid w:val="009D69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925"/>
  </w:style>
  <w:style w:type="character" w:styleId="LineNumber">
    <w:name w:val="line number"/>
    <w:basedOn w:val="DefaultParagraphFont"/>
    <w:uiPriority w:val="99"/>
    <w:semiHidden/>
    <w:unhideWhenUsed/>
    <w:rsid w:val="008B0885"/>
  </w:style>
  <w:style w:type="paragraph" w:styleId="TOCHeading">
    <w:name w:val="TOC Heading"/>
    <w:basedOn w:val="Heading1"/>
    <w:next w:val="Normal"/>
    <w:uiPriority w:val="39"/>
    <w:unhideWhenUsed/>
    <w:qFormat/>
    <w:rsid w:val="00403B5A"/>
    <w:pPr>
      <w:spacing w:before="240" w:after="0" w:line="259" w:lineRule="auto"/>
      <w:outlineLvl w:val="9"/>
    </w:pPr>
    <w:rPr>
      <w:kern w:val="0"/>
      <w:sz w:val="32"/>
      <w:szCs w:val="32"/>
      <w:lang w:eastAsia="en-GB"/>
      <w14:ligatures w14:val="none"/>
    </w:rPr>
  </w:style>
  <w:style w:type="paragraph" w:styleId="TOC3">
    <w:name w:val="toc 3"/>
    <w:basedOn w:val="Normal"/>
    <w:next w:val="Normal"/>
    <w:autoRedefine/>
    <w:uiPriority w:val="39"/>
    <w:unhideWhenUsed/>
    <w:rsid w:val="00403B5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escoplc.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4715</Words>
  <Characters>26881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unaisahkarim1@gmail.com</dc:creator>
  <cp:keywords/>
  <dc:description/>
  <cp:lastModifiedBy>unaisahkarim1@gmail.com</cp:lastModifiedBy>
  <cp:revision>2</cp:revision>
  <dcterms:created xsi:type="dcterms:W3CDTF">2026-07-12T13:05:00Z</dcterms:created>
  <dcterms:modified xsi:type="dcterms:W3CDTF">2026-07-12T13:05:00Z</dcterms:modified>
</cp:coreProperties>
</file>