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07E8E" w14:textId="77777777" w:rsidR="00B31A9A" w:rsidRDefault="00B31A9A" w:rsidP="00B2523A">
      <w:pPr>
        <w:spacing w:line="360" w:lineRule="auto"/>
        <w:jc w:val="center"/>
        <w:rPr>
          <w:rFonts w:ascii="Arial" w:hAnsi="Arial" w:cs="Arial"/>
          <w:b/>
          <w:sz w:val="32"/>
          <w:szCs w:val="24"/>
        </w:rPr>
      </w:pPr>
    </w:p>
    <w:p w14:paraId="7007DAE5" w14:textId="4B4FF5AB" w:rsidR="00B2523A" w:rsidRDefault="00777C9A" w:rsidP="00B2523A">
      <w:pPr>
        <w:spacing w:line="360" w:lineRule="auto"/>
        <w:jc w:val="center"/>
        <w:rPr>
          <w:rFonts w:ascii="Arial" w:hAnsi="Arial" w:cs="Arial"/>
          <w:b/>
          <w:sz w:val="32"/>
          <w:szCs w:val="24"/>
        </w:rPr>
      </w:pPr>
      <w:r w:rsidRPr="00777C9A">
        <w:rPr>
          <w:rFonts w:ascii="Arial" w:hAnsi="Arial" w:cs="Arial"/>
          <w:b/>
          <w:noProof/>
          <w:sz w:val="32"/>
          <w:szCs w:val="24"/>
        </w:rPr>
        <w:drawing>
          <wp:inline distT="0" distB="0" distL="0" distR="0" wp14:anchorId="654B50E6" wp14:editId="457C46DC">
            <wp:extent cx="4754880" cy="1897380"/>
            <wp:effectExtent l="0" t="0" r="7620" b="0"/>
            <wp:docPr id="884496729" name="Picture 1" descr="University of Wales Trinity Saint David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4880" cy="1897380"/>
                    </a:xfrm>
                    <a:prstGeom prst="rect">
                      <a:avLst/>
                    </a:prstGeom>
                    <a:noFill/>
                    <a:ln>
                      <a:noFill/>
                    </a:ln>
                  </pic:spPr>
                </pic:pic>
              </a:graphicData>
            </a:graphic>
          </wp:inline>
        </w:drawing>
      </w:r>
    </w:p>
    <w:p w14:paraId="780416A0" w14:textId="714B2977" w:rsidR="00B2523A" w:rsidRDefault="00B2523A" w:rsidP="00777C9A">
      <w:pPr>
        <w:spacing w:line="360" w:lineRule="auto"/>
        <w:jc w:val="center"/>
        <w:rPr>
          <w:rFonts w:ascii="Arial" w:hAnsi="Arial" w:cs="Arial"/>
          <w:b/>
          <w:sz w:val="32"/>
          <w:szCs w:val="24"/>
        </w:rPr>
      </w:pPr>
      <w:r w:rsidRPr="00B2523A">
        <w:rPr>
          <w:rFonts w:ascii="Arial" w:hAnsi="Arial" w:cs="Arial"/>
          <w:b/>
          <w:sz w:val="32"/>
          <w:szCs w:val="24"/>
        </w:rPr>
        <w:t xml:space="preserve">LEVEL 5 ASSESSMENT </w:t>
      </w:r>
    </w:p>
    <w:p w14:paraId="0AEBF06D" w14:textId="4756B9B7" w:rsidR="0002242A" w:rsidRPr="00B2523A" w:rsidRDefault="00935F6D" w:rsidP="00777C9A">
      <w:pPr>
        <w:spacing w:line="360" w:lineRule="auto"/>
        <w:jc w:val="center"/>
        <w:rPr>
          <w:rFonts w:ascii="Arial" w:hAnsi="Arial" w:cs="Arial"/>
          <w:b/>
          <w:sz w:val="32"/>
          <w:szCs w:val="24"/>
        </w:rPr>
      </w:pPr>
      <w:r>
        <w:rPr>
          <w:rFonts w:ascii="Arial" w:hAnsi="Arial" w:cs="Arial"/>
          <w:b/>
          <w:sz w:val="32"/>
          <w:szCs w:val="24"/>
        </w:rPr>
        <w:t>Health and Social care</w:t>
      </w:r>
    </w:p>
    <w:p w14:paraId="4FE4F93A" w14:textId="06603733" w:rsidR="00B2523A" w:rsidRDefault="00DB4783" w:rsidP="00B2523A">
      <w:pPr>
        <w:spacing w:line="360" w:lineRule="auto"/>
        <w:rPr>
          <w:rFonts w:ascii="Arial" w:hAnsi="Arial" w:cs="Arial"/>
          <w:b/>
          <w:sz w:val="32"/>
          <w:szCs w:val="24"/>
        </w:rPr>
      </w:pPr>
      <w:r>
        <w:rPr>
          <w:rFonts w:ascii="Arial" w:hAnsi="Arial" w:cs="Arial"/>
          <w:b/>
          <w:sz w:val="32"/>
          <w:szCs w:val="24"/>
        </w:rPr>
        <w:t xml:space="preserve"> </w:t>
      </w:r>
      <w:r w:rsidR="00642CE0">
        <w:rPr>
          <w:rFonts w:ascii="Arial" w:hAnsi="Arial" w:cs="Arial"/>
          <w:b/>
          <w:sz w:val="32"/>
          <w:szCs w:val="24"/>
        </w:rPr>
        <w:t>Module</w:t>
      </w:r>
      <w:r w:rsidR="00732546">
        <w:rPr>
          <w:rFonts w:ascii="Arial" w:hAnsi="Arial" w:cs="Arial"/>
          <w:b/>
          <w:sz w:val="32"/>
          <w:szCs w:val="24"/>
        </w:rPr>
        <w:t>:</w:t>
      </w:r>
      <w:r w:rsidR="009B20B6">
        <w:rPr>
          <w:rFonts w:ascii="Arial" w:hAnsi="Arial" w:cs="Arial"/>
          <w:b/>
          <w:sz w:val="32"/>
          <w:szCs w:val="24"/>
        </w:rPr>
        <w:t xml:space="preserve"> </w:t>
      </w:r>
      <w:r w:rsidR="00FA2DFA">
        <w:rPr>
          <w:rFonts w:ascii="Arial" w:hAnsi="Arial" w:cs="Arial"/>
          <w:b/>
          <w:sz w:val="32"/>
          <w:szCs w:val="24"/>
        </w:rPr>
        <w:t>P</w:t>
      </w:r>
      <w:r w:rsidR="00497F26">
        <w:rPr>
          <w:rFonts w:ascii="Arial" w:hAnsi="Arial" w:cs="Arial"/>
          <w:b/>
          <w:sz w:val="32"/>
          <w:szCs w:val="24"/>
        </w:rPr>
        <w:t>rotection and Supporting Fami</w:t>
      </w:r>
      <w:r w:rsidR="002A7488">
        <w:rPr>
          <w:rFonts w:ascii="Arial" w:hAnsi="Arial" w:cs="Arial"/>
          <w:b/>
          <w:sz w:val="32"/>
          <w:szCs w:val="24"/>
        </w:rPr>
        <w:t>lies in  Health</w:t>
      </w:r>
      <w:r w:rsidR="0002242A">
        <w:rPr>
          <w:rFonts w:ascii="Arial" w:hAnsi="Arial" w:cs="Arial"/>
          <w:b/>
          <w:sz w:val="32"/>
          <w:szCs w:val="24"/>
        </w:rPr>
        <w:t xml:space="preserve"> ana Social Care</w:t>
      </w:r>
    </w:p>
    <w:p w14:paraId="33EB8F6A" w14:textId="27E98452" w:rsidR="009020D6" w:rsidRPr="00B2523A" w:rsidRDefault="00E46275" w:rsidP="00B2523A">
      <w:pPr>
        <w:spacing w:line="360" w:lineRule="auto"/>
        <w:rPr>
          <w:rFonts w:ascii="Arial" w:hAnsi="Arial" w:cs="Arial"/>
          <w:b/>
          <w:sz w:val="32"/>
          <w:szCs w:val="24"/>
        </w:rPr>
      </w:pPr>
      <w:r>
        <w:rPr>
          <w:rFonts w:ascii="Arial" w:hAnsi="Arial" w:cs="Arial"/>
          <w:b/>
          <w:sz w:val="32"/>
          <w:szCs w:val="24"/>
        </w:rPr>
        <w:t>Module Code</w:t>
      </w:r>
      <w:r w:rsidR="00661155">
        <w:rPr>
          <w:rFonts w:ascii="Arial" w:hAnsi="Arial" w:cs="Arial"/>
          <w:b/>
          <w:sz w:val="32"/>
          <w:szCs w:val="24"/>
        </w:rPr>
        <w:t>: BMHP5021</w:t>
      </w:r>
    </w:p>
    <w:p w14:paraId="1E39FEB6" w14:textId="77777777" w:rsidR="00B2523A" w:rsidRDefault="00B2523A" w:rsidP="00B2523A">
      <w:pPr>
        <w:spacing w:line="360" w:lineRule="auto"/>
        <w:jc w:val="center"/>
        <w:rPr>
          <w:rFonts w:ascii="Arial" w:hAnsi="Arial" w:cs="Arial"/>
          <w:b/>
          <w:sz w:val="32"/>
          <w:szCs w:val="24"/>
        </w:rPr>
      </w:pPr>
      <w:r>
        <w:rPr>
          <w:rFonts w:ascii="Arial" w:hAnsi="Arial" w:cs="Arial"/>
          <w:b/>
          <w:sz w:val="32"/>
          <w:szCs w:val="24"/>
        </w:rPr>
        <w:t>COMPONENT 2</w:t>
      </w:r>
    </w:p>
    <w:p w14:paraId="31ED6163" w14:textId="640E992B" w:rsidR="00B2523A" w:rsidRDefault="00B2523A" w:rsidP="00777C9A">
      <w:pPr>
        <w:spacing w:line="360" w:lineRule="auto"/>
        <w:rPr>
          <w:rFonts w:ascii="Arial" w:hAnsi="Arial" w:cs="Arial"/>
          <w:b/>
          <w:sz w:val="32"/>
          <w:szCs w:val="24"/>
        </w:rPr>
      </w:pPr>
      <w:r w:rsidRPr="00B2523A">
        <w:rPr>
          <w:rFonts w:ascii="Arial" w:hAnsi="Arial" w:cs="Arial"/>
          <w:b/>
          <w:sz w:val="32"/>
          <w:szCs w:val="24"/>
        </w:rPr>
        <w:t xml:space="preserve">WRITTEN ASSIGNMENT POSTER AND </w:t>
      </w:r>
      <w:r w:rsidR="005C084A" w:rsidRPr="00B2523A">
        <w:rPr>
          <w:rFonts w:ascii="Arial" w:hAnsi="Arial" w:cs="Arial"/>
          <w:b/>
          <w:sz w:val="32"/>
          <w:szCs w:val="24"/>
        </w:rPr>
        <w:t>Pitc</w:t>
      </w:r>
      <w:r w:rsidR="005C084A">
        <w:rPr>
          <w:rFonts w:ascii="Arial" w:hAnsi="Arial" w:cs="Arial"/>
          <w:b/>
          <w:sz w:val="32"/>
          <w:szCs w:val="24"/>
        </w:rPr>
        <w:t>h</w:t>
      </w:r>
    </w:p>
    <w:p w14:paraId="3392AA41" w14:textId="64B94552" w:rsidR="005C084A" w:rsidRPr="00B2523A" w:rsidRDefault="005C084A" w:rsidP="00777C9A">
      <w:pPr>
        <w:spacing w:line="360" w:lineRule="auto"/>
        <w:rPr>
          <w:rFonts w:ascii="Arial" w:hAnsi="Arial" w:cs="Arial"/>
          <w:b/>
          <w:sz w:val="32"/>
          <w:szCs w:val="24"/>
        </w:rPr>
      </w:pPr>
      <w:r>
        <w:rPr>
          <w:rFonts w:ascii="Arial" w:hAnsi="Arial" w:cs="Arial"/>
          <w:b/>
          <w:sz w:val="32"/>
          <w:szCs w:val="24"/>
        </w:rPr>
        <w:t xml:space="preserve">Student </w:t>
      </w:r>
      <w:r w:rsidR="00300CFF">
        <w:rPr>
          <w:rFonts w:ascii="Arial" w:hAnsi="Arial" w:cs="Arial"/>
          <w:b/>
          <w:sz w:val="32"/>
          <w:szCs w:val="24"/>
        </w:rPr>
        <w:t>Name: Laurence Brehouan</w:t>
      </w:r>
    </w:p>
    <w:p w14:paraId="7ABDE190" w14:textId="4071EFE9" w:rsidR="00B2523A" w:rsidRPr="00B2523A" w:rsidRDefault="00254C76" w:rsidP="00777C9A">
      <w:pPr>
        <w:spacing w:line="360" w:lineRule="auto"/>
        <w:rPr>
          <w:rFonts w:ascii="Arial" w:hAnsi="Arial" w:cs="Arial"/>
          <w:b/>
          <w:sz w:val="32"/>
          <w:szCs w:val="24"/>
        </w:rPr>
      </w:pPr>
      <w:r>
        <w:rPr>
          <w:rFonts w:ascii="Arial" w:hAnsi="Arial" w:cs="Arial"/>
          <w:b/>
          <w:sz w:val="32"/>
          <w:szCs w:val="24"/>
        </w:rPr>
        <w:t>Student ID:</w:t>
      </w:r>
      <w:r w:rsidR="004B3C69">
        <w:rPr>
          <w:rFonts w:ascii="Arial" w:hAnsi="Arial" w:cs="Arial"/>
          <w:b/>
          <w:sz w:val="32"/>
          <w:szCs w:val="24"/>
        </w:rPr>
        <w:t xml:space="preserve"> 2328802</w:t>
      </w:r>
    </w:p>
    <w:p w14:paraId="2E2B5388" w14:textId="43FE10B4" w:rsidR="00B2523A" w:rsidRPr="00B2523A" w:rsidRDefault="00B2523A" w:rsidP="00777C9A">
      <w:pPr>
        <w:spacing w:line="360" w:lineRule="auto"/>
        <w:rPr>
          <w:rFonts w:ascii="Arial" w:hAnsi="Arial" w:cs="Arial"/>
          <w:b/>
          <w:sz w:val="32"/>
          <w:szCs w:val="24"/>
          <w:highlight w:val="yellow"/>
        </w:rPr>
      </w:pPr>
    </w:p>
    <w:p w14:paraId="2211650F" w14:textId="137AAB36" w:rsidR="00B2523A" w:rsidRDefault="00593A9A" w:rsidP="00777C9A">
      <w:pPr>
        <w:spacing w:line="360" w:lineRule="auto"/>
        <w:jc w:val="center"/>
        <w:rPr>
          <w:rFonts w:ascii="Arial" w:hAnsi="Arial" w:cs="Arial"/>
          <w:b/>
          <w:sz w:val="32"/>
          <w:szCs w:val="24"/>
        </w:rPr>
      </w:pPr>
      <w:r>
        <w:rPr>
          <w:rFonts w:ascii="Arial" w:hAnsi="Arial" w:cs="Arial"/>
          <w:b/>
          <w:sz w:val="32"/>
          <w:szCs w:val="24"/>
        </w:rPr>
        <w:t xml:space="preserve">Lecturer </w:t>
      </w:r>
      <w:r w:rsidR="000215B8">
        <w:rPr>
          <w:rFonts w:ascii="Arial" w:hAnsi="Arial" w:cs="Arial"/>
          <w:b/>
          <w:sz w:val="32"/>
          <w:szCs w:val="24"/>
        </w:rPr>
        <w:t>Name</w:t>
      </w:r>
      <w:r w:rsidR="00777C9A">
        <w:rPr>
          <w:rFonts w:ascii="Arial" w:hAnsi="Arial" w:cs="Arial"/>
          <w:b/>
          <w:sz w:val="32"/>
          <w:szCs w:val="24"/>
        </w:rPr>
        <w:t xml:space="preserve">: </w:t>
      </w:r>
      <w:r w:rsidR="008D4EDF">
        <w:rPr>
          <w:rFonts w:ascii="Arial" w:hAnsi="Arial" w:cs="Arial"/>
          <w:b/>
          <w:sz w:val="32"/>
          <w:szCs w:val="24"/>
        </w:rPr>
        <w:t>U</w:t>
      </w:r>
      <w:r w:rsidR="007272C2">
        <w:rPr>
          <w:rFonts w:ascii="Arial" w:hAnsi="Arial" w:cs="Arial"/>
          <w:b/>
          <w:sz w:val="32"/>
          <w:szCs w:val="24"/>
        </w:rPr>
        <w:t xml:space="preserve">mma </w:t>
      </w:r>
      <w:r w:rsidR="00037C40">
        <w:rPr>
          <w:rFonts w:ascii="Arial" w:hAnsi="Arial" w:cs="Arial"/>
          <w:b/>
          <w:sz w:val="32"/>
          <w:szCs w:val="24"/>
        </w:rPr>
        <w:t>Suleiman</w:t>
      </w:r>
    </w:p>
    <w:p w14:paraId="105EBDB4" w14:textId="77777777" w:rsidR="00376BFF" w:rsidRDefault="00376BFF" w:rsidP="00B2523A">
      <w:pPr>
        <w:spacing w:line="360" w:lineRule="auto"/>
        <w:jc w:val="center"/>
        <w:rPr>
          <w:rFonts w:ascii="Arial" w:hAnsi="Arial" w:cs="Arial"/>
          <w:b/>
          <w:sz w:val="32"/>
          <w:szCs w:val="24"/>
        </w:rPr>
      </w:pPr>
    </w:p>
    <w:p w14:paraId="1DA06049" w14:textId="77777777" w:rsidR="00376BFF" w:rsidRDefault="00376BFF" w:rsidP="00B2523A">
      <w:pPr>
        <w:spacing w:line="360" w:lineRule="auto"/>
        <w:jc w:val="center"/>
        <w:rPr>
          <w:rFonts w:ascii="Arial" w:hAnsi="Arial" w:cs="Arial"/>
          <w:b/>
          <w:sz w:val="32"/>
          <w:szCs w:val="24"/>
        </w:rPr>
      </w:pPr>
    </w:p>
    <w:p w14:paraId="2C9A8558" w14:textId="77777777" w:rsidR="00376BFF" w:rsidRPr="00376BFF" w:rsidRDefault="00376BFF" w:rsidP="00B2523A">
      <w:pPr>
        <w:spacing w:line="360" w:lineRule="auto"/>
        <w:jc w:val="center"/>
        <w:rPr>
          <w:rFonts w:ascii="Arial Black" w:hAnsi="Arial Black" w:cs="Arial"/>
          <w:b/>
          <w:sz w:val="24"/>
          <w:szCs w:val="24"/>
        </w:rPr>
      </w:pPr>
      <w:r w:rsidRPr="00376BFF">
        <w:rPr>
          <w:rFonts w:ascii="Arial Black" w:hAnsi="Arial Black" w:cs="Arial"/>
          <w:b/>
          <w:sz w:val="24"/>
          <w:szCs w:val="24"/>
        </w:rPr>
        <w:lastRenderedPageBreak/>
        <w:t>POSTER</w:t>
      </w:r>
    </w:p>
    <w:p w14:paraId="3EFA5CFB" w14:textId="77777777" w:rsidR="00376BFF" w:rsidRPr="00376BFF" w:rsidRDefault="00376BFF" w:rsidP="00376BFF">
      <w:pPr>
        <w:spacing w:line="360" w:lineRule="auto"/>
        <w:jc w:val="center"/>
        <w:rPr>
          <w:rFonts w:ascii="Arial" w:hAnsi="Arial" w:cs="Arial"/>
          <w:b/>
          <w:sz w:val="32"/>
          <w:szCs w:val="24"/>
        </w:rPr>
      </w:pPr>
      <w:r>
        <w:rPr>
          <w:noProof/>
        </w:rPr>
        <w:drawing>
          <wp:inline distT="0" distB="0" distL="0" distR="0" wp14:anchorId="239E31C8" wp14:editId="06E88101">
            <wp:extent cx="4952349" cy="7433953"/>
            <wp:effectExtent l="0" t="0" r="1270" b="0"/>
            <wp:docPr id="1" name="Picture 1" descr="C:\Users\Dell\AppData\Local\Microsoft\Windows\INetCache\Content.Word\Slid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Dell\AppData\Local\Microsoft\Windows\INetCache\Content.Word\Slide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6147" cy="7439655"/>
                    </a:xfrm>
                    <a:prstGeom prst="rect">
                      <a:avLst/>
                    </a:prstGeom>
                    <a:noFill/>
                    <a:ln>
                      <a:noFill/>
                    </a:ln>
                  </pic:spPr>
                </pic:pic>
              </a:graphicData>
            </a:graphic>
          </wp:inline>
        </w:drawing>
      </w:r>
    </w:p>
    <w:p w14:paraId="25CDE51F" w14:textId="77777777" w:rsidR="00376BFF" w:rsidRPr="00376BFF" w:rsidRDefault="00376BFF" w:rsidP="00376BFF">
      <w:pPr>
        <w:jc w:val="center"/>
        <w:rPr>
          <w:rFonts w:ascii="Arial Black" w:hAnsi="Arial Black"/>
          <w:b/>
          <w:sz w:val="24"/>
        </w:rPr>
      </w:pPr>
      <w:r w:rsidRPr="00376BFF">
        <w:rPr>
          <w:rFonts w:ascii="Arial Black" w:hAnsi="Arial Black"/>
          <w:b/>
          <w:sz w:val="24"/>
        </w:rPr>
        <w:lastRenderedPageBreak/>
        <w:t>PITCH</w:t>
      </w:r>
    </w:p>
    <w:p w14:paraId="66DBAB3A" w14:textId="77777777" w:rsidR="00873A66" w:rsidRPr="008C32BC" w:rsidRDefault="00873A66" w:rsidP="008C32BC">
      <w:pPr>
        <w:spacing w:before="240" w:line="360" w:lineRule="auto"/>
        <w:jc w:val="both"/>
        <w:rPr>
          <w:rFonts w:ascii="Arial" w:hAnsi="Arial" w:cs="Arial"/>
          <w:b/>
          <w:sz w:val="24"/>
          <w:szCs w:val="24"/>
        </w:rPr>
      </w:pPr>
      <w:r w:rsidRPr="008C32BC">
        <w:rPr>
          <w:rFonts w:ascii="Arial" w:hAnsi="Arial" w:cs="Arial"/>
          <w:b/>
          <w:sz w:val="24"/>
          <w:szCs w:val="24"/>
        </w:rPr>
        <w:t>SafeStep Care: Smart Falls Prevention System for Care Homes</w:t>
      </w:r>
    </w:p>
    <w:p w14:paraId="1444CF87" w14:textId="77777777" w:rsidR="00873A66" w:rsidRPr="008C32BC" w:rsidRDefault="00873A66" w:rsidP="008C32BC">
      <w:pPr>
        <w:spacing w:before="240" w:line="360" w:lineRule="auto"/>
        <w:jc w:val="both"/>
        <w:rPr>
          <w:rFonts w:ascii="Arial" w:hAnsi="Arial" w:cs="Arial"/>
          <w:b/>
          <w:sz w:val="24"/>
          <w:szCs w:val="24"/>
        </w:rPr>
      </w:pPr>
      <w:r w:rsidRPr="008C32BC">
        <w:rPr>
          <w:rFonts w:ascii="Arial" w:hAnsi="Arial" w:cs="Arial"/>
          <w:b/>
          <w:sz w:val="24"/>
          <w:szCs w:val="24"/>
        </w:rPr>
        <w:t>1. Introduction</w:t>
      </w:r>
    </w:p>
    <w:p w14:paraId="2EDA2065" w14:textId="77777777" w:rsidR="00DD1040" w:rsidRPr="008C32BC" w:rsidRDefault="00DD1040" w:rsidP="008C32BC">
      <w:pPr>
        <w:spacing w:before="240" w:line="360" w:lineRule="auto"/>
        <w:jc w:val="both"/>
        <w:rPr>
          <w:rFonts w:ascii="Arial" w:hAnsi="Arial" w:cs="Arial"/>
          <w:sz w:val="24"/>
          <w:szCs w:val="24"/>
        </w:rPr>
      </w:pPr>
      <w:r w:rsidRPr="008C32BC">
        <w:rPr>
          <w:rFonts w:ascii="Arial" w:hAnsi="Arial" w:cs="Arial"/>
          <w:sz w:val="24"/>
          <w:szCs w:val="24"/>
        </w:rPr>
        <w:t>One of the most severe causes of injury in older adults is falls. This is more dangerous in care homes where the victims can be frail, with dementia, poor mobility and dizziness. Fall may result in hospitalization, fear, loss of confidence and loss of independence. SafeStep Care is an AI-powered and sensor-based falls prevention system in UK care homes. It identifies risk early, alerts staff quickly, reduces harm, and supports person-centred care (World Health Organization, 2021; Office for Health Improvement and Disparities, 2022).</w:t>
      </w:r>
    </w:p>
    <w:p w14:paraId="01199EEF" w14:textId="77777777" w:rsidR="00873A66" w:rsidRPr="008C32BC" w:rsidRDefault="00873A66" w:rsidP="008C32BC">
      <w:pPr>
        <w:spacing w:before="240" w:line="360" w:lineRule="auto"/>
        <w:jc w:val="both"/>
        <w:rPr>
          <w:rFonts w:ascii="Arial" w:hAnsi="Arial" w:cs="Arial"/>
          <w:b/>
          <w:sz w:val="24"/>
          <w:szCs w:val="24"/>
        </w:rPr>
      </w:pPr>
      <w:r w:rsidRPr="008C32BC">
        <w:rPr>
          <w:rFonts w:ascii="Arial" w:hAnsi="Arial" w:cs="Arial"/>
          <w:b/>
          <w:sz w:val="24"/>
          <w:szCs w:val="24"/>
        </w:rPr>
        <w:t>2. Background and Need</w:t>
      </w:r>
    </w:p>
    <w:p w14:paraId="4EF2DAF0" w14:textId="77777777" w:rsidR="00DD1040" w:rsidRPr="008C32BC" w:rsidRDefault="00DD1040" w:rsidP="008C32BC">
      <w:pPr>
        <w:spacing w:before="240" w:line="360" w:lineRule="auto"/>
        <w:jc w:val="both"/>
        <w:rPr>
          <w:rFonts w:ascii="Arial" w:hAnsi="Arial" w:cs="Arial"/>
          <w:sz w:val="24"/>
          <w:szCs w:val="24"/>
        </w:rPr>
      </w:pPr>
      <w:r w:rsidRPr="008C32BC">
        <w:rPr>
          <w:rFonts w:ascii="Arial" w:hAnsi="Arial" w:cs="Arial"/>
          <w:sz w:val="24"/>
          <w:szCs w:val="24"/>
        </w:rPr>
        <w:t>Falls constitute a significant social care and public health problem. One in three individuals aged 65 and above and one in two aged 80 and above falls at least once a year in the UK (Office for Health Improvement and Disparities, 2022). The NHS is experiencing the strain of pressure on the public services because falls cost over £2.3 billion annually (UK Research and Innovation, 2024). Fractures of the hip are harmful. In England, Wales and Northern Ireland, there is over 70,000 individuals who undergo a hip fracture annually (National Hip Fracture Database, 2025).</w:t>
      </w:r>
    </w:p>
    <w:p w14:paraId="55C61828" w14:textId="77777777" w:rsidR="00DD1040" w:rsidRPr="008C32BC" w:rsidRDefault="00DD1040" w:rsidP="008C32BC">
      <w:pPr>
        <w:spacing w:before="240" w:line="360" w:lineRule="auto"/>
        <w:jc w:val="both"/>
        <w:rPr>
          <w:rFonts w:ascii="Arial" w:hAnsi="Arial" w:cs="Arial"/>
          <w:sz w:val="24"/>
          <w:szCs w:val="24"/>
        </w:rPr>
      </w:pPr>
      <w:r w:rsidRPr="008C32BC">
        <w:rPr>
          <w:rFonts w:ascii="Arial" w:hAnsi="Arial" w:cs="Arial"/>
          <w:sz w:val="24"/>
          <w:szCs w:val="24"/>
        </w:rPr>
        <w:t>Residents of care homes are prone since they usually require assistance when it comes to mobility, continence, medications, and personal care. Gertner et al. (2026) observed that the hospitalisation rates among residents who fell were higher than those who did not fall, 54% compared with 34%. The existing falls prevention is usually reactive. Staff can only react after a resident has fallen and manual inspections are not able to detect warning signs. Observation is problematic due to staffing pressure. Thus, residential facilities require a timelier risk detection technique.</w:t>
      </w:r>
    </w:p>
    <w:p w14:paraId="2B999C36" w14:textId="77777777" w:rsidR="00873A66" w:rsidRPr="008C32BC" w:rsidRDefault="00873A66" w:rsidP="008C32BC">
      <w:pPr>
        <w:spacing w:before="240" w:line="360" w:lineRule="auto"/>
        <w:jc w:val="both"/>
        <w:rPr>
          <w:rFonts w:ascii="Arial" w:hAnsi="Arial" w:cs="Arial"/>
          <w:b/>
          <w:sz w:val="24"/>
          <w:szCs w:val="24"/>
        </w:rPr>
      </w:pPr>
      <w:r w:rsidRPr="008C32BC">
        <w:rPr>
          <w:rFonts w:ascii="Arial" w:hAnsi="Arial" w:cs="Arial"/>
          <w:b/>
          <w:sz w:val="24"/>
          <w:szCs w:val="24"/>
        </w:rPr>
        <w:t>3. Description of SafeStep Care</w:t>
      </w:r>
    </w:p>
    <w:p w14:paraId="3F0A89C0" w14:textId="77777777" w:rsidR="008C32BC" w:rsidRPr="008C32BC" w:rsidRDefault="008C32BC" w:rsidP="008C32BC">
      <w:pPr>
        <w:spacing w:before="240" w:line="360" w:lineRule="auto"/>
        <w:jc w:val="both"/>
        <w:rPr>
          <w:rFonts w:ascii="Arial" w:hAnsi="Arial" w:cs="Arial"/>
          <w:sz w:val="24"/>
          <w:szCs w:val="24"/>
        </w:rPr>
      </w:pPr>
      <w:r w:rsidRPr="008C32BC">
        <w:rPr>
          <w:rFonts w:ascii="Arial" w:hAnsi="Arial" w:cs="Arial"/>
          <w:sz w:val="24"/>
          <w:szCs w:val="24"/>
        </w:rPr>
        <w:lastRenderedPageBreak/>
        <w:t>SafeStep Care is a computerized care home safety system. It consists of bed exit sensors, chair sensors, motion sensors, wearable alert devices, smart night lighting, an AI risk dashboard, and a digital reporting system. Movement data (night walking, unsafe bed exits, unusual inactivity or bathroom visits) are gathered by sensors. The dashboard recognises risk trends and alerts staff handsets. The resident may then be supported by the staff prior to a fall.</w:t>
      </w:r>
    </w:p>
    <w:p w14:paraId="12536531" w14:textId="77777777" w:rsidR="008C32BC" w:rsidRPr="008C32BC" w:rsidRDefault="008C32BC" w:rsidP="008C32BC">
      <w:pPr>
        <w:spacing w:before="240" w:line="360" w:lineRule="auto"/>
        <w:jc w:val="both"/>
        <w:rPr>
          <w:rFonts w:ascii="Arial" w:hAnsi="Arial" w:cs="Arial"/>
          <w:sz w:val="24"/>
          <w:szCs w:val="24"/>
        </w:rPr>
      </w:pPr>
      <w:r w:rsidRPr="008C32BC">
        <w:rPr>
          <w:rFonts w:ascii="Arial" w:hAnsi="Arial" w:cs="Arial"/>
          <w:sz w:val="24"/>
          <w:szCs w:val="24"/>
        </w:rPr>
        <w:t>The innovation is not comparable with the traditional falls prevention as it does not require harm to have taken place. It employs real-time monitoring to assist previous action and personalised planning of care. To illustrate, when a resident attempt to leave bed multiple times at night, the staff can examine the lighting, toileting assistance, medication, footwear, and mobility aids. This connects to the evidence that the prevention of falls should be multifactorial since falls are often caused by more than one factor (Lee and Yu, 2020; Montero-Odasso et al., 2022). Digital fall detection and prediction systems demonstrate their applicability in long-term care, albeit with the need of training, privacy safeguarding, and transparent processes (Lee, Lee and Lee, 2025).</w:t>
      </w:r>
    </w:p>
    <w:p w14:paraId="245DC57F" w14:textId="77777777" w:rsidR="00873A66" w:rsidRPr="008C32BC" w:rsidRDefault="00873A66" w:rsidP="008C32BC">
      <w:pPr>
        <w:spacing w:before="240" w:line="360" w:lineRule="auto"/>
        <w:jc w:val="both"/>
        <w:rPr>
          <w:rFonts w:ascii="Arial" w:hAnsi="Arial" w:cs="Arial"/>
          <w:b/>
          <w:sz w:val="24"/>
          <w:szCs w:val="24"/>
        </w:rPr>
      </w:pPr>
      <w:r w:rsidRPr="008C32BC">
        <w:rPr>
          <w:rFonts w:ascii="Arial" w:hAnsi="Arial" w:cs="Arial"/>
          <w:b/>
          <w:sz w:val="24"/>
          <w:szCs w:val="24"/>
        </w:rPr>
        <w:t>4. Benefits and Impact</w:t>
      </w:r>
    </w:p>
    <w:p w14:paraId="3C6E518F" w14:textId="77777777" w:rsidR="008C32BC" w:rsidRPr="008C32BC" w:rsidRDefault="008C32BC" w:rsidP="008C32BC">
      <w:pPr>
        <w:spacing w:before="240" w:line="360" w:lineRule="auto"/>
        <w:jc w:val="both"/>
        <w:rPr>
          <w:rFonts w:ascii="Arial" w:hAnsi="Arial" w:cs="Arial"/>
          <w:sz w:val="24"/>
          <w:szCs w:val="24"/>
        </w:rPr>
      </w:pPr>
      <w:r w:rsidRPr="008C32BC">
        <w:rPr>
          <w:rFonts w:ascii="Arial" w:hAnsi="Arial" w:cs="Arial"/>
          <w:sz w:val="24"/>
          <w:szCs w:val="24"/>
        </w:rPr>
        <w:t>SafeStep Care is beneficial to the residents, staff, families and the care system at large. The primary advantage of safer care is gained by residents. Early warning can lessen falls, contribute to independence, and make residents feel more comfortable. Falls prevention also safeguards dignity since the residents will be less prone to pain, distress, injury, and loss of mobility.</w:t>
      </w:r>
    </w:p>
    <w:p w14:paraId="6F3BAC2B" w14:textId="77777777" w:rsidR="008C32BC" w:rsidRPr="008C32BC" w:rsidRDefault="008C32BC" w:rsidP="008C32BC">
      <w:pPr>
        <w:spacing w:before="240" w:line="360" w:lineRule="auto"/>
        <w:jc w:val="both"/>
        <w:rPr>
          <w:rFonts w:ascii="Arial" w:hAnsi="Arial" w:cs="Arial"/>
          <w:sz w:val="24"/>
          <w:szCs w:val="24"/>
        </w:rPr>
      </w:pPr>
      <w:r w:rsidRPr="008C32BC">
        <w:rPr>
          <w:rFonts w:ascii="Arial" w:hAnsi="Arial" w:cs="Arial"/>
          <w:sz w:val="24"/>
          <w:szCs w:val="24"/>
        </w:rPr>
        <w:t>To employees, the system does not present an extra task but provides helpful information. It assists staff to determine high-risk times, places and behaviours that can be used to enhance care planning. It can also minimize the work associated with reporting, emergency response, and hospital transfer. To the family, SafeStep Care will offer the peace of mind that risks are being tracked.</w:t>
      </w:r>
    </w:p>
    <w:p w14:paraId="5F48E9ED" w14:textId="77777777" w:rsidR="008C32BC" w:rsidRPr="008C32BC" w:rsidRDefault="008C32BC" w:rsidP="008C32BC">
      <w:pPr>
        <w:spacing w:before="240" w:line="360" w:lineRule="auto"/>
        <w:jc w:val="both"/>
        <w:rPr>
          <w:rFonts w:ascii="Arial" w:hAnsi="Arial" w:cs="Arial"/>
          <w:sz w:val="24"/>
          <w:szCs w:val="24"/>
        </w:rPr>
      </w:pPr>
      <w:r w:rsidRPr="008C32BC">
        <w:rPr>
          <w:rFonts w:ascii="Arial" w:hAnsi="Arial" w:cs="Arial"/>
          <w:sz w:val="24"/>
          <w:szCs w:val="24"/>
        </w:rPr>
        <w:t xml:space="preserve">The broader system can be helped by a decreased number of emergency admissions, the cases of serious injuries, as well as the decrease in pressure on services. According </w:t>
      </w:r>
      <w:r w:rsidRPr="008C32BC">
        <w:rPr>
          <w:rFonts w:ascii="Arial" w:hAnsi="Arial" w:cs="Arial"/>
          <w:sz w:val="24"/>
          <w:szCs w:val="24"/>
        </w:rPr>
        <w:lastRenderedPageBreak/>
        <w:t>to NHS England (2019), patient safety and harm reduction is the focus of improvement. Goh et al. (2026) demonstrate that hip fractures leave significant social care expenses following injury. Thus, preventing falls contributes to common good, as it helps older people to stay safer.</w:t>
      </w:r>
    </w:p>
    <w:p w14:paraId="0B431021" w14:textId="77777777" w:rsidR="00873A66" w:rsidRPr="008C32BC" w:rsidRDefault="00873A66" w:rsidP="008C32BC">
      <w:pPr>
        <w:spacing w:before="240" w:line="360" w:lineRule="auto"/>
        <w:jc w:val="both"/>
        <w:rPr>
          <w:rFonts w:ascii="Arial" w:hAnsi="Arial" w:cs="Arial"/>
          <w:b/>
          <w:sz w:val="24"/>
          <w:szCs w:val="24"/>
        </w:rPr>
      </w:pPr>
      <w:r w:rsidRPr="008C32BC">
        <w:rPr>
          <w:rFonts w:ascii="Arial" w:hAnsi="Arial" w:cs="Arial"/>
          <w:b/>
          <w:sz w:val="24"/>
          <w:szCs w:val="24"/>
        </w:rPr>
        <w:t>5. Policy, Legislation and Professional Practice</w:t>
      </w:r>
    </w:p>
    <w:p w14:paraId="26CE6C1A" w14:textId="77777777" w:rsidR="008C32BC" w:rsidRPr="008C32BC" w:rsidRDefault="008C32BC" w:rsidP="008C32BC">
      <w:pPr>
        <w:spacing w:before="240" w:line="360" w:lineRule="auto"/>
        <w:jc w:val="both"/>
        <w:rPr>
          <w:rFonts w:ascii="Arial" w:hAnsi="Arial" w:cs="Arial"/>
          <w:sz w:val="24"/>
          <w:szCs w:val="24"/>
        </w:rPr>
      </w:pPr>
      <w:r w:rsidRPr="008C32BC">
        <w:rPr>
          <w:rFonts w:ascii="Arial" w:hAnsi="Arial" w:cs="Arial"/>
          <w:sz w:val="24"/>
          <w:szCs w:val="24"/>
        </w:rPr>
        <w:t>SafeStep Care should be presented in a legal and ethical manner. CQC Regulation 12 states that providers have to provide safe care and to minimize unnecessary harm (CQC, 2025a). NICE NG249 promotes the systematic assessment and prevention of falls in older adults and higher-risk adults (NICE, 2025). According to the NMC Code, the nurses are expected to maintain safety, dignity, confidentiality, and professional accountability (NMC, 2018).</w:t>
      </w:r>
    </w:p>
    <w:p w14:paraId="5815D811" w14:textId="77777777" w:rsidR="008C32BC" w:rsidRPr="008C32BC" w:rsidRDefault="008C32BC" w:rsidP="008C32BC">
      <w:pPr>
        <w:spacing w:before="240" w:line="360" w:lineRule="auto"/>
        <w:jc w:val="both"/>
        <w:rPr>
          <w:rFonts w:ascii="Arial" w:hAnsi="Arial" w:cs="Arial"/>
          <w:sz w:val="24"/>
          <w:szCs w:val="24"/>
        </w:rPr>
      </w:pPr>
      <w:r w:rsidRPr="008C32BC">
        <w:rPr>
          <w:rFonts w:ascii="Arial" w:hAnsi="Arial" w:cs="Arial"/>
          <w:sz w:val="24"/>
          <w:szCs w:val="24"/>
        </w:rPr>
        <w:t>SafeStep Care involves monitoring technology, which means that privacy has to be ensured. According to CQC guidance, surveillance during care service should not violate privacy, dignity, and human rights (CQC, 2025b). Principles of data protection also take effect. The system must gather required information, save it in a secure place, only allow access to authorised personnel, and clarify to residents and families how the monitoring will be done. Necessary consent should be obtained. Technology should be able to assist human care and not to substitute it.</w:t>
      </w:r>
    </w:p>
    <w:p w14:paraId="590EEDF9" w14:textId="77777777" w:rsidR="00873A66" w:rsidRPr="008C32BC" w:rsidRDefault="00873A66" w:rsidP="008C32BC">
      <w:pPr>
        <w:spacing w:before="240" w:line="360" w:lineRule="auto"/>
        <w:jc w:val="both"/>
        <w:rPr>
          <w:rFonts w:ascii="Arial" w:hAnsi="Arial" w:cs="Arial"/>
          <w:b/>
          <w:sz w:val="24"/>
          <w:szCs w:val="24"/>
        </w:rPr>
      </w:pPr>
      <w:r w:rsidRPr="008C32BC">
        <w:rPr>
          <w:rFonts w:ascii="Arial" w:hAnsi="Arial" w:cs="Arial"/>
          <w:b/>
          <w:sz w:val="24"/>
          <w:szCs w:val="24"/>
        </w:rPr>
        <w:t>6. Public Involvement and Stakeholder Engagement</w:t>
      </w:r>
    </w:p>
    <w:p w14:paraId="2CCC5594" w14:textId="77777777" w:rsidR="008C32BC" w:rsidRPr="008C32BC" w:rsidRDefault="008C32BC" w:rsidP="008C32BC">
      <w:pPr>
        <w:spacing w:before="240" w:line="360" w:lineRule="auto"/>
        <w:jc w:val="both"/>
        <w:rPr>
          <w:rFonts w:ascii="Arial" w:hAnsi="Arial" w:cs="Arial"/>
          <w:sz w:val="24"/>
          <w:szCs w:val="24"/>
        </w:rPr>
      </w:pPr>
      <w:r w:rsidRPr="008C32BC">
        <w:rPr>
          <w:rFonts w:ascii="Arial" w:hAnsi="Arial" w:cs="Arial"/>
          <w:sz w:val="24"/>
          <w:szCs w:val="24"/>
        </w:rPr>
        <w:t>The involvement of residents, families, staff, managers, NHS falls teams, local authorities, and technology providers will make SafeStep Care work best. Meetings on consultations should involve residents and families. Employees ought to be trained and provide feedback on the response times and usage daily. The campaign should be supported by the public as falls prevention is the duty of everyone. Families can assist in risk identification, promote safe movement, and promote dignity. This illustrates person-centred care and common safety enhancement (NHS England, 2019; Montero-Odasso et al., 2022).</w:t>
      </w:r>
    </w:p>
    <w:p w14:paraId="35FBECBA" w14:textId="77777777" w:rsidR="00873A66" w:rsidRPr="008C32BC" w:rsidRDefault="00873A66" w:rsidP="008C32BC">
      <w:pPr>
        <w:spacing w:before="240" w:line="360" w:lineRule="auto"/>
        <w:jc w:val="both"/>
        <w:rPr>
          <w:rFonts w:ascii="Arial" w:hAnsi="Arial" w:cs="Arial"/>
          <w:b/>
          <w:sz w:val="24"/>
          <w:szCs w:val="24"/>
        </w:rPr>
      </w:pPr>
      <w:r w:rsidRPr="008C32BC">
        <w:rPr>
          <w:rFonts w:ascii="Arial" w:hAnsi="Arial" w:cs="Arial"/>
          <w:b/>
          <w:sz w:val="24"/>
          <w:szCs w:val="24"/>
        </w:rPr>
        <w:t>7. Conclusion</w:t>
      </w:r>
    </w:p>
    <w:p w14:paraId="1CB56CDF" w14:textId="77777777" w:rsidR="008C32BC" w:rsidRDefault="008C32BC" w:rsidP="008C32BC">
      <w:pPr>
        <w:spacing w:before="240" w:line="360" w:lineRule="auto"/>
        <w:jc w:val="both"/>
        <w:rPr>
          <w:rFonts w:ascii="Arial" w:hAnsi="Arial" w:cs="Arial"/>
          <w:sz w:val="24"/>
          <w:szCs w:val="24"/>
        </w:rPr>
      </w:pPr>
      <w:r w:rsidRPr="008C32BC">
        <w:rPr>
          <w:rFonts w:ascii="Arial" w:hAnsi="Arial" w:cs="Arial"/>
          <w:sz w:val="24"/>
          <w:szCs w:val="24"/>
        </w:rPr>
        <w:lastRenderedPageBreak/>
        <w:t>In the UK, falls continue to be a significant issue in care homes and the existing strategies tend to be reactive. SafeStep Care is a new approach to risk identification at an earlier stage and safer intervention. It consists of evidence-based falls prevention, digital technology, staff training, privacy protection, and person-centred care. The innovation complies with NHS safety priorities, NICE guidelines as well as CQC expectations. The goal of implementing SafeStep Care in care homes is to safeguard residents, offer assistance to the staff, reassure the family, and decrease unnecessary pressure.</w:t>
      </w:r>
    </w:p>
    <w:p w14:paraId="771E5D8E" w14:textId="77777777" w:rsidR="0031285A" w:rsidRDefault="0031285A" w:rsidP="008C32BC">
      <w:pPr>
        <w:spacing w:before="240" w:line="360" w:lineRule="auto"/>
        <w:jc w:val="both"/>
        <w:rPr>
          <w:rFonts w:ascii="Arial" w:hAnsi="Arial" w:cs="Arial"/>
          <w:sz w:val="24"/>
          <w:szCs w:val="24"/>
        </w:rPr>
      </w:pPr>
      <w:r>
        <w:rPr>
          <w:rFonts w:ascii="Arial" w:hAnsi="Arial" w:cs="Arial"/>
          <w:sz w:val="24"/>
          <w:szCs w:val="24"/>
        </w:rPr>
        <w:t xml:space="preserve">Word Count: </w:t>
      </w:r>
      <w:r w:rsidR="008F7331">
        <w:rPr>
          <w:rFonts w:ascii="Arial" w:hAnsi="Arial" w:cs="Arial"/>
          <w:sz w:val="24"/>
          <w:szCs w:val="24"/>
        </w:rPr>
        <w:t>1007</w:t>
      </w:r>
    </w:p>
    <w:p w14:paraId="57AD3501" w14:textId="55E92436" w:rsidR="008C32BC" w:rsidRPr="00C32C3A" w:rsidRDefault="008C32BC" w:rsidP="008C32BC">
      <w:pPr>
        <w:spacing w:before="240" w:line="360" w:lineRule="auto"/>
        <w:jc w:val="both"/>
        <w:rPr>
          <w:rFonts w:ascii="Arial" w:hAnsi="Arial" w:cs="Arial"/>
          <w:b/>
          <w:sz w:val="40"/>
          <w:szCs w:val="40"/>
        </w:rPr>
      </w:pPr>
      <w:r w:rsidRPr="00C32C3A">
        <w:rPr>
          <w:rFonts w:ascii="Arial" w:hAnsi="Arial" w:cs="Arial"/>
          <w:b/>
          <w:sz w:val="40"/>
          <w:szCs w:val="40"/>
        </w:rPr>
        <w:t>References</w:t>
      </w:r>
    </w:p>
    <w:p w14:paraId="2AD74912"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Care Quality Commission (CQC) (2025</w:t>
      </w:r>
      <w:r>
        <w:rPr>
          <w:rFonts w:ascii="Arial" w:hAnsi="Arial" w:cs="Arial"/>
          <w:sz w:val="24"/>
          <w:szCs w:val="24"/>
        </w:rPr>
        <w:t>a</w:t>
      </w:r>
      <w:r w:rsidRPr="008C32BC">
        <w:rPr>
          <w:rFonts w:ascii="Arial" w:hAnsi="Arial" w:cs="Arial"/>
          <w:sz w:val="24"/>
          <w:szCs w:val="24"/>
        </w:rPr>
        <w:t xml:space="preserve">) </w:t>
      </w:r>
      <w:r w:rsidRPr="008C32BC">
        <w:rPr>
          <w:rFonts w:ascii="Arial" w:hAnsi="Arial" w:cs="Arial"/>
          <w:i/>
          <w:iCs/>
          <w:sz w:val="24"/>
          <w:szCs w:val="24"/>
        </w:rPr>
        <w:t>Regulation 12: Safe care and treatment</w:t>
      </w:r>
      <w:r w:rsidRPr="008C32BC">
        <w:rPr>
          <w:rFonts w:ascii="Arial" w:hAnsi="Arial" w:cs="Arial"/>
          <w:sz w:val="24"/>
          <w:szCs w:val="24"/>
        </w:rPr>
        <w:t xml:space="preserve">. Available at: </w:t>
      </w:r>
      <w:hyperlink r:id="rId10" w:tgtFrame="_new" w:history="1">
        <w:r w:rsidRPr="008C32BC">
          <w:rPr>
            <w:rStyle w:val="Hyperlink"/>
            <w:rFonts w:ascii="Arial" w:hAnsi="Arial" w:cs="Arial"/>
            <w:sz w:val="24"/>
            <w:szCs w:val="24"/>
          </w:rPr>
          <w:t>https://www.cqc.org.uk/guidance-regulation/providers/regulations-service-providers-and-managers/health-social-care-act/regulation-12</w:t>
        </w:r>
      </w:hyperlink>
      <w:r w:rsidRPr="008C32BC">
        <w:rPr>
          <w:rFonts w:ascii="Arial" w:hAnsi="Arial" w:cs="Arial"/>
          <w:sz w:val="24"/>
          <w:szCs w:val="24"/>
        </w:rPr>
        <w:t xml:space="preserve"> (Accessed: 22 May 2026). </w:t>
      </w:r>
    </w:p>
    <w:p w14:paraId="201B0BFC"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Care Quality Commission (CQC) (2025</w:t>
      </w:r>
      <w:r>
        <w:rPr>
          <w:rFonts w:ascii="Arial" w:hAnsi="Arial" w:cs="Arial"/>
          <w:sz w:val="24"/>
          <w:szCs w:val="24"/>
        </w:rPr>
        <w:t>b</w:t>
      </w:r>
      <w:r w:rsidRPr="008C32BC">
        <w:rPr>
          <w:rFonts w:ascii="Arial" w:hAnsi="Arial" w:cs="Arial"/>
          <w:sz w:val="24"/>
          <w:szCs w:val="24"/>
        </w:rPr>
        <w:t xml:space="preserve">) </w:t>
      </w:r>
      <w:r w:rsidRPr="008C32BC">
        <w:rPr>
          <w:rFonts w:ascii="Arial" w:hAnsi="Arial" w:cs="Arial"/>
          <w:i/>
          <w:iCs/>
          <w:sz w:val="24"/>
          <w:szCs w:val="24"/>
        </w:rPr>
        <w:t>Using surveillance in your care service</w:t>
      </w:r>
      <w:r w:rsidRPr="008C32BC">
        <w:rPr>
          <w:rFonts w:ascii="Arial" w:hAnsi="Arial" w:cs="Arial"/>
          <w:sz w:val="24"/>
          <w:szCs w:val="24"/>
        </w:rPr>
        <w:t xml:space="preserve">. Available at: </w:t>
      </w:r>
      <w:hyperlink r:id="rId11" w:tgtFrame="_new" w:history="1">
        <w:r w:rsidRPr="008C32BC">
          <w:rPr>
            <w:rStyle w:val="Hyperlink"/>
            <w:rFonts w:ascii="Arial" w:hAnsi="Arial" w:cs="Arial"/>
            <w:sz w:val="24"/>
            <w:szCs w:val="24"/>
          </w:rPr>
          <w:t>https://www.cqc.org.uk/guidance-providers/all-services/using-surveillance-your-care-service</w:t>
        </w:r>
      </w:hyperlink>
      <w:r w:rsidRPr="008C32BC">
        <w:rPr>
          <w:rFonts w:ascii="Arial" w:hAnsi="Arial" w:cs="Arial"/>
          <w:sz w:val="24"/>
          <w:szCs w:val="24"/>
        </w:rPr>
        <w:t xml:space="preserve"> (Accessed: 18 June 2026). </w:t>
      </w:r>
    </w:p>
    <w:p w14:paraId="48A79139"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Gertner, J., Dvir, O., Shifrin, N., Wolfson, P., Moskovitch, R. and Lovat, L.B. (2026) ‘Falls among residents living in care homes using real-time data collection: A large UK case-control study’, </w:t>
      </w:r>
      <w:r w:rsidRPr="008C32BC">
        <w:rPr>
          <w:rFonts w:ascii="Arial" w:hAnsi="Arial" w:cs="Arial"/>
          <w:i/>
          <w:iCs/>
          <w:sz w:val="24"/>
          <w:szCs w:val="24"/>
        </w:rPr>
        <w:t>Health Science Reports</w:t>
      </w:r>
      <w:r w:rsidRPr="008C32BC">
        <w:rPr>
          <w:rFonts w:ascii="Arial" w:hAnsi="Arial" w:cs="Arial"/>
          <w:sz w:val="24"/>
          <w:szCs w:val="24"/>
        </w:rPr>
        <w:t xml:space="preserve">, 9(4), e72350. doi: 10.1002/hsr2.72350. </w:t>
      </w:r>
    </w:p>
    <w:p w14:paraId="5F7B06E8"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Goh, E.L., Png, M.E., Metcalfe, D., Achten, J., Appelbe, D., Griffin, X.L., Cook, J.A., Costa, M.L. and WHiTE Investigators (2026) ‘The utilisation and cost of social care after hip fracture: a prospective observational cohort study’, </w:t>
      </w:r>
      <w:r w:rsidRPr="008C32BC">
        <w:rPr>
          <w:rFonts w:ascii="Arial" w:hAnsi="Arial" w:cs="Arial"/>
          <w:i/>
          <w:iCs/>
          <w:sz w:val="24"/>
          <w:szCs w:val="24"/>
        </w:rPr>
        <w:t>Age and Ageing</w:t>
      </w:r>
      <w:r w:rsidRPr="008C32BC">
        <w:rPr>
          <w:rFonts w:ascii="Arial" w:hAnsi="Arial" w:cs="Arial"/>
          <w:sz w:val="24"/>
          <w:szCs w:val="24"/>
        </w:rPr>
        <w:t xml:space="preserve">, 55(1), afaf358. doi: 10.1093/ageing/afaf358. </w:t>
      </w:r>
    </w:p>
    <w:p w14:paraId="0DC4CBE6"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Lee, A., Lee, H. and Lee, S.-H. (2025) ‘Digital healthcare approaches for fall detection and prediction in older adults: A systematic review of evidence from hospital and long-term care settings’, </w:t>
      </w:r>
      <w:r w:rsidRPr="008C32BC">
        <w:rPr>
          <w:rFonts w:ascii="Arial" w:hAnsi="Arial" w:cs="Arial"/>
          <w:i/>
          <w:iCs/>
          <w:sz w:val="24"/>
          <w:szCs w:val="24"/>
        </w:rPr>
        <w:t>Medicina</w:t>
      </w:r>
      <w:r w:rsidRPr="008C32BC">
        <w:rPr>
          <w:rFonts w:ascii="Arial" w:hAnsi="Arial" w:cs="Arial"/>
          <w:sz w:val="24"/>
          <w:szCs w:val="24"/>
        </w:rPr>
        <w:t xml:space="preserve">, 61(11), 1926. doi: 10.3390/medicina61111926. </w:t>
      </w:r>
    </w:p>
    <w:p w14:paraId="51CEF352"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lastRenderedPageBreak/>
        <w:t xml:space="preserve">Lee, S.H. and Yu, S. (2020) ‘Effectiveness of multifactorial interventions in preventing falls among older adults in the community: A systematic review and meta-analysis’, </w:t>
      </w:r>
      <w:r w:rsidRPr="008C32BC">
        <w:rPr>
          <w:rFonts w:ascii="Arial" w:hAnsi="Arial" w:cs="Arial"/>
          <w:i/>
          <w:iCs/>
          <w:sz w:val="24"/>
          <w:szCs w:val="24"/>
        </w:rPr>
        <w:t>International Journal of Nursing Studies</w:t>
      </w:r>
      <w:r w:rsidRPr="008C32BC">
        <w:rPr>
          <w:rFonts w:ascii="Arial" w:hAnsi="Arial" w:cs="Arial"/>
          <w:sz w:val="24"/>
          <w:szCs w:val="24"/>
        </w:rPr>
        <w:t xml:space="preserve">, 106, 103564. </w:t>
      </w:r>
    </w:p>
    <w:p w14:paraId="0B59768C"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Montero-Odasso, M. </w:t>
      </w:r>
      <w:r w:rsidRPr="008C32BC">
        <w:rPr>
          <w:rFonts w:ascii="Arial" w:hAnsi="Arial" w:cs="Arial"/>
          <w:i/>
          <w:iCs/>
          <w:sz w:val="24"/>
          <w:szCs w:val="24"/>
        </w:rPr>
        <w:t>et al.</w:t>
      </w:r>
      <w:r w:rsidRPr="008C32BC">
        <w:rPr>
          <w:rFonts w:ascii="Arial" w:hAnsi="Arial" w:cs="Arial"/>
          <w:sz w:val="24"/>
          <w:szCs w:val="24"/>
        </w:rPr>
        <w:t xml:space="preserve"> (2022) ‘World guidelines for falls prevention and management for older adults: A global initiative’, </w:t>
      </w:r>
      <w:r w:rsidRPr="008C32BC">
        <w:rPr>
          <w:rFonts w:ascii="Arial" w:hAnsi="Arial" w:cs="Arial"/>
          <w:i/>
          <w:iCs/>
          <w:sz w:val="24"/>
          <w:szCs w:val="24"/>
        </w:rPr>
        <w:t>Age and Ageing</w:t>
      </w:r>
      <w:r w:rsidRPr="008C32BC">
        <w:rPr>
          <w:rFonts w:ascii="Arial" w:hAnsi="Arial" w:cs="Arial"/>
          <w:sz w:val="24"/>
          <w:szCs w:val="24"/>
        </w:rPr>
        <w:t xml:space="preserve">, 51(9), afac205. doi: 10.1093/ageing/afac205. </w:t>
      </w:r>
    </w:p>
    <w:p w14:paraId="02257F9A"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National Hip Fracture Database (NHFD) (2025) </w:t>
      </w:r>
      <w:r w:rsidRPr="008C32BC">
        <w:rPr>
          <w:rFonts w:ascii="Arial" w:hAnsi="Arial" w:cs="Arial"/>
          <w:i/>
          <w:iCs/>
          <w:sz w:val="24"/>
          <w:szCs w:val="24"/>
        </w:rPr>
        <w:t>Room for improvement: Hip fracture care in 2024. The 2025 National Hip Fracture Database report on 2024</w:t>
      </w:r>
      <w:r w:rsidRPr="008C32BC">
        <w:rPr>
          <w:rFonts w:ascii="Arial" w:hAnsi="Arial" w:cs="Arial"/>
          <w:sz w:val="24"/>
          <w:szCs w:val="24"/>
        </w:rPr>
        <w:t xml:space="preserve">. London: Falls and Fragility Fracture Audit Programme, Royal College of Physicians. Available at: </w:t>
      </w:r>
      <w:hyperlink r:id="rId12" w:tgtFrame="_new" w:history="1">
        <w:r w:rsidRPr="008C32BC">
          <w:rPr>
            <w:rStyle w:val="Hyperlink"/>
            <w:rFonts w:ascii="Arial" w:hAnsi="Arial" w:cs="Arial"/>
            <w:sz w:val="24"/>
            <w:szCs w:val="24"/>
          </w:rPr>
          <w:t>https://www.nhfd.co.uk/2025report</w:t>
        </w:r>
      </w:hyperlink>
      <w:r w:rsidRPr="008C32BC">
        <w:rPr>
          <w:rFonts w:ascii="Arial" w:hAnsi="Arial" w:cs="Arial"/>
          <w:sz w:val="24"/>
          <w:szCs w:val="24"/>
        </w:rPr>
        <w:t xml:space="preserve"> (Accessed: 18 June 2026). </w:t>
      </w:r>
    </w:p>
    <w:p w14:paraId="739CE6E6"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NHS England (2019) </w:t>
      </w:r>
      <w:r w:rsidRPr="008C32BC">
        <w:rPr>
          <w:rFonts w:ascii="Arial" w:hAnsi="Arial" w:cs="Arial"/>
          <w:i/>
          <w:iCs/>
          <w:sz w:val="24"/>
          <w:szCs w:val="24"/>
        </w:rPr>
        <w:t>The NHS Patient Safety Strategy</w:t>
      </w:r>
      <w:r w:rsidRPr="008C32BC">
        <w:rPr>
          <w:rFonts w:ascii="Arial" w:hAnsi="Arial" w:cs="Arial"/>
          <w:sz w:val="24"/>
          <w:szCs w:val="24"/>
        </w:rPr>
        <w:t xml:space="preserve">. Available at: </w:t>
      </w:r>
      <w:hyperlink r:id="rId13" w:tgtFrame="_new" w:history="1">
        <w:r w:rsidRPr="008C32BC">
          <w:rPr>
            <w:rStyle w:val="Hyperlink"/>
            <w:rFonts w:ascii="Arial" w:hAnsi="Arial" w:cs="Arial"/>
            <w:sz w:val="24"/>
            <w:szCs w:val="24"/>
          </w:rPr>
          <w:t>https://www.england.nhs.uk/patient-safety/the-nhs-patient-safety-strategy/</w:t>
        </w:r>
      </w:hyperlink>
      <w:r w:rsidRPr="008C32BC">
        <w:rPr>
          <w:rFonts w:ascii="Arial" w:hAnsi="Arial" w:cs="Arial"/>
          <w:sz w:val="24"/>
          <w:szCs w:val="24"/>
        </w:rPr>
        <w:t xml:space="preserve"> (Accessed: 14 May 2026). </w:t>
      </w:r>
    </w:p>
    <w:p w14:paraId="6552E8FC"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NICE (2025) </w:t>
      </w:r>
      <w:r w:rsidRPr="008C32BC">
        <w:rPr>
          <w:rFonts w:ascii="Arial" w:hAnsi="Arial" w:cs="Arial"/>
          <w:i/>
          <w:iCs/>
          <w:sz w:val="24"/>
          <w:szCs w:val="24"/>
        </w:rPr>
        <w:t>Falls: Assessment and prevention in older people and in people 50 and over at higher risk</w:t>
      </w:r>
      <w:r w:rsidRPr="008C32BC">
        <w:rPr>
          <w:rFonts w:ascii="Arial" w:hAnsi="Arial" w:cs="Arial"/>
          <w:sz w:val="24"/>
          <w:szCs w:val="24"/>
        </w:rPr>
        <w:t xml:space="preserve">. NICE guideline NG249. Available at: </w:t>
      </w:r>
      <w:hyperlink r:id="rId14" w:tgtFrame="_new" w:history="1">
        <w:r w:rsidRPr="008C32BC">
          <w:rPr>
            <w:rStyle w:val="Hyperlink"/>
            <w:rFonts w:ascii="Arial" w:hAnsi="Arial" w:cs="Arial"/>
            <w:sz w:val="24"/>
            <w:szCs w:val="24"/>
          </w:rPr>
          <w:t>https://www.nice.org.uk/guidance/ng249</w:t>
        </w:r>
      </w:hyperlink>
      <w:r w:rsidRPr="008C32BC">
        <w:rPr>
          <w:rFonts w:ascii="Arial" w:hAnsi="Arial" w:cs="Arial"/>
          <w:sz w:val="24"/>
          <w:szCs w:val="24"/>
        </w:rPr>
        <w:t xml:space="preserve"> (Accessed: 14 May 2026). </w:t>
      </w:r>
    </w:p>
    <w:p w14:paraId="38C0FDD0"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Nursing and Midwifery Council (NMC) (2018) </w:t>
      </w:r>
      <w:r w:rsidRPr="008C32BC">
        <w:rPr>
          <w:rFonts w:ascii="Arial" w:hAnsi="Arial" w:cs="Arial"/>
          <w:i/>
          <w:iCs/>
          <w:sz w:val="24"/>
          <w:szCs w:val="24"/>
        </w:rPr>
        <w:t>The Code: Professional standards of practice and behaviour for nurses, midwives and nursing associates</w:t>
      </w:r>
      <w:r w:rsidRPr="008C32BC">
        <w:rPr>
          <w:rFonts w:ascii="Arial" w:hAnsi="Arial" w:cs="Arial"/>
          <w:sz w:val="24"/>
          <w:szCs w:val="24"/>
        </w:rPr>
        <w:t xml:space="preserve">. Available at: </w:t>
      </w:r>
      <w:hyperlink r:id="rId15" w:tgtFrame="_new" w:history="1">
        <w:r w:rsidRPr="008C32BC">
          <w:rPr>
            <w:rStyle w:val="Hyperlink"/>
            <w:rFonts w:ascii="Arial" w:hAnsi="Arial" w:cs="Arial"/>
            <w:sz w:val="24"/>
            <w:szCs w:val="24"/>
          </w:rPr>
          <w:t>https://www.nmc.org.uk/standards/code/read-the-code-online/</w:t>
        </w:r>
      </w:hyperlink>
      <w:r w:rsidRPr="008C32BC">
        <w:rPr>
          <w:rFonts w:ascii="Arial" w:hAnsi="Arial" w:cs="Arial"/>
          <w:sz w:val="24"/>
          <w:szCs w:val="24"/>
        </w:rPr>
        <w:t xml:space="preserve"> (Accessed: 22 May 2026). </w:t>
      </w:r>
    </w:p>
    <w:p w14:paraId="5ED5EE7A"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Office for Health Improvement and Disparities (2022) </w:t>
      </w:r>
      <w:r w:rsidRPr="008C32BC">
        <w:rPr>
          <w:rFonts w:ascii="Arial" w:hAnsi="Arial" w:cs="Arial"/>
          <w:i/>
          <w:iCs/>
          <w:sz w:val="24"/>
          <w:szCs w:val="24"/>
        </w:rPr>
        <w:t>Falls: applying All Our Health</w:t>
      </w:r>
      <w:r w:rsidRPr="008C32BC">
        <w:rPr>
          <w:rFonts w:ascii="Arial" w:hAnsi="Arial" w:cs="Arial"/>
          <w:sz w:val="24"/>
          <w:szCs w:val="24"/>
        </w:rPr>
        <w:t xml:space="preserve">. London: Department of Health and Social Care. Available at: </w:t>
      </w:r>
      <w:hyperlink r:id="rId16" w:tgtFrame="_new" w:history="1">
        <w:r w:rsidRPr="008C32BC">
          <w:rPr>
            <w:rStyle w:val="Hyperlink"/>
            <w:rFonts w:ascii="Arial" w:hAnsi="Arial" w:cs="Arial"/>
            <w:sz w:val="24"/>
            <w:szCs w:val="24"/>
          </w:rPr>
          <w:t>https://www.gov.uk/government/publications/falls-applying-all-our-health/falls-applying-all-our-health</w:t>
        </w:r>
      </w:hyperlink>
      <w:r w:rsidRPr="008C32BC">
        <w:rPr>
          <w:rFonts w:ascii="Arial" w:hAnsi="Arial" w:cs="Arial"/>
          <w:sz w:val="24"/>
          <w:szCs w:val="24"/>
        </w:rPr>
        <w:t xml:space="preserve"> (Accessed: 17 June 2026). </w:t>
      </w:r>
    </w:p>
    <w:p w14:paraId="502A96F6"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Royal College of Physicians (RCP) (2025) </w:t>
      </w:r>
      <w:r w:rsidRPr="008C32BC">
        <w:rPr>
          <w:rFonts w:ascii="Arial" w:hAnsi="Arial" w:cs="Arial"/>
          <w:i/>
          <w:iCs/>
          <w:sz w:val="24"/>
          <w:szCs w:val="24"/>
        </w:rPr>
        <w:t>Stepping towards improvement: An analysis of 2024 inpatient falls audit data and reflection on 6 years as a continuous audit</w:t>
      </w:r>
      <w:r w:rsidRPr="008C32BC">
        <w:rPr>
          <w:rFonts w:ascii="Arial" w:hAnsi="Arial" w:cs="Arial"/>
          <w:sz w:val="24"/>
          <w:szCs w:val="24"/>
        </w:rPr>
        <w:t xml:space="preserve">. London: Royal College of Physicians. Available at: </w:t>
      </w:r>
      <w:hyperlink r:id="rId17" w:tgtFrame="_new" w:history="1">
        <w:r w:rsidRPr="008C32BC">
          <w:rPr>
            <w:rStyle w:val="Hyperlink"/>
            <w:rFonts w:ascii="Arial" w:hAnsi="Arial" w:cs="Arial"/>
            <w:sz w:val="24"/>
            <w:szCs w:val="24"/>
          </w:rPr>
          <w:t>https://www.rcp.ac.uk/media/fralxu21/acknowledgements-naif-2025.pdf</w:t>
        </w:r>
      </w:hyperlink>
      <w:r w:rsidRPr="008C32BC">
        <w:rPr>
          <w:rFonts w:ascii="Arial" w:hAnsi="Arial" w:cs="Arial"/>
          <w:sz w:val="24"/>
          <w:szCs w:val="24"/>
        </w:rPr>
        <w:t xml:space="preserve"> (Accessed: 22 May 2026). </w:t>
      </w:r>
    </w:p>
    <w:p w14:paraId="0CEE30A4"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UK Research and Innovation (2024) </w:t>
      </w:r>
      <w:r w:rsidRPr="008C32BC">
        <w:rPr>
          <w:rFonts w:ascii="Arial" w:hAnsi="Arial" w:cs="Arial"/>
          <w:i/>
          <w:iCs/>
          <w:sz w:val="24"/>
          <w:szCs w:val="24"/>
        </w:rPr>
        <w:t>Home interventions reduce fall admissions for older people</w:t>
      </w:r>
      <w:r w:rsidRPr="008C32BC">
        <w:rPr>
          <w:rFonts w:ascii="Arial" w:hAnsi="Arial" w:cs="Arial"/>
          <w:sz w:val="24"/>
          <w:szCs w:val="24"/>
        </w:rPr>
        <w:t xml:space="preserve">. Available at: </w:t>
      </w:r>
      <w:hyperlink r:id="rId18" w:tgtFrame="_new" w:history="1">
        <w:r w:rsidRPr="008C32BC">
          <w:rPr>
            <w:rStyle w:val="Hyperlink"/>
            <w:rFonts w:ascii="Arial" w:hAnsi="Arial" w:cs="Arial"/>
            <w:sz w:val="24"/>
            <w:szCs w:val="24"/>
          </w:rPr>
          <w:t>https://www.ukri.org/who-we-are/how-we-are-doing/research-outcomes-and-impact/mrc/home-interventions-reduce-fall-admissions-for-older-people/</w:t>
        </w:r>
      </w:hyperlink>
      <w:r w:rsidRPr="008C32BC">
        <w:rPr>
          <w:rFonts w:ascii="Arial" w:hAnsi="Arial" w:cs="Arial"/>
          <w:sz w:val="24"/>
          <w:szCs w:val="24"/>
        </w:rPr>
        <w:t xml:space="preserve"> (Accessed: 17 June 2026). </w:t>
      </w:r>
    </w:p>
    <w:p w14:paraId="28CCABD1" w14:textId="77777777" w:rsidR="008C32BC" w:rsidRPr="008C32BC" w:rsidRDefault="008C32BC" w:rsidP="008C32BC">
      <w:pPr>
        <w:spacing w:before="240" w:line="360" w:lineRule="auto"/>
        <w:ind w:firstLine="360"/>
        <w:jc w:val="both"/>
        <w:rPr>
          <w:rFonts w:ascii="Arial" w:hAnsi="Arial" w:cs="Arial"/>
          <w:sz w:val="24"/>
          <w:szCs w:val="24"/>
        </w:rPr>
      </w:pPr>
      <w:r w:rsidRPr="008C32BC">
        <w:rPr>
          <w:rFonts w:ascii="Arial" w:hAnsi="Arial" w:cs="Arial"/>
          <w:sz w:val="24"/>
          <w:szCs w:val="24"/>
        </w:rPr>
        <w:t xml:space="preserve">World Health Organization (2021) </w:t>
      </w:r>
      <w:r w:rsidRPr="008C32BC">
        <w:rPr>
          <w:rFonts w:ascii="Arial" w:hAnsi="Arial" w:cs="Arial"/>
          <w:i/>
          <w:iCs/>
          <w:sz w:val="24"/>
          <w:szCs w:val="24"/>
        </w:rPr>
        <w:t>Falls</w:t>
      </w:r>
      <w:r w:rsidRPr="008C32BC">
        <w:rPr>
          <w:rFonts w:ascii="Arial" w:hAnsi="Arial" w:cs="Arial"/>
          <w:sz w:val="24"/>
          <w:szCs w:val="24"/>
        </w:rPr>
        <w:t xml:space="preserve">. Available at: </w:t>
      </w:r>
      <w:hyperlink r:id="rId19" w:tgtFrame="_new" w:history="1">
        <w:r w:rsidRPr="008C32BC">
          <w:rPr>
            <w:rStyle w:val="Hyperlink"/>
            <w:rFonts w:ascii="Arial" w:hAnsi="Arial" w:cs="Arial"/>
            <w:sz w:val="24"/>
            <w:szCs w:val="24"/>
          </w:rPr>
          <w:t>https://www.who.int/news-room/fact-sheets/detail/falls</w:t>
        </w:r>
      </w:hyperlink>
      <w:r w:rsidRPr="008C32BC">
        <w:rPr>
          <w:rFonts w:ascii="Arial" w:hAnsi="Arial" w:cs="Arial"/>
          <w:sz w:val="24"/>
          <w:szCs w:val="24"/>
        </w:rPr>
        <w:t xml:space="preserve"> (Accessed: 14 May 2026).</w:t>
      </w:r>
    </w:p>
    <w:p w14:paraId="4EE83928" w14:textId="77777777" w:rsidR="008C32BC" w:rsidRPr="008C32BC" w:rsidRDefault="008C32BC" w:rsidP="008C32BC">
      <w:pPr>
        <w:spacing w:before="240" w:line="360" w:lineRule="auto"/>
        <w:jc w:val="both"/>
        <w:rPr>
          <w:rFonts w:ascii="Arial" w:hAnsi="Arial" w:cs="Arial"/>
          <w:b/>
          <w:sz w:val="24"/>
          <w:szCs w:val="24"/>
        </w:rPr>
      </w:pPr>
    </w:p>
    <w:p w14:paraId="3DE59144" w14:textId="77777777" w:rsidR="00873A66" w:rsidRPr="00873A66" w:rsidRDefault="00873A66" w:rsidP="00873A66">
      <w:pPr>
        <w:rPr>
          <w:rFonts w:ascii="Arial" w:hAnsi="Arial" w:cs="Arial"/>
          <w:sz w:val="24"/>
        </w:rPr>
      </w:pPr>
    </w:p>
    <w:p w14:paraId="2B02C076" w14:textId="77777777" w:rsidR="00B2523A" w:rsidRDefault="00B2523A" w:rsidP="00B2523A">
      <w:pPr>
        <w:jc w:val="center"/>
      </w:pPr>
    </w:p>
    <w:sectPr w:rsidR="00B2523A" w:rsidSect="00376BFF">
      <w:head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1A7E7" w14:textId="77777777" w:rsidR="006B0895" w:rsidRDefault="006B0895" w:rsidP="00376BFF">
      <w:pPr>
        <w:spacing w:after="0" w:line="240" w:lineRule="auto"/>
      </w:pPr>
      <w:r>
        <w:separator/>
      </w:r>
    </w:p>
  </w:endnote>
  <w:endnote w:type="continuationSeparator" w:id="0">
    <w:p w14:paraId="1E0C4FAF" w14:textId="77777777" w:rsidR="006B0895" w:rsidRDefault="006B0895" w:rsidP="00376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11DAB" w14:textId="77777777" w:rsidR="006B0895" w:rsidRDefault="006B0895" w:rsidP="00376BFF">
      <w:pPr>
        <w:spacing w:after="0" w:line="240" w:lineRule="auto"/>
      </w:pPr>
      <w:r>
        <w:separator/>
      </w:r>
    </w:p>
  </w:footnote>
  <w:footnote w:type="continuationSeparator" w:id="0">
    <w:p w14:paraId="71CE4C11" w14:textId="77777777" w:rsidR="006B0895" w:rsidRDefault="006B0895" w:rsidP="00376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5784970"/>
      <w:docPartObj>
        <w:docPartGallery w:val="Page Numbers (Top of Page)"/>
        <w:docPartUnique/>
      </w:docPartObj>
    </w:sdtPr>
    <w:sdtEndPr>
      <w:rPr>
        <w:noProof/>
      </w:rPr>
    </w:sdtEndPr>
    <w:sdtContent>
      <w:p w14:paraId="2B37C16E" w14:textId="77777777" w:rsidR="00376BFF" w:rsidRDefault="00376BFF" w:rsidP="00376BFF">
        <w:pPr>
          <w:pStyle w:val="Header"/>
          <w:jc w:val="center"/>
        </w:pPr>
        <w:r>
          <w:fldChar w:fldCharType="begin"/>
        </w:r>
        <w:r>
          <w:instrText xml:space="preserve"> PAGE   \* MERGEFORMAT </w:instrText>
        </w:r>
        <w:r>
          <w:fldChar w:fldCharType="separate"/>
        </w:r>
        <w:r w:rsidR="008F7331">
          <w:rPr>
            <w:noProof/>
          </w:rPr>
          <w:t>6</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72B39"/>
    <w:multiLevelType w:val="hybridMultilevel"/>
    <w:tmpl w:val="AC5605F0"/>
    <w:lvl w:ilvl="0" w:tplc="5290C0EE">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84749DA"/>
    <w:multiLevelType w:val="hybridMultilevel"/>
    <w:tmpl w:val="C602DA14"/>
    <w:lvl w:ilvl="0" w:tplc="5290C0EE">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41BD2414"/>
    <w:multiLevelType w:val="hybridMultilevel"/>
    <w:tmpl w:val="0C7C4ABA"/>
    <w:lvl w:ilvl="0" w:tplc="5290C0E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EF626F"/>
    <w:multiLevelType w:val="hybridMultilevel"/>
    <w:tmpl w:val="24DED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9524294">
    <w:abstractNumId w:val="3"/>
  </w:num>
  <w:num w:numId="2" w16cid:durableId="1381393388">
    <w:abstractNumId w:val="2"/>
  </w:num>
  <w:num w:numId="3" w16cid:durableId="1617836256">
    <w:abstractNumId w:val="1"/>
  </w:num>
  <w:num w:numId="4" w16cid:durableId="1430853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523A"/>
    <w:rsid w:val="000215B8"/>
    <w:rsid w:val="0002242A"/>
    <w:rsid w:val="00037C40"/>
    <w:rsid w:val="000704BB"/>
    <w:rsid w:val="000B3C8B"/>
    <w:rsid w:val="001614AE"/>
    <w:rsid w:val="00177B04"/>
    <w:rsid w:val="001A7012"/>
    <w:rsid w:val="00254C76"/>
    <w:rsid w:val="002A7488"/>
    <w:rsid w:val="00300CFF"/>
    <w:rsid w:val="0031285A"/>
    <w:rsid w:val="0035437C"/>
    <w:rsid w:val="003650D3"/>
    <w:rsid w:val="00376BFF"/>
    <w:rsid w:val="0044085A"/>
    <w:rsid w:val="00497F26"/>
    <w:rsid w:val="004B3C69"/>
    <w:rsid w:val="00520705"/>
    <w:rsid w:val="00577AE7"/>
    <w:rsid w:val="00593A9A"/>
    <w:rsid w:val="005A70F9"/>
    <w:rsid w:val="005C084A"/>
    <w:rsid w:val="005C780B"/>
    <w:rsid w:val="005D5DD1"/>
    <w:rsid w:val="00642CE0"/>
    <w:rsid w:val="00646B33"/>
    <w:rsid w:val="00661155"/>
    <w:rsid w:val="006B0895"/>
    <w:rsid w:val="006F0621"/>
    <w:rsid w:val="007272C2"/>
    <w:rsid w:val="00732546"/>
    <w:rsid w:val="00735218"/>
    <w:rsid w:val="00735B14"/>
    <w:rsid w:val="007653F9"/>
    <w:rsid w:val="00777C9A"/>
    <w:rsid w:val="007B200D"/>
    <w:rsid w:val="00873A66"/>
    <w:rsid w:val="008C32BC"/>
    <w:rsid w:val="008D4EDF"/>
    <w:rsid w:val="008F7331"/>
    <w:rsid w:val="009020D6"/>
    <w:rsid w:val="00935F6D"/>
    <w:rsid w:val="009725F9"/>
    <w:rsid w:val="00972A93"/>
    <w:rsid w:val="009B20B6"/>
    <w:rsid w:val="00A22C83"/>
    <w:rsid w:val="00AF5D68"/>
    <w:rsid w:val="00B2523A"/>
    <w:rsid w:val="00B31A9A"/>
    <w:rsid w:val="00BC4379"/>
    <w:rsid w:val="00C15E03"/>
    <w:rsid w:val="00C32C3A"/>
    <w:rsid w:val="00D2251C"/>
    <w:rsid w:val="00D41DBF"/>
    <w:rsid w:val="00D42463"/>
    <w:rsid w:val="00DB4783"/>
    <w:rsid w:val="00DB61B8"/>
    <w:rsid w:val="00DD1040"/>
    <w:rsid w:val="00E46275"/>
    <w:rsid w:val="00EA47A4"/>
    <w:rsid w:val="00EE3F4B"/>
    <w:rsid w:val="00F112B9"/>
    <w:rsid w:val="00FA2D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87286"/>
  <w15:chartTrackingRefBased/>
  <w15:docId w15:val="{56F4C3A5-581F-4703-AD4C-28D6E0AB7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2523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B2523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873A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23A"/>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B2523A"/>
    <w:rPr>
      <w:rFonts w:ascii="Times New Roman" w:eastAsia="Times New Roman" w:hAnsi="Times New Roman" w:cs="Times New Roman"/>
      <w:b/>
      <w:bCs/>
      <w:sz w:val="36"/>
      <w:szCs w:val="36"/>
    </w:rPr>
  </w:style>
  <w:style w:type="paragraph" w:styleId="NormalWeb">
    <w:name w:val="Normal (Web)"/>
    <w:basedOn w:val="Normal"/>
    <w:uiPriority w:val="99"/>
    <w:unhideWhenUsed/>
    <w:rsid w:val="00B2523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873A66"/>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8C32BC"/>
    <w:rPr>
      <w:color w:val="0563C1" w:themeColor="hyperlink"/>
      <w:u w:val="single"/>
    </w:rPr>
  </w:style>
  <w:style w:type="paragraph" w:styleId="ListParagraph">
    <w:name w:val="List Paragraph"/>
    <w:basedOn w:val="Normal"/>
    <w:uiPriority w:val="34"/>
    <w:qFormat/>
    <w:rsid w:val="008C32BC"/>
    <w:pPr>
      <w:ind w:left="720"/>
      <w:contextualSpacing/>
    </w:pPr>
  </w:style>
  <w:style w:type="paragraph" w:styleId="Header">
    <w:name w:val="header"/>
    <w:basedOn w:val="Normal"/>
    <w:link w:val="HeaderChar"/>
    <w:uiPriority w:val="99"/>
    <w:unhideWhenUsed/>
    <w:rsid w:val="00376B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6BFF"/>
  </w:style>
  <w:style w:type="paragraph" w:styleId="Footer">
    <w:name w:val="footer"/>
    <w:basedOn w:val="Normal"/>
    <w:link w:val="FooterChar"/>
    <w:uiPriority w:val="99"/>
    <w:unhideWhenUsed/>
    <w:rsid w:val="00376B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6B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8940153">
      <w:bodyDiv w:val="1"/>
      <w:marLeft w:val="0"/>
      <w:marRight w:val="0"/>
      <w:marTop w:val="0"/>
      <w:marBottom w:val="0"/>
      <w:divBdr>
        <w:top w:val="none" w:sz="0" w:space="0" w:color="auto"/>
        <w:left w:val="none" w:sz="0" w:space="0" w:color="auto"/>
        <w:bottom w:val="none" w:sz="0" w:space="0" w:color="auto"/>
        <w:right w:val="none" w:sz="0" w:space="0" w:color="auto"/>
      </w:divBdr>
    </w:div>
    <w:div w:id="726104972">
      <w:bodyDiv w:val="1"/>
      <w:marLeft w:val="0"/>
      <w:marRight w:val="0"/>
      <w:marTop w:val="0"/>
      <w:marBottom w:val="0"/>
      <w:divBdr>
        <w:top w:val="none" w:sz="0" w:space="0" w:color="auto"/>
        <w:left w:val="none" w:sz="0" w:space="0" w:color="auto"/>
        <w:bottom w:val="none" w:sz="0" w:space="0" w:color="auto"/>
        <w:right w:val="none" w:sz="0" w:space="0" w:color="auto"/>
      </w:divBdr>
    </w:div>
    <w:div w:id="730736991">
      <w:bodyDiv w:val="1"/>
      <w:marLeft w:val="0"/>
      <w:marRight w:val="0"/>
      <w:marTop w:val="0"/>
      <w:marBottom w:val="0"/>
      <w:divBdr>
        <w:top w:val="none" w:sz="0" w:space="0" w:color="auto"/>
        <w:left w:val="none" w:sz="0" w:space="0" w:color="auto"/>
        <w:bottom w:val="none" w:sz="0" w:space="0" w:color="auto"/>
        <w:right w:val="none" w:sz="0" w:space="0" w:color="auto"/>
      </w:divBdr>
    </w:div>
    <w:div w:id="1999379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patient-safety/the-nhs-patient-safety-strategy/" TargetMode="External"/><Relationship Id="rId18" Type="http://schemas.openxmlformats.org/officeDocument/2006/relationships/hyperlink" Target="https://www.ukri.org/who-we-are/how-we-are-doing/research-outcomes-and-impact/mrc/home-interventions-reduce-fall-admissions-for-older-people/?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hfd.co.uk/2025report?utm_source=chatgpt.com" TargetMode="External"/><Relationship Id="rId17" Type="http://schemas.openxmlformats.org/officeDocument/2006/relationships/hyperlink" Target="https://www.rcp.ac.uk/media/fralxu21/acknowledgements-naif-2025.pdf" TargetMode="External"/><Relationship Id="rId2" Type="http://schemas.openxmlformats.org/officeDocument/2006/relationships/numbering" Target="numbering.xml"/><Relationship Id="rId16" Type="http://schemas.openxmlformats.org/officeDocument/2006/relationships/hyperlink" Target="https://www.gov.uk/government/publications/falls-applying-all-our-health/falls-applying-all-our-health?utm_source=chatgpt.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providers/all-services/using-surveillance-your-care-service?utm_source=chatgpt.com" TargetMode="External"/><Relationship Id="rId5" Type="http://schemas.openxmlformats.org/officeDocument/2006/relationships/webSettings" Target="webSettings.xml"/><Relationship Id="rId15" Type="http://schemas.openxmlformats.org/officeDocument/2006/relationships/hyperlink" Target="https://www.nmc.org.uk/standards/code/read-the-code-online/" TargetMode="External"/><Relationship Id="rId10" Type="http://schemas.openxmlformats.org/officeDocument/2006/relationships/hyperlink" Target="https://www.cqc.org.uk/guidance-regulation/providers/regulations-service-providers-and-managers/health-social-care-act/regulation-12" TargetMode="External"/><Relationship Id="rId19" Type="http://schemas.openxmlformats.org/officeDocument/2006/relationships/hyperlink" Target="https://www.who.int/news-room/fact-sheets/detail/fal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ce.org.uk/guidance/ng24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9C86BB-F51F-4DDD-9C75-6F5CE632F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1573</Words>
  <Characters>10147</Characters>
  <Application>Microsoft Office Word</Application>
  <DocSecurity>0</DocSecurity>
  <Lines>202</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Laurence Brehouan (2328802)</cp:lastModifiedBy>
  <cp:revision>41</cp:revision>
  <dcterms:created xsi:type="dcterms:W3CDTF">2026-06-30T16:30:00Z</dcterms:created>
  <dcterms:modified xsi:type="dcterms:W3CDTF">2026-08-03T13:10:00Z</dcterms:modified>
</cp:coreProperties>
</file>