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76E61D" wp14:paraId="25E105B5" wp14:textId="78156AB0">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2CBCD28D" wp14:textId="168BB798">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26B7BE8D" wp14:textId="27217190">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7559ADA2" wp14:textId="7DA2CF28">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3C3BE93B" wp14:textId="0E6FFE18">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247327AE" wp14:textId="045C1777">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08A6BA41" wp14:textId="16EBFB93">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429E51A3" wp14:textId="668F4E4B">
      <w:pPr>
        <w:pStyle w:val="Normal"/>
        <w:jc w:val="center"/>
      </w:pPr>
      <w:r w:rsidRPr="1376E61D" w:rsidR="78E00A17">
        <w:rPr>
          <w:rFonts w:ascii="Arial" w:hAnsi="Arial" w:eastAsia="Arial" w:cs="Arial"/>
          <w:b w:val="1"/>
          <w:bCs w:val="1"/>
          <w:i w:val="0"/>
          <w:iCs w:val="0"/>
          <w:strike w:val="0"/>
          <w:dstrike w:val="0"/>
          <w:noProof w:val="0"/>
          <w:color w:val="000000" w:themeColor="text1" w:themeTint="FF" w:themeShade="FF"/>
          <w:sz w:val="34"/>
          <w:szCs w:val="34"/>
          <w:u w:val="none"/>
          <w:lang w:val="en-GB"/>
        </w:rPr>
        <w:t>Critically Discussing Inclusive Classroom Management: From Compliance to Equity (UK/Wale</w:t>
      </w:r>
      <w:r w:rsidRPr="1376E61D" w:rsidR="5A735043">
        <w:rPr>
          <w:rFonts w:ascii="Arial" w:hAnsi="Arial" w:eastAsia="Arial" w:cs="Arial"/>
          <w:b w:val="1"/>
          <w:bCs w:val="1"/>
          <w:i w:val="0"/>
          <w:iCs w:val="0"/>
          <w:strike w:val="0"/>
          <w:dstrike w:val="0"/>
          <w:noProof w:val="0"/>
          <w:color w:val="000000" w:themeColor="text1" w:themeTint="FF" w:themeShade="FF"/>
          <w:sz w:val="34"/>
          <w:szCs w:val="34"/>
          <w:u w:val="none"/>
          <w:lang w:val="en-GB"/>
        </w:rPr>
        <w:t>s</w:t>
      </w:r>
      <w:r w:rsidRPr="1376E61D" w:rsidR="78E00A17">
        <w:rPr>
          <w:rFonts w:ascii="Arial" w:hAnsi="Arial" w:eastAsia="Arial" w:cs="Arial"/>
          <w:b w:val="1"/>
          <w:bCs w:val="1"/>
          <w:i w:val="0"/>
          <w:iCs w:val="0"/>
          <w:strike w:val="0"/>
          <w:dstrike w:val="0"/>
          <w:noProof w:val="0"/>
          <w:color w:val="000000" w:themeColor="text1" w:themeTint="FF" w:themeShade="FF"/>
          <w:sz w:val="34"/>
          <w:szCs w:val="34"/>
          <w:u w:val="none"/>
          <w:lang w:val="en-GB"/>
        </w:rPr>
        <w:t>)</w:t>
      </w:r>
    </w:p>
    <w:p xmlns:wp14="http://schemas.microsoft.com/office/word/2010/wordml" w:rsidP="1376E61D" wp14:paraId="4B16EE49" wp14:textId="2B7B0E93">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0C73A4AD" wp14:textId="4F6E6AAB">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r w:rsidRPr="1376E61D" w:rsidR="1591CD90">
        <w:rPr>
          <w:rFonts w:ascii="Arial" w:hAnsi="Arial" w:eastAsia="Arial" w:cs="Arial"/>
          <w:b w:val="1"/>
          <w:bCs w:val="1"/>
          <w:i w:val="0"/>
          <w:iCs w:val="0"/>
          <w:strike w:val="0"/>
          <w:dstrike w:val="0"/>
          <w:noProof w:val="0"/>
          <w:color w:val="000000" w:themeColor="text1" w:themeTint="FF" w:themeShade="FF"/>
          <w:sz w:val="34"/>
          <w:szCs w:val="34"/>
          <w:u w:val="none"/>
          <w:lang w:val="en-GB"/>
        </w:rPr>
        <w:t>ECIE6003</w:t>
      </w:r>
    </w:p>
    <w:p xmlns:wp14="http://schemas.microsoft.com/office/word/2010/wordml" w:rsidP="1376E61D" wp14:paraId="49EC8794" wp14:textId="7BD3FAE2">
      <w:pPr>
        <w:jc w:val="center"/>
        <w:rPr>
          <w:rFonts w:ascii="Arial" w:hAnsi="Arial" w:eastAsia="Arial" w:cs="Arial"/>
          <w:noProof w:val="0"/>
          <w:sz w:val="34"/>
          <w:szCs w:val="34"/>
          <w:lang w:val="en-GB"/>
        </w:rPr>
      </w:pPr>
      <w:r w:rsidRPr="1376E61D" w:rsidR="14B2C3FE">
        <w:rPr>
          <w:rFonts w:ascii="Aptos" w:hAnsi="Aptos" w:eastAsia="Aptos" w:cs="Aptos"/>
          <w:b w:val="1"/>
          <w:bCs w:val="1"/>
          <w:i w:val="0"/>
          <w:iCs w:val="0"/>
          <w:caps w:val="0"/>
          <w:smallCaps w:val="0"/>
          <w:noProof w:val="0"/>
          <w:color w:val="000000" w:themeColor="text1" w:themeTint="FF" w:themeShade="FF"/>
          <w:sz w:val="36"/>
          <w:szCs w:val="36"/>
          <w:lang w:val="en-US"/>
        </w:rPr>
        <w:t>Karen Cook (</w:t>
      </w:r>
      <w:r w:rsidRPr="1376E61D" w:rsidR="14B2C3FE">
        <w:rPr>
          <w:rFonts w:ascii="Aptos" w:hAnsi="Aptos" w:eastAsia="Aptos" w:cs="Aptos"/>
          <w:b w:val="1"/>
          <w:bCs w:val="1"/>
          <w:i w:val="0"/>
          <w:iCs w:val="0"/>
          <w:caps w:val="0"/>
          <w:smallCaps w:val="0"/>
          <w:noProof w:val="0"/>
          <w:color w:val="000000" w:themeColor="text1" w:themeTint="FF" w:themeShade="FF"/>
          <w:sz w:val="36"/>
          <w:szCs w:val="36"/>
          <w:lang w:val="en-GB"/>
        </w:rPr>
        <w:t>2213741)</w:t>
      </w:r>
    </w:p>
    <w:p xmlns:wp14="http://schemas.microsoft.com/office/word/2010/wordml" w:rsidP="1376E61D" wp14:paraId="753295DC" wp14:textId="67EF459B">
      <w:pPr>
        <w:jc w:val="center"/>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1376E61D" wp14:paraId="3BBCFF4F" wp14:textId="3F5A90FF">
      <w:pPr>
        <w:jc w:val="center"/>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1376E61D" wp14:paraId="325ED490" wp14:textId="6621078C">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6BA029B1" wp14:textId="588865F2">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5FFE259A" wp14:textId="5EDA3C04">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27DB8226" wp14:textId="7753F32C">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30883ED3" wp14:textId="141A0A38">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785BD87C" wp14:textId="3620914D">
      <w:pPr>
        <w:pStyle w:val="Normal"/>
        <w:jc w:val="center"/>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7E270D9B" wp14:textId="68F78BCD">
      <w:pPr>
        <w:pStyle w:val="Normal"/>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449222D4" wp14:textId="1D73BA54">
      <w:pPr>
        <w:pStyle w:val="Normal"/>
        <w:rPr>
          <w:rFonts w:ascii="Arial" w:hAnsi="Arial" w:eastAsia="Arial" w:cs="Arial"/>
          <w:b w:val="1"/>
          <w:bCs w:val="1"/>
          <w:i w:val="0"/>
          <w:iCs w:val="0"/>
          <w:strike w:val="0"/>
          <w:dstrike w:val="0"/>
          <w:noProof w:val="0"/>
          <w:color w:val="000000" w:themeColor="text1" w:themeTint="FF" w:themeShade="FF"/>
          <w:sz w:val="34"/>
          <w:szCs w:val="34"/>
          <w:u w:val="none"/>
          <w:lang w:val="en-GB"/>
        </w:rPr>
      </w:pPr>
    </w:p>
    <w:p xmlns:wp14="http://schemas.microsoft.com/office/word/2010/wordml" w:rsidP="1376E61D" wp14:paraId="1EB194FD" wp14:textId="3C9DA3DC">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The classroom is an inherently complex social ecosystem, populated by individuals with diverse cognitive, emotional, and cultural needs. Central to the success of this ecosystem is effective classroom management (CM), traditionally viewed as the set of strategies educators employ to ensure an orderly and productive learning environment. However, in an era defined by inclusive mandates—such as the Equality Act 2010 and the legal requirements set out in the SEND Code of Practice (England) and the Additional Learning Needs (ALN) Code (Wales)—the fundamental question must be asked: are current CM strategies truly inclusive for all learners? This essay will critically discuss the limitations of traditional, compliance-focused CM models, arguing that an over-reliance on extrinsic control mechanisms often excludes learners with underlying Additional Learning Needs (ALN), disabilities, or trauma. Conversely, this analysis will champion the emerging paradigm of inclusive and relational CM, demonstrating how approaches rooted in Self-Determination Theory (SDT) and Restorative Justice provide a robust framework for fostering intrinsic motivation and building the trusting relationships necessary for genuinely equitable provision in the UK and Welsh contexts. Finally, by linking these theoretical shifts to contemporary policy, the discussion will conclude that moving beyond behaviour control to behaviour support is the only viable path for ensuring CM aligns with the inclusive, legal mission of modern UK schooling.</w:t>
      </w:r>
    </w:p>
    <w:p xmlns:wp14="http://schemas.microsoft.com/office/word/2010/wordml" w:rsidP="1376E61D" wp14:paraId="5018E643" wp14:textId="35683225">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Traditional classroom management is often underpinned, explicitly or implicitly, by Behaviourism, a theoretical approach popularised by B.F. Skinner. Behaviourism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operates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the premise that behaviour is learned and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maintained</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through consequences</w:t>
      </w:r>
      <w:r w:rsidRPr="1376E61D" w:rsidR="4FEBBD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rewards (positive reinforcement) and punishments (negative reinforcement/extinction). Strategies such as token economies, public sanction systems, and colour-coded behaviour charts are direct applications of this model, designed to standardise conduct and promote immediate compliance. While Behaviourism offers benefits in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establishing</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predictable routines and clear expectations for the majority, its application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generates barriers to learning and exclusion for vulnerable populations. The fundamental critique is that Behaviourism treats the symptom (the misbehaviour) without addressing the root cause (the barrier). A student acting out due to a sensory overload (a common ALN-related barrier), anxiety from an Adverse Childhood Experience (ACE), or a lack of comprehension (a curriculum barrier) is likely to repeat the behaviour if the underlying need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remains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unmet. In this context, a behavioural consequence only compounds the barrier, transforming a learning difficulty into a disciplinary issue. This failure to address the underlying function of behaviour, particularly for students with emotional and behavioural disorders, highlights the non-inclusive nature of standard CM (Round, Subban, &amp; Sharma, 2016). Furthermore, compliance-focused CM is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reliant on public display and immediate action, which can inadvertently create a punitive environment. UK exclusion data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demonstrates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students with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Special Educational Needs and Disabilities (SEND) are significantly over-represented in both fixed-term and permanent exclusion figures (DfE, 2023). This phenomenon suggests that a one-size-fits-all CM approach effectively punishes difference, creating a cycle where non-compliant behaviour leads to exclusion, which further disrupts learning and perpetuates the reasons why pupils tend to misbehave (e.g., seeking attention, avoiding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difficult work</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expressing distress). Therefore, a critical discussion must conclude that, without significant modification, purely behaviourist CM is fundamentally incompatible with the principle of universal inclusivity.</w:t>
      </w:r>
    </w:p>
    <w:p xmlns:wp14="http://schemas.microsoft.com/office/word/2010/wordml" w:rsidP="1376E61D" wp14:paraId="15EEEAEF" wp14:textId="7E0FF32C">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achieve truly inclusive classroom management, strategies must pivot from controlling behaviour to supporting its internal regulation, which is why approaches rooted in Self-Determination Theory (SDT) offer a powerful, inclusive counter-narrative to Behaviourism. Developed by Edward Deci and Richard Ryan (1985; 2000), SDT posits that humans have three innate psychological needs: competence (feeling effective), relatedness (feeling connected and cared for), and autonomy (feeling in control of one’s choices). Inclusive CM, viewed through the lens of SDT, is therefore a process of creating an environment where these three needs are met, thereby fostering intrinsic motivation and positive internal self-regulation (Ryan &amp; Deci, 2017). The theme of the importance of building relationships becomes the central mechanism through which SDT is operationalised. When a teacher prioritises relationship building—showing genuine warmth, understanding, and unconditional positive regard—they address the need for relatedness. Research confirms that teachers' need-supportive behaviour is crucial for students' academic engagement and well-being (Vansteenkiste et al., 2020). Furthermore, by framing rules as shared social contracts (autonomy support) and providing differentiated tasks that allow for success (competence), the teacher addresses the underlying psychological drivers of positive conduct. This commitment to addressing underlying needs is profoundly supported by Piaget’s constructivist theory of learning. Piagetian thought suggests that learning is an active process where knowledge is discovered and constructed by the individual, rather than passively received. When pedagogical practice is centred on active learning—as seen in the utilisation of sandpits, water tables, building blocks, and outdoor spaces typical of the UK’s primary and early years sectors—students are intrinsically engaged in meaningful, self-directed work. This focus on discovery directly supports the SDT </w:t>
      </w:r>
      <w:r w:rsidRPr="1376E61D" w:rsidR="4514CC40">
        <w:rPr>
          <w:rFonts w:ascii="Arial" w:hAnsi="Arial" w:eastAsia="Arial" w:cs="Arial"/>
          <w:b w:val="0"/>
          <w:bCs w:val="0"/>
          <w:i w:val="0"/>
          <w:iCs w:val="0"/>
          <w:strike w:val="0"/>
          <w:dstrike w:val="0"/>
          <w:noProof w:val="0"/>
          <w:color w:val="000000" w:themeColor="text1" w:themeTint="FF" w:themeShade="FF"/>
          <w:sz w:val="22"/>
          <w:szCs w:val="22"/>
          <w:u w:val="none"/>
          <w:lang w:val="en-GB"/>
        </w:rPr>
        <w:t>needs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 promotes competence by allowing students to master physical and conceptual challenges, and it supports autonomy by giving them agency over their exploration (Ryan &amp; Deci, 2017). Critically, a classroom where students are deeply immersed in self-chosen, challenging discovery tasks inherently reduces the incidence of misbehaviour driven by boredom, anxiety, or passive frustration, making CM proactive rather than reactive. This relational approach is highly inclusive because it naturally accounts for underlying barriers to learning. When a student is struggling, the relational CM teacher does not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immediately</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ask, "What is the rule broken?" but rather, "What is the unmet need?" This leads to personalised, proactive interventions instead of generic, reactive sanctions. Moreover, inclusive CM often integrates practices like Restorative Justice, which, instead of focusing on punishment, asks the offending student to understand the impact of their actions on the affected individual and the community, thereby reinforcing relatedness and social accountability (Cameron &amp;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Thorsborne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2001). Restorative practice is increasingly viewed as an inclusive alternative to traditional discipline, particularly when tailored with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appropriate communication</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cognitive supports for students with disabilities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Thorsborne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&amp; Burnett, 2021). This theoretical shift moves CM from a teacher-centred system of power to a student-centred system of partnership, a precondition for equity.</w:t>
      </w:r>
    </w:p>
    <w:p xmlns:wp14="http://schemas.microsoft.com/office/word/2010/wordml" w:rsidP="1376E61D" wp14:paraId="576A2F46" wp14:textId="617E49AA">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concept of differentiation is well-established in pedagogy, primarily referring to instructional modifications in content, process, product, and learning environment (Tomlinson, 2001). However, to be truly inclusive, this principle must extend beyond curriculum and penetrate the realm of classroom management (Tomlinson &amp; Imbeau, 2010). Inclusive CM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necessitates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differentiated management, a systematic approach where behaviour expectations and the teacher's response to misbehaviour are explicitly tailored to the individual pupil’s needs, particularly when those needs stem from underlying barriers to learning, such as neurodiversity, trauma, or disability. Ethically and legally, differentiated management acknowledges that a "one-size-fits-all" disciplinary model places disabled or vulnerable students at a substantial disadvantage. This brings into force the most critical piece of UK legislation in this area: the Equality Act 2010, which places a duty on schools to make Reasonable Adjustments for disabled pupils. This duty is anticipatory and applies specifically to a school's policies, criteria, and practices—including its written and unwritten behaviour policy (EHRC, 2014). For instance, a rigid policy requiring silence upon entry, if it disadvantages an autistic pupil who vocalises to self-regulate, must be adjusted. The failure to make a reasonable adjustment, such as allowing the use of a fidget toy or a quiet sensory break, is a breach of this statutory duty. This imperative is formalised through statutory planning under the SEND Code of Practice (2015) in England and the Additional Learning Needs and Education Tribunal (Wales) Act 2018. For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students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whose behaviour is a barrier to learning, the statutory Education, Health and Care (EHC) Plan must include specific, person-centred strategies for managing and supporting that behaviour. While the terminology of Functional </w:t>
      </w:r>
      <w:r w:rsidRPr="1376E61D" w:rsidR="302E5484">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Assessment (FBA) and </w:t>
      </w:r>
      <w:r w:rsidRPr="1376E61D" w:rsidR="00244E5B">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Intervention Plan (BIP) is technically US, the UK Code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requires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same underlying process: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identifying</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function of the behaviour and implementing bespoke, proactive, supportive strategies (DfE, 2015). These strategies are often documented in an Individual Behaviour Plan (IBP) or a specific section of the EHC Plan. The Welsh system, transitioning to Additional Learning Needs (ALN), uses the Individual Development Plan (IDP) to outline the necessary provision. The IDP must explicitly detail the support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address behaviour that is rooted in ALN, ensuring that disciplinary measures are not used where the behaviour is a direct manifestation of the ALN (Welsh Government, 2021). In practice, differentiated management manifests through a three-tiered approach of flexible adjustments: 1. Differentiated Consequences (Reasonable Adjustments): Replacing standard sanctions (e.g., detention) with individualised alternatives, such as a Restorative Conversation, a brief cooling-down period in a pre-agreed "safe space," or a non-verbal check-in. This replaces punishment with repair and need-satisfaction. 2. Differentiated Teaching of Behaviour: Explicitly teaching and scripting social skills for students who lack them, often through Social Stories (Gray, 2015), visual schedules, or pre-correction techniques. This proactively targets skill deficits rather than punishing performance deficits. 3. Differentiated Settings and Environment: Providing "reasonable adjustments" to the physical and sensory environment (e.g., allowing movement breaks, offering noise-cancelling headphones, or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providing</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preferred seating option) to prevent the behaviour from occurring in the first place, thereby minimizing the need for reactive management. A crucial resource for achieving differentiated CM is the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appropriate use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Information and Communications Technology (ICT). While not explicitly mentioned in the statutory codes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regarding</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behaviour, the use of ICT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represents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powerful means of enacting reasonable adjustments. For students with communication needs or processing difficulties, digital tools can provide crucial support: apps for visual timetables and social stories, tablets used for non-verbal communication (AAC), or digital tracking systems that allow a student to request a break discreetly without disruption. Furthermore, technology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facilitates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collection of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non-judgemental data on the function of challenging behaviour, allowing staff to move beyond anecdotal evidence and toward data-driven, personalised support plans. The failure to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leverage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appropriate ICT</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resources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represents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missed opportunity to remove pervasive barriers to both learning and regulation. By using statutory plans (EHC Plans/IDPs) and enacting the Reasonable Adjustments duty, the inclusive classroom moves away from the assumption of </w:t>
      </w:r>
      <w:r w:rsidRPr="1376E61D" w:rsidR="47DC4BC3">
        <w:rPr>
          <w:rFonts w:ascii="Arial" w:hAnsi="Arial" w:eastAsia="Arial" w:cs="Arial"/>
          <w:b w:val="0"/>
          <w:bCs w:val="0"/>
          <w:i w:val="0"/>
          <w:iCs w:val="0"/>
          <w:strike w:val="0"/>
          <w:dstrike w:val="0"/>
          <w:noProof w:val="0"/>
          <w:color w:val="000000" w:themeColor="text1" w:themeTint="FF" w:themeShade="FF"/>
          <w:sz w:val="22"/>
          <w:szCs w:val="22"/>
          <w:u w:val="none"/>
          <w:lang w:val="en-GB"/>
        </w:rPr>
        <w:t>wilful</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disobedience to the recognition of skill or support deficits. This proactive, diagnostic, and differentiated approach is a non-negotiable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modern inclusive practice in the UK and Wales.</w:t>
      </w:r>
    </w:p>
    <w:p xmlns:wp14="http://schemas.microsoft.com/office/word/2010/wordml" w:rsidP="1376E61D" wp14:paraId="4DA0589D" wp14:textId="0719EA42">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Inclusive classroom management is not merely an ethical choice but a statutory obligation in the UK, fundamentally rooted in the Equality Act 2010. This Act prohibits discrimination against pupils with protected characteristics, crucially including disability. For schools, this is operationalised through the Public Sector Equality Duty (PSED), which requires public bodies, including schools, to actively pursue three aims (EHRC, 2014): to eliminate unlawful discrimination, harassment, and victimisation; to advance equality of opportunity between those with and without protected characteristics; and to foster good relations between all groups. When applied to CM, only a differentiated and relational approach can satisfy the PSED, particularly the duty to advance equality. The most potent legal requirement governing CM is the duty to make Reasonable Adjustments (Equality Act 2010, Section 20). This duty is anticipatory, meaning schools must not wait for a student to fail before making changes; they must proactively identify and remove potential barriers created by their policies and practices. A blanket, non-differentiated behaviour policy constitutes a policy that places a disabled pupil at a substantial disadvantage if their behaviour is a manifestation of their disability (EHRC, 2014). Furthermore, non-adjusted disciplinary action risks falling under the definition of discrimination arising from disability (Equality Act 2010, Section 15). If a pupil is punished for behaviour—such as running out of the classroom or shouting—which arises from their disability (e.g., autism-related anxiety or sensory processing differences), and the school has failed to make the necessary reasonable adjustment (e.g., providing a safe space or a non-verbal means of communication), the action is unlawful unless it can be objectively justified (EHRC, 2014). Inclusive CM therefore becomes a mechanism for legal compliance, ensuring that policies and punitive practices are adapted to the child rather than forcing the child to conform to an unsuitable policy. The legal imperative for inclusive CM is underscored by the systemic crisis of school exclusion in the UK. Data consistently shows a severe disproportionality in disciplinary outcomes. In England, the most recent statistics reveal that pupils with identified Special Educational Needs and Disabilities (SEND)—particularly those with an Education, Health and Care (EHC) plan—are significantly over-represented in both fixed-period and permanent exclusions (DfE, 2023). While these figures fluctuate, the trend remains stark: students with SEND are often disciplined not for badness, but for difference, indicating a systemic failure of mainstream CM policies to meet their needs. This disproportionate impact is a serious legal concern. When disciplinary policy disproportionately affects a protected group, it raises immediate questions about whether the school is meeting its duties under the PSED and whether it has failed to make reasonable adjustments (EHRC, 2014). Academics often frame this as an issue of "disability-related discrimination," where the rigidity of the CM system effectively creates exclusion. The Welsh context, while transitioning to the ALN Code, has been similarly challenged by high exclusion rates, particularly for students with emotional, behavioural, and social difficulties (Welsh Government, 2021). The legal requirement to implement person-centred planning through Individual Development Plans (IDPs) aims to mitigate this risk by mandating that provision—including behaviour support—is explicitly detailed and monitored, shifting the focus from punishment to proactive support. The need for policy alignment is explicitly reinforced by the statutory codes governing education across the two nations. In England, The SEND Code of Practice (2015) explicitly requires schools to have clear, consistent behaviour policies that set out how they will meet the needs of pupils with SEND. Crucially, it directs practitioners to understand that persistent disruptive or challenging behaviour can often be an expression of an unmet need or an underlying social, emotional, or mental health difficulty (SEMH) (DfE, 2015). This provision mandates a diagnostic approach (seeking the unmet need) rather than a punitive one, directly challenging reliance on blanket behaviourist sanctions. In Wales, The Additional Learning Needs Code (2021) places a statutory duty on local authorities and schools to ensure that any disciplinary action taken against a child or young person is not used in a way that is discriminatory or disproportionate due to their ALN (Welsh Government, 2021). Furthermore, the IDP is required to detail specific support for ALN-related behaviour, effectively individualising the CM system for that learner. This shift reinforces the legal obligation that CM must be a core component of the individual’s supportive provision, not a blanket measure of compliance. In both jurisdictions, the Codes demand that behaviour policies are reviewed and adapted to uphold the legal duty of inclusion, making differentiated, relational CM the only legally and ethically tenable approach.</w:t>
      </w:r>
    </w:p>
    <w:p xmlns:wp14="http://schemas.microsoft.com/office/word/2010/wordml" w:rsidP="1376E61D" wp14:paraId="665C8FA3" wp14:textId="68BD89C4">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The practical implementation of inclusive and differentiated CM, while legally mandated, is significantly constrained by operational challenges within the UK and Welsh school systems. A primary hurdle is the persistent gap in Teacher Training and Expertise. Relational, diagnostic CM requires specific, high-level skills, including the ability to conduct basic Functional Behaviour Assessments (FBA) to understand the communication function of disruptive behaviour, and a deep understanding of Trauma-Informed Practice (TIP). However, numerous studies across the UK indicate that both Initial Teacher Education (ITE) and Continuing Professional Development (CPD) often fail to equip mainstream teachers adequately with these skills, focusing instead on generic Behaviourist techniques suitable for whole-class compliance (Curran, 2016). This lack of specialised training limits the successful operationalisation of the SEND and ALN Codes, forcing teachers to fall back on generic, punitive measures when faced with complex, needs-driven behaviour. Furthermore, the implementation of relational CM is often undermined by the Accountability Culture promoted by inspection bodies like Ofsted (England) and Estyn (Wales). These frameworks, historically focused on measurable metrics and visible order, can inadvertently incentivise schools to adopt rigid, compliance-based CM systems that produce quick, surface-level results (Parsons, 2019). School leaders may feel pressured to enforce zero-tolerance policies or highly visible sanction systems to demonstrate "good order" to inspectors, even if these policies conflict with the legal duty to make reasonable adjustments for disabled students. This culture creates a paradox where legal and ethical inclusion is demanded by the policy documents, yet the regulatory environment often rewards exclusionary, extrinsic control models, placing teachers in a difficult ethical and professional conflict. Finally, the systemic issue of Resource Constraints acts as a powerful barrier to effective differentiated management. Diagnostic and proactive support—the hallmark of inclusive CM—is resource-intensive, requiring timely access to specialist staff. The ability to conduct comprehensive assessments, develop person-centred Individual Behaviour Plans (IBPs), or access support for students displaying Severe Behavioural, Emotional and Social Difficulties (BESD/SEMH) relies heavily on Educational Psychologists (EPs) or dedicated support workers. Significant reductions in local authority funding and the subsequent strain on these specialist services means that the diagnostic work required for truly differentiated CM is often delayed or unavailable. This forces classroom teachers, supported by overworked Special Educational Needs Coordinators (SENCo) or Additional Learning Needs Coordinators (ALNCo), to manage complex behaviour without the necessary diagnostic insights or consistent support, rendering the ambitious goals of the Codes difficult to achieve in practice.</w:t>
      </w:r>
    </w:p>
    <w:p xmlns:wp14="http://schemas.microsoft.com/office/word/2010/wordml" w:rsidP="1376E61D" wp14:paraId="688AB7E6" wp14:textId="1D837C48">
      <w:pPr>
        <w:spacing w:before="240" w:beforeAutospacing="off" w:after="240" w:afterAutospacing="off"/>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conclusion, the critical discussion of classroom management reveals a stark theoretical and practical divergence. Traditional, Behaviourist CM, built on extrinsic control and standardisation, risks placing disabled and vulnerable students at a significant and often unlawful disadvantage, as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demonstrated</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the persistent disproportionality in exclusion figures (DfE, 2023). Conversely, the shift towards relational and inclusive CM, underpinned by Self-Determination Theory (SDT) and proactive pedagogy derived from Piagetian constructivism, offers a framework that supports the innate psychological needs for competence, relatedness, and autonomy, effectively mitigating the root causes of disruptive behaviour. This relational approach transforms CM from a system of punitive control into a system of proactive support. This transition is not optional; it is a professional and legal requirement. The central argument of this essay is reinforced by the statutory mandates of the Equality Act 2010 and the prescriptive requirements of the SEND Code of Practice (England) and the ALN Code (Wales). These documents compel schools to enact the duty to make Reasonable Adjustments and ensure that their behavioural policies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do not constitute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discrimination arising from disability. While systemic obstacles such as resource deficits, inspection pressures, and a lack of specific Trauma-Informed Practice training continue to challenge implementation, these operational hurdles do not negate the legal imperative.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Ultimately, the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future of ethical and effective classroom management in the UK and Wales lies with the teacher embracing the role of a proactive relational leader. This involves moving past the simple regulation of compliance toward the complex and diagnostic work of meeting unmet needs. By rooting all CM practice in the legal duty of Reasonable Adjustment, schools can finally ensure that their commitment to inclusive education extends beyond the curriculum and into the core of how every pupil, regardless of their needs, is supported to </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participate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fully and equitably in the learning environment.</w:t>
      </w:r>
    </w:p>
    <w:p xmlns:wp14="http://schemas.microsoft.com/office/word/2010/wordml" w:rsidP="1376E61D" wp14:paraId="5B1E2D48" wp14:textId="2E7E5544">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4A3E0858" wp14:textId="68B2D9EE">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68057175" wp14:textId="5EB10317">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6644787C" wp14:textId="3C6CE2C0">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096B1BAD" wp14:textId="79A9B9DC">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4533BCEF" wp14:textId="4C2B2E03">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288DE983" wp14:textId="2DD0F0D2">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0A79DD62" wp14:textId="69BB699C">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23993870" wp14:textId="1EAEC222">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6"/>
          <w:szCs w:val="26"/>
          <w:u w:val="none"/>
          <w:lang w:val="en-GB"/>
        </w:rPr>
      </w:pPr>
    </w:p>
    <w:p xmlns:wp14="http://schemas.microsoft.com/office/word/2010/wordml" w:rsidP="1376E61D" wp14:paraId="5891CA01" wp14:textId="56B00346">
      <w:pPr>
        <w:spacing w:before="240" w:beforeAutospacing="off" w:after="240" w:afterAutospacing="off"/>
      </w:pPr>
      <w:r w:rsidRPr="1376E61D" w:rsidR="78E00A17">
        <w:rPr>
          <w:rFonts w:ascii="Arial" w:hAnsi="Arial" w:eastAsia="Arial" w:cs="Arial"/>
          <w:b w:val="1"/>
          <w:bCs w:val="1"/>
          <w:i w:val="0"/>
          <w:iCs w:val="0"/>
          <w:strike w:val="0"/>
          <w:dstrike w:val="0"/>
          <w:noProof w:val="0"/>
          <w:color w:val="000000" w:themeColor="text1" w:themeTint="FF" w:themeShade="FF"/>
          <w:sz w:val="26"/>
          <w:szCs w:val="26"/>
          <w:u w:val="none"/>
          <w:lang w:val="en-GB"/>
        </w:rPr>
        <w:t>Reference List</w:t>
      </w:r>
    </w:p>
    <w:p xmlns:wp14="http://schemas.microsoft.com/office/word/2010/wordml" w:rsidP="1376E61D" wp14:paraId="022E2A86" wp14:textId="3D84C824">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Cameron, L., &amp; Thorsborne, M. (2001). Restorative Justice and School Discipline: Mutually Exclusive? In H. Strang &amp; J. Braithwaite (Eds.),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Restorative Justice and Civil Society</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(pp. 180–195). Cambridge University Press.</w:t>
      </w:r>
    </w:p>
    <w:p xmlns:wp14="http://schemas.microsoft.com/office/word/2010/wordml" w:rsidP="1376E61D" wp14:paraId="105CEF6D" wp14:textId="4F2800EC">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Curran, J. (2016). Initial Teacher Education and Special Educational Needs and Disability: Challenges and Opportunities.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European Journal of Special Needs Education</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31(1), 1–16.</w:t>
      </w:r>
    </w:p>
    <w:p xmlns:wp14="http://schemas.microsoft.com/office/word/2010/wordml" w:rsidP="1376E61D" wp14:paraId="28375AF0" wp14:textId="15168572">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Deci, E. L., &amp; Ryan, R. M. (1985).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Intrinsic motivation and self-determination in human </w:t>
      </w:r>
      <w:r w:rsidRPr="1376E61D" w:rsidR="1C1D0CA4">
        <w:rPr>
          <w:rFonts w:ascii="Arial" w:hAnsi="Arial" w:eastAsia="Arial" w:cs="Arial"/>
          <w:b w:val="0"/>
          <w:bCs w:val="0"/>
          <w:i w:val="1"/>
          <w:iCs w:val="1"/>
          <w:strike w:val="0"/>
          <w:dstrike w:val="0"/>
          <w:noProof w:val="0"/>
          <w:color w:val="000000" w:themeColor="text1" w:themeTint="FF" w:themeShade="FF"/>
          <w:sz w:val="22"/>
          <w:szCs w:val="22"/>
          <w:u w:val="none"/>
          <w:lang w:val="en-GB"/>
        </w:rPr>
        <w:t>behaviour</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Plenum.</w:t>
      </w:r>
    </w:p>
    <w:p xmlns:wp14="http://schemas.microsoft.com/office/word/2010/wordml" w:rsidP="1376E61D" wp14:paraId="76A54B4A" wp14:textId="04E1251D">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Department for Education (DfE). (2015).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Special educational needs and disability code of practice: 0 to 25 years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(England Policy).</w:t>
      </w:r>
    </w:p>
    <w:p xmlns:wp14="http://schemas.microsoft.com/office/word/2010/wordml" w:rsidP="1376E61D" wp14:paraId="2D08BFBC" wp14:textId="330A6852">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Department for Education (DfE). (2023).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Permanent and fixed-period exclusions in England: 2021/22</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Statistical release. (Supports Section I/IV).</w:t>
      </w:r>
    </w:p>
    <w:p xmlns:wp14="http://schemas.microsoft.com/office/word/2010/wordml" w:rsidP="1376E61D" wp14:paraId="4BB6EC30" wp14:textId="25EB6C60">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Equality and Human Rights Commission (EHRC). (2014).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Technical guidance for schools in England, Scotland and Wales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(Core legal reference for Equality Act 2010).</w:t>
      </w:r>
    </w:p>
    <w:p xmlns:wp14="http://schemas.microsoft.com/office/word/2010/wordml" w:rsidP="1376E61D" wp14:paraId="7B91AF53" wp14:textId="4CF07FF2">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Gray, C. (2015).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The New Social Story Book</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Future Horizons.</w:t>
      </w:r>
    </w:p>
    <w:p xmlns:wp14="http://schemas.microsoft.com/office/word/2010/wordml" w:rsidP="1376E61D" wp14:paraId="277ADBA9" wp14:textId="3F9B1EDE">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Parsons, S. (2019). The Role of Inspection in Shaping School Behaviour Policies.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British Journal of Educational Studies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67(1), 91–111.</w:t>
      </w:r>
    </w:p>
    <w:p xmlns:wp14="http://schemas.microsoft.com/office/word/2010/wordml" w:rsidP="1376E61D" wp14:paraId="22E31DFB" wp14:textId="46EBDAA7">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Round, R., Subban, P., &amp; Sharma, U. (2016). Students With Emotional and </w:t>
      </w:r>
      <w:r w:rsidRPr="1376E61D" w:rsidR="4741F902">
        <w:rPr>
          <w:rFonts w:ascii="Arial" w:hAnsi="Arial" w:eastAsia="Arial" w:cs="Arial"/>
          <w:b w:val="0"/>
          <w:bCs w:val="0"/>
          <w:i w:val="0"/>
          <w:iCs w:val="0"/>
          <w:strike w:val="0"/>
          <w:dstrike w:val="0"/>
          <w:noProof w:val="0"/>
          <w:color w:val="000000" w:themeColor="text1" w:themeTint="FF" w:themeShade="FF"/>
          <w:sz w:val="22"/>
          <w:szCs w:val="22"/>
          <w:u w:val="none"/>
          <w:lang w:val="en-GB"/>
        </w:rPr>
        <w:t>Behavioural</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Problems in Inclusive Classes: A Critical Incident Analysis.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ResearchGate</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1376E61D" wp14:paraId="58A7CEF5" wp14:textId="00996CFC">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Ryan, R. M., &amp; Deci, E. L. (2000). Self-determination theory and the facilitation of intrinsic motivation, social development, and well-being.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American Psychologist</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55</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(1), 68–78.</w:t>
      </w:r>
    </w:p>
    <w:p xmlns:wp14="http://schemas.microsoft.com/office/word/2010/wordml" w:rsidP="1376E61D" wp14:paraId="706C693F" wp14:textId="0F838A33">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Ryan, R. M., &amp; Deci, E. L. (2017).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Self-Determination Theory: Basic Psychological Needs in Motivation, Development, and Wellness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Guilford Press.</w:t>
      </w:r>
    </w:p>
    <w:p xmlns:wp14="http://schemas.microsoft.com/office/word/2010/wordml" w:rsidP="1376E61D" wp14:paraId="3BF1DF6A" wp14:textId="2002ED7A">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Thorsborne, M., &amp; Burnett, N. (2021). An inclusive approach to restorative practice for students with diverse needs.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European Forum for Restorative Justice Newsletter</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22</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(2), 10–15.</w:t>
      </w:r>
    </w:p>
    <w:p xmlns:wp14="http://schemas.microsoft.com/office/word/2010/wordml" w:rsidP="1376E61D" wp14:paraId="714C16CB" wp14:textId="71874698">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Tomlinson, C. A. (2001).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How to differentiate instruction in mixed-ability classrooms</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ASCD.</w:t>
      </w:r>
    </w:p>
    <w:p xmlns:wp14="http://schemas.microsoft.com/office/word/2010/wordml" w:rsidP="1376E61D" wp14:paraId="5B1935CD" wp14:textId="2D090032">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Tomlinson, C. A., &amp; Imbeau, M. B. (2010).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Leading and managing a differentiated classroom</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ASCD.</w:t>
      </w:r>
    </w:p>
    <w:p xmlns:wp14="http://schemas.microsoft.com/office/word/2010/wordml" w:rsidP="1376E61D" wp14:paraId="14E9D8BA" wp14:textId="5DD084C7">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Vansteenkiste, M., et al. (2020). Need-Supportive and Need-Thwarting Teacher </w:t>
      </w:r>
      <w:r w:rsidRPr="1376E61D" w:rsidR="4F37673B">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Importance to Boys' and Girls' Academic Engagement and Procrastination </w:t>
      </w:r>
      <w:r w:rsidRPr="1376E61D" w:rsidR="2B9CAAF3">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Frontiers in Psychology</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11</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1376E61D" wp14:paraId="66E6AC14" wp14:textId="1AA7340B">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Welsh Government. (2021). </w:t>
      </w:r>
      <w:r w:rsidRPr="1376E61D" w:rsidR="78E00A17">
        <w:rPr>
          <w:rFonts w:ascii="Arial" w:hAnsi="Arial" w:eastAsia="Arial" w:cs="Arial"/>
          <w:b w:val="0"/>
          <w:bCs w:val="0"/>
          <w:i w:val="1"/>
          <w:iCs w:val="1"/>
          <w:strike w:val="0"/>
          <w:dstrike w:val="0"/>
          <w:noProof w:val="0"/>
          <w:color w:val="000000" w:themeColor="text1" w:themeTint="FF" w:themeShade="FF"/>
          <w:sz w:val="22"/>
          <w:szCs w:val="22"/>
          <w:u w:val="none"/>
          <w:lang w:val="en-GB"/>
        </w:rPr>
        <w:t>Additional Learning Needs Code for Wales 2021</w:t>
      </w:r>
      <w:r w:rsidRPr="1376E61D" w:rsidR="78E00A17">
        <w:rPr>
          <w:rFonts w:ascii="Arial" w:hAnsi="Arial" w:eastAsia="Arial" w:cs="Arial"/>
          <w:b w:val="0"/>
          <w:bCs w:val="0"/>
          <w:i w:val="0"/>
          <w:iCs w:val="0"/>
          <w:strike w:val="0"/>
          <w:dstrike w:val="0"/>
          <w:noProof w:val="0"/>
          <w:color w:val="000000" w:themeColor="text1" w:themeTint="FF" w:themeShade="FF"/>
          <w:sz w:val="22"/>
          <w:szCs w:val="22"/>
          <w:u w:val="none"/>
          <w:lang w:val="en-GB"/>
        </w:rPr>
        <w:t>. (Wales Policy).</w:t>
      </w:r>
    </w:p>
    <w:p xmlns:wp14="http://schemas.microsoft.com/office/word/2010/wordml" wp14:paraId="5E5787A5" wp14:textId="7E5D78E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NBRwnG2jJp4GS" int2:id="FkXRPMP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4baf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3E6BFE"/>
    <w:rsid w:val="00244E5B"/>
    <w:rsid w:val="13240F22"/>
    <w:rsid w:val="1376E61D"/>
    <w:rsid w:val="14B2C3FE"/>
    <w:rsid w:val="1591CD90"/>
    <w:rsid w:val="1C1D0CA4"/>
    <w:rsid w:val="23DDEB82"/>
    <w:rsid w:val="2B9CAAF3"/>
    <w:rsid w:val="302E5484"/>
    <w:rsid w:val="36E5D343"/>
    <w:rsid w:val="4514CC40"/>
    <w:rsid w:val="4741F902"/>
    <w:rsid w:val="47DC4BC3"/>
    <w:rsid w:val="4F37673B"/>
    <w:rsid w:val="4FEBBD3D"/>
    <w:rsid w:val="543E6BFE"/>
    <w:rsid w:val="5A735043"/>
    <w:rsid w:val="6371D94C"/>
    <w:rsid w:val="643141F9"/>
    <w:rsid w:val="66AB00EF"/>
    <w:rsid w:val="66E2A967"/>
    <w:rsid w:val="7534D303"/>
    <w:rsid w:val="78E00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E6BFE"/>
  <w15:chartTrackingRefBased/>
  <w15:docId w15:val="{BB55301D-83C9-4EE2-9709-196D07E33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376E61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76E61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376E61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a9c52faa2aa4206" /><Relationship Type="http://schemas.openxmlformats.org/officeDocument/2006/relationships/numbering" Target="/word/numbering.xml" Id="R7e16fe22c37e46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Cook (2213741)</dc:creator>
  <keywords/>
  <dc:description/>
  <lastModifiedBy>Karen Cook (2213741)</lastModifiedBy>
  <revision>2</revision>
  <dcterms:created xsi:type="dcterms:W3CDTF">2025-11-14T11:36:27.6505844Z</dcterms:created>
  <dcterms:modified xsi:type="dcterms:W3CDTF">2025-11-14T11:43:25.8631492Z</dcterms:modified>
</coreProperties>
</file>