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2FB687" w14:textId="2B609E67" w:rsidR="00CA15BE" w:rsidRDefault="00CA15BE" w:rsidP="00CA15BE">
      <w:pPr>
        <w:rPr>
          <w:b/>
        </w:rPr>
      </w:pPr>
      <w:r>
        <w:rPr>
          <w:b/>
        </w:rPr>
        <w:t xml:space="preserve">                                                                                                                                                                       </w:t>
      </w:r>
      <w:r>
        <w:rPr>
          <w:noProof/>
        </w:rPr>
        <w:t xml:space="preserve">     </w:t>
      </w:r>
    </w:p>
    <w:p w14:paraId="33E8B45C" w14:textId="496068D1" w:rsidR="00CA15BE" w:rsidRDefault="00CA15BE">
      <w:pPr>
        <w:jc w:val="center"/>
        <w:rPr>
          <w:b/>
        </w:rPr>
      </w:pPr>
      <w:r>
        <w:rPr>
          <w:b/>
        </w:rPr>
        <w:t xml:space="preserve">                                                                                                                  </w:t>
      </w:r>
      <w:r>
        <w:rPr>
          <w:noProof/>
        </w:rPr>
        <w:drawing>
          <wp:inline distT="0" distB="0" distL="0" distR="0" wp14:anchorId="6C7D21A4" wp14:editId="17808CF6">
            <wp:extent cx="1524000" cy="1409700"/>
            <wp:effectExtent l="0" t="0" r="0" b="0"/>
            <wp:docPr id="710645426" name="Picture 19" descr="UWTSDLondon (@UWTSDLondon) / Posts / X">
              <a:extLst xmlns:a="http://schemas.openxmlformats.org/drawingml/2006/main">
                <a:ext uri="{FF2B5EF4-FFF2-40B4-BE49-F238E27FC236}">
                  <a16:creationId xmlns:a16="http://schemas.microsoft.com/office/drawing/2014/main" id="{5E1BB008-587D-9749-707B-1E7A3B737A2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19" descr="UWTSDLondon (@UWTSDLondon) / Posts / X">
                      <a:extLst>
                        <a:ext uri="{FF2B5EF4-FFF2-40B4-BE49-F238E27FC236}">
                          <a16:creationId xmlns:a16="http://schemas.microsoft.com/office/drawing/2014/main" id="{5E1BB008-587D-9749-707B-1E7A3B737A21}"/>
                        </a:ext>
                      </a:extLst>
                    </pic:cNvPr>
                    <pic:cNvPicPr>
                      <a:picLocks noChangeAspect="1"/>
                    </pic:cNvPicPr>
                  </pic:nvPicPr>
                  <pic:blipFill>
                    <a:blip r:embed="rId8"/>
                    <a:stretch>
                      <a:fillRect/>
                    </a:stretch>
                  </pic:blipFill>
                  <pic:spPr>
                    <a:xfrm>
                      <a:off x="0" y="0"/>
                      <a:ext cx="1524000" cy="1409700"/>
                    </a:xfrm>
                    <a:prstGeom prst="rect">
                      <a:avLst/>
                    </a:prstGeom>
                  </pic:spPr>
                </pic:pic>
              </a:graphicData>
            </a:graphic>
          </wp:inline>
        </w:drawing>
      </w:r>
    </w:p>
    <w:p w14:paraId="408CDE29" w14:textId="77777777" w:rsidR="00CA15BE" w:rsidRDefault="00CA15BE" w:rsidP="00802EDE">
      <w:pPr>
        <w:jc w:val="left"/>
        <w:rPr>
          <w:b/>
        </w:rPr>
      </w:pPr>
    </w:p>
    <w:p w14:paraId="1482AF15" w14:textId="77777777" w:rsidR="00CA15BE" w:rsidRDefault="00CA15BE" w:rsidP="00802EDE">
      <w:pPr>
        <w:jc w:val="left"/>
        <w:rPr>
          <w:b/>
        </w:rPr>
      </w:pPr>
    </w:p>
    <w:p w14:paraId="2FC273FC" w14:textId="77777777" w:rsidR="00CA15BE" w:rsidRDefault="00CA15BE" w:rsidP="00802EDE">
      <w:pPr>
        <w:jc w:val="left"/>
        <w:rPr>
          <w:b/>
        </w:rPr>
      </w:pPr>
    </w:p>
    <w:p w14:paraId="5876E8F2" w14:textId="07B7C30D" w:rsidR="00484A8B" w:rsidRDefault="00000000" w:rsidP="00802EDE">
      <w:pPr>
        <w:jc w:val="left"/>
      </w:pPr>
      <w:r>
        <w:rPr>
          <w:b/>
        </w:rPr>
        <w:t>STAKEHOLDER ENGAGEMENT FOR CONNECTPLUS</w:t>
      </w:r>
      <w:r>
        <w:rPr>
          <w:b/>
        </w:rPr>
        <w:br/>
        <w:t>AT JD SPORTS FASHION PLC</w:t>
      </w:r>
    </w:p>
    <w:p w14:paraId="64D3678D" w14:textId="617DA88F" w:rsidR="00484A8B" w:rsidRDefault="00CA15BE" w:rsidP="00802EDE">
      <w:pPr>
        <w:spacing w:after="100"/>
        <w:jc w:val="left"/>
      </w:pPr>
      <w:r>
        <w:rPr>
          <w:b/>
        </w:rPr>
        <w:t xml:space="preserve">Student Name: </w:t>
      </w:r>
      <w:r>
        <w:t>Ana María Salazar Basich</w:t>
      </w:r>
    </w:p>
    <w:p w14:paraId="7604724B" w14:textId="2CB85735" w:rsidR="00CA15BE" w:rsidRDefault="00CA15BE" w:rsidP="00802EDE">
      <w:pPr>
        <w:spacing w:after="100"/>
        <w:jc w:val="left"/>
      </w:pPr>
      <w:r>
        <w:rPr>
          <w:b/>
        </w:rPr>
        <w:t xml:space="preserve">Student Number: </w:t>
      </w:r>
      <w:r>
        <w:t>2433792</w:t>
      </w:r>
    </w:p>
    <w:p w14:paraId="1887DBCA" w14:textId="36F65D41" w:rsidR="00484A8B" w:rsidRDefault="00CA15BE" w:rsidP="00802EDE">
      <w:pPr>
        <w:spacing w:after="100"/>
        <w:jc w:val="left"/>
      </w:pPr>
      <w:r>
        <w:rPr>
          <w:b/>
        </w:rPr>
        <w:t xml:space="preserve">Module Code: </w:t>
      </w:r>
      <w:r>
        <w:t>LCLM5001_LON</w:t>
      </w:r>
    </w:p>
    <w:p w14:paraId="119518FD" w14:textId="246447A7" w:rsidR="00816BB4" w:rsidRDefault="00816BB4" w:rsidP="00802EDE">
      <w:pPr>
        <w:spacing w:after="100"/>
        <w:jc w:val="left"/>
      </w:pPr>
      <w:r w:rsidRPr="00816BB4">
        <w:rPr>
          <w:b/>
          <w:bCs/>
        </w:rPr>
        <w:t>Module Name:</w:t>
      </w:r>
      <w:r>
        <w:t xml:space="preserve"> Understanding and Engaging Stakeholders  </w:t>
      </w:r>
    </w:p>
    <w:p w14:paraId="0679875D" w14:textId="361D9E9F" w:rsidR="00CA15BE" w:rsidRDefault="00816BB4" w:rsidP="00802EDE">
      <w:pPr>
        <w:spacing w:after="100"/>
        <w:jc w:val="left"/>
      </w:pPr>
      <w:r>
        <w:rPr>
          <w:b/>
        </w:rPr>
        <w:t xml:space="preserve">Assignment </w:t>
      </w:r>
      <w:r w:rsidR="0064783D">
        <w:rPr>
          <w:b/>
        </w:rPr>
        <w:t>Title:</w:t>
      </w:r>
      <w:r w:rsidR="0064783D">
        <w:t xml:space="preserve"> Understanding the importance of Stakeholder Engagement in successful commencement and completion of project.</w:t>
      </w:r>
    </w:p>
    <w:p w14:paraId="582FA05D" w14:textId="295B0225" w:rsidR="00CA15BE" w:rsidRPr="00CA15BE" w:rsidRDefault="00CA15BE" w:rsidP="00802EDE">
      <w:pPr>
        <w:spacing w:after="100"/>
        <w:jc w:val="left"/>
      </w:pPr>
      <w:r w:rsidRPr="00CA15BE">
        <w:rPr>
          <w:b/>
          <w:bCs/>
        </w:rPr>
        <w:t>Lecturer</w:t>
      </w:r>
      <w:r w:rsidRPr="00CA15BE">
        <w:t>: Nadeem Mirza</w:t>
      </w:r>
    </w:p>
    <w:p w14:paraId="4E8F391F" w14:textId="236E0AC1" w:rsidR="00484A8B" w:rsidRDefault="00CA15BE" w:rsidP="00802EDE">
      <w:pPr>
        <w:spacing w:after="100"/>
        <w:jc w:val="left"/>
      </w:pPr>
      <w:proofErr w:type="spellStart"/>
      <w:r>
        <w:rPr>
          <w:b/>
        </w:rPr>
        <w:t>Organisation</w:t>
      </w:r>
      <w:proofErr w:type="spellEnd"/>
      <w:r>
        <w:rPr>
          <w:b/>
        </w:rPr>
        <w:t xml:space="preserve">: </w:t>
      </w:r>
      <w:r>
        <w:t>JD Sports Fashion plc</w:t>
      </w:r>
    </w:p>
    <w:p w14:paraId="678F2A6F" w14:textId="4F9F4243" w:rsidR="00484A8B" w:rsidRPr="00CA15BE" w:rsidRDefault="00CA15BE" w:rsidP="00802EDE">
      <w:pPr>
        <w:spacing w:after="100"/>
        <w:jc w:val="left"/>
        <w:rPr>
          <w:b/>
        </w:rPr>
      </w:pPr>
      <w:r>
        <w:rPr>
          <w:b/>
        </w:rPr>
        <w:t xml:space="preserve">Project: </w:t>
      </w:r>
      <w:proofErr w:type="spellStart"/>
      <w:r>
        <w:t>ConnectPlus</w:t>
      </w:r>
      <w:proofErr w:type="spellEnd"/>
    </w:p>
    <w:p w14:paraId="7A5BCBCC" w14:textId="77777777" w:rsidR="00484A8B" w:rsidRDefault="00000000" w:rsidP="00802EDE">
      <w:pPr>
        <w:jc w:val="left"/>
      </w:pPr>
      <w:r>
        <w:br w:type="page"/>
      </w:r>
    </w:p>
    <w:p w14:paraId="2EA64B65" w14:textId="77777777" w:rsidR="00484A8B" w:rsidRDefault="00000000">
      <w:pPr>
        <w:pStyle w:val="Heading1"/>
      </w:pPr>
      <w:r>
        <w:lastRenderedPageBreak/>
        <w:t>Executive Summary</w:t>
      </w:r>
    </w:p>
    <w:p w14:paraId="3CA725F4" w14:textId="77777777" w:rsidR="00484A8B" w:rsidRDefault="00000000">
      <w:r>
        <w:t>This report examines how JD Sports Fashion plc could identify and engage the stakeholders needed to design and launch ConnectPlus, a proposed digital loyalty and customer engagement platform. ConnectPlus would combine AI-based recommendations, mobile rewards and customer data insights across selected international markets. The report uses stakeholder theory, a power-interest matrix and the Stakeholder Salience Model, alongside the 4Cs, a communication plan and a RACI matrix. It also considers likely conflicts around privacy, delivery speed and local market needs. Good engagement can improve adoption, trust, decision quality and long-term performance. Poor management can lead to cost, delay and ethical risks. The recommendations focus on early involvement, clear accountability, local adaptation, responsible AI and regular review throughout the six-month project.</w:t>
      </w:r>
    </w:p>
    <w:p w14:paraId="7367C752" w14:textId="77777777" w:rsidR="00484A8B" w:rsidRDefault="00000000">
      <w:pPr>
        <w:pStyle w:val="Heading1"/>
      </w:pPr>
      <w:r>
        <w:t>1. Introduction</w:t>
      </w:r>
    </w:p>
    <w:p w14:paraId="6F569224" w14:textId="77777777" w:rsidR="00484A8B" w:rsidRDefault="00000000">
      <w:r>
        <w:t>JD Sports Fashion plc is a UK-based global omni-channel retailer of sports, fashion and outdoor brands. Including franchised markets, the Group has more than 4,800 stores across 51 countries, with a strong presence in the UK, Europe, North America and Asia Pacific (JD Sports Fashion plc, 2026a). Its strategy also prioritises digital growth. JD’s “Beyond Physical Retail” focus covers technology, loyalty, data and AI, while JD STATUS has more than nine million active accounts globally (JD Sports Fashion plc, 2026b). These developments make JD suitable for ConnectPlus.</w:t>
      </w:r>
    </w:p>
    <w:p w14:paraId="5D6F4330" w14:textId="77777777" w:rsidR="003F1F5B" w:rsidRDefault="00000000">
      <w:r>
        <w:t>ConnectPlus is a fictional platform in the assessment scenario. It would bring together AI-driven product recommendations, mobile rewards and customer insight tools, with launch planned in selected international markets within six months. The platform could create commercial value, but it would affect groups with different interests. Senior leaders may focus on return on investment and speed; customers may expect useful rewards and privacy; employees need clear training; regulators require legal compliance; and brand or technology partners want secure, reliable integration.</w:t>
      </w:r>
      <w:r w:rsidR="003F1F5B" w:rsidRPr="003F1F5B">
        <w:t xml:space="preserve"> </w:t>
      </w:r>
    </w:p>
    <w:p w14:paraId="7C726795" w14:textId="6C002A9A" w:rsidR="003F1F5B" w:rsidRDefault="003F1F5B">
      <w:r>
        <w:t xml:space="preserve">Stakeholder theory highlights that </w:t>
      </w:r>
      <w:proofErr w:type="spellStart"/>
      <w:r>
        <w:t>organisations</w:t>
      </w:r>
      <w:proofErr w:type="spellEnd"/>
      <w:r>
        <w:t xml:space="preserve"> create value through the relationships they build with the groups around them (Freeman et al., 2010). In a digital project, this becomes very visible: a platform can work perfectly from a technical point of view and still fail if customers do not trust it or do not see the benefit. Kujala et al. (2022) also remind us that engagement is not something done once and forgotten. It is a continuous process of dialogue, participation and shared decisions.</w:t>
      </w:r>
    </w:p>
    <w:p w14:paraId="4D93F69E" w14:textId="64DFE573" w:rsidR="00484A8B" w:rsidRDefault="00000000">
      <w:r>
        <w:lastRenderedPageBreak/>
        <w:t xml:space="preserve">This report identifies and </w:t>
      </w:r>
      <w:proofErr w:type="spellStart"/>
      <w:r>
        <w:t>categorises</w:t>
      </w:r>
      <w:proofErr w:type="spellEnd"/>
      <w:r>
        <w:t xml:space="preserve"> the main </w:t>
      </w:r>
      <w:proofErr w:type="spellStart"/>
      <w:r>
        <w:t>ConnectPlus</w:t>
      </w:r>
      <w:proofErr w:type="spellEnd"/>
      <w:r>
        <w:t xml:space="preserve"> stakeholders, evaluates their roles, benefits and challenges, and proposes an engagement and conflict-management process. It also assesses how sustainable stakeholder engagement could affect JD’s performance, trust, innovation and long-term relationships across markets.</w:t>
      </w:r>
    </w:p>
    <w:p w14:paraId="4068E623" w14:textId="77777777" w:rsidR="00484A8B" w:rsidRDefault="00000000">
      <w:pPr>
        <w:pStyle w:val="Heading1"/>
      </w:pPr>
      <w:r>
        <w:t>2. SMART Objectives</w:t>
      </w:r>
    </w:p>
    <w:p w14:paraId="1351A548" w14:textId="77777777" w:rsidR="00484A8B" w:rsidRDefault="00000000">
      <w:r>
        <w:t>ConnectPlus will follow four SMART objectives. First, JD will design, test and prepare the platform for launch within six months across selected pilot markets in its main regions. Second, at least 80% of high-priority stakeholders will take part in agreed consultation or decision activities before launch. Third, all critical privacy, cyber security and AI risks will be reviewed and signed off before customer data is used for personalisation. Finally, the pilot will target strong customer adoption and measurable improvement in engagement, while gathering market feedback to improve the platform before wider international rollout.</w:t>
      </w:r>
    </w:p>
    <w:p w14:paraId="3E3E8975" w14:textId="77777777" w:rsidR="00484A8B" w:rsidRDefault="00000000">
      <w:pPr>
        <w:pStyle w:val="Heading1"/>
      </w:pPr>
      <w:r>
        <w:t>3. Identification and Categorisation of Key Stakeholders</w:t>
      </w:r>
    </w:p>
    <w:p w14:paraId="002C203B" w14:textId="77777777" w:rsidR="00484A8B" w:rsidRDefault="00000000">
      <w:r>
        <w:t>The first step for ConnectPlus is identifying who can influence the project and who may be affected by it. Freeman et al. (2018) argue that stakeholder thinking helps managers consider value across a wider network instead of focusing on one group. For JD, that is especially relevant because ConnectPlus would connect retail operations, technology, customer data, international markets and external partners.</w:t>
      </w:r>
    </w:p>
    <w:p w14:paraId="37DD18ED" w14:textId="77777777" w:rsidR="00484A8B" w:rsidRDefault="00000000">
      <w:r>
        <w:t>The main internal stakeholders are the Board and executive leadership team, project sponsor, Project Manager, digital and technology teams, data and analytics specialists, cyber security, marketing, retail operations, customer service, finance, legal and data protection teams, regional managers and store colleagues. Store teams matter because they may explain the new rewards system and solve launch problems. JD reports that 89,000 colleague voices were included in its global engagement survey (JD Sports Fashion plc, 2026c), showing employee input already forms part of the business.</w:t>
      </w:r>
    </w:p>
    <w:p w14:paraId="38121D5B" w14:textId="77777777" w:rsidR="00484A8B" w:rsidRDefault="00000000">
      <w:r>
        <w:t>The main external stakeholders are customers, major brand partners, technology and payment providers, franchise partners, regulators, data protection authorities, investors and local communities. Customers are central because the platform depends on them joining, sharing data and using personalised offers. Brand partners also matter because JD relies on close commercial relationships (JD Sports Fashion plc, 2026c). Technology providers affect reliability and integration, while regulators can determine whether the platform operates legally in each market.</w:t>
      </w:r>
    </w:p>
    <w:p w14:paraId="29FD0B72" w14:textId="77777777" w:rsidR="00484A8B" w:rsidRDefault="00000000">
      <w:r>
        <w:lastRenderedPageBreak/>
        <w:t>A power-interest matrix is a useful first way to categorise stakeholders. High-power, high-interest groups should be managed closely. For ConnectPlus, these include the project sponsor, senior digital leadership, regional business leaders, legal and data protection teams, key technology partners and major brand partners. They can influence budget, technical decisions, market readiness or access to important products and customer experiences. Some investors and Board members outside the direct project structure may have high power but lower day-to-day interest. They should be kept satisfied through clear progress, risk and value updates.</w:t>
      </w:r>
    </w:p>
    <w:p w14:paraId="6BACD0A7" w14:textId="77777777" w:rsidR="00484A8B" w:rsidRDefault="00000000">
      <w:pPr>
        <w:jc w:val="center"/>
      </w:pPr>
      <w:r>
        <w:rPr>
          <w:b/>
        </w:rPr>
        <w:t>Table 1. ConnectPlus Power–Interest Matrix</w:t>
      </w:r>
    </w:p>
    <w:tbl>
      <w:tblPr>
        <w:tblStyle w:val="TableGrid"/>
        <w:tblW w:w="0" w:type="auto"/>
        <w:jc w:val="center"/>
        <w:tblLook w:val="04A0" w:firstRow="1" w:lastRow="0" w:firstColumn="1" w:lastColumn="0" w:noHBand="0" w:noVBand="1"/>
      </w:tblPr>
      <w:tblGrid>
        <w:gridCol w:w="3135"/>
        <w:gridCol w:w="3135"/>
        <w:gridCol w:w="3135"/>
      </w:tblGrid>
      <w:tr w:rsidR="00484A8B" w14:paraId="5119140D" w14:textId="77777777">
        <w:trPr>
          <w:cantSplit/>
          <w:jc w:val="center"/>
        </w:trPr>
        <w:tc>
          <w:tcPr>
            <w:tcW w:w="3135" w:type="dxa"/>
            <w:vAlign w:val="center"/>
          </w:tcPr>
          <w:p w14:paraId="5FCD985E" w14:textId="77777777" w:rsidR="00484A8B" w:rsidRDefault="00000000">
            <w:pPr>
              <w:spacing w:after="40"/>
              <w:jc w:val="left"/>
            </w:pPr>
            <w:r>
              <w:rPr>
                <w:b/>
              </w:rPr>
              <w:t>Category</w:t>
            </w:r>
          </w:p>
        </w:tc>
        <w:tc>
          <w:tcPr>
            <w:tcW w:w="3135" w:type="dxa"/>
            <w:vAlign w:val="center"/>
          </w:tcPr>
          <w:p w14:paraId="6D5B382B" w14:textId="77777777" w:rsidR="00484A8B" w:rsidRDefault="00000000">
            <w:pPr>
              <w:spacing w:after="40"/>
              <w:jc w:val="left"/>
            </w:pPr>
            <w:r>
              <w:rPr>
                <w:b/>
              </w:rPr>
              <w:t>Stakeholders</w:t>
            </w:r>
          </w:p>
        </w:tc>
        <w:tc>
          <w:tcPr>
            <w:tcW w:w="3135" w:type="dxa"/>
            <w:vAlign w:val="center"/>
          </w:tcPr>
          <w:p w14:paraId="5F86CAA5" w14:textId="77777777" w:rsidR="00484A8B" w:rsidRDefault="00000000">
            <w:pPr>
              <w:spacing w:after="40"/>
              <w:jc w:val="left"/>
            </w:pPr>
            <w:r>
              <w:rPr>
                <w:b/>
              </w:rPr>
              <w:t>Main approach</w:t>
            </w:r>
          </w:p>
        </w:tc>
      </w:tr>
      <w:tr w:rsidR="00484A8B" w14:paraId="336C500E" w14:textId="77777777">
        <w:trPr>
          <w:cantSplit/>
          <w:jc w:val="center"/>
        </w:trPr>
        <w:tc>
          <w:tcPr>
            <w:tcW w:w="3135" w:type="dxa"/>
            <w:vAlign w:val="center"/>
          </w:tcPr>
          <w:p w14:paraId="4A231715" w14:textId="77777777" w:rsidR="00484A8B" w:rsidRDefault="00000000">
            <w:pPr>
              <w:spacing w:after="40"/>
              <w:jc w:val="left"/>
            </w:pPr>
            <w:r>
              <w:t>Manage closely</w:t>
            </w:r>
          </w:p>
        </w:tc>
        <w:tc>
          <w:tcPr>
            <w:tcW w:w="3135" w:type="dxa"/>
            <w:vAlign w:val="center"/>
          </w:tcPr>
          <w:p w14:paraId="3F394ABC" w14:textId="77777777" w:rsidR="00484A8B" w:rsidRDefault="00000000">
            <w:pPr>
              <w:spacing w:after="40"/>
              <w:jc w:val="left"/>
            </w:pPr>
            <w:r>
              <w:t>Project sponsor; Project Manager; digital/data leadership; legal/privacy/cyber teams; regional leaders; key technology and brand partners</w:t>
            </w:r>
          </w:p>
        </w:tc>
        <w:tc>
          <w:tcPr>
            <w:tcW w:w="3135" w:type="dxa"/>
            <w:vAlign w:val="center"/>
          </w:tcPr>
          <w:p w14:paraId="13F4DA6D" w14:textId="77777777" w:rsidR="00484A8B" w:rsidRDefault="00000000">
            <w:pPr>
              <w:spacing w:after="40"/>
              <w:jc w:val="left"/>
            </w:pPr>
            <w:r>
              <w:t>Frequent involvement, joint decisions, rapid escalation</w:t>
            </w:r>
          </w:p>
        </w:tc>
      </w:tr>
      <w:tr w:rsidR="00484A8B" w14:paraId="1B40BD88" w14:textId="77777777">
        <w:trPr>
          <w:cantSplit/>
          <w:jc w:val="center"/>
        </w:trPr>
        <w:tc>
          <w:tcPr>
            <w:tcW w:w="3135" w:type="dxa"/>
            <w:vAlign w:val="center"/>
          </w:tcPr>
          <w:p w14:paraId="5D47F55D" w14:textId="77777777" w:rsidR="00484A8B" w:rsidRDefault="00000000">
            <w:pPr>
              <w:spacing w:after="40"/>
              <w:jc w:val="left"/>
            </w:pPr>
            <w:r>
              <w:t>Keep satisfied</w:t>
            </w:r>
          </w:p>
        </w:tc>
        <w:tc>
          <w:tcPr>
            <w:tcW w:w="3135" w:type="dxa"/>
            <w:vAlign w:val="center"/>
          </w:tcPr>
          <w:p w14:paraId="2C9CC72E" w14:textId="77777777" w:rsidR="00484A8B" w:rsidRDefault="00000000">
            <w:pPr>
              <w:spacing w:after="40"/>
              <w:jc w:val="left"/>
            </w:pPr>
            <w:r>
              <w:t>Board members outside daily delivery; investors</w:t>
            </w:r>
          </w:p>
        </w:tc>
        <w:tc>
          <w:tcPr>
            <w:tcW w:w="3135" w:type="dxa"/>
            <w:vAlign w:val="center"/>
          </w:tcPr>
          <w:p w14:paraId="1591F3C0" w14:textId="77777777" w:rsidR="00484A8B" w:rsidRDefault="00000000">
            <w:pPr>
              <w:spacing w:after="40"/>
              <w:jc w:val="left"/>
            </w:pPr>
            <w:r>
              <w:t>Milestone, value and risk updates</w:t>
            </w:r>
          </w:p>
        </w:tc>
      </w:tr>
      <w:tr w:rsidR="00484A8B" w14:paraId="132A4AC5" w14:textId="77777777">
        <w:trPr>
          <w:cantSplit/>
          <w:jc w:val="center"/>
        </w:trPr>
        <w:tc>
          <w:tcPr>
            <w:tcW w:w="3135" w:type="dxa"/>
            <w:vAlign w:val="center"/>
          </w:tcPr>
          <w:p w14:paraId="1DB3C766" w14:textId="77777777" w:rsidR="00484A8B" w:rsidRDefault="00000000">
            <w:pPr>
              <w:spacing w:after="40"/>
              <w:jc w:val="left"/>
            </w:pPr>
            <w:r>
              <w:t>Keep informed</w:t>
            </w:r>
          </w:p>
        </w:tc>
        <w:tc>
          <w:tcPr>
            <w:tcW w:w="3135" w:type="dxa"/>
            <w:vAlign w:val="center"/>
          </w:tcPr>
          <w:p w14:paraId="14F5685A" w14:textId="77777777" w:rsidR="00484A8B" w:rsidRDefault="00000000">
            <w:pPr>
              <w:spacing w:after="40"/>
              <w:jc w:val="left"/>
            </w:pPr>
            <w:r>
              <w:t>Customers; store colleagues; customer service; local communities</w:t>
            </w:r>
          </w:p>
        </w:tc>
        <w:tc>
          <w:tcPr>
            <w:tcW w:w="3135" w:type="dxa"/>
            <w:vAlign w:val="center"/>
          </w:tcPr>
          <w:p w14:paraId="25B1056F" w14:textId="77777777" w:rsidR="00484A8B" w:rsidRDefault="00000000">
            <w:pPr>
              <w:spacing w:after="40"/>
              <w:jc w:val="left"/>
            </w:pPr>
            <w:r>
              <w:t>Testing, consultation, clear updates and feedback</w:t>
            </w:r>
          </w:p>
        </w:tc>
      </w:tr>
      <w:tr w:rsidR="00484A8B" w14:paraId="210E482E" w14:textId="77777777">
        <w:trPr>
          <w:cantSplit/>
          <w:jc w:val="center"/>
        </w:trPr>
        <w:tc>
          <w:tcPr>
            <w:tcW w:w="3135" w:type="dxa"/>
            <w:vAlign w:val="center"/>
          </w:tcPr>
          <w:p w14:paraId="58831A11" w14:textId="77777777" w:rsidR="00484A8B" w:rsidRDefault="00000000">
            <w:pPr>
              <w:spacing w:after="40"/>
              <w:jc w:val="left"/>
            </w:pPr>
            <w:r>
              <w:t>Monitor</w:t>
            </w:r>
          </w:p>
        </w:tc>
        <w:tc>
          <w:tcPr>
            <w:tcW w:w="3135" w:type="dxa"/>
            <w:vAlign w:val="center"/>
          </w:tcPr>
          <w:p w14:paraId="388BE85A" w14:textId="77777777" w:rsidR="00484A8B" w:rsidRDefault="00000000">
            <w:pPr>
              <w:spacing w:after="40"/>
              <w:jc w:val="left"/>
            </w:pPr>
            <w:r>
              <w:t>Non-critical suppliers; wider public not directly affected</w:t>
            </w:r>
          </w:p>
        </w:tc>
        <w:tc>
          <w:tcPr>
            <w:tcW w:w="3135" w:type="dxa"/>
            <w:vAlign w:val="center"/>
          </w:tcPr>
          <w:p w14:paraId="6A5D86EE" w14:textId="77777777" w:rsidR="00484A8B" w:rsidRDefault="00000000">
            <w:pPr>
              <w:spacing w:after="40"/>
              <w:jc w:val="left"/>
            </w:pPr>
            <w:r>
              <w:t>Light-touch monitoring; increase engagement if influence changes</w:t>
            </w:r>
          </w:p>
        </w:tc>
      </w:tr>
    </w:tbl>
    <w:p w14:paraId="3BF3DFE2" w14:textId="77777777" w:rsidR="00484A8B" w:rsidRDefault="00484A8B"/>
    <w:p w14:paraId="15E0AC68" w14:textId="77777777" w:rsidR="00484A8B" w:rsidRDefault="00000000">
      <w:r>
        <w:t>Customers, store colleagues and customer service teams may have less formal power individually, but high interest because they will experience the system directly. They should be kept informed and actively consulted, not treated as passive users. Wider community groups and non-critical suppliers may have lower direct power and interest, although this could change if the project raises concerns around privacy, access or fairness.</w:t>
      </w:r>
    </w:p>
    <w:p w14:paraId="6742DA4F" w14:textId="77777777" w:rsidR="00484A8B" w:rsidRDefault="00000000">
      <w:r>
        <w:t xml:space="preserve">A simple power-interest matrix has one clear limitation: stakeholder positions are not fixed. Aaltonen and Kujala (2016) describe stakeholder landscapes as dynamic and shaped by complexity, uncertainty and context. A customer group, for example, can gain influence quickly </w:t>
      </w:r>
      <w:r>
        <w:lastRenderedPageBreak/>
        <w:t>through social media if a privacy concern becomes public. A regulator may move from low day-to-day interest to high urgency if a data incident occurs. The matrix therefore needs reviewing throughout the six-month project, rather than only once at the start.</w:t>
      </w:r>
    </w:p>
    <w:p w14:paraId="0ABE0250" w14:textId="77777777" w:rsidR="00484A8B" w:rsidRDefault="00000000">
      <w:r>
        <w:t>The Stakeholder Salience Model adds more detail. Mitchell et al. (1997) suggest that stakeholder importance can be understood through power, legitimacy and urgency. For ConnectPlus, regulators may hold all three when privacy or consumer protection requirements apply. Senior leaders have strong power and legitimate responsibility for project success. Customers have legitimacy because their data and experience are directly affected, while urgent concerns can quickly become commercially important. Store colleagues and customer service teams have legitimacy and practical knowledge despite less formal power. Major brand and technology partners have power because ConnectPlus may depend on their products, systems or services.</w:t>
      </w:r>
    </w:p>
    <w:p w14:paraId="366B62F9" w14:textId="77777777" w:rsidR="00484A8B" w:rsidRDefault="00000000">
      <w:r>
        <w:t>Using both frameworks gives a more balanced picture. The power-interest matrix is simple and useful for planning communication. The Salience Model makes it harder to overlook groups with less formal authority but strong legitimacy or urgent concerns. Olander (2007) argues that stakeholder analysis should consider both influence and a stakeholder’s position towards a project. Support cannot simply be assumed: some stakeholders may welcome better loyalty rewards but oppose particular uses of customer data.</w:t>
      </w:r>
    </w:p>
    <w:p w14:paraId="50C0AEDE" w14:textId="77777777" w:rsidR="00484A8B" w:rsidRDefault="00000000">
      <w:r>
        <w:t>The final stakeholder map for JD should stay practical. Priority should go to groups that can stop the project, protect customer rights, provide essential knowledge or strongly shape adoption. The Project Manager should also keep a watch list for stakeholders whose influence may rise during the project. This allows action before a concern becomes a launch problem.</w:t>
      </w:r>
    </w:p>
    <w:p w14:paraId="0B014E46" w14:textId="77777777" w:rsidR="00484A8B" w:rsidRDefault="00000000">
      <w:pPr>
        <w:pStyle w:val="Heading1"/>
      </w:pPr>
      <w:r>
        <w:t>4. Roles, Responsibilities, Benefits and Challenges</w:t>
      </w:r>
    </w:p>
    <w:p w14:paraId="4C247BD1" w14:textId="77777777" w:rsidR="00484A8B" w:rsidRDefault="00000000">
      <w:r>
        <w:t>Each stakeholder group brings something different to ConnectPlus, so engagement should reflect its role rather than use the same approach for everyone. The Board and executive sponsor are responsible for strategic direction, funding and major risk decisions. Their main benefit is the ability to remove barriers and keep the project aligned with JD’s wider strategy. The challenge is that senior leaders may push for speed or commercial return while further testing is needed.</w:t>
      </w:r>
    </w:p>
    <w:p w14:paraId="2EAED718" w14:textId="77777777" w:rsidR="00484A8B" w:rsidRDefault="00000000">
      <w:r>
        <w:t xml:space="preserve">The Project Manager is responsible for coordination, milestones, stakeholder communication, risk escalation and clear decisions. Digital, data and technology teams design the platform, integrations and AI features. They bring specialist knowledge but may focus heavily on technical </w:t>
      </w:r>
      <w:r>
        <w:lastRenderedPageBreak/>
        <w:t>delivery. Legal, privacy and cyber security teams challenge that view by testing whether data collection, personalisation and security controls are acceptable. This may seem to slow delivery. Early input can prevent much bigger problems later.</w:t>
      </w:r>
    </w:p>
    <w:p w14:paraId="047E8937" w14:textId="77777777" w:rsidR="00484A8B" w:rsidRDefault="00000000">
      <w:r>
        <w:t>Marketing and customer teams shape the value proposition, rewards and launch messages. Retail operations, store colleagues and customer service teams bring practical knowledge about customer behaviour and possible confusion. Regional managers are valuable because ConnectPlus must work across markets. A global design may be efficient, but local managers can identify differences in regulation, language, payment habits and customer expectations. Finance checks project cost, expected benefits and whether new requirements offer enough value to justify extra spending.</w:t>
      </w:r>
    </w:p>
    <w:p w14:paraId="0562C020" w14:textId="77777777" w:rsidR="00484A8B" w:rsidRDefault="00000000">
      <w:r>
        <w:t>External stakeholders also have clear responsibilities. Customers can test usability and explain what feels useful, intrusive or unfair. Brand partners can support exclusive rewards and campaigns, but may also want control over how their products and customer data are used. Technology and payment providers bring speed and specialist capability, although supplier dependence creates delivery and security risks. Regulators and data protection authorities set legal boundaries, while investors expect evidence that the project can create value without unreasonable risk.</w:t>
      </w:r>
    </w:p>
    <w:p w14:paraId="20D51C26" w14:textId="77777777" w:rsidR="006238EA" w:rsidRDefault="006238EA">
      <w:r>
        <w:t>Involving these groups early brings very practical benefits. Store colleagues can spot training issues before they appear, customers can highlight confusing features, and regional leaders can flag when something feels too “UK</w:t>
      </w:r>
      <w:r>
        <w:noBreakHyphen/>
        <w:t>centric” for their market. Brand partners may suggest better reward ideas, and technology suppliers can warn about integration limits before plans are locked in. Of course, more voices also mean more conflicting requests and slower decisions. That is why the Project Manager needs to be clear about who advises, who approves and who actually delivers.</w:t>
      </w:r>
    </w:p>
    <w:p w14:paraId="6CD08BA1" w14:textId="1068D58C" w:rsidR="00484A8B" w:rsidRDefault="00000000">
      <w:r>
        <w:t>Ashcroft et al. (2017) argue that strong organisational relationships depend on directness, fairness, continuity and common purpose. For ConnectPlus, stakeholder value is not only financial. Some groups bring trust, knowledge, access, legitimacy or implementation support, even when their interests conflict. The Project Manager cannot realistically satisfy every request. The role is to make trade-offs openly and explain the reasons behind decisions.</w:t>
      </w:r>
    </w:p>
    <w:p w14:paraId="17899E0C" w14:textId="77777777" w:rsidR="00484A8B" w:rsidRDefault="00000000">
      <w:pPr>
        <w:pStyle w:val="Heading1"/>
      </w:pPr>
      <w:r>
        <w:t>5. Stakeholder Engagement and Conflict Management</w:t>
      </w:r>
    </w:p>
    <w:p w14:paraId="1580DDE5" w14:textId="77777777" w:rsidR="00484A8B" w:rsidRDefault="00000000">
      <w:r>
        <w:t xml:space="preserve">Stakeholder engagement for ConnectPlus should begin at project start and continue through design, testing, launch and early review. Eskerod et al. (2015) argue that project stakeholder </w:t>
      </w:r>
      <w:r>
        <w:lastRenderedPageBreak/>
        <w:t>management has moved beyond simply controlling stakeholders and now considers their interests and how projects affect them. For JD, engagement should therefore begin before the platform is built, not as a final communication exercise.</w:t>
      </w:r>
    </w:p>
    <w:p w14:paraId="0BCD6220" w14:textId="77777777" w:rsidR="00484A8B" w:rsidRDefault="00000000">
      <w:r>
        <w:t>The first stage is identification and prioritisation. The Project Manager should create a stakeholder register covering each group’s interest, influence, contribution, concerns, communication needs and decision rights. Power-interest and salience assessments should be reviewed monthly and before major project gates. Shah and Guild (2022) show that technology engagement should reflect organisational context and the value being created. This supports a flexible approach rather than a standard one.</w:t>
      </w:r>
    </w:p>
    <w:p w14:paraId="613A277C" w14:textId="77777777" w:rsidR="00484A8B" w:rsidRDefault="00000000">
      <w:r>
        <w:t>The second stage should use the 4Cs: communication, collaboration, consultation and commitment. Communication means giving each group clear, timely information. Board members need short reports on budget, risk and decisions; technical teams need detailed requirements; regional managers need readiness updates; store colleagues need practical guidance; and customers need clear explanations of rewards, personalisation and data use.</w:t>
      </w:r>
    </w:p>
    <w:p w14:paraId="0F09B34A" w14:textId="77777777" w:rsidR="00484A8B" w:rsidRDefault="00000000">
      <w:r>
        <w:t>Communication also has to be two-way. Kujala et al. (2022) emphasise dialogue and participation in meaningful engagement. JD should provide channels for questions, concerns and challenge. Project updates should show not only what was decided, but what changed because of feedback. If feedback makes no visible difference, consultation can quickly feel artificial.</w:t>
      </w:r>
    </w:p>
    <w:p w14:paraId="022FDF4D" w14:textId="77777777" w:rsidR="00484A8B" w:rsidRDefault="00000000">
      <w:r>
        <w:t>Collaboration matters most where different knowledge is needed. A cross-functional ConnectPlus design group should include digital, data, marketing, customer service, legal, privacy, cyber security and regional representatives. Brand and technology partners should join relevant sessions, while customers and store colleagues can take part in testing. Bal et al. (2023) show that collaborative value creation can produce economic, functional and relational value. This suits a platform that must work commercially and remain useful to customers.</w:t>
      </w:r>
    </w:p>
    <w:p w14:paraId="0196300B" w14:textId="77777777" w:rsidR="00484A8B" w:rsidRDefault="00000000">
      <w:r>
        <w:t>Consultation should happen before key decisions become difficult to change. Customer research should test whether offers are relevant, consent wording is understood and customers can easily control preferences. Store teams should test customer journeys before launch. Regional managers should review language, cultural fit, local legal issues and market practices. Legal and privacy teams should be involved when data requirements are designed, not only asked to approve them at the end.</w:t>
      </w:r>
    </w:p>
    <w:p w14:paraId="79BDC9C5" w14:textId="77777777" w:rsidR="00484A8B" w:rsidRDefault="00000000">
      <w:r>
        <w:t xml:space="preserve">Commitment means turning participation into clear ownership, where a RACI matrix can help. For example, the Project Manager can be accountable for the delivery plan, the digital team </w:t>
      </w:r>
      <w:r>
        <w:lastRenderedPageBreak/>
        <w:t>responsible for platform build, legal and privacy for compliance review, regional leaders for local readiness, and marketing for launch communications. RACI reduces uncertainty about who decides and who needs consultation. It should not become a rigid chart that discourages discussion. Roles may change if new risks appear.</w:t>
      </w:r>
    </w:p>
    <w:p w14:paraId="00F28F1D" w14:textId="77777777" w:rsidR="00484A8B" w:rsidRDefault="00000000">
      <w:pPr>
        <w:jc w:val="center"/>
      </w:pPr>
      <w:r>
        <w:rPr>
          <w:b/>
        </w:rPr>
        <w:t>Table 2. ConnectPlus RACI Summary</w:t>
      </w:r>
    </w:p>
    <w:tbl>
      <w:tblPr>
        <w:tblStyle w:val="TableGrid"/>
        <w:tblW w:w="0" w:type="auto"/>
        <w:jc w:val="center"/>
        <w:tblLook w:val="04A0" w:firstRow="1" w:lastRow="0" w:firstColumn="1" w:lastColumn="0" w:noHBand="0" w:noVBand="1"/>
      </w:tblPr>
      <w:tblGrid>
        <w:gridCol w:w="1875"/>
        <w:gridCol w:w="1871"/>
        <w:gridCol w:w="2148"/>
        <w:gridCol w:w="1866"/>
        <w:gridCol w:w="1862"/>
      </w:tblGrid>
      <w:tr w:rsidR="00484A8B" w14:paraId="4B1B6252" w14:textId="77777777">
        <w:trPr>
          <w:cantSplit/>
          <w:jc w:val="center"/>
        </w:trPr>
        <w:tc>
          <w:tcPr>
            <w:tcW w:w="1881" w:type="dxa"/>
            <w:vAlign w:val="center"/>
          </w:tcPr>
          <w:p w14:paraId="7468F844" w14:textId="77777777" w:rsidR="00484A8B" w:rsidRDefault="00000000">
            <w:pPr>
              <w:spacing w:after="20"/>
              <w:jc w:val="left"/>
            </w:pPr>
            <w:r>
              <w:rPr>
                <w:b/>
              </w:rPr>
              <w:t>Workstream</w:t>
            </w:r>
          </w:p>
        </w:tc>
        <w:tc>
          <w:tcPr>
            <w:tcW w:w="1881" w:type="dxa"/>
            <w:vAlign w:val="center"/>
          </w:tcPr>
          <w:p w14:paraId="7A093366" w14:textId="77777777" w:rsidR="00484A8B" w:rsidRDefault="00000000">
            <w:pPr>
              <w:spacing w:after="20"/>
              <w:jc w:val="left"/>
            </w:pPr>
            <w:r>
              <w:rPr>
                <w:b/>
              </w:rPr>
              <w:t>Accountable</w:t>
            </w:r>
          </w:p>
        </w:tc>
        <w:tc>
          <w:tcPr>
            <w:tcW w:w="1881" w:type="dxa"/>
            <w:vAlign w:val="center"/>
          </w:tcPr>
          <w:p w14:paraId="4E05CE9C" w14:textId="77777777" w:rsidR="00484A8B" w:rsidRDefault="00000000">
            <w:pPr>
              <w:spacing w:after="20"/>
              <w:jc w:val="left"/>
            </w:pPr>
            <w:r>
              <w:rPr>
                <w:b/>
              </w:rPr>
              <w:t>Responsible</w:t>
            </w:r>
          </w:p>
        </w:tc>
        <w:tc>
          <w:tcPr>
            <w:tcW w:w="1881" w:type="dxa"/>
            <w:vAlign w:val="center"/>
          </w:tcPr>
          <w:p w14:paraId="4FD40891" w14:textId="77777777" w:rsidR="00484A8B" w:rsidRDefault="00000000">
            <w:pPr>
              <w:spacing w:after="20"/>
              <w:jc w:val="left"/>
            </w:pPr>
            <w:r>
              <w:rPr>
                <w:b/>
              </w:rPr>
              <w:t>Consulted</w:t>
            </w:r>
          </w:p>
        </w:tc>
        <w:tc>
          <w:tcPr>
            <w:tcW w:w="1881" w:type="dxa"/>
            <w:vAlign w:val="center"/>
          </w:tcPr>
          <w:p w14:paraId="145990F9" w14:textId="77777777" w:rsidR="00484A8B" w:rsidRDefault="00000000">
            <w:pPr>
              <w:spacing w:after="20"/>
              <w:jc w:val="left"/>
            </w:pPr>
            <w:r>
              <w:rPr>
                <w:b/>
              </w:rPr>
              <w:t>Informed</w:t>
            </w:r>
          </w:p>
        </w:tc>
      </w:tr>
      <w:tr w:rsidR="00484A8B" w14:paraId="05FE5957" w14:textId="77777777">
        <w:trPr>
          <w:cantSplit/>
          <w:jc w:val="center"/>
        </w:trPr>
        <w:tc>
          <w:tcPr>
            <w:tcW w:w="1881" w:type="dxa"/>
            <w:vAlign w:val="center"/>
          </w:tcPr>
          <w:p w14:paraId="7497B0AA" w14:textId="77777777" w:rsidR="00484A8B" w:rsidRDefault="00000000">
            <w:pPr>
              <w:spacing w:after="20"/>
              <w:jc w:val="left"/>
            </w:pPr>
            <w:r>
              <w:t>Project governance</w:t>
            </w:r>
          </w:p>
        </w:tc>
        <w:tc>
          <w:tcPr>
            <w:tcW w:w="1881" w:type="dxa"/>
            <w:vAlign w:val="center"/>
          </w:tcPr>
          <w:p w14:paraId="7A615188" w14:textId="77777777" w:rsidR="00484A8B" w:rsidRDefault="00000000">
            <w:pPr>
              <w:spacing w:after="20"/>
              <w:jc w:val="left"/>
            </w:pPr>
            <w:r>
              <w:t>Executive sponsor</w:t>
            </w:r>
          </w:p>
        </w:tc>
        <w:tc>
          <w:tcPr>
            <w:tcW w:w="1881" w:type="dxa"/>
            <w:vAlign w:val="center"/>
          </w:tcPr>
          <w:p w14:paraId="0281BE47" w14:textId="77777777" w:rsidR="00484A8B" w:rsidRDefault="00000000">
            <w:pPr>
              <w:spacing w:after="20"/>
              <w:jc w:val="left"/>
            </w:pPr>
            <w:r>
              <w:t>Project Manager</w:t>
            </w:r>
          </w:p>
        </w:tc>
        <w:tc>
          <w:tcPr>
            <w:tcW w:w="1881" w:type="dxa"/>
            <w:vAlign w:val="center"/>
          </w:tcPr>
          <w:p w14:paraId="466D649D" w14:textId="77777777" w:rsidR="00484A8B" w:rsidRDefault="00000000">
            <w:pPr>
              <w:spacing w:after="20"/>
              <w:jc w:val="left"/>
            </w:pPr>
            <w:r>
              <w:t>Finance; regional leaders</w:t>
            </w:r>
          </w:p>
        </w:tc>
        <w:tc>
          <w:tcPr>
            <w:tcW w:w="1881" w:type="dxa"/>
            <w:vAlign w:val="center"/>
          </w:tcPr>
          <w:p w14:paraId="6DB9A510" w14:textId="77777777" w:rsidR="00484A8B" w:rsidRDefault="00000000">
            <w:pPr>
              <w:spacing w:after="20"/>
              <w:jc w:val="left"/>
            </w:pPr>
            <w:r>
              <w:t>Board; core team</w:t>
            </w:r>
          </w:p>
        </w:tc>
      </w:tr>
      <w:tr w:rsidR="00484A8B" w14:paraId="45C09250" w14:textId="77777777">
        <w:trPr>
          <w:cantSplit/>
          <w:jc w:val="center"/>
        </w:trPr>
        <w:tc>
          <w:tcPr>
            <w:tcW w:w="1881" w:type="dxa"/>
            <w:vAlign w:val="center"/>
          </w:tcPr>
          <w:p w14:paraId="09B62245" w14:textId="77777777" w:rsidR="00484A8B" w:rsidRDefault="00000000">
            <w:pPr>
              <w:spacing w:after="20"/>
              <w:jc w:val="left"/>
            </w:pPr>
            <w:r>
              <w:t>Platform build</w:t>
            </w:r>
          </w:p>
        </w:tc>
        <w:tc>
          <w:tcPr>
            <w:tcW w:w="1881" w:type="dxa"/>
            <w:vAlign w:val="center"/>
          </w:tcPr>
          <w:p w14:paraId="2B4D655E" w14:textId="77777777" w:rsidR="00484A8B" w:rsidRDefault="00000000">
            <w:pPr>
              <w:spacing w:after="20"/>
              <w:jc w:val="left"/>
            </w:pPr>
            <w:r>
              <w:t>Project Manager</w:t>
            </w:r>
          </w:p>
        </w:tc>
        <w:tc>
          <w:tcPr>
            <w:tcW w:w="1881" w:type="dxa"/>
            <w:vAlign w:val="center"/>
          </w:tcPr>
          <w:p w14:paraId="533698BF" w14:textId="77777777" w:rsidR="00484A8B" w:rsidRDefault="00000000">
            <w:pPr>
              <w:spacing w:after="20"/>
              <w:jc w:val="left"/>
            </w:pPr>
            <w:r>
              <w:t>Digital/data teams</w:t>
            </w:r>
          </w:p>
        </w:tc>
        <w:tc>
          <w:tcPr>
            <w:tcW w:w="1881" w:type="dxa"/>
            <w:vAlign w:val="center"/>
          </w:tcPr>
          <w:p w14:paraId="708EA9CE" w14:textId="77777777" w:rsidR="00484A8B" w:rsidRDefault="00000000">
            <w:pPr>
              <w:spacing w:after="20"/>
              <w:jc w:val="left"/>
            </w:pPr>
            <w:r>
              <w:t>Cyber; marketing; technology partners</w:t>
            </w:r>
          </w:p>
        </w:tc>
        <w:tc>
          <w:tcPr>
            <w:tcW w:w="1881" w:type="dxa"/>
            <w:vAlign w:val="center"/>
          </w:tcPr>
          <w:p w14:paraId="2C153C8C" w14:textId="77777777" w:rsidR="00484A8B" w:rsidRDefault="00000000">
            <w:pPr>
              <w:spacing w:after="20"/>
              <w:jc w:val="left"/>
            </w:pPr>
            <w:r>
              <w:t>Regional teams</w:t>
            </w:r>
          </w:p>
        </w:tc>
      </w:tr>
      <w:tr w:rsidR="00484A8B" w14:paraId="515C482E" w14:textId="77777777">
        <w:trPr>
          <w:cantSplit/>
          <w:jc w:val="center"/>
        </w:trPr>
        <w:tc>
          <w:tcPr>
            <w:tcW w:w="1881" w:type="dxa"/>
            <w:vAlign w:val="center"/>
          </w:tcPr>
          <w:p w14:paraId="07B9DD89" w14:textId="77777777" w:rsidR="00484A8B" w:rsidRDefault="00000000">
            <w:pPr>
              <w:spacing w:after="20"/>
              <w:jc w:val="left"/>
            </w:pPr>
            <w:r>
              <w:t>Privacy and AI controls</w:t>
            </w:r>
          </w:p>
        </w:tc>
        <w:tc>
          <w:tcPr>
            <w:tcW w:w="1881" w:type="dxa"/>
            <w:vAlign w:val="center"/>
          </w:tcPr>
          <w:p w14:paraId="0074756A" w14:textId="77777777" w:rsidR="00484A8B" w:rsidRDefault="00000000">
            <w:pPr>
              <w:spacing w:after="20"/>
              <w:jc w:val="left"/>
            </w:pPr>
            <w:r>
              <w:t>Project sponsor</w:t>
            </w:r>
          </w:p>
        </w:tc>
        <w:tc>
          <w:tcPr>
            <w:tcW w:w="1881" w:type="dxa"/>
            <w:vAlign w:val="center"/>
          </w:tcPr>
          <w:p w14:paraId="0EC9102B" w14:textId="77777777" w:rsidR="00484A8B" w:rsidRDefault="00000000">
            <w:pPr>
              <w:spacing w:after="20"/>
              <w:jc w:val="left"/>
            </w:pPr>
            <w:r>
              <w:t>Legal/privacy/cyber</w:t>
            </w:r>
          </w:p>
        </w:tc>
        <w:tc>
          <w:tcPr>
            <w:tcW w:w="1881" w:type="dxa"/>
            <w:vAlign w:val="center"/>
          </w:tcPr>
          <w:p w14:paraId="527DFEFD" w14:textId="77777777" w:rsidR="00484A8B" w:rsidRDefault="00000000">
            <w:pPr>
              <w:spacing w:after="20"/>
              <w:jc w:val="left"/>
            </w:pPr>
            <w:r>
              <w:t>Digital/data; regulators where needed</w:t>
            </w:r>
          </w:p>
        </w:tc>
        <w:tc>
          <w:tcPr>
            <w:tcW w:w="1881" w:type="dxa"/>
            <w:vAlign w:val="center"/>
          </w:tcPr>
          <w:p w14:paraId="46AC0C2F" w14:textId="77777777" w:rsidR="00484A8B" w:rsidRDefault="00000000">
            <w:pPr>
              <w:spacing w:after="20"/>
              <w:jc w:val="left"/>
            </w:pPr>
            <w:r>
              <w:t>Marketing; regional teams</w:t>
            </w:r>
          </w:p>
        </w:tc>
      </w:tr>
      <w:tr w:rsidR="00484A8B" w14:paraId="67024E14" w14:textId="77777777">
        <w:trPr>
          <w:cantSplit/>
          <w:jc w:val="center"/>
        </w:trPr>
        <w:tc>
          <w:tcPr>
            <w:tcW w:w="1881" w:type="dxa"/>
            <w:vAlign w:val="center"/>
          </w:tcPr>
          <w:p w14:paraId="5C49F622" w14:textId="77777777" w:rsidR="00484A8B" w:rsidRDefault="00000000">
            <w:pPr>
              <w:spacing w:after="20"/>
              <w:jc w:val="left"/>
            </w:pPr>
            <w:r>
              <w:t>Pilot readiness</w:t>
            </w:r>
          </w:p>
        </w:tc>
        <w:tc>
          <w:tcPr>
            <w:tcW w:w="1881" w:type="dxa"/>
            <w:vAlign w:val="center"/>
          </w:tcPr>
          <w:p w14:paraId="1C7465FF" w14:textId="77777777" w:rsidR="00484A8B" w:rsidRDefault="00000000">
            <w:pPr>
              <w:spacing w:after="20"/>
              <w:jc w:val="left"/>
            </w:pPr>
            <w:r>
              <w:t>Regional leader</w:t>
            </w:r>
          </w:p>
        </w:tc>
        <w:tc>
          <w:tcPr>
            <w:tcW w:w="1881" w:type="dxa"/>
            <w:vAlign w:val="center"/>
          </w:tcPr>
          <w:p w14:paraId="3879B3D7" w14:textId="77777777" w:rsidR="00484A8B" w:rsidRDefault="00000000">
            <w:pPr>
              <w:spacing w:after="20"/>
              <w:jc w:val="left"/>
            </w:pPr>
            <w:r>
              <w:t>Retail operations</w:t>
            </w:r>
          </w:p>
        </w:tc>
        <w:tc>
          <w:tcPr>
            <w:tcW w:w="1881" w:type="dxa"/>
            <w:vAlign w:val="center"/>
          </w:tcPr>
          <w:p w14:paraId="2FF50E88" w14:textId="77777777" w:rsidR="00484A8B" w:rsidRDefault="00000000">
            <w:pPr>
              <w:spacing w:after="20"/>
              <w:jc w:val="left"/>
            </w:pPr>
            <w:r>
              <w:t>Project Manager; store colleagues; customer service</w:t>
            </w:r>
          </w:p>
        </w:tc>
        <w:tc>
          <w:tcPr>
            <w:tcW w:w="1881" w:type="dxa"/>
            <w:vAlign w:val="center"/>
          </w:tcPr>
          <w:p w14:paraId="673B3F8F" w14:textId="77777777" w:rsidR="00484A8B" w:rsidRDefault="00000000">
            <w:pPr>
              <w:spacing w:after="20"/>
              <w:jc w:val="left"/>
            </w:pPr>
            <w:r>
              <w:t>Executive sponsor</w:t>
            </w:r>
          </w:p>
        </w:tc>
      </w:tr>
      <w:tr w:rsidR="00484A8B" w14:paraId="23ECDECC" w14:textId="77777777">
        <w:trPr>
          <w:cantSplit/>
          <w:jc w:val="center"/>
        </w:trPr>
        <w:tc>
          <w:tcPr>
            <w:tcW w:w="1881" w:type="dxa"/>
            <w:vAlign w:val="center"/>
          </w:tcPr>
          <w:p w14:paraId="5E7A3C24" w14:textId="77777777" w:rsidR="00484A8B" w:rsidRDefault="00000000">
            <w:pPr>
              <w:spacing w:after="20"/>
              <w:jc w:val="left"/>
            </w:pPr>
            <w:r>
              <w:t>Launch communication</w:t>
            </w:r>
          </w:p>
        </w:tc>
        <w:tc>
          <w:tcPr>
            <w:tcW w:w="1881" w:type="dxa"/>
            <w:vAlign w:val="center"/>
          </w:tcPr>
          <w:p w14:paraId="126219FB" w14:textId="77777777" w:rsidR="00484A8B" w:rsidRDefault="00000000">
            <w:pPr>
              <w:spacing w:after="20"/>
              <w:jc w:val="left"/>
            </w:pPr>
            <w:r>
              <w:t>Marketing lead</w:t>
            </w:r>
          </w:p>
        </w:tc>
        <w:tc>
          <w:tcPr>
            <w:tcW w:w="1881" w:type="dxa"/>
            <w:vAlign w:val="center"/>
          </w:tcPr>
          <w:p w14:paraId="588B710C" w14:textId="77777777" w:rsidR="00484A8B" w:rsidRDefault="00000000">
            <w:pPr>
              <w:spacing w:after="20"/>
              <w:jc w:val="left"/>
            </w:pPr>
            <w:r>
              <w:t>Marketing/customer team</w:t>
            </w:r>
          </w:p>
        </w:tc>
        <w:tc>
          <w:tcPr>
            <w:tcW w:w="1881" w:type="dxa"/>
            <w:vAlign w:val="center"/>
          </w:tcPr>
          <w:p w14:paraId="787CC268" w14:textId="77777777" w:rsidR="00484A8B" w:rsidRDefault="00000000">
            <w:pPr>
              <w:spacing w:after="20"/>
              <w:jc w:val="left"/>
            </w:pPr>
            <w:r>
              <w:t>Legal; regions; brand partners</w:t>
            </w:r>
          </w:p>
        </w:tc>
        <w:tc>
          <w:tcPr>
            <w:tcW w:w="1881" w:type="dxa"/>
            <w:vAlign w:val="center"/>
          </w:tcPr>
          <w:p w14:paraId="653B02F2" w14:textId="77777777" w:rsidR="00484A8B" w:rsidRDefault="00000000">
            <w:pPr>
              <w:spacing w:after="20"/>
              <w:jc w:val="left"/>
            </w:pPr>
            <w:r>
              <w:t>Stores; customers</w:t>
            </w:r>
          </w:p>
        </w:tc>
      </w:tr>
      <w:tr w:rsidR="00484A8B" w14:paraId="3224789D" w14:textId="77777777">
        <w:trPr>
          <w:cantSplit/>
          <w:jc w:val="center"/>
        </w:trPr>
        <w:tc>
          <w:tcPr>
            <w:tcW w:w="1881" w:type="dxa"/>
            <w:vAlign w:val="center"/>
          </w:tcPr>
          <w:p w14:paraId="512C0CA1" w14:textId="77777777" w:rsidR="00484A8B" w:rsidRDefault="00000000">
            <w:pPr>
              <w:spacing w:after="20"/>
              <w:jc w:val="left"/>
            </w:pPr>
            <w:r>
              <w:t>Post-launch review</w:t>
            </w:r>
          </w:p>
        </w:tc>
        <w:tc>
          <w:tcPr>
            <w:tcW w:w="1881" w:type="dxa"/>
            <w:vAlign w:val="center"/>
          </w:tcPr>
          <w:p w14:paraId="21ED5222" w14:textId="77777777" w:rsidR="00484A8B" w:rsidRDefault="00000000">
            <w:pPr>
              <w:spacing w:after="20"/>
              <w:jc w:val="left"/>
            </w:pPr>
            <w:r>
              <w:t>Project Manager</w:t>
            </w:r>
          </w:p>
        </w:tc>
        <w:tc>
          <w:tcPr>
            <w:tcW w:w="1881" w:type="dxa"/>
            <w:vAlign w:val="center"/>
          </w:tcPr>
          <w:p w14:paraId="2874AD6E" w14:textId="77777777" w:rsidR="00484A8B" w:rsidRDefault="00000000">
            <w:pPr>
              <w:spacing w:after="20"/>
              <w:jc w:val="left"/>
            </w:pPr>
            <w:r>
              <w:t>Data/customer insight teams</w:t>
            </w:r>
          </w:p>
        </w:tc>
        <w:tc>
          <w:tcPr>
            <w:tcW w:w="1881" w:type="dxa"/>
            <w:vAlign w:val="center"/>
          </w:tcPr>
          <w:p w14:paraId="1F2E2EF4" w14:textId="77777777" w:rsidR="00484A8B" w:rsidRDefault="00000000">
            <w:pPr>
              <w:spacing w:after="20"/>
              <w:jc w:val="left"/>
            </w:pPr>
            <w:r>
              <w:t>Regions; store teams; customers</w:t>
            </w:r>
          </w:p>
        </w:tc>
        <w:tc>
          <w:tcPr>
            <w:tcW w:w="1881" w:type="dxa"/>
            <w:vAlign w:val="center"/>
          </w:tcPr>
          <w:p w14:paraId="49CBFFE3" w14:textId="77777777" w:rsidR="00484A8B" w:rsidRDefault="00000000">
            <w:pPr>
              <w:spacing w:after="20"/>
              <w:jc w:val="left"/>
            </w:pPr>
            <w:r>
              <w:t>Board; partners</w:t>
            </w:r>
          </w:p>
        </w:tc>
      </w:tr>
    </w:tbl>
    <w:p w14:paraId="3C33EE03" w14:textId="77777777" w:rsidR="00484A8B" w:rsidRDefault="00484A8B"/>
    <w:p w14:paraId="2F3EADCD" w14:textId="77777777" w:rsidR="00484A8B" w:rsidRDefault="00000000">
      <w:r>
        <w:t>A communication plan should sit alongside RACI. High-priority internal stakeholders should have weekly or fortnightly contact, while Board reporting can be monthly and linked to project gates. Customers can be engaged through research panels, usability testing, surveys and pilot feedback. Store colleagues can use briefings and manager huddles, while external partners need action logs and clear escalation routes. Timing should reflect local working patterns rather than assume UK office hours suit every market.</w:t>
      </w:r>
    </w:p>
    <w:p w14:paraId="129E5A9B" w14:textId="77777777" w:rsidR="00484A8B" w:rsidRDefault="00000000">
      <w:r>
        <w:lastRenderedPageBreak/>
        <w:t>Trust sits at the centre of the process. Ninan et al. (2023) found that trust can improve cooperation and long-term relationships. Lumineau et al. (2023) also argue that digital change increases the importance of trust in systems, developers and data holders. ConnectPlus customers must trust JD to use their information fairly. Employees also need enough information and support to answer customer questions confidently.</w:t>
      </w:r>
    </w:p>
    <w:p w14:paraId="193344ED" w14:textId="77777777" w:rsidR="00CA346E" w:rsidRDefault="00CA346E">
      <w:r>
        <w:t xml:space="preserve">Conflict is inevitable because stakeholders do not want the same things. A common tension is </w:t>
      </w:r>
      <w:proofErr w:type="spellStart"/>
      <w:r>
        <w:t>personalisation</w:t>
      </w:r>
      <w:proofErr w:type="spellEnd"/>
      <w:r>
        <w:t xml:space="preserve"> versus privacy. Marketing and data teams often want richer profiles to improve recommendations, while legal teams, regulators and many customers prefer a lighter approach. The Project Manager should avoid framing this as “one side wins”. A more practical approach is agreeing on the minimum data needed for meaningful </w:t>
      </w:r>
      <w:proofErr w:type="spellStart"/>
      <w:r>
        <w:t>personalisation</w:t>
      </w:r>
      <w:proofErr w:type="spellEnd"/>
      <w:r>
        <w:t xml:space="preserve"> and checking whether similar results can be achieved with less. That way, customer interests stay protected without losing the commercial goal.</w:t>
      </w:r>
    </w:p>
    <w:p w14:paraId="7ACAA111" w14:textId="17B86CD1" w:rsidR="00484A8B" w:rsidRDefault="00CA346E">
      <w:r>
        <w:t xml:space="preserve"> A second conflict is global consistency versus local adaptation. Senior teams may prefer one ConnectPlus model because it is cheaper and easier to manage. Regional managers may argue that rewards, language, consent and customer expectations need local changes. Aaltonen and Kujala (2016) show that stakeholder settings are affected by institutional context. A reasonable response is a global core with controlled local variation. Core security, brand and data principles should remain consistent, while customer-facing features can be adapted where evidence shows market need.</w:t>
      </w:r>
    </w:p>
    <w:p w14:paraId="4A91F6F2" w14:textId="77777777" w:rsidR="00484A8B" w:rsidRDefault="00000000">
      <w:r>
        <w:t>Launch speed creates a third possible conflict. Commercial teams may want to meet the six-month date, while technology or cyber security teams may request more testing. The Project Manager should use risk-based decision-making. Issues affecting customer safety, data protection or system security should not be traded away just to protect a date. Lower-risk design improvements can move into later releases. This keeps urgency without creating false pressure.</w:t>
      </w:r>
    </w:p>
    <w:p w14:paraId="5CBB7FCC" w14:textId="77777777" w:rsidR="00484A8B" w:rsidRDefault="00000000">
      <w:r>
        <w:t>Brand partners may also disagree about visibility, reward design or access to customer insight. JD should set agreed data-sharing rules and clear commercial boundaries from the start. A partner should not receive customer information simply because it has strong commercial power. Mitchell et al. (1997) are useful here because power alone should not decide every outcome; legitimacy and urgency also matter.</w:t>
      </w:r>
    </w:p>
    <w:p w14:paraId="2022A5CE" w14:textId="77777777" w:rsidR="00484A8B" w:rsidRDefault="00000000">
      <w:r>
        <w:t xml:space="preserve">When conflict appears, the Project Manager should clarify the issue, separate stated positions from underlying interests and use evidence where possible. A short decision paper can record options, stakeholder views, risks, cost and final reasoning. If agreement cannot be reached, the </w:t>
      </w:r>
      <w:r>
        <w:lastRenderedPageBreak/>
        <w:t>issue should follow a clear escalation route to the project sponsor or steering group rather than being decided by the loudest voice.</w:t>
      </w:r>
    </w:p>
    <w:p w14:paraId="6C3F8A81" w14:textId="77777777" w:rsidR="00484A8B" w:rsidRDefault="00000000">
      <w:r>
        <w:t>Engagement should also be monitored. Useful measures include participation in key workshops, time to close stakeholder actions, unresolved high-risk concerns, customer testing scores, colleague readiness, regional sign-off and stakeholder sentiment. Billiet et al. (2025) note that engagement can be costly, so not everyone should be involved in every decision. Deeper engagement is needed where a stakeholder can improve the decision, carries important risk or will be strongly affected.</w:t>
      </w:r>
    </w:p>
    <w:p w14:paraId="5CB15951" w14:textId="77777777" w:rsidR="00484A8B" w:rsidRDefault="00000000">
      <w:r>
        <w:t>Cultural awareness should be built into the process. JD operates across many countries, so customer expectations, communication styles and attitudes to data may differ. Local teams should help interpret these differences instead of relying on broad stereotypes. Clear English may be the project language, but important customer and colleague material should be adapted and tested locally so ConnectPlus works in practice.</w:t>
      </w:r>
    </w:p>
    <w:p w14:paraId="1ABC6C58" w14:textId="77777777" w:rsidR="00484A8B" w:rsidRDefault="00000000">
      <w:pPr>
        <w:pStyle w:val="Heading1"/>
      </w:pPr>
      <w:r>
        <w:t>6. Impact of Sustainable Stakeholder Engagement on Business Performance</w:t>
      </w:r>
    </w:p>
    <w:p w14:paraId="49951F5F" w14:textId="77777777" w:rsidR="00484A8B" w:rsidRDefault="00000000">
      <w:r>
        <w:t>Sustainable stakeholder engagement means maintaining useful relationships over time, rather than contacting people only when approval is needed. For ConnectPlus, the clearest benefit is likely to be better adoption. If customers, store colleagues and regional teams are involved before launch, the platform is more likely to solve real problems and avoid confusion. Christopher et al. (2013) link relationship marketing with stakeholder value, which is relevant because loyalty depends on more than short-term discounts.</w:t>
      </w:r>
    </w:p>
    <w:p w14:paraId="78E14A36" w14:textId="77777777" w:rsidR="00484A8B" w:rsidRDefault="00000000">
      <w:r>
        <w:t>Customer engagement can also improve data quality. ConnectPlus depends on customer insight, but large amounts of data are not automatically useful. Customers who understand the benefit and trust how their information is handled may be more willing to keep preferences accurate. JD reports that JD STATUS members create higher customer value in the UK and account for a significant share of sales in parts of the US business (JD Sports Fashion plc, 2026b). ConnectPlus could build on this only if customers see a fair exchange between the data provided and value received.</w:t>
      </w:r>
    </w:p>
    <w:p w14:paraId="75E8FD7D" w14:textId="77777777" w:rsidR="00484A8B" w:rsidRDefault="00000000">
      <w:r>
        <w:t>Good engagement can also improve innovation. Haefner et al. (2023) show that stakeholder management and innovation can support performance differently depending on context. Store colleagues may spot practical problems that a central digital team misses, customers may suggest useful features, and partners can add specialist knowledge. Not every idea needs to be accepted. The benefit is better evidence for decisions.</w:t>
      </w:r>
    </w:p>
    <w:p w14:paraId="065198A1" w14:textId="77777777" w:rsidR="00484A8B" w:rsidRDefault="00000000">
      <w:r>
        <w:lastRenderedPageBreak/>
        <w:t>Early involvement of cyber security, legal, privacy and regional teams can reduce risk by identifying problems before they become expensive. JD is already expanding its use of AI and has announced AI-enabled purchasing through external platforms in the United States (JD Sports Fashion plc, 2026d). ConnectPlus would add another layer of data use, making trust and governance directly relevant to reputation.</w:t>
      </w:r>
    </w:p>
    <w:p w14:paraId="0359017A" w14:textId="77777777" w:rsidR="00484A8B" w:rsidRDefault="00000000">
      <w:r>
        <w:t>The ethical issues are significant. AI recommendations can produce bias if data or design leads to unfair outcomes. Personalisation can feel intrusive when customers do not understand why they see an offer. Stahl et al. (2022) found that organisations are increasingly aware of AI ethics, but practical responses can still be narrower than risks discussed in research. ConnectPlus should use clear consent, data minimisation, human oversight and regular testing for unfair patterns. Customers should also be able to change preferences and opt out of personalisation without losing basic access to the loyalty programme.</w:t>
      </w:r>
    </w:p>
    <w:p w14:paraId="089A6683" w14:textId="77777777" w:rsidR="00484A8B" w:rsidRDefault="00000000">
      <w:r>
        <w:t>Privacy is not the only issue. Digital exclusion must also be considered. Some customers may not want to use an app or may have accessibility needs. A loyalty strategy rewarding only highly connected customers could feel unfair. Regional differences also matter because legal requirements and expectations around data can vary. Stahl (2021) argues that ethical questions around AI should be considered as part of a wider digital ecosystem, not only a technical problem. This supports involving customers, employees, regulators and suppliers in governance rather than leaving ethical decisions only to developers.</w:t>
      </w:r>
    </w:p>
    <w:p w14:paraId="265B641E" w14:textId="77777777" w:rsidR="00484A8B" w:rsidRDefault="00000000">
      <w:r>
        <w:t>Strong engagement may also support reputation and brand differentiation. JD’s strategy is built around global growth, digital experiences and relationships with people, partners and communities (JD Sports Fashion plc, 2026a; 2026c). A useful, transparent and locally relevant platform could strengthen this position. Bal et al. (2023) show that collaborative value creation includes relational and sustainability value as well as economic benefits. Loyalty, employee confidence and partner trust can support performance over time.</w:t>
      </w:r>
    </w:p>
    <w:p w14:paraId="1B1C930A" w14:textId="77777777" w:rsidR="00484A8B" w:rsidRDefault="00000000">
      <w:r>
        <w:t>There are limits, though. Stakeholder engagement takes time, staff and money. Billiet et al. (2025) argue that engagement creates costs, and involving too many groups in every issue can slow decisions. He and Chittoor (2023) also show that stakeholder management does not always produce the same financial benefit under every competitive strategy. For ConnectPlus, the Project Manager should avoid “engagement for engagement’s sake”. A small design decision does not require Board consultation, while a change to customer consent clearly requires specialist and stakeholder input.</w:t>
      </w:r>
    </w:p>
    <w:p w14:paraId="3241ACB1" w14:textId="77777777" w:rsidR="00484A8B" w:rsidRDefault="00000000">
      <w:r>
        <w:lastRenderedPageBreak/>
        <w:t>Another risk is that engagement becomes dominated by powerful groups. Major commercial partners may have easier access to senior decision-makers than customers or store colleagues. A good process should protect legitimate voices even when they hold less formal power. This is one reason to use both salience and power-interest analysis and record whose views were considered in major decisions.</w:t>
      </w:r>
    </w:p>
    <w:p w14:paraId="1C8AD5C6" w14:textId="77777777" w:rsidR="00484A8B" w:rsidRDefault="00000000">
      <w:r>
        <w:t>Taken together, sustainable engagement should be treated as an investment in project quality and long-term relationships, not a public-relations exercise. Likely gains include stronger adoption, better customer insight, fewer late changes, lower regulatory and reputational risk, better employee readiness and more useful innovation. The challenge is gaining these benefits without making the project too slow or complex. Engagement should therefore be targeted, transparent and linked to clear decision rights.</w:t>
      </w:r>
    </w:p>
    <w:p w14:paraId="1537CDBF" w14:textId="77777777" w:rsidR="00484A8B" w:rsidRDefault="00000000">
      <w:pPr>
        <w:pStyle w:val="Heading1"/>
      </w:pPr>
      <w:r>
        <w:t>7. Recommendations and Conclusion</w:t>
      </w:r>
    </w:p>
    <w:p w14:paraId="18DCD070" w14:textId="77777777" w:rsidR="00484A8B" w:rsidRDefault="00000000">
      <w:r>
        <w:t>ConnectPlus should move forward with a stakeholder approach that is selective but genuine. First, JD should create a live stakeholder register and review power-interest and salience assessments at each major project gate. This helps the team respond when influence, urgency or stakeholder attitudes change.</w:t>
      </w:r>
    </w:p>
    <w:p w14:paraId="6A350711" w14:textId="77777777" w:rsidR="00484A8B" w:rsidRDefault="00000000">
      <w:r>
        <w:t>Second, a cross-functional steering group should bring together digital, data, marketing, customer service, legal, privacy, cyber security and regional leaders. Major brand and technology partners should join when their input is needed, while customers and store colleagues should be involved through testing and structured consultation.</w:t>
      </w:r>
    </w:p>
    <w:p w14:paraId="0F5D01BA" w14:textId="77777777" w:rsidR="00484A8B" w:rsidRDefault="00000000">
      <w:r>
        <w:t>Third, ethical AI and privacy controls should be built into the design rather than added before launch. Clear consent, data minimisation, bias testing, accessibility and customer control over preferences should be treated as launch requirements.</w:t>
      </w:r>
    </w:p>
    <w:p w14:paraId="7E17FB48" w14:textId="77777777" w:rsidR="00484A8B" w:rsidRDefault="00000000">
      <w:r>
        <w:t>Fourth, JD should use a global core with controlled local adaptation. Security, brand and data principles should remain consistent, while regional teams should be able to adjust language, rewards and customer journeys where there is a clear market reason.</w:t>
      </w:r>
    </w:p>
    <w:p w14:paraId="790FFAA1" w14:textId="77777777" w:rsidR="00484A8B" w:rsidRDefault="00000000">
      <w:r>
        <w:t>Finally, engagement should be measured through action closure, stakeholder readiness, testing results, unresolved risks and customer feedback, not simply by counting meetings. A short post-launch review should compare results across markets and record what should change before wider rollout.</w:t>
      </w:r>
    </w:p>
    <w:p w14:paraId="750EEDE4" w14:textId="77777777" w:rsidR="00484A8B" w:rsidRDefault="00000000">
      <w:r>
        <w:t xml:space="preserve">In conclusion, ConnectPlus fits JD’s wider move towards loyalty, data, AI and omni-channel retail. Its success would depend on more than technical delivery. The project needs trusted </w:t>
      </w:r>
      <w:r>
        <w:lastRenderedPageBreak/>
        <w:t>relationships with the people who fund, build, regulate, support and use the platform. Effective stakeholder engagement can improve decision quality, adoption, innovation and long-term performance, but it still needs to remain practical. The Project Manager must balance speed with listening, global consistency with local knowledge, and commercial value with fair use of customer data. Getting that balance right is more likely to create a platform that stakeholders accept and JD can develop safely.</w:t>
      </w:r>
    </w:p>
    <w:p w14:paraId="58C94A53" w14:textId="77777777" w:rsidR="00484A8B" w:rsidRDefault="00000000">
      <w:pPr>
        <w:pStyle w:val="Heading1"/>
      </w:pPr>
      <w:r>
        <w:t>Reference List</w:t>
      </w:r>
    </w:p>
    <w:p w14:paraId="3D352DCA" w14:textId="0A3D16CB" w:rsidR="00484A8B" w:rsidRDefault="00000000">
      <w:pPr>
        <w:ind w:left="360" w:hanging="360"/>
        <w:jc w:val="left"/>
      </w:pPr>
      <w:r>
        <w:t>Aaltonen, K. and Kujala, J. (2016) ‘Towards an improved understanding of project stakeholder landscapes’, International Journal of Project Management, 34(8), pp. 1537–1552.</w:t>
      </w:r>
    </w:p>
    <w:p w14:paraId="3C2A7DD8" w14:textId="4AF3432F" w:rsidR="00484A8B" w:rsidRDefault="00000000">
      <w:pPr>
        <w:ind w:left="360" w:hanging="360"/>
        <w:jc w:val="left"/>
      </w:pPr>
      <w:r>
        <w:t xml:space="preserve">Ashcroft, J., Childs, R., Myers, A. and Schluter, M. (2017) The Relational Lens: Understanding, Measuring and Managing Stakeholder Relationships. Cambridge: Cambridge University Press. </w:t>
      </w:r>
    </w:p>
    <w:p w14:paraId="452A8AAE" w14:textId="31B82F50" w:rsidR="00484A8B" w:rsidRDefault="00000000">
      <w:pPr>
        <w:ind w:left="360" w:hanging="360"/>
        <w:jc w:val="left"/>
      </w:pPr>
      <w:r>
        <w:t xml:space="preserve">Bal, A.S., Käpylä, J., Li, H. and Helander, N. (2023) ‘Collaborative value co-creation from a stakeholder perspective: a literature review’, Journal of Creating Value, 9(2), pp. 259–274. </w:t>
      </w:r>
    </w:p>
    <w:p w14:paraId="0C170C6E" w14:textId="567D74D5" w:rsidR="00484A8B" w:rsidRDefault="00000000">
      <w:pPr>
        <w:ind w:left="360" w:hanging="360"/>
        <w:jc w:val="left"/>
      </w:pPr>
      <w:r>
        <w:t xml:space="preserve">Billiet, A., Bruneel, J. and Dufays, F. (2025) ‘Exit, voice, or both: why </w:t>
      </w:r>
      <w:proofErr w:type="spellStart"/>
      <w:r w:rsidR="00802EDE">
        <w:t>organizaciones</w:t>
      </w:r>
      <w:proofErr w:type="spellEnd"/>
      <w:r w:rsidR="00802EDE">
        <w:t xml:space="preserve"> </w:t>
      </w:r>
      <w:r>
        <w:t xml:space="preserve"> engage with stakeholders’, Business &amp; Society, 64(6), pp. 1149–1184.  </w:t>
      </w:r>
    </w:p>
    <w:p w14:paraId="6B449BEB" w14:textId="77777777" w:rsidR="00484A8B" w:rsidRDefault="00000000">
      <w:pPr>
        <w:ind w:left="360" w:hanging="360"/>
        <w:jc w:val="left"/>
      </w:pPr>
      <w:r>
        <w:t>Christopher, M., Payne, A. and Ballantyne, D. (2013) Relationship Marketing: Creating Stakeholder Value. London: Routledge.</w:t>
      </w:r>
    </w:p>
    <w:p w14:paraId="421E7CE8" w14:textId="6F02E42D" w:rsidR="00484A8B" w:rsidRDefault="00000000">
      <w:pPr>
        <w:ind w:left="360" w:hanging="360"/>
        <w:jc w:val="left"/>
      </w:pPr>
      <w:r>
        <w:t xml:space="preserve">Eskerod, P., Huemann, M. and Savage, G. (2015) ‘Project stakeholder management: past and present’, Project Management Journal, 46(6), pp. 6–14. </w:t>
      </w:r>
    </w:p>
    <w:p w14:paraId="26AAB7E9" w14:textId="77777777" w:rsidR="00484A8B" w:rsidRDefault="00000000">
      <w:pPr>
        <w:ind w:left="360" w:hanging="360"/>
        <w:jc w:val="left"/>
      </w:pPr>
      <w:r>
        <w:t>Freeman, R.E., Harrison, J.S., Wicks, A.C., Parmar, B.L. and de Colle, S. (2010) Stakeholder Theory: The State of the Art. Cambridge: Cambridge University Press.</w:t>
      </w:r>
    </w:p>
    <w:p w14:paraId="7E5E2122" w14:textId="758EEC8B" w:rsidR="00484A8B" w:rsidRDefault="00000000">
      <w:pPr>
        <w:ind w:left="360" w:hanging="360"/>
        <w:jc w:val="left"/>
      </w:pPr>
      <w:r>
        <w:t xml:space="preserve">Freeman, R.E., Harrison, J.S. and Zyglidopoulos, S. (2018) Stakeholder Theory. Cambridge: Cambridge University Press. </w:t>
      </w:r>
    </w:p>
    <w:p w14:paraId="7C2A1E18" w14:textId="243444E5" w:rsidR="00484A8B" w:rsidRDefault="00000000">
      <w:pPr>
        <w:ind w:left="360" w:hanging="360"/>
        <w:jc w:val="left"/>
      </w:pPr>
      <w:r>
        <w:t xml:space="preserve">Haefner, N., Palmié, M. and Leppänen, P.T. (2023) ‘With(out) a little help from my friends? Reconciling incongruous findings on stakeholder management, innovation, and firm performance’, Entrepreneurship Theory and Practice, 47(1), pp. 142–171. </w:t>
      </w:r>
    </w:p>
    <w:p w14:paraId="76D16B96" w14:textId="69FD6BF2" w:rsidR="00484A8B" w:rsidRDefault="00000000">
      <w:pPr>
        <w:ind w:left="360" w:hanging="360"/>
        <w:jc w:val="left"/>
      </w:pPr>
      <w:r>
        <w:t xml:space="preserve">He, Y. and Chittoor, R. (2023) ‘When does it (not) pay to be good? Interplay between stakeholder and competitive strategies’, Journal of Management, 49(7), pp. 2490–2522. </w:t>
      </w:r>
    </w:p>
    <w:p w14:paraId="5B1956D9" w14:textId="05EC0A11" w:rsidR="00484A8B" w:rsidRDefault="00000000">
      <w:pPr>
        <w:ind w:left="360" w:hanging="360"/>
        <w:jc w:val="left"/>
      </w:pPr>
      <w:r>
        <w:t xml:space="preserve">Kujala, J., Sachs, S., Leinonen, H., Heikkinen, A. and Laude, D. (2022) ‘Stakeholder engagement: past, present, and future’, Business &amp; Society, 61(5), pp. 1136–1196. </w:t>
      </w:r>
    </w:p>
    <w:p w14:paraId="76259852" w14:textId="43EEF8F0" w:rsidR="00484A8B" w:rsidRDefault="00000000">
      <w:pPr>
        <w:ind w:left="360" w:hanging="360"/>
        <w:jc w:val="left"/>
      </w:pPr>
      <w:r>
        <w:lastRenderedPageBreak/>
        <w:t xml:space="preserve">Lumineau, F., Schilke, O. and Wang, W. (2023) ‘Organizational trust in the age of the Fourth Industrial Revolution: shifts in the form, production, and targets of trust’, Journal of Management Inquiry, 32(1), pp. 21–34. </w:t>
      </w:r>
    </w:p>
    <w:p w14:paraId="1B518BA9" w14:textId="020B5C89" w:rsidR="00484A8B" w:rsidRDefault="00000000">
      <w:pPr>
        <w:ind w:left="360" w:hanging="360"/>
        <w:jc w:val="left"/>
      </w:pPr>
      <w:r>
        <w:t xml:space="preserve">Mitchell, R.K., Agle, B.R. and Wood, D.J. (1997) ‘Toward a theory of stakeholder identification and salience: defining the principle of who and what really counts’, Academy of Management Review, 22(4), pp. 853–886. </w:t>
      </w:r>
    </w:p>
    <w:p w14:paraId="22678E44" w14:textId="47DDA5D4" w:rsidR="00484A8B" w:rsidRDefault="00000000">
      <w:pPr>
        <w:ind w:left="360" w:hanging="360"/>
        <w:jc w:val="left"/>
      </w:pPr>
      <w:r>
        <w:t xml:space="preserve">Ninan, J., Clegg, S., Mahalingam, A. and Sankaran, S. (2023) ‘Governance through trust: community engagement in an Australian city rebuilding precinct’, Project Management Journal, 55(1), pp. 16–30. </w:t>
      </w:r>
    </w:p>
    <w:p w14:paraId="79C97F32" w14:textId="1F4A318B" w:rsidR="00484A8B" w:rsidRDefault="00000000">
      <w:pPr>
        <w:ind w:left="360" w:hanging="360"/>
        <w:jc w:val="left"/>
      </w:pPr>
      <w:r>
        <w:t xml:space="preserve">Olander, S. (2007) ‘Stakeholder impact analysis in construction project management’, Construction Management and Economics, 25(3), pp. 277–287. </w:t>
      </w:r>
    </w:p>
    <w:p w14:paraId="42219FB8" w14:textId="1FDB92FA" w:rsidR="00484A8B" w:rsidRDefault="00000000">
      <w:pPr>
        <w:ind w:left="360" w:hanging="360"/>
        <w:jc w:val="left"/>
      </w:pPr>
      <w:r>
        <w:t xml:space="preserve">Shah, M.U. and Guild, P.D. (2022) ‘Stakeholder engagement strategy of technology firms: a review and applied view of stakeholder theory’, Technovation, 114, 102460. </w:t>
      </w:r>
    </w:p>
    <w:p w14:paraId="1EF927BE" w14:textId="6A84EE72" w:rsidR="00484A8B" w:rsidRDefault="00000000">
      <w:pPr>
        <w:ind w:left="360" w:hanging="360"/>
        <w:jc w:val="left"/>
      </w:pPr>
      <w:r>
        <w:t xml:space="preserve">Stahl, B.C. (2021) Artificial Intelligence for a Better Future: An Ecosystem Perspective on the Ethics of AI and Emerging Digital Technologies. Cham: Springer. </w:t>
      </w:r>
    </w:p>
    <w:p w14:paraId="57766BF4" w14:textId="3D0F43C0" w:rsidR="00484A8B" w:rsidRDefault="00000000">
      <w:pPr>
        <w:ind w:left="360" w:hanging="360"/>
        <w:jc w:val="left"/>
      </w:pPr>
      <w:r>
        <w:t xml:space="preserve">Stahl, B.C., Antoniou, J., Ryan, M., Macnish, K. and Jiya, T. (2022) ‘Organisational responses to the ethical issues of artificial intelligence’, AI &amp; Society, 37(1), pp. 23–37. </w:t>
      </w:r>
    </w:p>
    <w:p w14:paraId="751857DD" w14:textId="77777777" w:rsidR="00484A8B" w:rsidRDefault="00000000">
      <w:pPr>
        <w:ind w:left="360" w:hanging="360"/>
        <w:jc w:val="left"/>
      </w:pPr>
      <w:r>
        <w:t xml:space="preserve">JD Sports Fashion plc (2026a) JD Sports Fashion – Investor Relations and Strategy. Available at: </w:t>
      </w:r>
      <w:hyperlink r:id="rId9">
        <w:r w:rsidR="00484A8B">
          <w:rPr>
            <w:color w:val="0563C1"/>
            <w:u w:val="single"/>
          </w:rPr>
          <w:t>https://www.jdplc.com/</w:t>
        </w:r>
      </w:hyperlink>
      <w:r>
        <w:t xml:space="preserve"> (Accessed: 9 August 2026).</w:t>
      </w:r>
    </w:p>
    <w:p w14:paraId="41EFAC86" w14:textId="77777777" w:rsidR="00484A8B" w:rsidRDefault="00000000">
      <w:pPr>
        <w:ind w:left="360" w:hanging="360"/>
        <w:jc w:val="left"/>
      </w:pPr>
      <w:r>
        <w:t xml:space="preserve">JD Sports Fashion plc (2026b) Beyond Physical Retail. Available at: </w:t>
      </w:r>
      <w:hyperlink r:id="rId10">
        <w:r w:rsidR="00484A8B">
          <w:rPr>
            <w:color w:val="0563C1"/>
            <w:u w:val="single"/>
          </w:rPr>
          <w:t>https://www.jdplc.com/about-jd-group/strategy/beyond-physical-retail/</w:t>
        </w:r>
      </w:hyperlink>
      <w:r>
        <w:t xml:space="preserve"> (Accessed: 9 August 2026).</w:t>
      </w:r>
    </w:p>
    <w:p w14:paraId="22BA789B" w14:textId="77777777" w:rsidR="00484A8B" w:rsidRDefault="00000000">
      <w:pPr>
        <w:ind w:left="360" w:hanging="360"/>
        <w:jc w:val="left"/>
      </w:pPr>
      <w:r>
        <w:t xml:space="preserve">JD Sports Fashion plc (2026c) JD Group publishes 2026 Global Impact Report. Available at: </w:t>
      </w:r>
      <w:hyperlink r:id="rId11">
        <w:r w:rsidR="00484A8B">
          <w:rPr>
            <w:color w:val="0563C1"/>
            <w:u w:val="single"/>
          </w:rPr>
          <w:t>https://www.jdplc.com/jd-group-publishes-2026-global-impact-report/</w:t>
        </w:r>
      </w:hyperlink>
      <w:r>
        <w:t xml:space="preserve"> (Accessed: 9 August 2026).</w:t>
      </w:r>
    </w:p>
    <w:p w14:paraId="66B1A9AC" w14:textId="77777777" w:rsidR="00484A8B" w:rsidRDefault="00000000">
      <w:pPr>
        <w:ind w:left="360" w:hanging="360"/>
        <w:jc w:val="left"/>
      </w:pPr>
      <w:r>
        <w:t xml:space="preserve">JD Sports Fashion plc (2026d) JD deploys cutting-edge technology to enable direct purchases through AI platforms. Available at: </w:t>
      </w:r>
      <w:hyperlink r:id="rId12">
        <w:r w:rsidR="00484A8B">
          <w:rPr>
            <w:color w:val="0563C1"/>
            <w:u w:val="single"/>
          </w:rPr>
          <w:t>https://www.jdplc.com/jd-deploys-cutting-edge-technology-to-enable-direct-purchases-through-ai-platforms/</w:t>
        </w:r>
      </w:hyperlink>
      <w:r>
        <w:t xml:space="preserve"> (Accessed: 9 August 2026).</w:t>
      </w:r>
    </w:p>
    <w:sectPr w:rsidR="00484A8B" w:rsidSect="00034616">
      <w:headerReference w:type="default" r:id="rId13"/>
      <w:footerReference w:type="default" r:id="rId14"/>
      <w:pgSz w:w="12240" w:h="15840"/>
      <w:pgMar w:top="1247" w:right="1417" w:bottom="1247" w:left="141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68342B" w14:textId="77777777" w:rsidR="00C2652D" w:rsidRDefault="00C2652D">
      <w:pPr>
        <w:spacing w:after="0" w:line="240" w:lineRule="auto"/>
      </w:pPr>
      <w:r>
        <w:separator/>
      </w:r>
    </w:p>
  </w:endnote>
  <w:endnote w:type="continuationSeparator" w:id="0">
    <w:p w14:paraId="53A11631" w14:textId="77777777" w:rsidR="00C2652D" w:rsidRDefault="00C265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DC7F38" w14:textId="77777777" w:rsidR="00484A8B" w:rsidRDefault="00000000">
    <w:pPr>
      <w:pStyle w:val="Footer"/>
      <w:jc w:val="center"/>
    </w:pPr>
    <w:r>
      <w:rPr>
        <w:sz w:val="18"/>
      </w:rPr>
      <w:fldChar w:fldCharType="begin"/>
    </w:r>
    <w:r>
      <w:rPr>
        <w:sz w:val="18"/>
      </w:rPr>
      <w:instrText xml:space="preserve"> PAGE </w:instrText>
    </w:r>
    <w:r>
      <w:rPr>
        <w:sz w:val="18"/>
      </w:rPr>
      <w:fldChar w:fldCharType="separate"/>
    </w:r>
    <w:r w:rsidR="00CA15BE">
      <w:rPr>
        <w:noProof/>
        <w:sz w:val="18"/>
      </w:rPr>
      <w:t>1</w:t>
    </w:r>
    <w:r>
      <w:rPr>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9643E0" w14:textId="77777777" w:rsidR="00C2652D" w:rsidRDefault="00C2652D">
      <w:pPr>
        <w:spacing w:after="0" w:line="240" w:lineRule="auto"/>
      </w:pPr>
      <w:r>
        <w:separator/>
      </w:r>
    </w:p>
  </w:footnote>
  <w:footnote w:type="continuationSeparator" w:id="0">
    <w:p w14:paraId="01763BF3" w14:textId="77777777" w:rsidR="00C2652D" w:rsidRDefault="00C2652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F963E2" w14:textId="3632B239" w:rsidR="00CA15BE" w:rsidRDefault="00CA15BE">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099914646">
    <w:abstractNumId w:val="8"/>
  </w:num>
  <w:num w:numId="2" w16cid:durableId="32771008">
    <w:abstractNumId w:val="6"/>
  </w:num>
  <w:num w:numId="3" w16cid:durableId="1315842407">
    <w:abstractNumId w:val="5"/>
  </w:num>
  <w:num w:numId="4" w16cid:durableId="214854608">
    <w:abstractNumId w:val="4"/>
  </w:num>
  <w:num w:numId="5" w16cid:durableId="965888715">
    <w:abstractNumId w:val="7"/>
  </w:num>
  <w:num w:numId="6" w16cid:durableId="2083915720">
    <w:abstractNumId w:val="3"/>
  </w:num>
  <w:num w:numId="7" w16cid:durableId="1499155981">
    <w:abstractNumId w:val="2"/>
  </w:num>
  <w:num w:numId="8" w16cid:durableId="231038920">
    <w:abstractNumId w:val="1"/>
  </w:num>
  <w:num w:numId="9" w16cid:durableId="20241670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184A03"/>
    <w:rsid w:val="0029639D"/>
    <w:rsid w:val="00326F90"/>
    <w:rsid w:val="003F1F5B"/>
    <w:rsid w:val="00484A8B"/>
    <w:rsid w:val="006238EA"/>
    <w:rsid w:val="0064783D"/>
    <w:rsid w:val="007449CA"/>
    <w:rsid w:val="00802EDE"/>
    <w:rsid w:val="00816BB4"/>
    <w:rsid w:val="008775A0"/>
    <w:rsid w:val="00AA1D8D"/>
    <w:rsid w:val="00B47730"/>
    <w:rsid w:val="00B97CD7"/>
    <w:rsid w:val="00C2652D"/>
    <w:rsid w:val="00CA15BE"/>
    <w:rsid w:val="00CA346E"/>
    <w:rsid w:val="00CB0664"/>
    <w:rsid w:val="00D34C1F"/>
    <w:rsid w:val="00D6482B"/>
    <w:rsid w:val="00FC693F"/>
    <w:rsid w:val="00FF6EB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8D6DEFD"/>
  <w14:defaultImageDpi w14:val="300"/>
  <w15:docId w15:val="{520A9C38-2D0A-487F-B94B-85DF49CD7A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360" w:lineRule="auto"/>
      <w:jc w:val="both"/>
    </w:pPr>
    <w:rPr>
      <w:rFonts w:ascii="Arial" w:eastAsia="Arial" w:hAnsi="Arial"/>
    </w:rPr>
  </w:style>
  <w:style w:type="paragraph" w:styleId="Heading1">
    <w:name w:val="heading 1"/>
    <w:basedOn w:val="Normal"/>
    <w:next w:val="Normal"/>
    <w:link w:val="Heading1Char"/>
    <w:uiPriority w:val="9"/>
    <w:qFormat/>
    <w:rsid w:val="00FC693F"/>
    <w:pPr>
      <w:keepNext/>
      <w:keepLines/>
      <w:spacing w:before="24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80"/>
      <w:outlineLvl w:val="1"/>
    </w:pPr>
    <w:rPr>
      <w:rFonts w:asciiTheme="majorHAnsi" w:eastAsiaTheme="majorEastAsia" w:hAnsiTheme="majorHAnsi" w:cstheme="majorBidi"/>
      <w:b/>
      <w:bCs/>
      <w:color w:val="4F81BD" w:themeColor="accent1"/>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keepNext/>
      <w:pBdr>
        <w:bottom w:val="single" w:sz="8" w:space="4" w:color="4F81BD" w:themeColor="accent1"/>
      </w:pBdr>
      <w:spacing w:after="240" w:line="240" w:lineRule="auto"/>
      <w:contextualSpacing/>
    </w:pPr>
    <w:rPr>
      <w:rFonts w:asciiTheme="majorHAnsi" w:eastAsiaTheme="majorEastAsia" w:hAnsiTheme="majorHAnsi" w:cstheme="majorBidi"/>
      <w:b/>
      <w:color w:val="17365D" w:themeColor="text2" w:themeShade="BF"/>
      <w:spacing w:val="5"/>
      <w:kern w:val="28"/>
      <w:sz w:val="40"/>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jdplc.com/jd-deploys-cutting-edge-technology-to-enable-direct-purchases-through-ai-platforms/"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jdplc.com/jd-group-publishes-2026-global-impact-report/"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jdplc.com/about-jd-group/strategy/beyond-physical-retail/" TargetMode="External"/><Relationship Id="rId4" Type="http://schemas.openxmlformats.org/officeDocument/2006/relationships/settings" Target="settings.xml"/><Relationship Id="rId9" Type="http://schemas.openxmlformats.org/officeDocument/2006/relationships/hyperlink" Target="https://www.jdplc.com/"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4923</Words>
  <Characters>28065</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Stakeholder Engagement for ConnectPlus at JD Sports Fashion plc</vt:lpstr>
    </vt:vector>
  </TitlesOfParts>
  <Manager/>
  <Company/>
  <LinksUpToDate>false</LinksUpToDate>
  <CharactersWithSpaces>32923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Stakeholder Engagement for ConnectPlus at JD Sports Fashion plc</dc:title>
  <dc:subject>LCLM5001_LON Understanding and Engaging Stakeholders</dc:subject>
  <dc:creator>Ana María Salazar Basich</dc:creator>
  <cp:keywords>stakeholder engagement, ConnectPlus, JD Sports</cp:keywords>
  <dc:description>generated by python-docx</dc:description>
  <cp:lastModifiedBy>ana maria salazar basich</cp:lastModifiedBy>
  <cp:revision>6</cp:revision>
  <dcterms:created xsi:type="dcterms:W3CDTF">2026-08-09T15:22:00Z</dcterms:created>
  <dcterms:modified xsi:type="dcterms:W3CDTF">2026-08-09T19:48:00Z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02d1df64-1c84-45ec-b380-88c5adcb4550</vt:lpwstr>
  </property>
</Properties>
</file>