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FBDEB" w14:textId="77777777" w:rsidR="00D540DF" w:rsidRDefault="00D540DF" w:rsidP="001F5068">
      <w:pPr>
        <w:pStyle w:val="NormalWeb"/>
        <w:spacing w:line="360" w:lineRule="auto"/>
        <w:jc w:val="both"/>
        <w:rPr>
          <w:rFonts w:ascii="Arial" w:hAnsi="Arial" w:cs="Arial"/>
        </w:rPr>
      </w:pPr>
    </w:p>
    <w:p w14:paraId="7F0E57BD" w14:textId="77777777" w:rsidR="00D540DF" w:rsidRPr="00D540DF" w:rsidRDefault="00D540DF" w:rsidP="00D540DF">
      <w:pPr>
        <w:spacing w:line="360" w:lineRule="auto"/>
        <w:jc w:val="both"/>
        <w:rPr>
          <w:rFonts w:ascii="Times New Roman" w:hAnsi="Times New Roman" w:cs="Times New Roman"/>
          <w:kern w:val="0"/>
          <w:sz w:val="24"/>
          <w:szCs w:val="24"/>
        </w:rPr>
      </w:pPr>
    </w:p>
    <w:p w14:paraId="6448EEAF" w14:textId="77777777" w:rsidR="00D540DF" w:rsidRPr="00D540DF" w:rsidRDefault="00D540DF" w:rsidP="00D540DF">
      <w:pPr>
        <w:spacing w:line="360" w:lineRule="auto"/>
        <w:jc w:val="center"/>
        <w:rPr>
          <w:rFonts w:ascii="Arial" w:hAnsi="Arial" w:cs="Arial"/>
          <w:kern w:val="0"/>
          <w:sz w:val="24"/>
          <w:szCs w:val="24"/>
        </w:rPr>
      </w:pPr>
      <w:r w:rsidRPr="00D540DF">
        <w:rPr>
          <w:rFonts w:ascii="Arial" w:hAnsi="Arial" w:cs="Arial"/>
          <w:kern w:val="0"/>
          <w:sz w:val="24"/>
          <w:szCs w:val="24"/>
        </w:rPr>
        <w:t>Literature Review</w:t>
      </w:r>
    </w:p>
    <w:p w14:paraId="5CF9A7AF" w14:textId="77777777" w:rsidR="00D540DF" w:rsidRPr="00D540DF" w:rsidRDefault="00D540DF" w:rsidP="00D540DF">
      <w:pPr>
        <w:spacing w:line="360" w:lineRule="auto"/>
        <w:rPr>
          <w:rFonts w:ascii="Arial" w:hAnsi="Arial" w:cs="Arial"/>
          <w:kern w:val="0"/>
          <w:sz w:val="20"/>
          <w:szCs w:val="20"/>
        </w:rPr>
      </w:pPr>
    </w:p>
    <w:p w14:paraId="70A2C4EE" w14:textId="77777777" w:rsidR="00D540DF" w:rsidRPr="00D540DF" w:rsidRDefault="00D540DF" w:rsidP="00D540DF">
      <w:pPr>
        <w:spacing w:line="360" w:lineRule="auto"/>
        <w:rPr>
          <w:rFonts w:ascii="Arial" w:hAnsi="Arial" w:cs="Arial"/>
          <w:b/>
          <w:bCs/>
          <w:kern w:val="0"/>
          <w:sz w:val="20"/>
          <w:szCs w:val="20"/>
        </w:rPr>
      </w:pPr>
      <w:r w:rsidRPr="00D540DF">
        <w:rPr>
          <w:rFonts w:ascii="Arial" w:hAnsi="Arial" w:cs="Arial"/>
          <w:b/>
          <w:bCs/>
          <w:kern w:val="0"/>
          <w:sz w:val="20"/>
          <w:szCs w:val="20"/>
        </w:rPr>
        <w:t>To identify if ACES lead to criminality.</w:t>
      </w:r>
    </w:p>
    <w:p w14:paraId="2F69CEEE" w14:textId="77777777" w:rsidR="00D540DF" w:rsidRPr="00D540DF" w:rsidRDefault="00D540DF" w:rsidP="00D540DF">
      <w:pPr>
        <w:spacing w:line="360" w:lineRule="auto"/>
        <w:rPr>
          <w:rFonts w:ascii="Arial" w:hAnsi="Arial" w:cs="Arial"/>
          <w:b/>
          <w:bCs/>
          <w:kern w:val="0"/>
          <w:sz w:val="20"/>
          <w:szCs w:val="20"/>
        </w:rPr>
      </w:pPr>
      <w:r w:rsidRPr="00D540DF">
        <w:rPr>
          <w:rFonts w:ascii="Arial" w:hAnsi="Arial" w:cs="Arial"/>
          <w:b/>
          <w:bCs/>
          <w:kern w:val="0"/>
          <w:sz w:val="20"/>
          <w:szCs w:val="20"/>
        </w:rPr>
        <w:t>To examine whether the police are working with the right support agencies.</w:t>
      </w:r>
    </w:p>
    <w:p w14:paraId="09344CAB" w14:textId="77777777" w:rsidR="00D540DF" w:rsidRPr="00D540DF" w:rsidRDefault="00D540DF" w:rsidP="00D540DF">
      <w:pPr>
        <w:spacing w:line="360" w:lineRule="auto"/>
        <w:rPr>
          <w:rFonts w:ascii="Arial" w:hAnsi="Arial" w:cs="Arial"/>
          <w:b/>
          <w:bCs/>
          <w:kern w:val="0"/>
          <w:sz w:val="20"/>
          <w:szCs w:val="20"/>
        </w:rPr>
      </w:pPr>
      <w:r w:rsidRPr="00D540DF">
        <w:rPr>
          <w:rFonts w:ascii="Arial" w:hAnsi="Arial" w:cs="Arial"/>
          <w:b/>
          <w:bCs/>
          <w:kern w:val="0"/>
          <w:sz w:val="20"/>
          <w:szCs w:val="20"/>
        </w:rPr>
        <w:t>Are police officers confident they have enough knowledge and awareness of ACES to make effective interventions.</w:t>
      </w:r>
    </w:p>
    <w:p w14:paraId="30FE043B" w14:textId="77777777" w:rsidR="00D540DF" w:rsidRDefault="00D540DF" w:rsidP="001F5068">
      <w:pPr>
        <w:pStyle w:val="NormalWeb"/>
        <w:spacing w:line="360" w:lineRule="auto"/>
        <w:jc w:val="both"/>
        <w:rPr>
          <w:rFonts w:ascii="Arial" w:hAnsi="Arial" w:cs="Arial"/>
        </w:rPr>
      </w:pPr>
    </w:p>
    <w:p w14:paraId="467649CB" w14:textId="366DE52F"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As previously mentioned, adverse childhood experiences (ACEs) are not a new phenomenon. The landmark Adverse Childhood Experiences Study first identified ACES in the 1990s, establishing a clear link between childhood trauma and long-term health and social outcomes (Felitti et al., 1998). The study identified ten types of ACEs, including physical, emotional, and sexual abuse, as well as parental mental illness, substance abuse, and incarceration. These experiences collectively predict a range of adverse outcomes, including an increased likelihood of engaging in criminal behaviour. (Journal of Public Health, 2020). MacMillan et al. (2001) conducted longitudinal research, revealing that children who endured maltreatment were markedly more likely to exhibit delinquent behaviour throughout adolescence and criminal behaviour at maturity. This study emphasized that the nature of ACE—be it physical, emotional, or sexual abuse—can vary depending on the propensity for criminal behaviour. This literature review seeks to consolidate current research on the correlation between ACEs and criminal behaviour by emphasizing the underlying processes, implications for intervention, and considerations for future research.</w:t>
      </w:r>
    </w:p>
    <w:p w14:paraId="42F9C989" w14:textId="77777777" w:rsidR="001F5068" w:rsidRPr="008E6173" w:rsidRDefault="001F5068" w:rsidP="001F5068">
      <w:pPr>
        <w:pStyle w:val="NormalWeb"/>
        <w:spacing w:line="360" w:lineRule="auto"/>
        <w:jc w:val="both"/>
        <w:rPr>
          <w:rFonts w:ascii="Arial" w:hAnsi="Arial" w:cs="Arial"/>
          <w:sz w:val="20"/>
          <w:szCs w:val="20"/>
        </w:rPr>
      </w:pPr>
      <w:r w:rsidRPr="008E6173">
        <w:rPr>
          <w:rStyle w:val="Strong"/>
          <w:rFonts w:ascii="Arial" w:eastAsiaTheme="majorEastAsia" w:hAnsi="Arial" w:cs="Arial"/>
          <w:sz w:val="20"/>
          <w:szCs w:val="20"/>
        </w:rPr>
        <w:t> </w:t>
      </w:r>
    </w:p>
    <w:p w14:paraId="03B56FFB" w14:textId="34773D88"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 xml:space="preserve">The life-course perspective suggests that early life experiences shape developmental pathways that lead to criminal behaviour, and several theoretical frameworks can explain the relationship between ACES and criminality. The life-course perspective asserts that early adverse experiences can disrupt normal developmental pathways, leading to abnormal behaviour in adulthood (Elder, 1994). The social learning hypothesis suggests that children exposed to violent or criminal conduct may emulate similar behaviours in their own lives (Bandura, 1977). According to Agnew's (1992) general strain theory, traumatic experiences can induce psychological distress, perhaps prompting individuals to resort to criminal </w:t>
      </w:r>
      <w:r w:rsidR="008E6173" w:rsidRPr="008E6173">
        <w:rPr>
          <w:rFonts w:ascii="Arial" w:hAnsi="Arial" w:cs="Arial"/>
          <w:sz w:val="20"/>
          <w:szCs w:val="20"/>
        </w:rPr>
        <w:t>behaviour</w:t>
      </w:r>
      <w:r w:rsidRPr="008E6173">
        <w:rPr>
          <w:rFonts w:ascii="Arial" w:hAnsi="Arial" w:cs="Arial"/>
          <w:sz w:val="20"/>
          <w:szCs w:val="20"/>
        </w:rPr>
        <w:t xml:space="preserve"> as a coping mechanism.</w:t>
      </w:r>
    </w:p>
    <w:p w14:paraId="6295902D" w14:textId="77777777"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 </w:t>
      </w:r>
    </w:p>
    <w:p w14:paraId="379D2EBC" w14:textId="49625FEB"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lastRenderedPageBreak/>
        <w:t xml:space="preserve">Furthermore, the research specifies several mechanisms connecting ACEs with criminal behaviour that are intricate and diverse. One key factor is the impact of ACEs on emotional regulation and decision-making. Rasche (2016, pp. 75-80) proved this. Children who experience trauma often develop maladaptive coping strategies, which can lead to impulsivity and aggressive behaviour. Additionally, ACEs can disrupt attachment processes, leading to difficulties forming healthy relationships and a greater propensity for antisocial behaviour (Felitti et al., 1998). </w:t>
      </w:r>
      <w:r w:rsidR="008E6173" w:rsidRPr="008E6173">
        <w:rPr>
          <w:rFonts w:ascii="Arial" w:hAnsi="Arial" w:cs="Arial"/>
          <w:sz w:val="20"/>
          <w:szCs w:val="20"/>
        </w:rPr>
        <w:t>According to Shore (2003), ACEs can disrupt attachment styles and interpersonal relationships. Children who experience trauma often struggle with trust and emotional regulation, which can impair their social functioning and increase their likelihood of engaging in antisocial behaviour. Furthermore, Teicher et al. (2003) have shown that the neurobiological impacts of ACEs, including alterations in stress response systems, increase impulsivity and aggression, further correlating with criminal behaviour. Aces</w:t>
      </w:r>
      <w:r w:rsidR="00316437" w:rsidRPr="008E6173">
        <w:rPr>
          <w:rFonts w:ascii="Arial" w:hAnsi="Arial" w:cs="Arial"/>
          <w:sz w:val="20"/>
          <w:szCs w:val="20"/>
        </w:rPr>
        <w:t xml:space="preserve"> are linked to a higher risk of mental health disorders like depression, anxiety, and PTSD, which can lead to maladaptive coping mechanisms like substance abuse and criminal </w:t>
      </w:r>
      <w:r w:rsidR="00294E1D" w:rsidRPr="008E6173">
        <w:rPr>
          <w:rFonts w:ascii="Arial" w:hAnsi="Arial" w:cs="Arial"/>
          <w:sz w:val="20"/>
          <w:szCs w:val="20"/>
        </w:rPr>
        <w:t>behaviour. (</w:t>
      </w:r>
      <w:r w:rsidRPr="008E6173">
        <w:rPr>
          <w:rFonts w:ascii="Arial" w:hAnsi="Arial" w:cs="Arial"/>
          <w:sz w:val="20"/>
          <w:szCs w:val="20"/>
        </w:rPr>
        <w:t>Widom et al., 2007</w:t>
      </w:r>
      <w:r w:rsidR="00942683" w:rsidRPr="008E6173">
        <w:rPr>
          <w:rFonts w:ascii="Arial" w:hAnsi="Arial" w:cs="Arial"/>
          <w:sz w:val="20"/>
          <w:szCs w:val="20"/>
        </w:rPr>
        <w:t>). Moreover</w:t>
      </w:r>
      <w:r w:rsidRPr="008E6173">
        <w:rPr>
          <w:rFonts w:ascii="Arial" w:hAnsi="Arial" w:cs="Arial"/>
          <w:sz w:val="20"/>
          <w:szCs w:val="20"/>
        </w:rPr>
        <w:t>, the social context in which a child grows up can exacerbate the effects of ACEs. Children from disadvantaged backgrounds, where exposure to crime and violence is common, are at an increased risk of both experiencing ACEs and engaging in criminal activities themselves (Shonkoff et al., 2012). </w:t>
      </w:r>
    </w:p>
    <w:p w14:paraId="2416A0CA" w14:textId="1CF251E5"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 xml:space="preserve">Research indicates that the impact of ACEs on criminality may differ by gender. According to </w:t>
      </w:r>
      <w:proofErr w:type="spellStart"/>
      <w:r w:rsidRPr="008E6173">
        <w:rPr>
          <w:rFonts w:ascii="Arial" w:hAnsi="Arial" w:cs="Arial"/>
          <w:sz w:val="20"/>
          <w:szCs w:val="20"/>
        </w:rPr>
        <w:t>Zoccolillo</w:t>
      </w:r>
      <w:proofErr w:type="spellEnd"/>
      <w:r w:rsidRPr="008E6173">
        <w:rPr>
          <w:rFonts w:ascii="Arial" w:hAnsi="Arial" w:cs="Arial"/>
          <w:sz w:val="20"/>
          <w:szCs w:val="20"/>
        </w:rPr>
        <w:t xml:space="preserve"> (1993), boys exposed to ACEs may be more likely to exhibit externalizing behaviours, such as aggression and delinquency, while girls may be more susceptible to internalizing behaviours that lead to depression and relational aggression. Due to traumatic behaviours like prostitution and drug use, women with high ACE scores are more likely to commit non-violent crimes and enter the criminal justice system. In contrast, males are more likely to engage in more violent crimes due to differing trauma-related social and psychological responses (Levenson, 2016). This gendered response highlights the need for tailored interventions that consider these differences</w:t>
      </w:r>
      <w:r w:rsidRPr="008E6173">
        <w:rPr>
          <w:rStyle w:val="Strong"/>
          <w:rFonts w:ascii="Arial" w:eastAsiaTheme="majorEastAsia" w:hAnsi="Arial" w:cs="Arial"/>
          <w:sz w:val="20"/>
          <w:szCs w:val="20"/>
        </w:rPr>
        <w:t>.</w:t>
      </w:r>
    </w:p>
    <w:p w14:paraId="474C2143" w14:textId="0BFF54EA" w:rsidR="001F5068" w:rsidRPr="008E6173" w:rsidRDefault="001F5068" w:rsidP="008E6173">
      <w:pPr>
        <w:pStyle w:val="NormalWeb"/>
        <w:spacing w:line="360" w:lineRule="auto"/>
        <w:jc w:val="both"/>
        <w:rPr>
          <w:rFonts w:ascii="Arial" w:hAnsi="Arial" w:cs="Arial"/>
          <w:sz w:val="20"/>
          <w:szCs w:val="20"/>
        </w:rPr>
      </w:pPr>
      <w:r w:rsidRPr="008E6173">
        <w:rPr>
          <w:rFonts w:ascii="Arial" w:hAnsi="Arial" w:cs="Arial"/>
          <w:sz w:val="20"/>
          <w:szCs w:val="20"/>
        </w:rPr>
        <w:t>To address the intergenerational cycle of trauma and prevent future ACEs in children, understanding the correlation between ACEs and criminality has significant implications for intervention and prevention strategies. Early identification and intervention in children experiencing ACEs can mitigate long-term negative outcomes, including criminal behaviour. Programs that focus on improving family dynamics, providing trauma-informed care, and teaching coping skills can be effective in reducing the likelihood of future criminality (Masten et al., 2008</w:t>
      </w:r>
      <w:r w:rsidR="008E6173" w:rsidRPr="008E6173">
        <w:rPr>
          <w:rFonts w:ascii="Arial" w:hAnsi="Arial" w:cs="Arial"/>
          <w:sz w:val="20"/>
          <w:szCs w:val="20"/>
        </w:rPr>
        <w:t>).</w:t>
      </w:r>
      <w:r w:rsidR="008E6173" w:rsidRPr="008851FE">
        <w:rPr>
          <w:rFonts w:ascii="Arial" w:hAnsi="Arial" w:cs="Arial"/>
          <w:sz w:val="20"/>
          <w:szCs w:val="20"/>
          <w14:ligatures w14:val="none"/>
        </w:rPr>
        <w:t xml:space="preserve"> McCance</w:t>
      </w:r>
      <w:r w:rsidR="008851FE" w:rsidRPr="008851FE">
        <w:rPr>
          <w:rFonts w:ascii="Arial" w:hAnsi="Arial" w:cs="Arial"/>
          <w:sz w:val="20"/>
          <w:szCs w:val="20"/>
          <w14:ligatures w14:val="none"/>
        </w:rPr>
        <w:t xml:space="preserve">-Katz (2018) highlights trauma-informed care as a service model that prioritizes physical, psychological, and emotional safety for providers and survivors, while also empowering </w:t>
      </w:r>
      <w:r w:rsidR="008E6173" w:rsidRPr="008851FE">
        <w:rPr>
          <w:rFonts w:ascii="Arial" w:hAnsi="Arial" w:cs="Arial"/>
          <w:sz w:val="20"/>
          <w:szCs w:val="20"/>
          <w14:ligatures w14:val="none"/>
        </w:rPr>
        <w:t>them</w:t>
      </w:r>
      <w:r w:rsidR="008E6173" w:rsidRPr="008E6173">
        <w:rPr>
          <w:rFonts w:ascii="Arial" w:hAnsi="Arial" w:cs="Arial"/>
          <w:sz w:val="20"/>
          <w:szCs w:val="20"/>
          <w14:ligatures w14:val="none"/>
        </w:rPr>
        <w:t>.</w:t>
      </w:r>
      <w:r w:rsidR="008E6173" w:rsidRPr="008E6173">
        <w:rPr>
          <w:rFonts w:ascii="Arial" w:hAnsi="Arial" w:cs="Arial"/>
          <w:sz w:val="20"/>
          <w:szCs w:val="20"/>
        </w:rPr>
        <w:t xml:space="preserve"> Johnson</w:t>
      </w:r>
      <w:r w:rsidRPr="008E6173">
        <w:rPr>
          <w:rFonts w:ascii="Arial" w:hAnsi="Arial" w:cs="Arial"/>
          <w:sz w:val="20"/>
          <w:szCs w:val="20"/>
        </w:rPr>
        <w:t xml:space="preserve"> SB (2013, p. 131) provided evidence for this. Experiences and interactions, in continuous interaction with our genetic composition, shape our biology, including our brains. Adversity and trauma significantly impact health, leading to high-risk behaviours and diseases in adulthood—often occurring decades after the trauma. Furthermore, negative experiences may influence poor health outcomes independently of maladaptive coping behaviours (Dong et al., 2003). Research indicates a link between childhood trauma and adversity and a higher risk of premature mortality (Rokach and Clayton, 2023). Traumatic experiences (ACEs) have severe health and social impacts, including lower educational attainment, graduation rates, teen pregnancy, and higher </w:t>
      </w:r>
      <w:r w:rsidRPr="008E6173">
        <w:rPr>
          <w:rFonts w:ascii="Arial" w:hAnsi="Arial" w:cs="Arial"/>
          <w:sz w:val="20"/>
          <w:szCs w:val="20"/>
        </w:rPr>
        <w:lastRenderedPageBreak/>
        <w:t>incarceration rates, making it difficult to comprehend the long-term effects of trauma (Gordon, 2019). Implementing trauma-informed care within educational and social services is essential. By recognizing the impacts of ACEs on behaviour and decision-making, practitioners can create supportive environments that promote resilience and recovery (SAMHSA, 2014). Training for professionals working with children should emphasize the importance of understanding the background and experiences of at-risk children's early years to foster better support systems.</w:t>
      </w:r>
    </w:p>
    <w:p w14:paraId="4EA4E646" w14:textId="77777777"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 </w:t>
      </w:r>
    </w:p>
    <w:p w14:paraId="2722EA97" w14:textId="7150ED11"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Research finds that police forces are now becoming trauma informed. The Chief Constable of South Wales Police and Welsh forces have recently committed to becoming trauma-informed organizations, with the aim of improving service, reducing trauma impact, and developing strategies to prevent re-traumatization (College of Policing, 2018). It’s vital that police officers have the knowledge and training on trauma-informed policing strategies to improve officers' understanding that trauma effects community needs, especially for children with high levels of ACEs. This increases empathy, enables officers to respond appropriately, and connects children with necessary services at the right time. Addressing the needs of children promotes community trust and reduces criminal behaviour.</w:t>
      </w:r>
    </w:p>
    <w:p w14:paraId="018E708F" w14:textId="77777777" w:rsidR="001F5068" w:rsidRPr="008E6173" w:rsidRDefault="001F5068" w:rsidP="001F5068">
      <w:pPr>
        <w:pStyle w:val="NormalWeb"/>
        <w:spacing w:line="360" w:lineRule="auto"/>
        <w:jc w:val="both"/>
        <w:rPr>
          <w:rFonts w:ascii="Arial" w:hAnsi="Arial" w:cs="Arial"/>
          <w:sz w:val="20"/>
          <w:szCs w:val="20"/>
        </w:rPr>
      </w:pPr>
      <w:r w:rsidRPr="008E6173">
        <w:rPr>
          <w:rStyle w:val="Strong"/>
          <w:rFonts w:ascii="Arial" w:eastAsiaTheme="majorEastAsia" w:hAnsi="Arial" w:cs="Arial"/>
          <w:sz w:val="20"/>
          <w:szCs w:val="20"/>
        </w:rPr>
        <w:t> </w:t>
      </w:r>
    </w:p>
    <w:p w14:paraId="5080DF49" w14:textId="55982311"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 xml:space="preserve">ACES are potentially stressful incidents occurring throughout childhood; 61% of adults had at least one ACE, while 16% encountered four or more types of ACEs (Centres for Disease Control and Prevention, 2024). Instances of these events include physical violence, sexual abuse, and emotional abuse. These factors can substantially affect children, resulting in academic challenges, behavioural problems, and potential involvement in criminal activities. Research findings indicate that the presence of ACEs has enduring impacts throughout adulthood. </w:t>
      </w:r>
      <w:r w:rsidR="008E6173" w:rsidRPr="008E6173">
        <w:rPr>
          <w:rFonts w:ascii="Arial" w:hAnsi="Arial" w:cs="Arial"/>
          <w:sz w:val="20"/>
          <w:szCs w:val="20"/>
        </w:rPr>
        <w:t>According to online research, individuals are 16 times more likely to commit violent acts and 20 times more likely to face imprisonment at some point in their lives (Ford, 2017</w:t>
      </w:r>
      <w:r w:rsidR="0012736F" w:rsidRPr="008E6173">
        <w:rPr>
          <w:rFonts w:ascii="Arial" w:hAnsi="Arial" w:cs="Arial"/>
          <w:sz w:val="20"/>
          <w:szCs w:val="20"/>
        </w:rPr>
        <w:t>). Conferring</w:t>
      </w:r>
      <w:r w:rsidRPr="008E6173">
        <w:rPr>
          <w:rFonts w:ascii="Arial" w:hAnsi="Arial" w:cs="Arial"/>
          <w:sz w:val="20"/>
          <w:szCs w:val="20"/>
        </w:rPr>
        <w:t xml:space="preserve"> to Hughes et al. (2017), ACEs can lead to enduring psychological suffering and have lasting impacts on physical health, drug abuse, interpersonal aggression, and self-harm. It is apparent that children who witness or experience abuse or violence may engage in criminal behaviour. The Welsh Adverse Childhood Experiences Project found that 50% of the children in Wales suffered with at least one ACE, and 13% suffered at least four (Department of Health, 2018). Research suggests that police should adopt a more preventative policing style towards antisocial behaviour in children, raise awareness of ACEs, and reduce the likelihood of these children engaging in criminal behaviour. This approach could potentially reduce future demand on policing and prevent these children from becoming involved in organised criminal behaviour, such as county lines (College of Policing, n.d.). </w:t>
      </w:r>
    </w:p>
    <w:p w14:paraId="7B02DC58" w14:textId="77777777"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 </w:t>
      </w:r>
    </w:p>
    <w:p w14:paraId="4E7CF47B" w14:textId="11897C0B" w:rsidR="008851FE" w:rsidRPr="008E6173" w:rsidRDefault="001F5068" w:rsidP="000313F5">
      <w:pPr>
        <w:spacing w:line="360" w:lineRule="auto"/>
        <w:jc w:val="both"/>
        <w:rPr>
          <w:rFonts w:ascii="Times New Roman" w:eastAsia="Times New Roman" w:hAnsi="Times New Roman" w:cs="Times New Roman"/>
          <w:kern w:val="0"/>
          <w:sz w:val="20"/>
          <w:szCs w:val="20"/>
          <w:lang w:eastAsia="en-GB" w:bidi="bo-CN"/>
          <w14:ligatures w14:val="none"/>
        </w:rPr>
      </w:pPr>
      <w:r w:rsidRPr="008E6173">
        <w:rPr>
          <w:rFonts w:ascii="Arial" w:hAnsi="Arial" w:cs="Arial"/>
          <w:sz w:val="20"/>
          <w:szCs w:val="20"/>
        </w:rPr>
        <w:t xml:space="preserve">There is research that indicates a strong correlation between ACEs and criminality. Research indicates (Hughes et al., 2017) that children frequently encounter an ACE due to neglect, sexual exploitation, and </w:t>
      </w:r>
      <w:r w:rsidRPr="008E6173">
        <w:rPr>
          <w:rFonts w:ascii="Arial" w:hAnsi="Arial" w:cs="Arial"/>
          <w:sz w:val="20"/>
          <w:szCs w:val="20"/>
        </w:rPr>
        <w:lastRenderedPageBreak/>
        <w:t xml:space="preserve">domestic abuse in their early years. Evidence indicates that children who endure unpleasant childhood experiences have negative impacts that can influence their health throughout their entire lives. </w:t>
      </w:r>
      <w:r w:rsidR="00AB6902">
        <w:rPr>
          <w:rFonts w:ascii="Arial" w:hAnsi="Arial" w:cs="Arial"/>
          <w:sz w:val="20"/>
          <w:szCs w:val="20"/>
        </w:rPr>
        <w:t>C</w:t>
      </w:r>
      <w:r w:rsidRPr="008E6173">
        <w:rPr>
          <w:rFonts w:ascii="Arial" w:hAnsi="Arial" w:cs="Arial"/>
          <w:sz w:val="20"/>
          <w:szCs w:val="20"/>
        </w:rPr>
        <w:t>hildren with ACE</w:t>
      </w:r>
      <w:r w:rsidR="008E6173">
        <w:rPr>
          <w:rFonts w:ascii="Arial" w:hAnsi="Arial" w:cs="Arial"/>
          <w:sz w:val="20"/>
          <w:szCs w:val="20"/>
        </w:rPr>
        <w:t xml:space="preserve">S </w:t>
      </w:r>
      <w:r w:rsidRPr="008E6173">
        <w:rPr>
          <w:rFonts w:ascii="Arial" w:hAnsi="Arial" w:cs="Arial"/>
          <w:sz w:val="20"/>
          <w:szCs w:val="20"/>
        </w:rPr>
        <w:t>may develop behavioural patterns that result in them committing acts of violence.</w:t>
      </w:r>
      <w:r w:rsidR="008851FE" w:rsidRPr="008E6173">
        <w:rPr>
          <w:rFonts w:ascii="Arial" w:eastAsia="Times New Roman" w:hAnsi="Arial" w:cs="Arial"/>
          <w:kern w:val="0"/>
          <w:sz w:val="20"/>
          <w:szCs w:val="20"/>
          <w:lang w:eastAsia="en-GB" w:bidi="bo-CN"/>
          <w14:ligatures w14:val="none"/>
        </w:rPr>
        <w:t xml:space="preserve"> According to Bellis et al. (2014), found that individuals with four or more ACEs are seven times more likely to engage in violent behaviour in adulthood and over eight times more likely to face imprisonment.</w:t>
      </w:r>
    </w:p>
    <w:p w14:paraId="37CC05B2" w14:textId="2ABC0434" w:rsidR="001F5068" w:rsidRPr="008E6173" w:rsidRDefault="001F5068" w:rsidP="001F5068">
      <w:pPr>
        <w:pStyle w:val="NormalWeb"/>
        <w:spacing w:line="360" w:lineRule="auto"/>
        <w:jc w:val="both"/>
        <w:rPr>
          <w:rFonts w:ascii="Arial" w:hAnsi="Arial" w:cs="Arial"/>
          <w:sz w:val="20"/>
          <w:szCs w:val="20"/>
        </w:rPr>
      </w:pPr>
    </w:p>
    <w:p w14:paraId="29033C88" w14:textId="7C88DF2C" w:rsidR="001F5068" w:rsidRPr="008E6173" w:rsidRDefault="001F5068" w:rsidP="007E008A">
      <w:pPr>
        <w:spacing w:line="360" w:lineRule="auto"/>
        <w:jc w:val="both"/>
        <w:rPr>
          <w:rFonts w:ascii="Arial" w:eastAsia="Times New Roman" w:hAnsi="Arial" w:cs="Arial"/>
          <w:kern w:val="0"/>
          <w:sz w:val="20"/>
          <w:szCs w:val="20"/>
          <w:lang w:eastAsia="en-GB" w:bidi="bo-CN"/>
          <w14:ligatures w14:val="none"/>
        </w:rPr>
      </w:pPr>
      <w:r w:rsidRPr="008E6173">
        <w:rPr>
          <w:rFonts w:ascii="Arial" w:hAnsi="Arial" w:cs="Arial"/>
          <w:sz w:val="20"/>
          <w:szCs w:val="20"/>
        </w:rPr>
        <w:t xml:space="preserve">An examination of the prevalence of negative childhood experiences among imprisoned individuals yields intriguing findings. In 2018, Bangor University and Public Health Wales conducted the first ACE prevalence study in a male prison setting in Wales. The Prisoner ACE Survey </w:t>
      </w:r>
      <w:r w:rsidR="0054780E" w:rsidRPr="008E6173">
        <w:rPr>
          <w:rFonts w:ascii="Arial" w:hAnsi="Arial" w:cs="Arial"/>
          <w:sz w:val="20"/>
          <w:szCs w:val="20"/>
        </w:rPr>
        <w:t>intended</w:t>
      </w:r>
      <w:r w:rsidRPr="008E6173">
        <w:rPr>
          <w:rFonts w:ascii="Arial" w:hAnsi="Arial" w:cs="Arial"/>
          <w:sz w:val="20"/>
          <w:szCs w:val="20"/>
        </w:rPr>
        <w:t xml:space="preserve"> to </w:t>
      </w:r>
      <w:r w:rsidR="0054780E" w:rsidRPr="008E6173">
        <w:rPr>
          <w:rFonts w:ascii="Arial" w:hAnsi="Arial" w:cs="Arial"/>
          <w:sz w:val="20"/>
          <w:szCs w:val="20"/>
        </w:rPr>
        <w:t>amount</w:t>
      </w:r>
      <w:r w:rsidRPr="008E6173">
        <w:rPr>
          <w:rFonts w:ascii="Arial" w:hAnsi="Arial" w:cs="Arial"/>
          <w:sz w:val="20"/>
          <w:szCs w:val="20"/>
        </w:rPr>
        <w:t xml:space="preserve"> the </w:t>
      </w:r>
      <w:r w:rsidR="0054780E" w:rsidRPr="008E6173">
        <w:rPr>
          <w:rFonts w:ascii="Arial" w:hAnsi="Arial" w:cs="Arial"/>
          <w:sz w:val="20"/>
          <w:szCs w:val="20"/>
        </w:rPr>
        <w:t>pervasiveness</w:t>
      </w:r>
      <w:r w:rsidRPr="008E6173">
        <w:rPr>
          <w:rFonts w:ascii="Arial" w:hAnsi="Arial" w:cs="Arial"/>
          <w:sz w:val="20"/>
          <w:szCs w:val="20"/>
        </w:rPr>
        <w:t xml:space="preserve"> of ACEs </w:t>
      </w:r>
      <w:r w:rsidR="0054780E" w:rsidRPr="008E6173">
        <w:rPr>
          <w:rFonts w:ascii="Arial" w:hAnsi="Arial" w:cs="Arial"/>
          <w:sz w:val="20"/>
          <w:szCs w:val="20"/>
        </w:rPr>
        <w:t>between</w:t>
      </w:r>
      <w:r w:rsidRPr="008E6173">
        <w:rPr>
          <w:rFonts w:ascii="Arial" w:hAnsi="Arial" w:cs="Arial"/>
          <w:sz w:val="20"/>
          <w:szCs w:val="20"/>
        </w:rPr>
        <w:t xml:space="preserve"> an offender </w:t>
      </w:r>
      <w:r w:rsidR="0054780E" w:rsidRPr="008E6173">
        <w:rPr>
          <w:rFonts w:ascii="Arial" w:hAnsi="Arial" w:cs="Arial"/>
          <w:sz w:val="20"/>
          <w:szCs w:val="20"/>
        </w:rPr>
        <w:t>populace</w:t>
      </w:r>
      <w:r w:rsidRPr="008E6173">
        <w:rPr>
          <w:rFonts w:ascii="Arial" w:hAnsi="Arial" w:cs="Arial"/>
          <w:sz w:val="20"/>
          <w:szCs w:val="20"/>
        </w:rPr>
        <w:t xml:space="preserve"> and </w:t>
      </w:r>
      <w:r w:rsidR="0054780E" w:rsidRPr="008E6173">
        <w:rPr>
          <w:rFonts w:ascii="Arial" w:hAnsi="Arial" w:cs="Arial"/>
          <w:sz w:val="20"/>
          <w:szCs w:val="20"/>
        </w:rPr>
        <w:t>study</w:t>
      </w:r>
      <w:r w:rsidRPr="008E6173">
        <w:rPr>
          <w:rFonts w:ascii="Arial" w:hAnsi="Arial" w:cs="Arial"/>
          <w:sz w:val="20"/>
          <w:szCs w:val="20"/>
        </w:rPr>
        <w:t xml:space="preserve"> any associations </w:t>
      </w:r>
      <w:r w:rsidR="008851FE" w:rsidRPr="008E6173">
        <w:rPr>
          <w:rFonts w:ascii="Arial" w:hAnsi="Arial" w:cs="Arial"/>
          <w:sz w:val="20"/>
          <w:szCs w:val="20"/>
        </w:rPr>
        <w:t>among</w:t>
      </w:r>
      <w:r w:rsidRPr="008E6173">
        <w:rPr>
          <w:rFonts w:ascii="Arial" w:hAnsi="Arial" w:cs="Arial"/>
          <w:sz w:val="20"/>
          <w:szCs w:val="20"/>
        </w:rPr>
        <w:t xml:space="preserve"> ACEs and crime types. The survey also </w:t>
      </w:r>
      <w:r w:rsidR="008851FE" w:rsidRPr="008E6173">
        <w:rPr>
          <w:rFonts w:ascii="Arial" w:hAnsi="Arial" w:cs="Arial"/>
          <w:sz w:val="20"/>
          <w:szCs w:val="20"/>
        </w:rPr>
        <w:t>intended</w:t>
      </w:r>
      <w:r w:rsidRPr="008E6173">
        <w:rPr>
          <w:rFonts w:ascii="Arial" w:hAnsi="Arial" w:cs="Arial"/>
          <w:sz w:val="20"/>
          <w:szCs w:val="20"/>
        </w:rPr>
        <w:t xml:space="preserve"> to </w:t>
      </w:r>
      <w:r w:rsidR="008851FE" w:rsidRPr="008E6173">
        <w:rPr>
          <w:rFonts w:ascii="Arial" w:hAnsi="Arial" w:cs="Arial"/>
          <w:sz w:val="20"/>
          <w:szCs w:val="20"/>
        </w:rPr>
        <w:t>examine</w:t>
      </w:r>
      <w:r w:rsidRPr="008E6173">
        <w:rPr>
          <w:rFonts w:ascii="Arial" w:hAnsi="Arial" w:cs="Arial"/>
          <w:sz w:val="20"/>
          <w:szCs w:val="20"/>
        </w:rPr>
        <w:t xml:space="preserve"> the association </w:t>
      </w:r>
      <w:r w:rsidR="008851FE" w:rsidRPr="008E6173">
        <w:rPr>
          <w:rFonts w:ascii="Arial" w:hAnsi="Arial" w:cs="Arial"/>
          <w:sz w:val="20"/>
          <w:szCs w:val="20"/>
        </w:rPr>
        <w:t>amongst</w:t>
      </w:r>
      <w:r w:rsidRPr="008E6173">
        <w:rPr>
          <w:rFonts w:ascii="Arial" w:hAnsi="Arial" w:cs="Arial"/>
          <w:sz w:val="20"/>
          <w:szCs w:val="20"/>
        </w:rPr>
        <w:t xml:space="preserve"> ACEs and </w:t>
      </w:r>
      <w:r w:rsidR="000C12B2" w:rsidRPr="008E6173">
        <w:rPr>
          <w:rFonts w:ascii="Arial" w:hAnsi="Arial" w:cs="Arial"/>
          <w:sz w:val="20"/>
          <w:szCs w:val="20"/>
        </w:rPr>
        <w:t>offending</w:t>
      </w:r>
      <w:r w:rsidR="000C12B2" w:rsidRPr="008E6173">
        <w:rPr>
          <w:rFonts w:ascii="Arial" w:eastAsia="Times New Roman" w:hAnsi="Arial" w:cs="Arial"/>
          <w:kern w:val="0"/>
          <w:sz w:val="20"/>
          <w:szCs w:val="20"/>
          <w:lang w:eastAsia="en-GB" w:bidi="bo-CN"/>
          <w14:ligatures w14:val="none"/>
        </w:rPr>
        <w:t>. The</w:t>
      </w:r>
      <w:r w:rsidR="00D61F18" w:rsidRPr="008E6173">
        <w:rPr>
          <w:rFonts w:ascii="Arial" w:eastAsia="Times New Roman" w:hAnsi="Arial" w:cs="Arial"/>
          <w:kern w:val="0"/>
          <w:sz w:val="20"/>
          <w:szCs w:val="20"/>
          <w:lang w:eastAsia="en-GB" w:bidi="bo-CN"/>
          <w14:ligatures w14:val="none"/>
        </w:rPr>
        <w:t xml:space="preserve"> survey analysed 11 categories of ACEs, including demographics, conviction frequency, incarceration incidence, and lifetime imprisonment duration</w:t>
      </w:r>
      <w:r w:rsidR="000C12B2" w:rsidRPr="008E6173">
        <w:rPr>
          <w:rFonts w:ascii="Arial" w:hAnsi="Arial" w:cs="Arial"/>
          <w:sz w:val="20"/>
          <w:szCs w:val="20"/>
        </w:rPr>
        <w:t> (Ford et al., 2019</w:t>
      </w:r>
      <w:r w:rsidR="00790C88" w:rsidRPr="008E6173">
        <w:rPr>
          <w:rFonts w:ascii="Arial" w:hAnsi="Arial" w:cs="Arial"/>
          <w:sz w:val="20"/>
          <w:szCs w:val="20"/>
        </w:rPr>
        <w:t>).</w:t>
      </w:r>
      <w:r w:rsidR="00790C88" w:rsidRPr="008E6173">
        <w:rPr>
          <w:rFonts w:ascii="Arial" w:hAnsi="Arial" w:cs="Arial"/>
          <w:sz w:val="20"/>
          <w:szCs w:val="20"/>
          <w14:ligatures w14:val="none"/>
        </w:rPr>
        <w:t xml:space="preserve"> The</w:t>
      </w:r>
      <w:r w:rsidR="00D61F18" w:rsidRPr="008E6173">
        <w:rPr>
          <w:rFonts w:ascii="Arial" w:eastAsia="Times New Roman" w:hAnsi="Arial" w:cs="Arial"/>
          <w:kern w:val="0"/>
          <w:sz w:val="20"/>
          <w:szCs w:val="20"/>
          <w:lang w:eastAsia="en-GB" w:bidi="bo-CN"/>
          <w14:ligatures w14:val="none"/>
        </w:rPr>
        <w:t xml:space="preserve"> percentage of prisoners with specific ACEs </w:t>
      </w:r>
      <w:r w:rsidR="008851FE" w:rsidRPr="008E6173">
        <w:rPr>
          <w:rFonts w:ascii="Arial" w:eastAsia="Times New Roman" w:hAnsi="Arial" w:cs="Arial"/>
          <w:kern w:val="0"/>
          <w:sz w:val="20"/>
          <w:szCs w:val="20"/>
          <w:lang w:eastAsia="en-GB" w:bidi="bo-CN"/>
          <w14:ligatures w14:val="none"/>
        </w:rPr>
        <w:t>fluctuated</w:t>
      </w:r>
      <w:r w:rsidR="00D61F18" w:rsidRPr="008E6173">
        <w:rPr>
          <w:rFonts w:ascii="Arial" w:eastAsia="Times New Roman" w:hAnsi="Arial" w:cs="Arial"/>
          <w:kern w:val="0"/>
          <w:sz w:val="20"/>
          <w:szCs w:val="20"/>
          <w:lang w:eastAsia="en-GB" w:bidi="bo-CN"/>
          <w14:ligatures w14:val="none"/>
        </w:rPr>
        <w:t xml:space="preserve"> from 11.5% for physical neglect to 57.8% for parental separation or divorce. 32.9% of prisoners reported having a family member receive a prison or youth offender institution</w:t>
      </w:r>
      <w:r w:rsidR="000C6C81">
        <w:rPr>
          <w:rFonts w:ascii="Arial" w:eastAsia="Times New Roman" w:hAnsi="Arial" w:cs="Arial"/>
          <w:kern w:val="0"/>
          <w:sz w:val="20"/>
          <w:szCs w:val="20"/>
          <w:lang w:eastAsia="en-GB" w:bidi="bo-CN"/>
          <w14:ligatures w14:val="none"/>
        </w:rPr>
        <w:t xml:space="preserve"> (YOI)</w:t>
      </w:r>
      <w:r w:rsidR="00D61F18" w:rsidRPr="008E6173">
        <w:rPr>
          <w:rFonts w:ascii="Arial" w:eastAsia="Times New Roman" w:hAnsi="Arial" w:cs="Arial"/>
          <w:kern w:val="0"/>
          <w:sz w:val="20"/>
          <w:szCs w:val="20"/>
          <w:lang w:eastAsia="en-GB" w:bidi="bo-CN"/>
          <w14:ligatures w14:val="none"/>
        </w:rPr>
        <w:t xml:space="preserve"> sentence during their </w:t>
      </w:r>
      <w:r w:rsidR="00790C88" w:rsidRPr="008E6173">
        <w:rPr>
          <w:rFonts w:ascii="Arial" w:hAnsi="Arial" w:cs="Arial"/>
          <w:sz w:val="20"/>
          <w:szCs w:val="20"/>
          <w14:ligatures w14:val="none"/>
        </w:rPr>
        <w:t>upbringing</w:t>
      </w:r>
      <w:r w:rsidR="00790C88" w:rsidRPr="008E6173">
        <w:rPr>
          <w:rFonts w:ascii="Arial" w:hAnsi="Arial" w:cs="Arial"/>
          <w:sz w:val="20"/>
          <w:szCs w:val="20"/>
        </w:rPr>
        <w:t xml:space="preserve">. </w:t>
      </w:r>
      <w:r w:rsidRPr="008E6173">
        <w:rPr>
          <w:rFonts w:ascii="Arial" w:hAnsi="Arial" w:cs="Arial"/>
          <w:sz w:val="20"/>
          <w:szCs w:val="20"/>
        </w:rPr>
        <w:t>Compared to the 2017 Welsh ACE and Resilience Study, the Prisoner ACE Survey participants reported a significantly higher prevalence of ACEs than the general population.</w:t>
      </w:r>
      <w:r w:rsidR="007E008A" w:rsidRPr="008E6173">
        <w:rPr>
          <w:rFonts w:ascii="Arial" w:eastAsia="Times New Roman" w:hAnsi="Arial" w:cs="Arial"/>
          <w:kern w:val="0"/>
          <w:sz w:val="20"/>
          <w:szCs w:val="20"/>
          <w:lang w:eastAsia="en-GB" w:bidi="bo-CN"/>
          <w14:ligatures w14:val="none"/>
        </w:rPr>
        <w:t xml:space="preserve"> The Prisoner ACE Survey revealed that 45.9% of prisoners served a sentence in a YOI, with 91.2% having at least one ACE and 60.0% having four or more, with those with four or more ACEs spending more time in a YOI.</w:t>
      </w:r>
      <w:r w:rsidR="00AB6902">
        <w:rPr>
          <w:rFonts w:ascii="Arial" w:eastAsia="Times New Roman" w:hAnsi="Arial" w:cs="Arial"/>
          <w:kern w:val="0"/>
          <w:sz w:val="20"/>
          <w:szCs w:val="20"/>
          <w:lang w:eastAsia="en-GB" w:bidi="bo-CN"/>
          <w14:ligatures w14:val="none"/>
        </w:rPr>
        <w:t xml:space="preserve"> </w:t>
      </w:r>
      <w:r w:rsidR="008851FE" w:rsidRPr="008E6173">
        <w:rPr>
          <w:rFonts w:ascii="Arial" w:hAnsi="Arial" w:cs="Arial"/>
          <w:sz w:val="20"/>
          <w:szCs w:val="20"/>
        </w:rPr>
        <w:t>The</w:t>
      </w:r>
      <w:r w:rsidRPr="008E6173">
        <w:rPr>
          <w:rFonts w:ascii="Arial" w:hAnsi="Arial" w:cs="Arial"/>
          <w:sz w:val="20"/>
          <w:szCs w:val="20"/>
        </w:rPr>
        <w:t xml:space="preserve"> study revealed that theft was the most common crime, followed by drugs and violence with injury. On average, Ford et al. (2019) found convictions for four types of crimes. This illustrates the adverse impact on individuals who have had ACEs and their subsequent effects, emphasizing distinct patterns in the research.</w:t>
      </w:r>
    </w:p>
    <w:p w14:paraId="5D8E215C" w14:textId="77777777" w:rsidR="007E008A" w:rsidRPr="008E6173" w:rsidRDefault="007E008A" w:rsidP="007E008A">
      <w:pPr>
        <w:spacing w:line="360" w:lineRule="auto"/>
        <w:jc w:val="both"/>
        <w:rPr>
          <w:rFonts w:ascii="Arial" w:hAnsi="Arial" w:cs="Arial"/>
          <w:sz w:val="20"/>
          <w:szCs w:val="20"/>
        </w:rPr>
      </w:pPr>
    </w:p>
    <w:p w14:paraId="34B55F9B" w14:textId="3960C68C" w:rsidR="00150E3B" w:rsidRPr="008E6173" w:rsidRDefault="007E008A" w:rsidP="00AB6902">
      <w:pPr>
        <w:spacing w:after="0" w:line="360" w:lineRule="auto"/>
        <w:jc w:val="both"/>
        <w:rPr>
          <w:rFonts w:ascii="Arial" w:eastAsia="Times New Roman" w:hAnsi="Arial" w:cs="Arial"/>
          <w:kern w:val="0"/>
          <w:sz w:val="20"/>
          <w:szCs w:val="20"/>
          <w:lang w:eastAsia="en-GB" w:bidi="bo-CN"/>
          <w14:ligatures w14:val="none"/>
        </w:rPr>
      </w:pPr>
      <w:r w:rsidRPr="007E008A">
        <w:rPr>
          <w:rFonts w:ascii="Arial" w:eastAsia="Times New Roman" w:hAnsi="Arial" w:cs="Arial"/>
          <w:kern w:val="0"/>
          <w:sz w:val="20"/>
          <w:szCs w:val="20"/>
          <w:lang w:eastAsia="en-GB" w:bidi="bo-CN"/>
          <w14:ligatures w14:val="none"/>
        </w:rPr>
        <w:t>Over the past decade, the UK police have evolved from primarily preventing and responding to crime to also addressing issues of vulnerability and public welfare.</w:t>
      </w:r>
      <w:r w:rsidR="002E6247" w:rsidRPr="002E6247">
        <w:rPr>
          <w:rFonts w:ascii="Times New Roman" w:eastAsia="Times New Roman" w:hAnsi="Times New Roman" w:cs="Times New Roman"/>
          <w:kern w:val="0"/>
          <w:sz w:val="24"/>
          <w:szCs w:val="24"/>
          <w:lang w:eastAsia="en-GB" w:bidi="bo-CN"/>
          <w14:ligatures w14:val="none"/>
        </w:rPr>
        <w:t xml:space="preserve"> </w:t>
      </w:r>
      <w:r w:rsidR="002E6247" w:rsidRPr="002E6247">
        <w:rPr>
          <w:rFonts w:ascii="Arial" w:eastAsia="Times New Roman" w:hAnsi="Arial" w:cs="Arial"/>
          <w:kern w:val="0"/>
          <w:sz w:val="20"/>
          <w:szCs w:val="20"/>
          <w:lang w:eastAsia="en-GB" w:bidi="bo-CN"/>
          <w14:ligatures w14:val="none"/>
        </w:rPr>
        <w:t>Over the past decade, South Wales Police (SWP) has seen a 30% increase in public welfare and safet</w:t>
      </w:r>
      <w:r w:rsidR="002E6247">
        <w:rPr>
          <w:rFonts w:ascii="Arial" w:eastAsia="Times New Roman" w:hAnsi="Arial" w:cs="Arial"/>
          <w:kern w:val="0"/>
          <w:sz w:val="20"/>
          <w:szCs w:val="20"/>
          <w:lang w:eastAsia="en-GB" w:bidi="bo-CN"/>
          <w14:ligatures w14:val="none"/>
        </w:rPr>
        <w:t xml:space="preserve">y </w:t>
      </w:r>
      <w:r w:rsidR="002E6247" w:rsidRPr="002E6247">
        <w:rPr>
          <w:rFonts w:ascii="Arial" w:eastAsia="Times New Roman" w:hAnsi="Arial" w:cs="Arial"/>
          <w:kern w:val="0"/>
          <w:sz w:val="20"/>
          <w:szCs w:val="20"/>
          <w:lang w:eastAsia="en-GB" w:bidi="bo-CN"/>
          <w14:ligatures w14:val="none"/>
        </w:rPr>
        <w:t>(HM</w:t>
      </w:r>
      <w:r w:rsidR="002E6247">
        <w:rPr>
          <w:rFonts w:ascii="Arial" w:eastAsia="Times New Roman" w:hAnsi="Arial" w:cs="Arial"/>
          <w:kern w:val="0"/>
          <w:sz w:val="20"/>
          <w:szCs w:val="20"/>
          <w:lang w:eastAsia="en-GB" w:bidi="bo-CN"/>
          <w14:ligatures w14:val="none"/>
        </w:rPr>
        <w:t>I</w:t>
      </w:r>
      <w:r w:rsidR="002E6247" w:rsidRPr="002E6247">
        <w:rPr>
          <w:rFonts w:ascii="Arial" w:eastAsia="Times New Roman" w:hAnsi="Arial" w:cs="Arial"/>
          <w:kern w:val="0"/>
          <w:sz w:val="20"/>
          <w:szCs w:val="20"/>
          <w:lang w:eastAsia="en-GB" w:bidi="bo-CN"/>
          <w14:ligatures w14:val="none"/>
        </w:rPr>
        <w:t>CFRS, 2018). The</w:t>
      </w:r>
      <w:r w:rsidR="005F3722" w:rsidRPr="008E6173">
        <w:rPr>
          <w:rFonts w:ascii="Arial" w:eastAsia="Times New Roman" w:hAnsi="Arial" w:cs="Arial"/>
          <w:kern w:val="0"/>
          <w:sz w:val="20"/>
          <w:szCs w:val="20"/>
          <w:lang w:eastAsia="en-GB" w:bidi="bo-CN"/>
          <w14:ligatures w14:val="none"/>
        </w:rPr>
        <w:t xml:space="preserve"> UK is witnessing a shift in police calls, with more being directed towards welfare, public safety, or vulnerability rather than </w:t>
      </w:r>
      <w:r w:rsidR="00510504" w:rsidRPr="008E6173">
        <w:rPr>
          <w:rFonts w:ascii="Arial" w:eastAsia="Times New Roman" w:hAnsi="Arial" w:cs="Arial"/>
          <w:kern w:val="0"/>
          <w:sz w:val="20"/>
          <w:szCs w:val="20"/>
          <w:lang w:eastAsia="en-GB" w:bidi="bo-CN"/>
          <w14:ligatures w14:val="none"/>
        </w:rPr>
        <w:t>crime.</w:t>
      </w:r>
      <w:r w:rsidR="00510504" w:rsidRPr="008E6173">
        <w:rPr>
          <w:rFonts w:ascii="Arial" w:hAnsi="Arial" w:cs="Arial"/>
          <w:sz w:val="20"/>
          <w:szCs w:val="20"/>
        </w:rPr>
        <w:t xml:space="preserve"> (</w:t>
      </w:r>
      <w:r w:rsidR="001F5068" w:rsidRPr="008E6173">
        <w:rPr>
          <w:rFonts w:ascii="Arial" w:hAnsi="Arial" w:cs="Arial"/>
          <w:sz w:val="20"/>
          <w:szCs w:val="20"/>
        </w:rPr>
        <w:t xml:space="preserve">Bellis et al., 2015; Boulton et al., 2017). Evidence suggests that some forces may not have the capacity to manage the significant demand for vulnerability that police </w:t>
      </w:r>
      <w:r w:rsidR="001569DD">
        <w:rPr>
          <w:rFonts w:ascii="Arial" w:hAnsi="Arial" w:cs="Arial"/>
          <w:sz w:val="20"/>
          <w:szCs w:val="20"/>
        </w:rPr>
        <w:t xml:space="preserve">face, which leads to </w:t>
      </w:r>
      <w:r w:rsidR="001569DD">
        <w:rPr>
          <w:rFonts w:ascii="Arial" w:eastAsia="Times New Roman" w:hAnsi="Arial" w:cs="Arial"/>
          <w:kern w:val="0"/>
          <w:sz w:val="20"/>
          <w:szCs w:val="20"/>
          <w:lang w:eastAsia="en-GB" w:bidi="bo-CN"/>
          <w14:ligatures w14:val="none"/>
        </w:rPr>
        <w:t>o</w:t>
      </w:r>
      <w:r w:rsidR="00150E3B" w:rsidRPr="008E6173">
        <w:rPr>
          <w:rFonts w:ascii="Arial" w:eastAsia="Times New Roman" w:hAnsi="Arial" w:cs="Arial"/>
          <w:kern w:val="0"/>
          <w:sz w:val="20"/>
          <w:szCs w:val="20"/>
          <w:lang w:eastAsia="en-GB" w:bidi="bo-CN"/>
          <w14:ligatures w14:val="none"/>
        </w:rPr>
        <w:t>perational police often lack training on vulnerability response and frontline support, leading to a lack of understanding and appropriate referral to appropriate agencies.</w:t>
      </w:r>
    </w:p>
    <w:p w14:paraId="3E64CEA0" w14:textId="77777777" w:rsidR="00294E1D" w:rsidRPr="008E6173" w:rsidRDefault="00294E1D" w:rsidP="00294E1D">
      <w:pPr>
        <w:spacing w:line="360" w:lineRule="auto"/>
        <w:jc w:val="both"/>
        <w:rPr>
          <w:rFonts w:ascii="Arial" w:eastAsia="Times New Roman" w:hAnsi="Arial" w:cs="Arial"/>
          <w:kern w:val="0"/>
          <w:sz w:val="20"/>
          <w:szCs w:val="20"/>
          <w:lang w:eastAsia="en-GB" w:bidi="bo-CN"/>
          <w14:ligatures w14:val="none"/>
        </w:rPr>
      </w:pPr>
    </w:p>
    <w:p w14:paraId="479CF033" w14:textId="1C62BDEB" w:rsidR="001F5068" w:rsidRPr="008E6173" w:rsidRDefault="00294E1D" w:rsidP="00294E1D">
      <w:pPr>
        <w:spacing w:line="360" w:lineRule="auto"/>
        <w:jc w:val="both"/>
        <w:rPr>
          <w:rFonts w:ascii="Arial" w:hAnsi="Arial" w:cs="Arial"/>
          <w:sz w:val="20"/>
          <w:szCs w:val="20"/>
        </w:rPr>
      </w:pPr>
      <w:r w:rsidRPr="008E6173">
        <w:rPr>
          <w:rFonts w:ascii="Arial" w:eastAsia="Times New Roman" w:hAnsi="Arial" w:cs="Arial"/>
          <w:kern w:val="0"/>
          <w:sz w:val="20"/>
          <w:szCs w:val="20"/>
          <w:lang w:eastAsia="en-GB" w:bidi="bo-CN"/>
          <w14:ligatures w14:val="none"/>
        </w:rPr>
        <w:t xml:space="preserve">The National Police Chiefs Council (NPCC) and the College of Policing </w:t>
      </w:r>
      <w:r w:rsidR="000D7FC5">
        <w:rPr>
          <w:rFonts w:ascii="Arial" w:eastAsia="Times New Roman" w:hAnsi="Arial" w:cs="Arial"/>
          <w:kern w:val="0"/>
          <w:sz w:val="20"/>
          <w:szCs w:val="20"/>
          <w:lang w:eastAsia="en-GB" w:bidi="bo-CN"/>
          <w14:ligatures w14:val="none"/>
        </w:rPr>
        <w:t xml:space="preserve">identified this and put plan in </w:t>
      </w:r>
      <w:r w:rsidR="001569DD">
        <w:rPr>
          <w:rFonts w:ascii="Arial" w:eastAsia="Times New Roman" w:hAnsi="Arial" w:cs="Arial"/>
          <w:kern w:val="0"/>
          <w:sz w:val="20"/>
          <w:szCs w:val="20"/>
          <w:lang w:eastAsia="en-GB" w:bidi="bo-CN"/>
          <w14:ligatures w14:val="none"/>
        </w:rPr>
        <w:t xml:space="preserve">place </w:t>
      </w:r>
      <w:r w:rsidR="001569DD" w:rsidRPr="008E6173">
        <w:rPr>
          <w:rFonts w:ascii="Arial" w:eastAsia="Times New Roman" w:hAnsi="Arial" w:cs="Arial"/>
          <w:kern w:val="0"/>
          <w:sz w:val="20"/>
          <w:szCs w:val="20"/>
          <w:lang w:eastAsia="en-GB" w:bidi="bo-CN"/>
          <w14:ligatures w14:val="none"/>
        </w:rPr>
        <w:t>to</w:t>
      </w:r>
      <w:r w:rsidRPr="008E6173">
        <w:rPr>
          <w:rFonts w:ascii="Arial" w:eastAsia="Times New Roman" w:hAnsi="Arial" w:cs="Arial"/>
          <w:kern w:val="0"/>
          <w:sz w:val="20"/>
          <w:szCs w:val="20"/>
          <w:lang w:eastAsia="en-GB" w:bidi="bo-CN"/>
          <w14:ligatures w14:val="none"/>
        </w:rPr>
        <w:t xml:space="preserve"> enhance their response </w:t>
      </w:r>
      <w:r w:rsidR="001569DD">
        <w:rPr>
          <w:rFonts w:ascii="Arial" w:eastAsia="Times New Roman" w:hAnsi="Arial" w:cs="Arial"/>
          <w:kern w:val="0"/>
          <w:sz w:val="20"/>
          <w:szCs w:val="20"/>
          <w:lang w:eastAsia="en-GB" w:bidi="bo-CN"/>
          <w14:ligatures w14:val="none"/>
        </w:rPr>
        <w:t xml:space="preserve">for </w:t>
      </w:r>
      <w:r w:rsidRPr="008E6173">
        <w:rPr>
          <w:rFonts w:ascii="Arial" w:eastAsia="Times New Roman" w:hAnsi="Arial" w:cs="Arial"/>
          <w:kern w:val="0"/>
          <w:sz w:val="20"/>
          <w:szCs w:val="20"/>
          <w:lang w:eastAsia="en-GB" w:bidi="bo-CN"/>
          <w14:ligatures w14:val="none"/>
        </w:rPr>
        <w:t xml:space="preserve">the need </w:t>
      </w:r>
      <w:proofErr w:type="gramStart"/>
      <w:r w:rsidR="001569DD">
        <w:rPr>
          <w:rFonts w:ascii="Arial" w:eastAsia="Times New Roman" w:hAnsi="Arial" w:cs="Arial"/>
          <w:kern w:val="0"/>
          <w:sz w:val="20"/>
          <w:szCs w:val="20"/>
          <w:lang w:eastAsia="en-GB" w:bidi="bo-CN"/>
          <w14:ligatures w14:val="none"/>
        </w:rPr>
        <w:t xml:space="preserve">of </w:t>
      </w:r>
      <w:r w:rsidRPr="008E6173">
        <w:rPr>
          <w:rFonts w:ascii="Arial" w:eastAsia="Times New Roman" w:hAnsi="Arial" w:cs="Arial"/>
          <w:kern w:val="0"/>
          <w:sz w:val="20"/>
          <w:szCs w:val="20"/>
          <w:lang w:eastAsia="en-GB" w:bidi="bo-CN"/>
          <w14:ligatures w14:val="none"/>
        </w:rPr>
        <w:t xml:space="preserve"> early</w:t>
      </w:r>
      <w:proofErr w:type="gramEnd"/>
      <w:r w:rsidRPr="008E6173">
        <w:rPr>
          <w:rFonts w:ascii="Arial" w:eastAsia="Times New Roman" w:hAnsi="Arial" w:cs="Arial"/>
          <w:kern w:val="0"/>
          <w:sz w:val="20"/>
          <w:szCs w:val="20"/>
          <w:lang w:eastAsia="en-GB" w:bidi="bo-CN"/>
          <w14:ligatures w14:val="none"/>
        </w:rPr>
        <w:t xml:space="preserve"> intervention and prevention.</w:t>
      </w:r>
      <w:r w:rsidRPr="008E6173">
        <w:rPr>
          <w:rFonts w:ascii="Arial" w:hAnsi="Arial" w:cs="Arial"/>
          <w:sz w:val="20"/>
          <w:szCs w:val="20"/>
        </w:rPr>
        <w:t xml:space="preserve"> (</w:t>
      </w:r>
      <w:r w:rsidR="001F5068" w:rsidRPr="008E6173">
        <w:rPr>
          <w:rFonts w:ascii="Arial" w:hAnsi="Arial" w:cs="Arial"/>
          <w:sz w:val="20"/>
          <w:szCs w:val="20"/>
        </w:rPr>
        <w:t xml:space="preserve">NPCC, 2016). The NPCC 2025 vision aimed to develop a workforce capable of operating autonomously and with accountability, enabling police officers to </w:t>
      </w:r>
      <w:r w:rsidR="00014F0F" w:rsidRPr="008E6173">
        <w:rPr>
          <w:rFonts w:ascii="Arial" w:hAnsi="Arial" w:cs="Arial"/>
          <w:sz w:val="20"/>
          <w:szCs w:val="20"/>
        </w:rPr>
        <w:t>recognise</w:t>
      </w:r>
      <w:r w:rsidR="001F5068" w:rsidRPr="008E6173">
        <w:rPr>
          <w:rFonts w:ascii="Arial" w:hAnsi="Arial" w:cs="Arial"/>
          <w:sz w:val="20"/>
          <w:szCs w:val="20"/>
        </w:rPr>
        <w:t xml:space="preserve"> vulnerable people at the </w:t>
      </w:r>
      <w:r w:rsidR="00014F0F" w:rsidRPr="008E6173">
        <w:rPr>
          <w:rFonts w:ascii="Arial" w:hAnsi="Arial" w:cs="Arial"/>
          <w:sz w:val="20"/>
          <w:szCs w:val="20"/>
        </w:rPr>
        <w:t>promptest</w:t>
      </w:r>
      <w:r w:rsidR="001F5068" w:rsidRPr="008E6173">
        <w:rPr>
          <w:rFonts w:ascii="Arial" w:hAnsi="Arial" w:cs="Arial"/>
          <w:sz w:val="20"/>
          <w:szCs w:val="20"/>
        </w:rPr>
        <w:t xml:space="preserve"> </w:t>
      </w:r>
      <w:r w:rsidR="00014F0F" w:rsidRPr="008E6173">
        <w:rPr>
          <w:rFonts w:ascii="Arial" w:hAnsi="Arial" w:cs="Arial"/>
          <w:sz w:val="20"/>
          <w:szCs w:val="20"/>
        </w:rPr>
        <w:t>opening</w:t>
      </w:r>
      <w:r w:rsidR="001F5068" w:rsidRPr="008E6173">
        <w:rPr>
          <w:rFonts w:ascii="Arial" w:hAnsi="Arial" w:cs="Arial"/>
          <w:sz w:val="20"/>
          <w:szCs w:val="20"/>
        </w:rPr>
        <w:t xml:space="preserve"> and </w:t>
      </w:r>
      <w:r w:rsidR="00014F0F" w:rsidRPr="008E6173">
        <w:rPr>
          <w:rFonts w:ascii="Arial" w:hAnsi="Arial" w:cs="Arial"/>
          <w:sz w:val="20"/>
          <w:szCs w:val="20"/>
        </w:rPr>
        <w:lastRenderedPageBreak/>
        <w:t>decrease</w:t>
      </w:r>
      <w:r w:rsidR="001F5068" w:rsidRPr="008E6173">
        <w:rPr>
          <w:rFonts w:ascii="Arial" w:hAnsi="Arial" w:cs="Arial"/>
          <w:sz w:val="20"/>
          <w:szCs w:val="20"/>
        </w:rPr>
        <w:t xml:space="preserve"> harm risk through early intervention. </w:t>
      </w:r>
      <w:r w:rsidR="007E008A" w:rsidRPr="008E6173">
        <w:rPr>
          <w:rFonts w:ascii="Arial" w:hAnsi="Arial" w:cs="Arial"/>
          <w:sz w:val="20"/>
          <w:szCs w:val="20"/>
        </w:rPr>
        <w:t xml:space="preserve">The Home Office funded the Early Action Together </w:t>
      </w:r>
      <w:r w:rsidR="000D7FC5">
        <w:rPr>
          <w:rFonts w:ascii="Arial" w:hAnsi="Arial" w:cs="Arial"/>
          <w:sz w:val="20"/>
          <w:szCs w:val="20"/>
        </w:rPr>
        <w:t xml:space="preserve">(EAT) </w:t>
      </w:r>
      <w:r w:rsidR="007E008A" w:rsidRPr="008E6173">
        <w:rPr>
          <w:rFonts w:ascii="Arial" w:hAnsi="Arial" w:cs="Arial"/>
          <w:sz w:val="20"/>
          <w:szCs w:val="20"/>
        </w:rPr>
        <w:t>program from 2018 to 2020, assisting four Welsh police forces in developing an all-</w:t>
      </w:r>
      <w:r w:rsidR="002E6247" w:rsidRPr="008E6173">
        <w:rPr>
          <w:rFonts w:ascii="Arial" w:hAnsi="Arial" w:cs="Arial"/>
          <w:sz w:val="20"/>
          <w:szCs w:val="20"/>
        </w:rPr>
        <w:t xml:space="preserve">Wales </w:t>
      </w:r>
      <w:r w:rsidR="002E6247">
        <w:rPr>
          <w:rFonts w:ascii="Arial" w:hAnsi="Arial" w:cs="Arial"/>
          <w:sz w:val="20"/>
          <w:szCs w:val="20"/>
        </w:rPr>
        <w:t xml:space="preserve">holistic </w:t>
      </w:r>
      <w:r w:rsidR="007E008A" w:rsidRPr="008E6173">
        <w:rPr>
          <w:rFonts w:ascii="Arial" w:hAnsi="Arial" w:cs="Arial"/>
          <w:sz w:val="20"/>
          <w:szCs w:val="20"/>
        </w:rPr>
        <w:t xml:space="preserve">approach to </w:t>
      </w:r>
      <w:r w:rsidR="00AB6902" w:rsidRPr="008E6173">
        <w:rPr>
          <w:rFonts w:ascii="Arial" w:hAnsi="Arial" w:cs="Arial"/>
          <w:sz w:val="20"/>
          <w:szCs w:val="20"/>
        </w:rPr>
        <w:t>vulnerability. (</w:t>
      </w:r>
      <w:r w:rsidR="001F5068" w:rsidRPr="008E6173">
        <w:rPr>
          <w:rFonts w:ascii="Arial" w:hAnsi="Arial" w:cs="Arial"/>
          <w:sz w:val="20"/>
          <w:szCs w:val="20"/>
        </w:rPr>
        <w:t xml:space="preserve">Hardcastle, Bellis, and Hopkins, 2021). Frontline police and multi-agency staff received training to enhance their comprehension and reaction to ACES and trauma life course impacts. </w:t>
      </w:r>
      <w:r w:rsidR="00014F0F" w:rsidRPr="008E6173">
        <w:rPr>
          <w:rFonts w:ascii="Arial" w:eastAsia="Times New Roman" w:hAnsi="Arial" w:cs="Arial"/>
          <w:kern w:val="0"/>
          <w:sz w:val="20"/>
          <w:szCs w:val="20"/>
          <w:lang w:eastAsia="en-GB" w:bidi="bo-CN"/>
        </w:rPr>
        <w:t xml:space="preserve">The program aimed to improve service vulnerability by transforming police and partner agencies' responses beyond statutory safeguarding. It focused on early intervention and preventative action, developing a comprehensive system response for support when vulnerability </w:t>
      </w:r>
      <w:r w:rsidR="001569DD" w:rsidRPr="008E6173">
        <w:rPr>
          <w:rFonts w:ascii="Arial" w:eastAsia="Times New Roman" w:hAnsi="Arial" w:cs="Arial"/>
          <w:kern w:val="0"/>
          <w:sz w:val="20"/>
          <w:szCs w:val="20"/>
          <w:lang w:eastAsia="en-GB" w:bidi="bo-CN"/>
        </w:rPr>
        <w:t>f</w:t>
      </w:r>
      <w:r w:rsidR="001569DD">
        <w:rPr>
          <w:rFonts w:ascii="Arial" w:eastAsia="Times New Roman" w:hAnsi="Arial" w:cs="Arial"/>
          <w:kern w:val="0"/>
          <w:sz w:val="20"/>
          <w:szCs w:val="20"/>
          <w:lang w:eastAsia="en-GB" w:bidi="bo-CN"/>
        </w:rPr>
        <w:t xml:space="preserve">ell </w:t>
      </w:r>
      <w:r w:rsidR="001569DD" w:rsidRPr="008E6173">
        <w:rPr>
          <w:rFonts w:ascii="Arial" w:eastAsia="Times New Roman" w:hAnsi="Arial" w:cs="Arial"/>
          <w:kern w:val="0"/>
          <w:sz w:val="20"/>
          <w:szCs w:val="20"/>
          <w:lang w:eastAsia="en-GB" w:bidi="bo-CN"/>
        </w:rPr>
        <w:t>below</w:t>
      </w:r>
      <w:r w:rsidR="00014F0F" w:rsidRPr="008E6173">
        <w:rPr>
          <w:rFonts w:ascii="Arial" w:eastAsia="Times New Roman" w:hAnsi="Arial" w:cs="Arial"/>
          <w:kern w:val="0"/>
          <w:sz w:val="20"/>
          <w:szCs w:val="20"/>
          <w:lang w:eastAsia="en-GB" w:bidi="bo-CN"/>
        </w:rPr>
        <w:t xml:space="preserve"> statutory thresholds, and using community assets to create resources for local </w:t>
      </w:r>
      <w:r w:rsidR="00014F0F" w:rsidRPr="008E6173">
        <w:rPr>
          <w:rFonts w:ascii="Arial" w:hAnsi="Arial" w:cs="Arial"/>
          <w:sz w:val="20"/>
          <w:szCs w:val="20"/>
        </w:rPr>
        <w:t>communities. (</w:t>
      </w:r>
      <w:r w:rsidR="001F5068" w:rsidRPr="008E6173">
        <w:rPr>
          <w:rFonts w:ascii="Arial" w:hAnsi="Arial" w:cs="Arial"/>
          <w:sz w:val="20"/>
          <w:szCs w:val="20"/>
        </w:rPr>
        <w:t>Rodriguez et al., n.d.).</w:t>
      </w:r>
    </w:p>
    <w:p w14:paraId="14627C72" w14:textId="37727FFD" w:rsidR="001F5068" w:rsidRPr="008E6173" w:rsidRDefault="007E008A" w:rsidP="000313F5">
      <w:pPr>
        <w:spacing w:after="0" w:line="360" w:lineRule="auto"/>
        <w:jc w:val="both"/>
        <w:rPr>
          <w:rFonts w:ascii="Arial" w:eastAsia="Times New Roman" w:hAnsi="Arial" w:cs="Arial"/>
          <w:kern w:val="0"/>
          <w:sz w:val="20"/>
          <w:szCs w:val="20"/>
          <w:lang w:eastAsia="en-GB" w:bidi="bo-CN"/>
          <w14:ligatures w14:val="none"/>
        </w:rPr>
      </w:pPr>
      <w:r w:rsidRPr="007E008A">
        <w:rPr>
          <w:rFonts w:ascii="Arial" w:eastAsia="Times New Roman" w:hAnsi="Arial" w:cs="Arial"/>
          <w:kern w:val="0"/>
          <w:sz w:val="20"/>
          <w:szCs w:val="20"/>
          <w:lang w:eastAsia="en-GB" w:bidi="bo-CN"/>
          <w14:ligatures w14:val="none"/>
        </w:rPr>
        <w:t xml:space="preserve">Barnardo's provided a one-day training on ACEs, their </w:t>
      </w:r>
      <w:r w:rsidR="000313F5" w:rsidRPr="008E6173">
        <w:rPr>
          <w:rFonts w:ascii="Arial" w:eastAsia="Times New Roman" w:hAnsi="Arial" w:cs="Arial"/>
          <w:kern w:val="0"/>
          <w:sz w:val="20"/>
          <w:szCs w:val="20"/>
          <w:lang w:eastAsia="en-GB" w:bidi="bo-CN"/>
          <w14:ligatures w14:val="none"/>
        </w:rPr>
        <w:t>influence</w:t>
      </w:r>
      <w:r w:rsidRPr="007E008A">
        <w:rPr>
          <w:rFonts w:ascii="Arial" w:eastAsia="Times New Roman" w:hAnsi="Arial" w:cs="Arial"/>
          <w:kern w:val="0"/>
          <w:sz w:val="20"/>
          <w:szCs w:val="20"/>
          <w:lang w:eastAsia="en-GB" w:bidi="bo-CN"/>
          <w14:ligatures w14:val="none"/>
        </w:rPr>
        <w:t xml:space="preserve"> on development and behavioural </w:t>
      </w:r>
      <w:r w:rsidR="000313F5" w:rsidRPr="008E6173">
        <w:rPr>
          <w:rFonts w:ascii="Arial" w:eastAsia="Times New Roman" w:hAnsi="Arial" w:cs="Arial"/>
          <w:kern w:val="0"/>
          <w:sz w:val="20"/>
          <w:szCs w:val="20"/>
          <w:lang w:eastAsia="en-GB" w:bidi="bo-CN"/>
          <w14:ligatures w14:val="none"/>
        </w:rPr>
        <w:t>consequences</w:t>
      </w:r>
      <w:r w:rsidRPr="007E008A">
        <w:rPr>
          <w:rFonts w:ascii="Arial" w:eastAsia="Times New Roman" w:hAnsi="Arial" w:cs="Arial"/>
          <w:kern w:val="0"/>
          <w:sz w:val="20"/>
          <w:szCs w:val="20"/>
          <w:lang w:eastAsia="en-GB" w:bidi="bo-CN"/>
          <w14:ligatures w14:val="none"/>
        </w:rPr>
        <w:t xml:space="preserve">, and how to respond to ACEs in a police </w:t>
      </w:r>
      <w:r w:rsidR="000313F5" w:rsidRPr="008E6173">
        <w:rPr>
          <w:rFonts w:ascii="Arial" w:eastAsia="Times New Roman" w:hAnsi="Arial" w:cs="Arial"/>
          <w:kern w:val="0"/>
          <w:sz w:val="20"/>
          <w:szCs w:val="20"/>
          <w:lang w:eastAsia="en-GB" w:bidi="bo-CN"/>
          <w14:ligatures w14:val="none"/>
        </w:rPr>
        <w:t xml:space="preserve">setting. The </w:t>
      </w:r>
      <w:r w:rsidR="001569DD">
        <w:rPr>
          <w:rFonts w:ascii="Arial" w:eastAsia="Times New Roman" w:hAnsi="Arial" w:cs="Arial"/>
          <w:kern w:val="0"/>
          <w:sz w:val="20"/>
          <w:szCs w:val="20"/>
          <w:lang w:eastAsia="en-GB" w:bidi="bo-CN"/>
          <w14:ligatures w14:val="none"/>
        </w:rPr>
        <w:t xml:space="preserve">findings </w:t>
      </w:r>
      <w:proofErr w:type="gramStart"/>
      <w:r w:rsidR="001569DD" w:rsidRPr="008E6173">
        <w:rPr>
          <w:rFonts w:ascii="Arial" w:eastAsia="Times New Roman" w:hAnsi="Arial" w:cs="Arial"/>
          <w:kern w:val="0"/>
          <w:sz w:val="20"/>
          <w:szCs w:val="20"/>
          <w:lang w:eastAsia="en-GB" w:bidi="bo-CN"/>
          <w14:ligatures w14:val="none"/>
        </w:rPr>
        <w:t>reflects</w:t>
      </w:r>
      <w:proofErr w:type="gramEnd"/>
      <w:r w:rsidR="000313F5" w:rsidRPr="008E6173">
        <w:rPr>
          <w:rFonts w:ascii="Arial" w:eastAsia="Times New Roman" w:hAnsi="Arial" w:cs="Arial"/>
          <w:kern w:val="0"/>
          <w:sz w:val="20"/>
          <w:szCs w:val="20"/>
          <w:lang w:eastAsia="en-GB" w:bidi="bo-CN"/>
          <w14:ligatures w14:val="none"/>
        </w:rPr>
        <w:t xml:space="preserve"> on a previous evaluation of the ACE TIME training, which significantly enhanced police and MA partners' knowledge and practice in understanding and working with vulnerability and ACEs, with 81% of participants reporting confidence in responding to vulnerability using an ACE-informed approach.</w:t>
      </w:r>
      <w:r w:rsidR="001F5068" w:rsidRPr="008E6173">
        <w:rPr>
          <w:rFonts w:ascii="Arial" w:hAnsi="Arial" w:cs="Arial"/>
          <w:sz w:val="20"/>
          <w:szCs w:val="20"/>
        </w:rPr>
        <w:t xml:space="preserve">48% of police reported putting the training's knowledge into practice. 33% of police identified </w:t>
      </w:r>
      <w:r w:rsidR="000D7FC5" w:rsidRPr="008E6173">
        <w:rPr>
          <w:rFonts w:ascii="Arial" w:hAnsi="Arial" w:cs="Arial"/>
          <w:sz w:val="20"/>
          <w:szCs w:val="20"/>
        </w:rPr>
        <w:t>ACEs</w:t>
      </w:r>
      <w:r w:rsidR="000D7FC5">
        <w:rPr>
          <w:rFonts w:ascii="Arial" w:hAnsi="Arial" w:cs="Arial"/>
          <w:sz w:val="20"/>
          <w:szCs w:val="20"/>
        </w:rPr>
        <w:t xml:space="preserve"> and</w:t>
      </w:r>
      <w:r w:rsidR="001F5068" w:rsidRPr="008E6173">
        <w:rPr>
          <w:rFonts w:ascii="Arial" w:hAnsi="Arial" w:cs="Arial"/>
          <w:sz w:val="20"/>
          <w:szCs w:val="20"/>
        </w:rPr>
        <w:t xml:space="preserve"> were more aware of their public impact post-training.</w:t>
      </w:r>
      <w:r w:rsidR="00B24337" w:rsidRPr="008E6173">
        <w:rPr>
          <w:rFonts w:ascii="Arial" w:eastAsia="Times New Roman" w:hAnsi="Arial" w:cs="Arial"/>
          <w:kern w:val="0"/>
          <w:sz w:val="20"/>
          <w:szCs w:val="20"/>
          <w:lang w:eastAsia="en-GB" w:bidi="bo-CN"/>
          <w14:ligatures w14:val="none"/>
        </w:rPr>
        <w:t xml:space="preserve"> 39.2% of police and partners reported high confidence in working with ACEs 9-15 months after training.</w:t>
      </w:r>
      <w:r w:rsidR="001F5068" w:rsidRPr="008E6173">
        <w:rPr>
          <w:rFonts w:ascii="Arial" w:hAnsi="Arial" w:cs="Arial"/>
          <w:sz w:val="20"/>
          <w:szCs w:val="20"/>
        </w:rPr>
        <w:t xml:space="preserve"> </w:t>
      </w:r>
      <w:r w:rsidR="00B24337" w:rsidRPr="008E6173">
        <w:rPr>
          <w:rFonts w:ascii="Arial" w:hAnsi="Arial" w:cs="Arial"/>
          <w:sz w:val="20"/>
          <w:szCs w:val="20"/>
        </w:rPr>
        <w:t>T</w:t>
      </w:r>
      <w:r w:rsidR="00B24337" w:rsidRPr="008E6173">
        <w:rPr>
          <w:rFonts w:ascii="Arial" w:eastAsia="Times New Roman" w:hAnsi="Arial" w:cs="Arial"/>
          <w:kern w:val="0"/>
          <w:sz w:val="20"/>
          <w:szCs w:val="20"/>
          <w:lang w:eastAsia="en-GB" w:bidi="bo-CN"/>
          <w14:ligatures w14:val="none"/>
        </w:rPr>
        <w:t>he study found that MA partners and police ha</w:t>
      </w:r>
      <w:r w:rsidR="000D7FC5">
        <w:rPr>
          <w:rFonts w:ascii="Arial" w:eastAsia="Times New Roman" w:hAnsi="Arial" w:cs="Arial"/>
          <w:kern w:val="0"/>
          <w:sz w:val="20"/>
          <w:szCs w:val="20"/>
          <w:lang w:eastAsia="en-GB" w:bidi="bo-CN"/>
          <w14:ligatures w14:val="none"/>
        </w:rPr>
        <w:t>d</w:t>
      </w:r>
      <w:r w:rsidR="00B24337" w:rsidRPr="008E6173">
        <w:rPr>
          <w:rFonts w:ascii="Arial" w:eastAsia="Times New Roman" w:hAnsi="Arial" w:cs="Arial"/>
          <w:kern w:val="0"/>
          <w:sz w:val="20"/>
          <w:szCs w:val="20"/>
          <w:lang w:eastAsia="en-GB" w:bidi="bo-CN"/>
          <w14:ligatures w14:val="none"/>
        </w:rPr>
        <w:t xml:space="preserve"> a higher confidence level than police, and 46.5% of them are highly confident in working with vulnerable individuals after training. The training package, which was completed by 80.7% of police and MA partners, enabled them to confidently respond to vulnerabilities using an ACE-informed approach nine</w:t>
      </w:r>
      <w:r w:rsidR="000313F5" w:rsidRPr="008E6173">
        <w:rPr>
          <w:rFonts w:ascii="Arial" w:eastAsia="Times New Roman" w:hAnsi="Arial" w:cs="Arial"/>
          <w:kern w:val="0"/>
          <w:sz w:val="20"/>
          <w:szCs w:val="20"/>
          <w:lang w:eastAsia="en-GB" w:bidi="bo-CN"/>
          <w14:ligatures w14:val="none"/>
        </w:rPr>
        <w:t xml:space="preserve"> </w:t>
      </w:r>
      <w:r w:rsidR="00B24337" w:rsidRPr="008E6173">
        <w:rPr>
          <w:rFonts w:ascii="Arial" w:eastAsia="Times New Roman" w:hAnsi="Arial" w:cs="Arial"/>
          <w:kern w:val="0"/>
          <w:sz w:val="20"/>
          <w:szCs w:val="20"/>
          <w:lang w:eastAsia="en-GB" w:bidi="bo-CN"/>
          <w14:ligatures w14:val="none"/>
        </w:rPr>
        <w:t>to fifteen months later</w:t>
      </w:r>
      <w:r w:rsidR="00B24337" w:rsidRPr="008E6173">
        <w:rPr>
          <w:rFonts w:ascii="Arial" w:hAnsi="Arial" w:cs="Arial"/>
          <w:sz w:val="20"/>
          <w:szCs w:val="20"/>
        </w:rPr>
        <w:t xml:space="preserve"> (</w:t>
      </w:r>
      <w:r w:rsidR="001F5068" w:rsidRPr="008E6173">
        <w:rPr>
          <w:rFonts w:ascii="Arial" w:hAnsi="Arial" w:cs="Arial"/>
          <w:sz w:val="20"/>
          <w:szCs w:val="20"/>
        </w:rPr>
        <w:t>Rodriguez et al., n.d.</w:t>
      </w:r>
      <w:r w:rsidR="00AB6902" w:rsidRPr="008E6173">
        <w:rPr>
          <w:rFonts w:ascii="Arial" w:hAnsi="Arial" w:cs="Arial"/>
          <w:sz w:val="20"/>
          <w:szCs w:val="20"/>
        </w:rPr>
        <w:t>)</w:t>
      </w:r>
      <w:r w:rsidR="00AB6902">
        <w:rPr>
          <w:rFonts w:ascii="Arial" w:hAnsi="Arial" w:cs="Arial"/>
          <w:sz w:val="20"/>
          <w:szCs w:val="20"/>
        </w:rPr>
        <w:t xml:space="preserve">. This clearly </w:t>
      </w:r>
      <w:r w:rsidR="00B91562">
        <w:rPr>
          <w:rFonts w:ascii="Arial" w:hAnsi="Arial" w:cs="Arial"/>
          <w:sz w:val="20"/>
          <w:szCs w:val="20"/>
        </w:rPr>
        <w:t>shows that</w:t>
      </w:r>
      <w:r w:rsidR="00AB6902">
        <w:rPr>
          <w:rFonts w:ascii="Arial" w:hAnsi="Arial" w:cs="Arial"/>
          <w:sz w:val="20"/>
          <w:szCs w:val="20"/>
        </w:rPr>
        <w:t xml:space="preserve"> the ACE training has improved the confidence of police officers when responding to </w:t>
      </w:r>
      <w:r w:rsidR="00B91562">
        <w:rPr>
          <w:rFonts w:ascii="Arial" w:hAnsi="Arial" w:cs="Arial"/>
          <w:sz w:val="20"/>
          <w:szCs w:val="20"/>
        </w:rPr>
        <w:t>vulnerabilities by</w:t>
      </w:r>
      <w:r w:rsidR="00AB6902">
        <w:rPr>
          <w:rFonts w:ascii="Arial" w:hAnsi="Arial" w:cs="Arial"/>
          <w:sz w:val="20"/>
          <w:szCs w:val="20"/>
        </w:rPr>
        <w:t xml:space="preserve"> using the ACE informed training</w:t>
      </w:r>
      <w:r w:rsidR="00B91562">
        <w:rPr>
          <w:rFonts w:ascii="Arial" w:hAnsi="Arial" w:cs="Arial"/>
          <w:sz w:val="20"/>
          <w:szCs w:val="20"/>
        </w:rPr>
        <w:t xml:space="preserve">, </w:t>
      </w:r>
      <w:r w:rsidR="002E6247">
        <w:rPr>
          <w:rFonts w:ascii="Arial" w:hAnsi="Arial" w:cs="Arial"/>
          <w:sz w:val="20"/>
          <w:szCs w:val="20"/>
        </w:rPr>
        <w:t>however,</w:t>
      </w:r>
      <w:r w:rsidR="00B91562">
        <w:rPr>
          <w:rFonts w:ascii="Arial" w:hAnsi="Arial" w:cs="Arial"/>
          <w:sz w:val="20"/>
          <w:szCs w:val="20"/>
        </w:rPr>
        <w:t xml:space="preserve"> there </w:t>
      </w:r>
      <w:r w:rsidR="000D7FC5">
        <w:rPr>
          <w:rFonts w:ascii="Arial" w:hAnsi="Arial" w:cs="Arial"/>
          <w:sz w:val="20"/>
          <w:szCs w:val="20"/>
        </w:rPr>
        <w:t>has been</w:t>
      </w:r>
      <w:r w:rsidR="00B91562">
        <w:rPr>
          <w:rFonts w:ascii="Arial" w:hAnsi="Arial" w:cs="Arial"/>
          <w:sz w:val="20"/>
          <w:szCs w:val="20"/>
        </w:rPr>
        <w:t xml:space="preserve"> a big intake of new officers since 2020 and there is no research out there stating that they have </w:t>
      </w:r>
      <w:r w:rsidR="002E6247">
        <w:rPr>
          <w:rFonts w:ascii="Arial" w:hAnsi="Arial" w:cs="Arial"/>
          <w:sz w:val="20"/>
          <w:szCs w:val="20"/>
        </w:rPr>
        <w:t>had training</w:t>
      </w:r>
      <w:r w:rsidR="00B91562">
        <w:rPr>
          <w:rFonts w:ascii="Arial" w:hAnsi="Arial" w:cs="Arial"/>
          <w:sz w:val="20"/>
          <w:szCs w:val="20"/>
        </w:rPr>
        <w:t xml:space="preserve"> on </w:t>
      </w:r>
      <w:r w:rsidR="002E6247">
        <w:rPr>
          <w:rFonts w:ascii="Arial" w:hAnsi="Arial" w:cs="Arial"/>
          <w:sz w:val="20"/>
          <w:szCs w:val="20"/>
        </w:rPr>
        <w:t>ACES.</w:t>
      </w:r>
    </w:p>
    <w:p w14:paraId="214CD50B" w14:textId="77777777"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 </w:t>
      </w:r>
    </w:p>
    <w:p w14:paraId="1B95C03E" w14:textId="5F77D8E2"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 xml:space="preserve">Despite extensive study on poor childhood experiences, there remains little data about the efficacy of early intervention. Are the police and agencies effectively detecting the evident connection between ACEs and crime, and are they sufficiently implementing early intervention measures? Are police officers getting regular training to recognize the signs of ACES? There has been a lack of research on this since 2020. Research priorities and the evidence base still exhibit deficiencies. These entail formulating and, more importantly, assessing solutions. They also encompass the ability to identify and assess risk in children who have had ACEs. Significant gaps encompass a deeper examination of specific developmental phases, the potential impact of teaching resilience in schools, and the presence of external difficulties beyond the family environment. These adverse effects may arise when children affected by ACEs lack appropriate early assistance, increasing the probability of a behavioural cycle that culminates in crime. Existing research predominantly emphasizes physiological studies rather than interventions at the community level, where they are necessary. Lorenc et al. 2020, pp. 1-10, proved that while experimental and qualitative research suggests that individuals exposed to ACEs, particularly </w:t>
      </w:r>
      <w:r w:rsidRPr="008E6173">
        <w:rPr>
          <w:rFonts w:ascii="Arial" w:hAnsi="Arial" w:cs="Arial"/>
          <w:sz w:val="20"/>
          <w:szCs w:val="20"/>
        </w:rPr>
        <w:lastRenderedPageBreak/>
        <w:t xml:space="preserve">multiple ACEs, frequently exhibit complex requirements, the assessment literature provides little information on the optimal methods to meet these </w:t>
      </w:r>
      <w:r w:rsidR="00B91562" w:rsidRPr="008E6173">
        <w:rPr>
          <w:rFonts w:ascii="Arial" w:hAnsi="Arial" w:cs="Arial"/>
          <w:sz w:val="20"/>
          <w:szCs w:val="20"/>
        </w:rPr>
        <w:t>needs.</w:t>
      </w:r>
      <w:r w:rsidR="00B91562">
        <w:rPr>
          <w:rFonts w:ascii="Arial" w:hAnsi="Arial" w:cs="Arial"/>
          <w:sz w:val="20"/>
          <w:szCs w:val="20"/>
        </w:rPr>
        <w:t xml:space="preserve"> </w:t>
      </w:r>
    </w:p>
    <w:p w14:paraId="5AFCDBAB" w14:textId="77777777" w:rsidR="001F5068" w:rsidRPr="008E6173" w:rsidRDefault="001F5068" w:rsidP="001F5068">
      <w:pPr>
        <w:pStyle w:val="NormalWeb"/>
        <w:spacing w:line="360" w:lineRule="auto"/>
        <w:jc w:val="both"/>
        <w:rPr>
          <w:rFonts w:ascii="Arial" w:hAnsi="Arial" w:cs="Arial"/>
          <w:sz w:val="20"/>
          <w:szCs w:val="20"/>
        </w:rPr>
      </w:pPr>
      <w:r w:rsidRPr="008E6173">
        <w:rPr>
          <w:rStyle w:val="Strong"/>
          <w:rFonts w:ascii="Arial" w:eastAsiaTheme="majorEastAsia" w:hAnsi="Arial" w:cs="Arial"/>
          <w:sz w:val="20"/>
          <w:szCs w:val="20"/>
        </w:rPr>
        <w:t> </w:t>
      </w:r>
    </w:p>
    <w:p w14:paraId="627D4AD3" w14:textId="5CE585B2" w:rsidR="00BD6D73" w:rsidRPr="00BD6D73" w:rsidRDefault="001F5068" w:rsidP="00BD6D73">
      <w:pPr>
        <w:spacing w:line="360" w:lineRule="auto"/>
        <w:jc w:val="both"/>
        <w:rPr>
          <w:rFonts w:ascii="Arial" w:hAnsi="Arial" w:cs="Arial"/>
          <w:sz w:val="20"/>
          <w:szCs w:val="20"/>
        </w:rPr>
      </w:pPr>
      <w:r w:rsidRPr="008E6173">
        <w:rPr>
          <w:rFonts w:ascii="Arial" w:hAnsi="Arial" w:cs="Arial"/>
          <w:sz w:val="20"/>
          <w:szCs w:val="20"/>
        </w:rPr>
        <w:t xml:space="preserve">The literature has well established the correlation between ACEs and criminality, emphasizing the need for comprehensive strategies that address the root causes of both childhood trauma and criminal </w:t>
      </w:r>
      <w:r w:rsidR="00BD6D73" w:rsidRPr="008E6173">
        <w:rPr>
          <w:rFonts w:ascii="Arial" w:hAnsi="Arial" w:cs="Arial"/>
          <w:sz w:val="20"/>
          <w:szCs w:val="20"/>
        </w:rPr>
        <w:t>behaviour</w:t>
      </w:r>
      <w:r w:rsidR="00BD6D73">
        <w:rPr>
          <w:rFonts w:ascii="Arial" w:hAnsi="Arial" w:cs="Arial"/>
          <w:sz w:val="20"/>
          <w:szCs w:val="20"/>
        </w:rPr>
        <w:t xml:space="preserve"> by providing early intervention. Further</w:t>
      </w:r>
      <w:r w:rsidR="000313F5" w:rsidRPr="008E6173">
        <w:rPr>
          <w:rFonts w:ascii="Arial" w:eastAsia="Times New Roman" w:hAnsi="Arial" w:cs="Arial"/>
          <w:kern w:val="0"/>
          <w:sz w:val="20"/>
          <w:szCs w:val="20"/>
          <w:lang w:eastAsia="en-GB" w:bidi="bo-CN"/>
          <w14:ligatures w14:val="none"/>
        </w:rPr>
        <w:t xml:space="preserve"> research is needed to understand the prevalence of ACEs and their correlation with offending and intergenerational cycles in female offender populations in the UK. </w:t>
      </w:r>
      <w:r w:rsidRPr="008E6173">
        <w:rPr>
          <w:rFonts w:ascii="Arial" w:hAnsi="Arial" w:cs="Arial"/>
          <w:sz w:val="20"/>
          <w:szCs w:val="20"/>
        </w:rPr>
        <w:t xml:space="preserve">Future research ought to </w:t>
      </w:r>
      <w:r w:rsidR="000313F5" w:rsidRPr="008E6173">
        <w:rPr>
          <w:rFonts w:ascii="Arial" w:hAnsi="Arial" w:cs="Arial"/>
          <w:sz w:val="20"/>
          <w:szCs w:val="20"/>
        </w:rPr>
        <w:t>essence</w:t>
      </w:r>
      <w:r w:rsidRPr="008E6173">
        <w:rPr>
          <w:rFonts w:ascii="Arial" w:hAnsi="Arial" w:cs="Arial"/>
          <w:sz w:val="20"/>
          <w:szCs w:val="20"/>
        </w:rPr>
        <w:t xml:space="preserve"> on longitudinal studies that monitor the effects of certain types of ACEs across time, along with intervention studies that evaluate the efficacy of trauma-informed care in mitigating criminal behaviour.</w:t>
      </w:r>
      <w:r w:rsidR="00BD6D73" w:rsidRPr="00BD6D73">
        <w:rPr>
          <w:rFonts w:ascii="Times New Roman" w:eastAsia="Times New Roman" w:hAnsi="Times New Roman" w:cs="Times New Roman"/>
          <w:kern w:val="0"/>
          <w:sz w:val="24"/>
          <w:szCs w:val="24"/>
          <w:lang w:eastAsia="en-GB" w:bidi="bo-CN"/>
          <w14:ligatures w14:val="none"/>
        </w:rPr>
        <w:t xml:space="preserve"> </w:t>
      </w:r>
      <w:r w:rsidR="00BD6D73" w:rsidRPr="00BD6D73">
        <w:rPr>
          <w:rFonts w:ascii="Arial" w:hAnsi="Arial" w:cs="Arial"/>
          <w:sz w:val="20"/>
          <w:szCs w:val="20"/>
        </w:rPr>
        <w:t xml:space="preserve">The ramifications of this research unequivocally validate the established research question and elucidate the necessity for its investigation, as the dissertation will not only assess the correlation between  (ACEs) and criminality within the South Wales Police Force but also determine the perspectives of the police and multi-agency stakeholders, thereby proposing various strategies to enhance this outlook for the specific force; consequently, offering a comprehensive rationale for the research. </w:t>
      </w:r>
      <w:r w:rsidR="00BD6D73" w:rsidRPr="008E6173">
        <w:rPr>
          <w:rFonts w:ascii="Arial" w:hAnsi="Arial" w:cs="Arial"/>
          <w:sz w:val="20"/>
          <w:szCs w:val="20"/>
        </w:rPr>
        <w:t>Comprehending the intricacies of this link can guide policy and practice aimed at breaking the cycle of trauma and crime</w:t>
      </w:r>
      <w:r w:rsidR="00BD6D73">
        <w:rPr>
          <w:rFonts w:ascii="Arial" w:hAnsi="Arial" w:cs="Arial"/>
          <w:sz w:val="20"/>
          <w:szCs w:val="20"/>
        </w:rPr>
        <w:t>.</w:t>
      </w:r>
    </w:p>
    <w:p w14:paraId="31842476" w14:textId="7BAC6953" w:rsidR="001F5068" w:rsidRPr="008E6173" w:rsidRDefault="001F5068" w:rsidP="000313F5">
      <w:pPr>
        <w:spacing w:line="360" w:lineRule="auto"/>
        <w:jc w:val="both"/>
        <w:rPr>
          <w:rFonts w:ascii="Arial" w:eastAsia="Times New Roman" w:hAnsi="Arial" w:cs="Arial"/>
          <w:kern w:val="0"/>
          <w:sz w:val="20"/>
          <w:szCs w:val="20"/>
          <w:lang w:eastAsia="en-GB" w:bidi="bo-CN"/>
          <w14:ligatures w14:val="none"/>
        </w:rPr>
      </w:pPr>
    </w:p>
    <w:p w14:paraId="35778794" w14:textId="77777777"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 </w:t>
      </w:r>
    </w:p>
    <w:p w14:paraId="459901E5" w14:textId="77777777" w:rsidR="001F5068" w:rsidRPr="008E6173" w:rsidRDefault="001F5068" w:rsidP="001F5068">
      <w:pPr>
        <w:pStyle w:val="NormalWeb"/>
        <w:spacing w:line="360" w:lineRule="auto"/>
        <w:jc w:val="both"/>
        <w:rPr>
          <w:rFonts w:ascii="Arial" w:hAnsi="Arial" w:cs="Arial"/>
          <w:sz w:val="20"/>
          <w:szCs w:val="20"/>
        </w:rPr>
      </w:pPr>
      <w:r w:rsidRPr="008E6173">
        <w:rPr>
          <w:rFonts w:ascii="Arial" w:hAnsi="Arial" w:cs="Arial"/>
          <w:sz w:val="20"/>
          <w:szCs w:val="20"/>
        </w:rPr>
        <w:t> </w:t>
      </w:r>
    </w:p>
    <w:p w14:paraId="19EA92D3" w14:textId="77777777" w:rsidR="001F5068" w:rsidRPr="001F5068" w:rsidRDefault="001F5068" w:rsidP="001F5068">
      <w:pPr>
        <w:pStyle w:val="NormalWeb"/>
        <w:spacing w:line="360" w:lineRule="auto"/>
        <w:jc w:val="both"/>
        <w:rPr>
          <w:rFonts w:ascii="Arial" w:hAnsi="Arial" w:cs="Arial"/>
        </w:rPr>
      </w:pPr>
      <w:r w:rsidRPr="001F5068">
        <w:rPr>
          <w:rFonts w:ascii="Arial" w:hAnsi="Arial" w:cs="Arial"/>
        </w:rPr>
        <w:t>Word count</w:t>
      </w:r>
    </w:p>
    <w:p w14:paraId="570F59F4" w14:textId="78740493" w:rsidR="001F5068" w:rsidRPr="001F5068" w:rsidRDefault="001F5068" w:rsidP="001F5068">
      <w:pPr>
        <w:pStyle w:val="NormalWeb"/>
        <w:spacing w:line="360" w:lineRule="auto"/>
        <w:jc w:val="both"/>
        <w:rPr>
          <w:rFonts w:ascii="Arial" w:hAnsi="Arial" w:cs="Arial"/>
        </w:rPr>
      </w:pPr>
      <w:r w:rsidRPr="001F5068">
        <w:rPr>
          <w:rFonts w:ascii="Arial" w:hAnsi="Arial" w:cs="Arial"/>
        </w:rPr>
        <w:t>2</w:t>
      </w:r>
      <w:r w:rsidR="00BD6D73">
        <w:rPr>
          <w:rFonts w:ascii="Arial" w:hAnsi="Arial" w:cs="Arial"/>
        </w:rPr>
        <w:t>4</w:t>
      </w:r>
      <w:r w:rsidR="001569DD">
        <w:rPr>
          <w:rFonts w:ascii="Arial" w:hAnsi="Arial" w:cs="Arial"/>
        </w:rPr>
        <w:t>64</w:t>
      </w:r>
    </w:p>
    <w:p w14:paraId="02FAD36A" w14:textId="77777777" w:rsidR="001F5068" w:rsidRPr="001F5068" w:rsidRDefault="001F5068" w:rsidP="001F5068">
      <w:pPr>
        <w:pStyle w:val="NormalWeb"/>
        <w:spacing w:line="360" w:lineRule="auto"/>
        <w:jc w:val="both"/>
        <w:rPr>
          <w:rFonts w:ascii="Arial" w:hAnsi="Arial" w:cs="Arial"/>
        </w:rPr>
      </w:pPr>
      <w:r w:rsidRPr="001F5068">
        <w:rPr>
          <w:rFonts w:ascii="Arial" w:hAnsi="Arial" w:cs="Arial"/>
        </w:rPr>
        <w:t> </w:t>
      </w:r>
    </w:p>
    <w:p w14:paraId="6B8D40F4" w14:textId="77777777" w:rsidR="001F5068" w:rsidRPr="001F5068" w:rsidRDefault="001F5068" w:rsidP="001F5068">
      <w:pPr>
        <w:pStyle w:val="NormalWeb"/>
        <w:spacing w:line="360" w:lineRule="auto"/>
        <w:jc w:val="both"/>
        <w:rPr>
          <w:rFonts w:ascii="Arial" w:hAnsi="Arial" w:cs="Arial"/>
        </w:rPr>
      </w:pPr>
      <w:r w:rsidRPr="001F5068">
        <w:rPr>
          <w:rFonts w:ascii="Arial" w:hAnsi="Arial" w:cs="Arial"/>
        </w:rPr>
        <w:t> </w:t>
      </w:r>
    </w:p>
    <w:p w14:paraId="2501BA5E" w14:textId="77777777" w:rsidR="001F5068" w:rsidRPr="001F5068" w:rsidRDefault="001F5068" w:rsidP="001F5068">
      <w:pPr>
        <w:pStyle w:val="NormalWeb"/>
        <w:jc w:val="both"/>
        <w:rPr>
          <w:rFonts w:ascii="Arial" w:hAnsi="Arial" w:cs="Arial"/>
        </w:rPr>
      </w:pPr>
      <w:r w:rsidRPr="001F5068">
        <w:rPr>
          <w:rFonts w:ascii="Arial" w:hAnsi="Arial" w:cs="Arial"/>
        </w:rPr>
        <w:t> </w:t>
      </w:r>
    </w:p>
    <w:p w14:paraId="4E577DF1" w14:textId="77777777" w:rsidR="001F5068" w:rsidRDefault="001F5068" w:rsidP="001F5068">
      <w:pPr>
        <w:pStyle w:val="NormalWeb"/>
      </w:pPr>
      <w:r>
        <w:rPr>
          <w:rStyle w:val="Strong"/>
          <w:rFonts w:eastAsiaTheme="majorEastAsia"/>
        </w:rPr>
        <w:t xml:space="preserve">References </w:t>
      </w:r>
    </w:p>
    <w:p w14:paraId="0D875F92" w14:textId="77777777" w:rsidR="001F5068" w:rsidRDefault="001F5068" w:rsidP="001F5068">
      <w:pPr>
        <w:pStyle w:val="NormalWeb"/>
      </w:pPr>
      <w:r>
        <w:rPr>
          <w:rStyle w:val="Strong"/>
          <w:rFonts w:eastAsiaTheme="majorEastAsia"/>
        </w:rPr>
        <w:t> </w:t>
      </w:r>
    </w:p>
    <w:p w14:paraId="1D6A0F6D"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Bandura, A. (1977). </w:t>
      </w:r>
      <w:r w:rsidRPr="000C6C81">
        <w:rPr>
          <w:rStyle w:val="Emphasis"/>
          <w:rFonts w:ascii="Arial" w:eastAsiaTheme="majorEastAsia" w:hAnsi="Arial" w:cs="Arial"/>
          <w:sz w:val="20"/>
          <w:szCs w:val="20"/>
        </w:rPr>
        <w:t>Social Learning Theory</w:t>
      </w:r>
      <w:r w:rsidRPr="000C6C81">
        <w:rPr>
          <w:rFonts w:ascii="Arial" w:hAnsi="Arial" w:cs="Arial"/>
          <w:sz w:val="20"/>
          <w:szCs w:val="20"/>
        </w:rPr>
        <w:t>. Englewood Cliffs, NJ: Prentice-Hall</w:t>
      </w:r>
    </w:p>
    <w:p w14:paraId="5B44CB52" w14:textId="084976E3" w:rsidR="001F5068" w:rsidRPr="000C6C81" w:rsidRDefault="001F5068" w:rsidP="001F5068">
      <w:pPr>
        <w:pStyle w:val="NormalWeb"/>
        <w:rPr>
          <w:rFonts w:ascii="Arial" w:hAnsi="Arial" w:cs="Arial"/>
          <w:sz w:val="20"/>
          <w:szCs w:val="20"/>
        </w:rPr>
      </w:pPr>
      <w:r w:rsidRPr="000C6C81">
        <w:rPr>
          <w:rFonts w:ascii="Arial" w:hAnsi="Arial" w:cs="Arial"/>
          <w:sz w:val="20"/>
          <w:szCs w:val="20"/>
        </w:rPr>
        <w:t> Bellis, M.A., Hughes, K., Leckenby, N., Perkins, C., and Lowey, H. (2014). National Household Survey of Adverse Childhood Experiences and Their Relationship with Resilience to Health-</w:t>
      </w:r>
      <w:r w:rsidRPr="000C6C81">
        <w:rPr>
          <w:rFonts w:ascii="Arial" w:hAnsi="Arial" w:cs="Arial"/>
          <w:sz w:val="20"/>
          <w:szCs w:val="20"/>
        </w:rPr>
        <w:lastRenderedPageBreak/>
        <w:t xml:space="preserve">Hazarding Behaviours in England. </w:t>
      </w:r>
      <w:r w:rsidRPr="000C6C81">
        <w:rPr>
          <w:rStyle w:val="Emphasis"/>
          <w:rFonts w:ascii="Arial" w:eastAsiaTheme="majorEastAsia" w:hAnsi="Arial" w:cs="Arial"/>
          <w:sz w:val="20"/>
          <w:szCs w:val="20"/>
        </w:rPr>
        <w:t>BMC Medicine</w:t>
      </w:r>
      <w:r w:rsidRPr="000C6C81">
        <w:rPr>
          <w:rFonts w:ascii="Arial" w:hAnsi="Arial" w:cs="Arial"/>
          <w:sz w:val="20"/>
          <w:szCs w:val="20"/>
        </w:rPr>
        <w:t xml:space="preserve">, [online] 12(1). </w:t>
      </w:r>
      <w:proofErr w:type="spellStart"/>
      <w:r w:rsidRPr="000C6C81">
        <w:rPr>
          <w:rFonts w:ascii="Arial" w:hAnsi="Arial" w:cs="Arial"/>
          <w:sz w:val="20"/>
          <w:szCs w:val="20"/>
        </w:rPr>
        <w:t>doi</w:t>
      </w:r>
      <w:proofErr w:type="spellEnd"/>
      <w:r w:rsidRPr="000C6C81">
        <w:rPr>
          <w:rFonts w:ascii="Arial" w:hAnsi="Arial" w:cs="Arial"/>
          <w:sz w:val="20"/>
          <w:szCs w:val="20"/>
        </w:rPr>
        <w:t>: https://doi.org/10.1186/1741-7015-12-72</w:t>
      </w:r>
    </w:p>
    <w:p w14:paraId="7938FB47"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on 20</w:t>
      </w:r>
      <w:r w:rsidRPr="000C6C81">
        <w:rPr>
          <w:rFonts w:ascii="Arial" w:hAnsi="Arial" w:cs="Arial"/>
          <w:sz w:val="20"/>
          <w:szCs w:val="20"/>
          <w:vertAlign w:val="superscript"/>
        </w:rPr>
        <w:t>th</w:t>
      </w:r>
      <w:r w:rsidRPr="000C6C81">
        <w:rPr>
          <w:rFonts w:ascii="Arial" w:hAnsi="Arial" w:cs="Arial"/>
          <w:sz w:val="20"/>
          <w:szCs w:val="20"/>
        </w:rPr>
        <w:t xml:space="preserve"> of October 2024)</w:t>
      </w:r>
    </w:p>
    <w:p w14:paraId="1A0CC19D"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Boulton, L., McManus, M., Metcalfe, L. &amp; Brian, D. (2017). Calls for police service: Understanding the demand profile and the UK police response. The Police Journal: Theory, Practice, and Principles, 90(1), 70-85</w:t>
      </w:r>
    </w:p>
    <w:p w14:paraId="39206354" w14:textId="056290D9" w:rsidR="001F5068" w:rsidRPr="000C6C81" w:rsidRDefault="001F5068" w:rsidP="001F5068">
      <w:pPr>
        <w:pStyle w:val="NormalWeb"/>
        <w:rPr>
          <w:rFonts w:ascii="Arial" w:hAnsi="Arial" w:cs="Arial"/>
          <w:sz w:val="20"/>
          <w:szCs w:val="20"/>
        </w:rPr>
      </w:pPr>
      <w:r w:rsidRPr="000C6C81">
        <w:rPr>
          <w:rFonts w:ascii="Arial" w:hAnsi="Arial" w:cs="Arial"/>
          <w:sz w:val="20"/>
          <w:szCs w:val="20"/>
        </w:rPr>
        <w:t> Centres for Disease Control and Prevention (2024). </w:t>
      </w:r>
      <w:r w:rsidRPr="000C6C81">
        <w:rPr>
          <w:rStyle w:val="Emphasis"/>
          <w:rFonts w:ascii="Arial" w:eastAsiaTheme="majorEastAsia" w:hAnsi="Arial" w:cs="Arial"/>
          <w:sz w:val="20"/>
          <w:szCs w:val="20"/>
        </w:rPr>
        <w:t>About Adverse Childhood Experiences</w:t>
      </w:r>
      <w:r w:rsidRPr="000C6C81">
        <w:rPr>
          <w:rFonts w:ascii="Arial" w:hAnsi="Arial" w:cs="Arial"/>
          <w:sz w:val="20"/>
          <w:szCs w:val="20"/>
        </w:rPr>
        <w:t xml:space="preserve">. [online] U.S. Centres for Disease Control and Prevention. Available at: </w:t>
      </w:r>
      <w:hyperlink r:id="rId4" w:history="1">
        <w:r w:rsidRPr="000C6C81">
          <w:rPr>
            <w:rStyle w:val="Hyperlink"/>
            <w:rFonts w:ascii="Arial" w:eastAsiaTheme="majorEastAsia" w:hAnsi="Arial" w:cs="Arial"/>
            <w:sz w:val="20"/>
            <w:szCs w:val="20"/>
          </w:rPr>
          <w:t>https://www.cdc.gov/aces/about/index.html</w:t>
        </w:r>
      </w:hyperlink>
      <w:r w:rsidRPr="000C6C81">
        <w:rPr>
          <w:rFonts w:ascii="Arial" w:hAnsi="Arial" w:cs="Arial"/>
          <w:sz w:val="20"/>
          <w:szCs w:val="20"/>
        </w:rPr>
        <w:t>.</w:t>
      </w:r>
    </w:p>
    <w:p w14:paraId="2A8F4D95"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on 7</w:t>
      </w:r>
      <w:r w:rsidRPr="000C6C81">
        <w:rPr>
          <w:rFonts w:ascii="Arial" w:hAnsi="Arial" w:cs="Arial"/>
          <w:sz w:val="20"/>
          <w:szCs w:val="20"/>
          <w:vertAlign w:val="superscript"/>
        </w:rPr>
        <w:t>th</w:t>
      </w:r>
      <w:r w:rsidRPr="000C6C81">
        <w:rPr>
          <w:rFonts w:ascii="Arial" w:hAnsi="Arial" w:cs="Arial"/>
          <w:sz w:val="20"/>
          <w:szCs w:val="20"/>
        </w:rPr>
        <w:t xml:space="preserve"> of October 2024)</w:t>
      </w:r>
    </w:p>
    <w:p w14:paraId="550197EF" w14:textId="315B9905" w:rsidR="001F5068" w:rsidRPr="000C6C81" w:rsidRDefault="001F5068" w:rsidP="001F5068">
      <w:pPr>
        <w:pStyle w:val="NormalWeb"/>
        <w:rPr>
          <w:rFonts w:ascii="Arial" w:hAnsi="Arial" w:cs="Arial"/>
          <w:sz w:val="20"/>
          <w:szCs w:val="20"/>
        </w:rPr>
      </w:pPr>
      <w:r w:rsidRPr="000C6C81">
        <w:rPr>
          <w:rFonts w:ascii="Arial" w:hAnsi="Arial" w:cs="Arial"/>
          <w:sz w:val="20"/>
          <w:szCs w:val="20"/>
        </w:rPr>
        <w:t> College of Policing (2018). </w:t>
      </w:r>
      <w:r w:rsidRPr="000C6C81">
        <w:rPr>
          <w:rStyle w:val="Emphasis"/>
          <w:rFonts w:ascii="Arial" w:eastAsiaTheme="majorEastAsia" w:hAnsi="Arial" w:cs="Arial"/>
          <w:sz w:val="20"/>
          <w:szCs w:val="20"/>
        </w:rPr>
        <w:t xml:space="preserve">Responding to trauma in police A practical guide Better Professionals for Better Policing for Better </w:t>
      </w:r>
      <w:proofErr w:type="spellStart"/>
      <w:r w:rsidRPr="000C6C81">
        <w:rPr>
          <w:rStyle w:val="Emphasis"/>
          <w:rFonts w:ascii="Arial" w:eastAsiaTheme="majorEastAsia" w:hAnsi="Arial" w:cs="Arial"/>
          <w:sz w:val="20"/>
          <w:szCs w:val="20"/>
        </w:rPr>
        <w:t>PolicingTM</w:t>
      </w:r>
      <w:proofErr w:type="spellEnd"/>
      <w:r w:rsidRPr="000C6C81">
        <w:rPr>
          <w:rStyle w:val="Emphasis"/>
          <w:rFonts w:ascii="Arial" w:eastAsiaTheme="majorEastAsia" w:hAnsi="Arial" w:cs="Arial"/>
          <w:sz w:val="20"/>
          <w:szCs w:val="20"/>
        </w:rPr>
        <w:t xml:space="preserve">. </w:t>
      </w:r>
      <w:r w:rsidRPr="000C6C81">
        <w:rPr>
          <w:rFonts w:ascii="Arial" w:hAnsi="Arial" w:cs="Arial"/>
          <w:sz w:val="20"/>
          <w:szCs w:val="20"/>
        </w:rPr>
        <w:t xml:space="preserve">[online] Available at: </w:t>
      </w:r>
      <w:hyperlink r:id="rId5" w:history="1">
        <w:r w:rsidRPr="000C6C81">
          <w:rPr>
            <w:rStyle w:val="Hyperlink"/>
            <w:rFonts w:ascii="Arial" w:eastAsiaTheme="majorEastAsia" w:hAnsi="Arial" w:cs="Arial"/>
            <w:sz w:val="20"/>
            <w:szCs w:val="20"/>
          </w:rPr>
          <w:t>https://assets.college.police.uk/s3fs-public/2021-02/responding-to-trauma-in-policing.pdf</w:t>
        </w:r>
      </w:hyperlink>
      <w:r w:rsidRPr="000C6C81">
        <w:rPr>
          <w:rFonts w:ascii="Arial" w:hAnsi="Arial" w:cs="Arial"/>
          <w:sz w:val="20"/>
          <w:szCs w:val="20"/>
        </w:rPr>
        <w:t>.</w:t>
      </w:r>
    </w:p>
    <w:p w14:paraId="4ABBE60E" w14:textId="220A1389" w:rsidR="001F5068" w:rsidRPr="000C6C81" w:rsidRDefault="001F5068" w:rsidP="001F5068">
      <w:pPr>
        <w:pStyle w:val="NormalWeb"/>
        <w:rPr>
          <w:rFonts w:ascii="Arial" w:hAnsi="Arial" w:cs="Arial"/>
          <w:sz w:val="20"/>
          <w:szCs w:val="20"/>
        </w:rPr>
      </w:pPr>
      <w:r w:rsidRPr="000C6C81">
        <w:rPr>
          <w:rFonts w:ascii="Arial" w:hAnsi="Arial" w:cs="Arial"/>
          <w:sz w:val="20"/>
          <w:szCs w:val="20"/>
        </w:rPr>
        <w:t> (Accessed on 13</w:t>
      </w:r>
      <w:r w:rsidRPr="000C6C81">
        <w:rPr>
          <w:rFonts w:ascii="Arial" w:hAnsi="Arial" w:cs="Arial"/>
          <w:sz w:val="20"/>
          <w:szCs w:val="20"/>
          <w:vertAlign w:val="superscript"/>
        </w:rPr>
        <w:t>th</w:t>
      </w:r>
      <w:r w:rsidRPr="000C6C81">
        <w:rPr>
          <w:rFonts w:ascii="Arial" w:hAnsi="Arial" w:cs="Arial"/>
          <w:sz w:val="20"/>
          <w:szCs w:val="20"/>
        </w:rPr>
        <w:t xml:space="preserve"> of October 2024)</w:t>
      </w:r>
    </w:p>
    <w:p w14:paraId="2A32DB00" w14:textId="779C2384" w:rsidR="001F5068" w:rsidRPr="000C6C81" w:rsidRDefault="001F5068" w:rsidP="001F5068">
      <w:pPr>
        <w:pStyle w:val="NormalWeb"/>
        <w:rPr>
          <w:rFonts w:ascii="Arial" w:hAnsi="Arial" w:cs="Arial"/>
          <w:sz w:val="20"/>
          <w:szCs w:val="20"/>
        </w:rPr>
      </w:pPr>
      <w:r w:rsidRPr="000C6C81">
        <w:rPr>
          <w:rFonts w:ascii="Arial" w:hAnsi="Arial" w:cs="Arial"/>
          <w:sz w:val="20"/>
          <w:szCs w:val="20"/>
        </w:rPr>
        <w:t> College of Policing. (n.d.). </w:t>
      </w:r>
      <w:r w:rsidRPr="000C6C81">
        <w:rPr>
          <w:rStyle w:val="Emphasis"/>
          <w:rFonts w:ascii="Arial" w:eastAsiaTheme="majorEastAsia" w:hAnsi="Arial" w:cs="Arial"/>
          <w:sz w:val="20"/>
          <w:szCs w:val="20"/>
        </w:rPr>
        <w:t>Research projects map</w:t>
      </w:r>
      <w:r w:rsidRPr="000C6C81">
        <w:rPr>
          <w:rFonts w:ascii="Arial" w:hAnsi="Arial" w:cs="Arial"/>
          <w:sz w:val="20"/>
          <w:szCs w:val="20"/>
        </w:rPr>
        <w:t xml:space="preserve">. [online] Available at: </w:t>
      </w:r>
      <w:hyperlink r:id="rId6" w:history="1">
        <w:r w:rsidRPr="000C6C81">
          <w:rPr>
            <w:rStyle w:val="Hyperlink"/>
            <w:rFonts w:ascii="Arial" w:eastAsiaTheme="majorEastAsia" w:hAnsi="Arial" w:cs="Arial"/>
            <w:sz w:val="20"/>
            <w:szCs w:val="20"/>
          </w:rPr>
          <w:t>https://www.college.police.uk/research/projects</w:t>
        </w:r>
      </w:hyperlink>
      <w:r w:rsidRPr="000C6C81">
        <w:rPr>
          <w:rFonts w:ascii="Arial" w:hAnsi="Arial" w:cs="Arial"/>
          <w:sz w:val="20"/>
          <w:szCs w:val="20"/>
        </w:rPr>
        <w:t>.</w:t>
      </w:r>
    </w:p>
    <w:p w14:paraId="7C085F52"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on 20</w:t>
      </w:r>
      <w:r w:rsidRPr="000C6C81">
        <w:rPr>
          <w:rFonts w:ascii="Arial" w:hAnsi="Arial" w:cs="Arial"/>
          <w:sz w:val="20"/>
          <w:szCs w:val="20"/>
          <w:vertAlign w:val="superscript"/>
        </w:rPr>
        <w:t>th</w:t>
      </w:r>
      <w:r w:rsidRPr="000C6C81">
        <w:rPr>
          <w:rFonts w:ascii="Arial" w:hAnsi="Arial" w:cs="Arial"/>
          <w:sz w:val="20"/>
          <w:szCs w:val="20"/>
        </w:rPr>
        <w:t xml:space="preserve"> of October)</w:t>
      </w:r>
    </w:p>
    <w:p w14:paraId="683DC233"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Department of Health (2018). </w:t>
      </w:r>
      <w:r w:rsidRPr="000C6C81">
        <w:rPr>
          <w:rStyle w:val="Emphasis"/>
          <w:rFonts w:ascii="Arial" w:eastAsiaTheme="majorEastAsia" w:hAnsi="Arial" w:cs="Arial"/>
          <w:sz w:val="20"/>
          <w:szCs w:val="20"/>
        </w:rPr>
        <w:t>Misuse of drugs legislation | Department of Health</w:t>
      </w:r>
      <w:r w:rsidRPr="000C6C81">
        <w:rPr>
          <w:rFonts w:ascii="Arial" w:hAnsi="Arial" w:cs="Arial"/>
          <w:sz w:val="20"/>
          <w:szCs w:val="20"/>
        </w:rPr>
        <w:t xml:space="preserve">. [online] Health. Available at: </w:t>
      </w:r>
      <w:hyperlink r:id="rId7" w:history="1">
        <w:r w:rsidRPr="000C6C81">
          <w:rPr>
            <w:rStyle w:val="Hyperlink"/>
            <w:rFonts w:ascii="Arial" w:eastAsiaTheme="majorEastAsia" w:hAnsi="Arial" w:cs="Arial"/>
            <w:sz w:val="20"/>
            <w:szCs w:val="20"/>
          </w:rPr>
          <w:t>https://www.health-ni.gov.uk/articles/misuse-drugs-legislations</w:t>
        </w:r>
      </w:hyperlink>
      <w:r w:rsidRPr="000C6C81">
        <w:rPr>
          <w:rFonts w:ascii="Arial" w:hAnsi="Arial" w:cs="Arial"/>
          <w:sz w:val="20"/>
          <w:szCs w:val="20"/>
        </w:rPr>
        <w:t>.</w:t>
      </w:r>
    </w:p>
    <w:p w14:paraId="245010A5"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on 20</w:t>
      </w:r>
      <w:r w:rsidRPr="000C6C81">
        <w:rPr>
          <w:rFonts w:ascii="Arial" w:hAnsi="Arial" w:cs="Arial"/>
          <w:sz w:val="20"/>
          <w:szCs w:val="20"/>
          <w:vertAlign w:val="superscript"/>
        </w:rPr>
        <w:t>th</w:t>
      </w:r>
      <w:r w:rsidRPr="000C6C81">
        <w:rPr>
          <w:rFonts w:ascii="Arial" w:hAnsi="Arial" w:cs="Arial"/>
          <w:sz w:val="20"/>
          <w:szCs w:val="20"/>
        </w:rPr>
        <w:t xml:space="preserve"> of October 2024).</w:t>
      </w:r>
    </w:p>
    <w:p w14:paraId="2E9B55EC"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Elder, G. H. (1994). Time, Human Development, and the Life Course. </w:t>
      </w:r>
      <w:r w:rsidRPr="000C6C81">
        <w:rPr>
          <w:rStyle w:val="Emphasis"/>
          <w:rFonts w:ascii="Arial" w:eastAsiaTheme="majorEastAsia" w:hAnsi="Arial" w:cs="Arial"/>
          <w:sz w:val="20"/>
          <w:szCs w:val="20"/>
        </w:rPr>
        <w:t>In</w:t>
      </w:r>
      <w:r w:rsidRPr="000C6C81">
        <w:rPr>
          <w:rFonts w:ascii="Arial" w:hAnsi="Arial" w:cs="Arial"/>
          <w:sz w:val="20"/>
          <w:szCs w:val="20"/>
        </w:rPr>
        <w:t> J. T. Mortimer &amp; M. J. Shanahan (Eds.), </w:t>
      </w:r>
      <w:r w:rsidRPr="000C6C81">
        <w:rPr>
          <w:rStyle w:val="Emphasis"/>
          <w:rFonts w:ascii="Arial" w:eastAsiaTheme="majorEastAsia" w:hAnsi="Arial" w:cs="Arial"/>
          <w:sz w:val="20"/>
          <w:szCs w:val="20"/>
        </w:rPr>
        <w:t>Handbook of the Life Course</w:t>
      </w:r>
      <w:r w:rsidRPr="000C6C81">
        <w:rPr>
          <w:rFonts w:ascii="Arial" w:hAnsi="Arial" w:cs="Arial"/>
          <w:sz w:val="20"/>
          <w:szCs w:val="20"/>
        </w:rPr>
        <w:t> (pp. 239-264). New York: Springer.</w:t>
      </w:r>
    </w:p>
    <w:p w14:paraId="183BF942"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Dong, M., Dube, S.R., Felitti, V.J., Giles, W.H., and Anda, R.F. (2003). Adverse Childhood Experiences and Self-reported Liver Disease. </w:t>
      </w:r>
      <w:r w:rsidRPr="000C6C81">
        <w:rPr>
          <w:rStyle w:val="Emphasis"/>
          <w:rFonts w:ascii="Arial" w:eastAsiaTheme="majorEastAsia" w:hAnsi="Arial" w:cs="Arial"/>
          <w:sz w:val="20"/>
          <w:szCs w:val="20"/>
        </w:rPr>
        <w:t>Archives of Internal Medicine</w:t>
      </w:r>
      <w:r w:rsidRPr="000C6C81">
        <w:rPr>
          <w:rFonts w:ascii="Arial" w:hAnsi="Arial" w:cs="Arial"/>
          <w:sz w:val="20"/>
          <w:szCs w:val="20"/>
        </w:rPr>
        <w:t>, 163(16), p. 1949</w:t>
      </w:r>
    </w:p>
    <w:p w14:paraId="4FD60722"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 </w:t>
      </w:r>
      <w:proofErr w:type="spellStart"/>
      <w:proofErr w:type="gramStart"/>
      <w:r w:rsidRPr="000C6C81">
        <w:rPr>
          <w:rFonts w:ascii="Arial" w:hAnsi="Arial" w:cs="Arial"/>
          <w:sz w:val="20"/>
          <w:szCs w:val="20"/>
        </w:rPr>
        <w:t>doi:https</w:t>
      </w:r>
      <w:proofErr w:type="spellEnd"/>
      <w:r w:rsidRPr="000C6C81">
        <w:rPr>
          <w:rFonts w:ascii="Arial" w:hAnsi="Arial" w:cs="Arial"/>
          <w:sz w:val="20"/>
          <w:szCs w:val="20"/>
        </w:rPr>
        <w:t>://doi.org/10.1001/archinte.163.16.1949</w:t>
      </w:r>
      <w:proofErr w:type="gramEnd"/>
    </w:p>
    <w:p w14:paraId="051A99B8" w14:textId="3C0B7A5C"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 Felitti, V. J., Anda, R. F., Nordenberg, D., Williamson, D. F., Spitz, A. M., Edwards, </w:t>
      </w:r>
      <w:proofErr w:type="gramStart"/>
      <w:r w:rsidRPr="000C6C81">
        <w:rPr>
          <w:rFonts w:ascii="Arial" w:hAnsi="Arial" w:cs="Arial"/>
          <w:sz w:val="20"/>
          <w:szCs w:val="20"/>
        </w:rPr>
        <w:t>V.,...</w:t>
      </w:r>
      <w:proofErr w:type="gramEnd"/>
      <w:r w:rsidRPr="000C6C81">
        <w:rPr>
          <w:rFonts w:ascii="Arial" w:hAnsi="Arial" w:cs="Arial"/>
          <w:sz w:val="20"/>
          <w:szCs w:val="20"/>
        </w:rPr>
        <w:t xml:space="preserve"> &amp; Giles, W. H. (1998). Relationship of Childhood Abuse and Household Dysfunction to Many of the Leading Causes of Death in Adults. </w:t>
      </w:r>
      <w:r w:rsidRPr="000C6C81">
        <w:rPr>
          <w:rStyle w:val="Emphasis"/>
          <w:rFonts w:ascii="Arial" w:eastAsiaTheme="majorEastAsia" w:hAnsi="Arial" w:cs="Arial"/>
          <w:sz w:val="20"/>
          <w:szCs w:val="20"/>
        </w:rPr>
        <w:t>American Journal of Preventive Medicine</w:t>
      </w:r>
      <w:r w:rsidRPr="000C6C81">
        <w:rPr>
          <w:rFonts w:ascii="Arial" w:hAnsi="Arial" w:cs="Arial"/>
          <w:sz w:val="20"/>
          <w:szCs w:val="20"/>
        </w:rPr>
        <w:t>, 14(4), 245-258.</w:t>
      </w:r>
    </w:p>
    <w:p w14:paraId="3EFB6A34" w14:textId="1F61FB8F" w:rsidR="001F5068" w:rsidRPr="000C6C81" w:rsidRDefault="001F5068" w:rsidP="001F5068">
      <w:pPr>
        <w:pStyle w:val="NormalWeb"/>
        <w:rPr>
          <w:rFonts w:ascii="Arial" w:hAnsi="Arial" w:cs="Arial"/>
          <w:sz w:val="20"/>
          <w:szCs w:val="20"/>
        </w:rPr>
      </w:pPr>
      <w:r w:rsidRPr="000C6C81">
        <w:rPr>
          <w:rFonts w:ascii="Arial" w:hAnsi="Arial" w:cs="Arial"/>
          <w:sz w:val="20"/>
          <w:szCs w:val="20"/>
        </w:rPr>
        <w:t> Ford, K. (2017). </w:t>
      </w:r>
      <w:proofErr w:type="spellStart"/>
      <w:r w:rsidRPr="000C6C81">
        <w:rPr>
          <w:rStyle w:val="Emphasis"/>
          <w:rFonts w:ascii="Arial" w:eastAsiaTheme="majorEastAsia" w:hAnsi="Arial" w:cs="Arial"/>
          <w:sz w:val="20"/>
          <w:szCs w:val="20"/>
        </w:rPr>
        <w:t>Safelives</w:t>
      </w:r>
      <w:proofErr w:type="spellEnd"/>
      <w:r w:rsidRPr="000C6C81">
        <w:rPr>
          <w:rStyle w:val="Emphasis"/>
          <w:rFonts w:ascii="Arial" w:eastAsiaTheme="majorEastAsia" w:hAnsi="Arial" w:cs="Arial"/>
          <w:sz w:val="20"/>
          <w:szCs w:val="20"/>
        </w:rPr>
        <w:t xml:space="preserve"> blog: Living with domestic abuse as an Adverse Childhood Experience (ACE)</w:t>
      </w:r>
      <w:r w:rsidRPr="000C6C81">
        <w:rPr>
          <w:rFonts w:ascii="Arial" w:hAnsi="Arial" w:cs="Arial"/>
          <w:sz w:val="20"/>
          <w:szCs w:val="20"/>
        </w:rPr>
        <w:t xml:space="preserve">. [online] ResearchGate. Available: </w:t>
      </w:r>
      <w:hyperlink r:id="rId8" w:history="1">
        <w:r w:rsidRPr="000C6C81">
          <w:rPr>
            <w:rStyle w:val="Hyperlink"/>
            <w:rFonts w:ascii="Arial" w:eastAsiaTheme="majorEastAsia" w:hAnsi="Arial" w:cs="Arial"/>
            <w:sz w:val="20"/>
            <w:szCs w:val="20"/>
          </w:rPr>
          <w:t>https://www.researchgate.net/publication/314100971_Safelives_blog_Living_with_domestic_abuse_as_an_Adverse_Childhood_Experience_ACE</w:t>
        </w:r>
      </w:hyperlink>
    </w:p>
    <w:p w14:paraId="4E261E0A"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on 7</w:t>
      </w:r>
      <w:r w:rsidRPr="000C6C81">
        <w:rPr>
          <w:rFonts w:ascii="Arial" w:hAnsi="Arial" w:cs="Arial"/>
          <w:sz w:val="20"/>
          <w:szCs w:val="20"/>
          <w:vertAlign w:val="superscript"/>
        </w:rPr>
        <w:t>th</w:t>
      </w:r>
      <w:r w:rsidRPr="000C6C81">
        <w:rPr>
          <w:rFonts w:ascii="Arial" w:hAnsi="Arial" w:cs="Arial"/>
          <w:sz w:val="20"/>
          <w:szCs w:val="20"/>
        </w:rPr>
        <w:t xml:space="preserve"> of October 2024]</w:t>
      </w:r>
    </w:p>
    <w:p w14:paraId="70FE0961" w14:textId="0CFC5227"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 Ford, K., Barton, E., Newbury, A., Hughes, K., </w:t>
      </w:r>
      <w:proofErr w:type="spellStart"/>
      <w:r w:rsidRPr="000C6C81">
        <w:rPr>
          <w:rFonts w:ascii="Arial" w:hAnsi="Arial" w:cs="Arial"/>
          <w:sz w:val="20"/>
          <w:szCs w:val="20"/>
        </w:rPr>
        <w:t>Bezeczky</w:t>
      </w:r>
      <w:proofErr w:type="spellEnd"/>
      <w:r w:rsidRPr="000C6C81">
        <w:rPr>
          <w:rFonts w:ascii="Arial" w:hAnsi="Arial" w:cs="Arial"/>
          <w:sz w:val="20"/>
          <w:szCs w:val="20"/>
        </w:rPr>
        <w:t xml:space="preserve">, Z., Roderick, J., and Bellis, M. (2019). </w:t>
      </w:r>
      <w:r w:rsidRPr="000C6C81">
        <w:rPr>
          <w:rStyle w:val="Emphasis"/>
          <w:rFonts w:ascii="Arial" w:eastAsiaTheme="majorEastAsia" w:hAnsi="Arial" w:cs="Arial"/>
          <w:sz w:val="20"/>
          <w:szCs w:val="20"/>
        </w:rPr>
        <w:t>The Prisoner ACE Survey</w:t>
      </w:r>
      <w:r w:rsidRPr="000C6C81">
        <w:rPr>
          <w:rFonts w:ascii="Arial" w:hAnsi="Arial" w:cs="Arial"/>
          <w:sz w:val="20"/>
          <w:szCs w:val="20"/>
        </w:rPr>
        <w:t>. [online] Available at: https://phw.nhs.wales/files/aces/The Prisoner's Ace Survey</w:t>
      </w:r>
    </w:p>
    <w:p w14:paraId="5CBABDBB"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on 7</w:t>
      </w:r>
      <w:r w:rsidRPr="000C6C81">
        <w:rPr>
          <w:rFonts w:ascii="Arial" w:hAnsi="Arial" w:cs="Arial"/>
          <w:sz w:val="20"/>
          <w:szCs w:val="20"/>
          <w:vertAlign w:val="superscript"/>
        </w:rPr>
        <w:t>th</w:t>
      </w:r>
      <w:r w:rsidRPr="000C6C81">
        <w:rPr>
          <w:rFonts w:ascii="Arial" w:hAnsi="Arial" w:cs="Arial"/>
          <w:sz w:val="20"/>
          <w:szCs w:val="20"/>
        </w:rPr>
        <w:t xml:space="preserve"> of October 2024)</w:t>
      </w:r>
    </w:p>
    <w:p w14:paraId="3AE2D2FB" w14:textId="46E8544B" w:rsidR="001F5068" w:rsidRPr="000C6C81" w:rsidRDefault="001F5068" w:rsidP="001F5068">
      <w:pPr>
        <w:pStyle w:val="NormalWeb"/>
        <w:rPr>
          <w:rFonts w:ascii="Arial" w:hAnsi="Arial" w:cs="Arial"/>
          <w:sz w:val="20"/>
          <w:szCs w:val="20"/>
        </w:rPr>
      </w:pPr>
      <w:r w:rsidRPr="000C6C81">
        <w:rPr>
          <w:rFonts w:ascii="Arial" w:hAnsi="Arial" w:cs="Arial"/>
          <w:sz w:val="20"/>
          <w:szCs w:val="20"/>
        </w:rPr>
        <w:lastRenderedPageBreak/>
        <w:t xml:space="preserve">‌Ford, K., Newbury, A., Meredith, Z., Evans, J., and Roderick, J., 2019. </w:t>
      </w:r>
      <w:r w:rsidRPr="000C6C81">
        <w:rPr>
          <w:rStyle w:val="Emphasis"/>
          <w:rFonts w:ascii="Arial" w:eastAsiaTheme="majorEastAsia" w:hAnsi="Arial" w:cs="Arial"/>
          <w:sz w:val="20"/>
          <w:szCs w:val="20"/>
        </w:rPr>
        <w:t>An evaluation of the Adverse Childhood Experience (ACE) Informed Approach to Policing Vulnerability Training (AIAPVT) pilot</w:t>
      </w:r>
      <w:r w:rsidRPr="000C6C81">
        <w:rPr>
          <w:rFonts w:ascii="Arial" w:hAnsi="Arial" w:cs="Arial"/>
          <w:sz w:val="20"/>
          <w:szCs w:val="20"/>
        </w:rPr>
        <w:t>. Public Health Wales</w:t>
      </w:r>
    </w:p>
    <w:p w14:paraId="566ACBAB" w14:textId="59F6AEF1"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 Garner, A.S., Forkey, H., and Szilagyi, M., 2015. Translating developmental science to address childhood adversity. </w:t>
      </w:r>
      <w:r w:rsidRPr="000C6C81">
        <w:rPr>
          <w:rStyle w:val="Emphasis"/>
          <w:rFonts w:ascii="Arial" w:eastAsiaTheme="majorEastAsia" w:hAnsi="Arial" w:cs="Arial"/>
          <w:sz w:val="20"/>
          <w:szCs w:val="20"/>
        </w:rPr>
        <w:t>Academic Paediatrics</w:t>
      </w:r>
      <w:r w:rsidRPr="000C6C81">
        <w:rPr>
          <w:rFonts w:ascii="Arial" w:hAnsi="Arial" w:cs="Arial"/>
          <w:sz w:val="20"/>
          <w:szCs w:val="20"/>
        </w:rPr>
        <w:t>, </w:t>
      </w:r>
      <w:r w:rsidRPr="000C6C81">
        <w:rPr>
          <w:rStyle w:val="Emphasis"/>
          <w:rFonts w:ascii="Arial" w:eastAsiaTheme="majorEastAsia" w:hAnsi="Arial" w:cs="Arial"/>
          <w:sz w:val="20"/>
          <w:szCs w:val="20"/>
        </w:rPr>
        <w:t>15</w:t>
      </w:r>
      <w:r w:rsidRPr="000C6C81">
        <w:rPr>
          <w:rFonts w:ascii="Arial" w:hAnsi="Arial" w:cs="Arial"/>
          <w:sz w:val="20"/>
          <w:szCs w:val="20"/>
        </w:rPr>
        <w:t>(5), pp. 493-502.</w:t>
      </w:r>
    </w:p>
    <w:p w14:paraId="5A143FC7"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55DF9B45"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Gordon (2019). </w:t>
      </w:r>
      <w:r w:rsidRPr="000C6C81">
        <w:rPr>
          <w:rStyle w:val="Emphasis"/>
          <w:rFonts w:ascii="Arial" w:eastAsiaTheme="majorEastAsia" w:hAnsi="Arial" w:cs="Arial"/>
          <w:sz w:val="20"/>
          <w:szCs w:val="20"/>
        </w:rPr>
        <w:t>Adverse childhood experiences: Using evidence to advance research, practice, policy, and prevention.</w:t>
      </w:r>
      <w:r w:rsidRPr="000C6C81">
        <w:rPr>
          <w:rFonts w:ascii="Arial" w:hAnsi="Arial" w:cs="Arial"/>
          <w:sz w:val="20"/>
          <w:szCs w:val="20"/>
        </w:rPr>
        <w:t> S.L.: Elsevier Academic Press.</w:t>
      </w:r>
    </w:p>
    <w:p w14:paraId="7E548812"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0BF50ADC"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Hardcastle, K., Bellis, M., and Hopkins, J. (2021). </w:t>
      </w:r>
      <w:r w:rsidRPr="000C6C81">
        <w:rPr>
          <w:rStyle w:val="Emphasis"/>
          <w:rFonts w:ascii="Arial" w:eastAsiaTheme="majorEastAsia" w:hAnsi="Arial" w:cs="Arial"/>
          <w:sz w:val="20"/>
          <w:szCs w:val="20"/>
        </w:rPr>
        <w:t>The Early Action Together Programme: Outcomes, impacts, and lessons for future transformation</w:t>
      </w:r>
      <w:r w:rsidRPr="000C6C81">
        <w:rPr>
          <w:rFonts w:ascii="Arial" w:hAnsi="Arial" w:cs="Arial"/>
          <w:sz w:val="20"/>
          <w:szCs w:val="20"/>
        </w:rPr>
        <w:t xml:space="preserve">. [online] Available at: https://www.rsph.org.uk/static/b294237d-63b0-4b65-81cf4441fc486d75/PHW-EAT </w:t>
      </w:r>
      <w:hyperlink r:id="rId9" w:history="1">
        <w:r w:rsidRPr="000C6C81">
          <w:rPr>
            <w:rStyle w:val="Hyperlink"/>
            <w:rFonts w:ascii="Arial" w:eastAsiaTheme="majorEastAsia" w:hAnsi="Arial" w:cs="Arial"/>
            <w:sz w:val="20"/>
            <w:szCs w:val="20"/>
          </w:rPr>
          <w:t>-Summary-Report-</w:t>
        </w:r>
      </w:hyperlink>
    </w:p>
    <w:p w14:paraId="52AE5830" w14:textId="29DE0EA0"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on the 23</w:t>
      </w:r>
      <w:r w:rsidRPr="000C6C81">
        <w:rPr>
          <w:rFonts w:ascii="Arial" w:hAnsi="Arial" w:cs="Arial"/>
          <w:sz w:val="20"/>
          <w:szCs w:val="20"/>
          <w:vertAlign w:val="superscript"/>
        </w:rPr>
        <w:t>rd</w:t>
      </w:r>
      <w:r w:rsidRPr="000C6C81">
        <w:rPr>
          <w:rFonts w:ascii="Arial" w:hAnsi="Arial" w:cs="Arial"/>
          <w:sz w:val="20"/>
          <w:szCs w:val="20"/>
        </w:rPr>
        <w:t xml:space="preserve"> of </w:t>
      </w:r>
      <w:r w:rsidR="002E6247" w:rsidRPr="000C6C81">
        <w:rPr>
          <w:rFonts w:ascii="Arial" w:hAnsi="Arial" w:cs="Arial"/>
          <w:sz w:val="20"/>
          <w:szCs w:val="20"/>
        </w:rPr>
        <w:t>October</w:t>
      </w:r>
      <w:r w:rsidRPr="000C6C81">
        <w:rPr>
          <w:rFonts w:ascii="Arial" w:hAnsi="Arial" w:cs="Arial"/>
          <w:sz w:val="20"/>
          <w:szCs w:val="20"/>
        </w:rPr>
        <w:t xml:space="preserve"> 2024)</w:t>
      </w:r>
    </w:p>
    <w:p w14:paraId="0A6FE001" w14:textId="40A71D0D" w:rsidR="002E6247" w:rsidRPr="000C6C81" w:rsidRDefault="001F5068" w:rsidP="002E6247">
      <w:pPr>
        <w:pStyle w:val="NormalWeb"/>
        <w:rPr>
          <w:rFonts w:ascii="Arial" w:hAnsi="Arial" w:cs="Arial"/>
          <w:sz w:val="20"/>
          <w:szCs w:val="20"/>
        </w:rPr>
      </w:pPr>
      <w:r w:rsidRPr="000C6C81">
        <w:rPr>
          <w:rFonts w:ascii="Arial" w:hAnsi="Arial" w:cs="Arial"/>
          <w:sz w:val="20"/>
          <w:szCs w:val="20"/>
        </w:rPr>
        <w:t> </w:t>
      </w:r>
      <w:r w:rsidR="002E6247" w:rsidRPr="000C6C81">
        <w:rPr>
          <w:rFonts w:ascii="Arial" w:hAnsi="Arial" w:cs="Arial"/>
          <w:sz w:val="20"/>
          <w:szCs w:val="20"/>
        </w:rPr>
        <w:t>HMICFRS (2018). </w:t>
      </w:r>
      <w:r w:rsidR="002E6247" w:rsidRPr="000C6C81">
        <w:rPr>
          <w:rFonts w:ascii="Arial" w:hAnsi="Arial" w:cs="Arial"/>
          <w:i/>
          <w:iCs/>
          <w:sz w:val="20"/>
          <w:szCs w:val="20"/>
        </w:rPr>
        <w:t>Policing and Mental health: Picking up the Pieces</w:t>
      </w:r>
      <w:r w:rsidR="002E6247" w:rsidRPr="000C6C81">
        <w:rPr>
          <w:rFonts w:ascii="Arial" w:hAnsi="Arial" w:cs="Arial"/>
          <w:sz w:val="20"/>
          <w:szCs w:val="20"/>
        </w:rPr>
        <w:t xml:space="preserve">. [online] His Majesty’s Inspectorate of Constabulary and Fire &amp; Rescue Services. Available at: </w:t>
      </w:r>
      <w:hyperlink r:id="rId10" w:history="1">
        <w:r w:rsidR="002E6247" w:rsidRPr="000C6C81">
          <w:rPr>
            <w:rStyle w:val="Hyperlink"/>
            <w:rFonts w:ascii="Arial" w:hAnsi="Arial" w:cs="Arial"/>
            <w:sz w:val="20"/>
            <w:szCs w:val="20"/>
          </w:rPr>
          <w:t>https://hmicfrs.justiceinspectorates.gov.uk/publications/policing-and-mental-health-picking-up-the-pieces/</w:t>
        </w:r>
      </w:hyperlink>
      <w:r w:rsidR="002E6247" w:rsidRPr="000C6C81">
        <w:rPr>
          <w:rFonts w:ascii="Arial" w:hAnsi="Arial" w:cs="Arial"/>
          <w:sz w:val="20"/>
          <w:szCs w:val="20"/>
        </w:rPr>
        <w:t>.</w:t>
      </w:r>
    </w:p>
    <w:p w14:paraId="1D1EB96C" w14:textId="4687771B" w:rsidR="002E6247" w:rsidRPr="000C6C81" w:rsidRDefault="002E6247" w:rsidP="002E6247">
      <w:pPr>
        <w:pStyle w:val="NormalWeb"/>
        <w:rPr>
          <w:rFonts w:ascii="Arial" w:hAnsi="Arial" w:cs="Arial"/>
          <w:sz w:val="20"/>
          <w:szCs w:val="20"/>
        </w:rPr>
      </w:pPr>
      <w:r w:rsidRPr="000C6C81">
        <w:rPr>
          <w:rFonts w:ascii="Arial" w:hAnsi="Arial" w:cs="Arial"/>
          <w:sz w:val="20"/>
          <w:szCs w:val="20"/>
        </w:rPr>
        <w:t>(Accessed on the 28</w:t>
      </w:r>
      <w:r w:rsidRPr="000C6C81">
        <w:rPr>
          <w:rFonts w:ascii="Arial" w:hAnsi="Arial" w:cs="Arial"/>
          <w:sz w:val="20"/>
          <w:szCs w:val="20"/>
          <w:vertAlign w:val="superscript"/>
        </w:rPr>
        <w:t>th</w:t>
      </w:r>
      <w:r w:rsidRPr="000C6C81">
        <w:rPr>
          <w:rFonts w:ascii="Arial" w:hAnsi="Arial" w:cs="Arial"/>
          <w:sz w:val="20"/>
          <w:szCs w:val="20"/>
        </w:rPr>
        <w:t xml:space="preserve"> of October 2024)</w:t>
      </w:r>
    </w:p>
    <w:p w14:paraId="1E21D2C6" w14:textId="15466905" w:rsidR="000C6C81" w:rsidRPr="000C6C81" w:rsidRDefault="002E6247" w:rsidP="000C6C81">
      <w:pPr>
        <w:pStyle w:val="NormalWeb"/>
        <w:rPr>
          <w:rFonts w:ascii="Arial" w:hAnsi="Arial" w:cs="Arial"/>
          <w:sz w:val="20"/>
          <w:szCs w:val="20"/>
        </w:rPr>
      </w:pPr>
      <w:r w:rsidRPr="000C6C81">
        <w:rPr>
          <w:rFonts w:ascii="Arial" w:hAnsi="Arial" w:cs="Arial"/>
          <w:sz w:val="20"/>
          <w:szCs w:val="20"/>
        </w:rPr>
        <w:t>‌</w:t>
      </w:r>
      <w:r w:rsidR="000C6C81" w:rsidRPr="000C6C81">
        <w:rPr>
          <w:rFonts w:ascii="Arial" w:hAnsi="Arial" w:cs="Arial"/>
          <w:sz w:val="20"/>
          <w:szCs w:val="20"/>
        </w:rPr>
        <w:t xml:space="preserve"> </w:t>
      </w:r>
      <w:r w:rsidR="000C6C81" w:rsidRPr="000C6C81">
        <w:rPr>
          <w:rFonts w:ascii="Arial" w:hAnsi="Arial" w:cs="Arial"/>
          <w:sz w:val="20"/>
          <w:szCs w:val="20"/>
        </w:rPr>
        <w:t>Johnson SB, Riley AW, Granger DA, Riis J. The science of early life toxic stress for paediatric practice and advocacy. Paediatrics. 2013;131(2):319–27.</w:t>
      </w:r>
    </w:p>
    <w:p w14:paraId="00F12C48" w14:textId="129FBDF0" w:rsidR="002E6247" w:rsidRPr="000C6C81" w:rsidRDefault="002E6247" w:rsidP="002E6247">
      <w:pPr>
        <w:pStyle w:val="NormalWeb"/>
        <w:rPr>
          <w:rFonts w:ascii="Arial" w:hAnsi="Arial" w:cs="Arial"/>
          <w:sz w:val="20"/>
          <w:szCs w:val="20"/>
        </w:rPr>
      </w:pPr>
    </w:p>
    <w:p w14:paraId="0E0B8BCB" w14:textId="2CE1C4F4"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Lee, H., Kim, Y., and Terry, J., 2020. Adverse childhood experiences (ACEs) on mental disorders in young adulthood: Latent classes and community violence exposure. </w:t>
      </w:r>
      <w:r w:rsidRPr="000C6C81">
        <w:rPr>
          <w:rStyle w:val="Emphasis"/>
          <w:rFonts w:ascii="Arial" w:eastAsiaTheme="majorEastAsia" w:hAnsi="Arial" w:cs="Arial"/>
          <w:sz w:val="20"/>
          <w:szCs w:val="20"/>
        </w:rPr>
        <w:t>Preventive medicine</w:t>
      </w:r>
      <w:r w:rsidRPr="000C6C81">
        <w:rPr>
          <w:rFonts w:ascii="Arial" w:hAnsi="Arial" w:cs="Arial"/>
          <w:sz w:val="20"/>
          <w:szCs w:val="20"/>
        </w:rPr>
        <w:t>, </w:t>
      </w:r>
      <w:r w:rsidRPr="000C6C81">
        <w:rPr>
          <w:rStyle w:val="Emphasis"/>
          <w:rFonts w:ascii="Arial" w:eastAsiaTheme="majorEastAsia" w:hAnsi="Arial" w:cs="Arial"/>
          <w:sz w:val="20"/>
          <w:szCs w:val="20"/>
        </w:rPr>
        <w:t>134</w:t>
      </w:r>
      <w:r w:rsidRPr="000C6C81">
        <w:rPr>
          <w:rFonts w:ascii="Arial" w:hAnsi="Arial" w:cs="Arial"/>
          <w:sz w:val="20"/>
          <w:szCs w:val="20"/>
        </w:rPr>
        <w:t>, p. 106039</w:t>
      </w:r>
    </w:p>
    <w:p w14:paraId="2DF60571" w14:textId="65B7C6B9"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534C5458" w14:textId="564F9D98" w:rsidR="001F5068" w:rsidRPr="000C6C81" w:rsidRDefault="001F5068" w:rsidP="001F5068">
      <w:pPr>
        <w:pStyle w:val="NormalWeb"/>
        <w:rPr>
          <w:rFonts w:ascii="Arial" w:hAnsi="Arial" w:cs="Arial"/>
          <w:sz w:val="20"/>
          <w:szCs w:val="20"/>
        </w:rPr>
      </w:pPr>
      <w:r w:rsidRPr="000C6C81">
        <w:rPr>
          <w:rStyle w:val="Strong"/>
          <w:rFonts w:ascii="Arial" w:eastAsiaTheme="majorEastAsia" w:hAnsi="Arial" w:cs="Arial"/>
          <w:sz w:val="20"/>
          <w:szCs w:val="20"/>
        </w:rPr>
        <w:t>‌</w:t>
      </w:r>
      <w:r w:rsidRPr="000C6C81">
        <w:rPr>
          <w:rFonts w:ascii="Arial" w:hAnsi="Arial" w:cs="Arial"/>
          <w:sz w:val="20"/>
          <w:szCs w:val="20"/>
        </w:rPr>
        <w:t xml:space="preserve">Levenson, J. S. (2016). Adverse childhood experiences and subsequent substance abuse in a sample of sexual offenders: Implications for treatment and prevention. </w:t>
      </w:r>
      <w:r w:rsidRPr="000C6C81">
        <w:rPr>
          <w:rStyle w:val="Emphasis"/>
          <w:rFonts w:ascii="Arial" w:eastAsiaTheme="majorEastAsia" w:hAnsi="Arial" w:cs="Arial"/>
          <w:sz w:val="20"/>
          <w:szCs w:val="20"/>
        </w:rPr>
        <w:t>Victims &amp; Offenders</w:t>
      </w:r>
      <w:r w:rsidRPr="000C6C81">
        <w:rPr>
          <w:rFonts w:ascii="Arial" w:hAnsi="Arial" w:cs="Arial"/>
          <w:sz w:val="20"/>
          <w:szCs w:val="20"/>
        </w:rPr>
        <w:t xml:space="preserve">, </w:t>
      </w:r>
      <w:r w:rsidRPr="000C6C81">
        <w:rPr>
          <w:rStyle w:val="Emphasis"/>
          <w:rFonts w:ascii="Arial" w:eastAsiaTheme="majorEastAsia" w:hAnsi="Arial" w:cs="Arial"/>
          <w:sz w:val="20"/>
          <w:szCs w:val="20"/>
        </w:rPr>
        <w:t>11</w:t>
      </w:r>
      <w:r w:rsidRPr="000C6C81">
        <w:rPr>
          <w:rFonts w:ascii="Arial" w:hAnsi="Arial" w:cs="Arial"/>
          <w:sz w:val="20"/>
          <w:szCs w:val="20"/>
        </w:rPr>
        <w:t>(2), 199-224.</w:t>
      </w:r>
    </w:p>
    <w:p w14:paraId="324C9B4C"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3FEE7898"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Lorenc, T., Lester, S., Sutcliffe, K., Stansfield, C., and Thomas, J., 2020. Interventions to support people exposed to adverse childhood experiences: systematic review of systematic reviews. </w:t>
      </w:r>
      <w:r w:rsidRPr="000C6C81">
        <w:rPr>
          <w:rFonts w:ascii="Arial" w:eastAsiaTheme="majorEastAsia" w:hAnsi="Arial" w:cs="Arial"/>
          <w:sz w:val="20"/>
          <w:szCs w:val="20"/>
        </w:rPr>
        <w:t>BMC public health</w:t>
      </w:r>
      <w:r w:rsidRPr="000C6C81">
        <w:rPr>
          <w:rFonts w:ascii="Arial" w:hAnsi="Arial" w:cs="Arial"/>
          <w:sz w:val="20"/>
          <w:szCs w:val="20"/>
        </w:rPr>
        <w:t>, </w:t>
      </w:r>
      <w:r w:rsidRPr="000C6C81">
        <w:rPr>
          <w:rFonts w:ascii="Arial" w:eastAsiaTheme="majorEastAsia" w:hAnsi="Arial" w:cs="Arial"/>
          <w:sz w:val="20"/>
          <w:szCs w:val="20"/>
        </w:rPr>
        <w:t>20</w:t>
      </w:r>
      <w:r w:rsidRPr="000C6C81">
        <w:rPr>
          <w:rFonts w:ascii="Arial" w:hAnsi="Arial" w:cs="Arial"/>
          <w:sz w:val="20"/>
          <w:szCs w:val="20"/>
        </w:rPr>
        <w:t>, pp. 1-10.</w:t>
      </w:r>
    </w:p>
    <w:p w14:paraId="3A952BB9" w14:textId="77777777" w:rsidR="001F5068" w:rsidRPr="000C6C81" w:rsidRDefault="001F5068" w:rsidP="001F5068">
      <w:pPr>
        <w:pStyle w:val="NormalWeb"/>
        <w:rPr>
          <w:rFonts w:ascii="Arial" w:hAnsi="Arial" w:cs="Arial"/>
          <w:sz w:val="20"/>
          <w:szCs w:val="20"/>
        </w:rPr>
      </w:pPr>
      <w:r w:rsidRPr="000C6C81">
        <w:rPr>
          <w:rStyle w:val="Strong"/>
          <w:rFonts w:ascii="Arial" w:eastAsiaTheme="majorEastAsia" w:hAnsi="Arial" w:cs="Arial"/>
          <w:sz w:val="20"/>
          <w:szCs w:val="20"/>
        </w:rPr>
        <w:t> </w:t>
      </w:r>
    </w:p>
    <w:p w14:paraId="3059CC1D" w14:textId="20EB5976"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MacMillan, H. L., Fleming, J. E., </w:t>
      </w:r>
      <w:proofErr w:type="spellStart"/>
      <w:r w:rsidRPr="000C6C81">
        <w:rPr>
          <w:rFonts w:ascii="Arial" w:hAnsi="Arial" w:cs="Arial"/>
          <w:sz w:val="20"/>
          <w:szCs w:val="20"/>
        </w:rPr>
        <w:t>Streiner</w:t>
      </w:r>
      <w:proofErr w:type="spellEnd"/>
      <w:r w:rsidRPr="000C6C81">
        <w:rPr>
          <w:rFonts w:ascii="Arial" w:hAnsi="Arial" w:cs="Arial"/>
          <w:sz w:val="20"/>
          <w:szCs w:val="20"/>
        </w:rPr>
        <w:t xml:space="preserve">, D. L., &amp; Boyle, M. H. (2001). Childhood abuse and lifetime victimisation in a community sample. </w:t>
      </w:r>
      <w:r w:rsidRPr="000C6C81">
        <w:rPr>
          <w:rStyle w:val="Emphasis"/>
          <w:rFonts w:ascii="Arial" w:eastAsiaTheme="majorEastAsia" w:hAnsi="Arial" w:cs="Arial"/>
          <w:sz w:val="20"/>
          <w:szCs w:val="20"/>
        </w:rPr>
        <w:t>Journal of the American Academy of Child &amp; Adolescent Psychiatry</w:t>
      </w:r>
      <w:r w:rsidRPr="000C6C81">
        <w:rPr>
          <w:rFonts w:ascii="Arial" w:hAnsi="Arial" w:cs="Arial"/>
          <w:sz w:val="20"/>
          <w:szCs w:val="20"/>
        </w:rPr>
        <w:t>, 40(2), 227-235. </w:t>
      </w:r>
    </w:p>
    <w:p w14:paraId="7FF84CCC"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Masten, A. S., Best, K. M., &amp; </w:t>
      </w:r>
      <w:proofErr w:type="spellStart"/>
      <w:r w:rsidRPr="000C6C81">
        <w:rPr>
          <w:rFonts w:ascii="Arial" w:hAnsi="Arial" w:cs="Arial"/>
          <w:sz w:val="20"/>
          <w:szCs w:val="20"/>
        </w:rPr>
        <w:t>Garmezy</w:t>
      </w:r>
      <w:proofErr w:type="spellEnd"/>
      <w:r w:rsidRPr="000C6C81">
        <w:rPr>
          <w:rFonts w:ascii="Arial" w:hAnsi="Arial" w:cs="Arial"/>
          <w:sz w:val="20"/>
          <w:szCs w:val="20"/>
        </w:rPr>
        <w:t>, N. (2008). Resilience and Development: Contributions from the Study of Children Who Overcome Adversity. </w:t>
      </w:r>
      <w:r w:rsidRPr="000C6C81">
        <w:rPr>
          <w:rStyle w:val="Emphasis"/>
          <w:rFonts w:ascii="Arial" w:eastAsiaTheme="majorEastAsia" w:hAnsi="Arial" w:cs="Arial"/>
          <w:sz w:val="20"/>
          <w:szCs w:val="20"/>
        </w:rPr>
        <w:t>Development and Psychopathology</w:t>
      </w:r>
      <w:r w:rsidRPr="000C6C81">
        <w:rPr>
          <w:rFonts w:ascii="Arial" w:hAnsi="Arial" w:cs="Arial"/>
          <w:sz w:val="20"/>
          <w:szCs w:val="20"/>
        </w:rPr>
        <w:t>, 20(3), 921-946.</w:t>
      </w:r>
    </w:p>
    <w:p w14:paraId="27220F2A" w14:textId="04043293" w:rsidR="001F5068" w:rsidRPr="000C6C81" w:rsidRDefault="001F5068" w:rsidP="001F5068">
      <w:pPr>
        <w:pStyle w:val="NormalWeb"/>
        <w:rPr>
          <w:rFonts w:ascii="Arial" w:hAnsi="Arial" w:cs="Arial"/>
          <w:sz w:val="20"/>
          <w:szCs w:val="20"/>
        </w:rPr>
      </w:pPr>
      <w:r w:rsidRPr="000C6C81">
        <w:rPr>
          <w:rFonts w:ascii="Arial" w:hAnsi="Arial" w:cs="Arial"/>
          <w:sz w:val="20"/>
          <w:szCs w:val="20"/>
        </w:rPr>
        <w:lastRenderedPageBreak/>
        <w:t> McCance-Katz, E.F. (2018). The Substance Abuse and Mental Health Services Administration (SAMHSA): New Directions. </w:t>
      </w:r>
      <w:r w:rsidRPr="000C6C81">
        <w:rPr>
          <w:rStyle w:val="Emphasis"/>
          <w:rFonts w:ascii="Arial" w:eastAsiaTheme="majorEastAsia" w:hAnsi="Arial" w:cs="Arial"/>
          <w:sz w:val="20"/>
          <w:szCs w:val="20"/>
        </w:rPr>
        <w:t>Psychiatric Services</w:t>
      </w:r>
      <w:r w:rsidRPr="000C6C81">
        <w:rPr>
          <w:rFonts w:ascii="Arial" w:hAnsi="Arial" w:cs="Arial"/>
          <w:sz w:val="20"/>
          <w:szCs w:val="20"/>
        </w:rPr>
        <w:t xml:space="preserve">, 69(10), pp. 1046–1048. </w:t>
      </w:r>
      <w:proofErr w:type="spellStart"/>
      <w:r w:rsidRPr="000C6C81">
        <w:rPr>
          <w:rFonts w:ascii="Arial" w:hAnsi="Arial" w:cs="Arial"/>
          <w:sz w:val="20"/>
          <w:szCs w:val="20"/>
        </w:rPr>
        <w:t>doi</w:t>
      </w:r>
      <w:proofErr w:type="spellEnd"/>
      <w:r w:rsidRPr="000C6C81">
        <w:rPr>
          <w:rFonts w:ascii="Arial" w:hAnsi="Arial" w:cs="Arial"/>
          <w:sz w:val="20"/>
          <w:szCs w:val="20"/>
        </w:rPr>
        <w:t xml:space="preserve">: </w:t>
      </w:r>
      <w:hyperlink r:id="rId11" w:history="1">
        <w:r w:rsidRPr="000C6C81">
          <w:rPr>
            <w:rStyle w:val="Hyperlink"/>
            <w:rFonts w:ascii="Arial" w:eastAsiaTheme="majorEastAsia" w:hAnsi="Arial" w:cs="Arial"/>
            <w:sz w:val="20"/>
            <w:szCs w:val="20"/>
          </w:rPr>
          <w:t>https://doi.org/10.1176/appi.ps.201800281</w:t>
        </w:r>
      </w:hyperlink>
    </w:p>
    <w:p w14:paraId="563D20CF" w14:textId="14587774"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r w:rsidR="000C6C81">
        <w:rPr>
          <w:rFonts w:ascii="Arial" w:hAnsi="Arial" w:cs="Arial"/>
          <w:sz w:val="20"/>
          <w:szCs w:val="20"/>
        </w:rPr>
        <w:t>(</w:t>
      </w:r>
      <w:r w:rsidRPr="000C6C81">
        <w:rPr>
          <w:rFonts w:ascii="Arial" w:hAnsi="Arial" w:cs="Arial"/>
          <w:sz w:val="20"/>
          <w:szCs w:val="20"/>
        </w:rPr>
        <w:t>Accessed on 13</w:t>
      </w:r>
      <w:r w:rsidRPr="000C6C81">
        <w:rPr>
          <w:rFonts w:ascii="Arial" w:hAnsi="Arial" w:cs="Arial"/>
          <w:sz w:val="20"/>
          <w:szCs w:val="20"/>
          <w:vertAlign w:val="superscript"/>
        </w:rPr>
        <w:t>th</w:t>
      </w:r>
      <w:r w:rsidRPr="000C6C81">
        <w:rPr>
          <w:rFonts w:ascii="Arial" w:hAnsi="Arial" w:cs="Arial"/>
          <w:sz w:val="20"/>
          <w:szCs w:val="20"/>
        </w:rPr>
        <w:t xml:space="preserve"> of October 2024</w:t>
      </w:r>
      <w:r w:rsidR="000C6C81">
        <w:rPr>
          <w:rFonts w:ascii="Arial" w:hAnsi="Arial" w:cs="Arial"/>
          <w:sz w:val="20"/>
          <w:szCs w:val="20"/>
        </w:rPr>
        <w:t>)</w:t>
      </w:r>
    </w:p>
    <w:p w14:paraId="33887660" w14:textId="7FD3BFCE" w:rsidR="001F5068" w:rsidRPr="000C6C81" w:rsidRDefault="001F5068" w:rsidP="001F5068">
      <w:pPr>
        <w:pStyle w:val="NormalWeb"/>
        <w:rPr>
          <w:rFonts w:ascii="Arial" w:hAnsi="Arial" w:cs="Arial"/>
          <w:sz w:val="20"/>
          <w:szCs w:val="20"/>
        </w:rPr>
      </w:pPr>
      <w:r w:rsidRPr="000C6C81">
        <w:rPr>
          <w:rFonts w:ascii="Arial" w:hAnsi="Arial" w:cs="Arial"/>
          <w:sz w:val="20"/>
          <w:szCs w:val="20"/>
        </w:rPr>
        <w:t> NPCC (2016). </w:t>
      </w:r>
      <w:r w:rsidRPr="000C6C81">
        <w:rPr>
          <w:rStyle w:val="Emphasis"/>
          <w:rFonts w:ascii="Arial" w:eastAsiaTheme="majorEastAsia" w:hAnsi="Arial" w:cs="Arial"/>
          <w:sz w:val="20"/>
          <w:szCs w:val="20"/>
        </w:rPr>
        <w:t>Police Chiefs and PCCs set out a vision for policing in 2025</w:t>
      </w:r>
      <w:r w:rsidRPr="000C6C81">
        <w:rPr>
          <w:rFonts w:ascii="Arial" w:hAnsi="Arial" w:cs="Arial"/>
          <w:sz w:val="20"/>
          <w:szCs w:val="20"/>
        </w:rPr>
        <w:t xml:space="preserve">. [online] Police.uk. Available at: </w:t>
      </w:r>
      <w:hyperlink r:id="rId12" w:history="1">
        <w:r w:rsidRPr="000C6C81">
          <w:rPr>
            <w:rStyle w:val="Hyperlink"/>
            <w:rFonts w:ascii="Arial" w:eastAsiaTheme="majorEastAsia" w:hAnsi="Arial" w:cs="Arial"/>
            <w:sz w:val="20"/>
            <w:szCs w:val="20"/>
          </w:rPr>
          <w:t>https://news.npcc.police.uk/releases/police-chiefs-and-pccs-set-out-a-vision-for-policing-in-2025</w:t>
        </w:r>
      </w:hyperlink>
      <w:r w:rsidRPr="000C6C81">
        <w:rPr>
          <w:rFonts w:ascii="Arial" w:hAnsi="Arial" w:cs="Arial"/>
          <w:sz w:val="20"/>
          <w:szCs w:val="20"/>
        </w:rPr>
        <w:t>.</w:t>
      </w:r>
    </w:p>
    <w:p w14:paraId="15320F7B"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on 23</w:t>
      </w:r>
      <w:r w:rsidRPr="000C6C81">
        <w:rPr>
          <w:rFonts w:ascii="Arial" w:hAnsi="Arial" w:cs="Arial"/>
          <w:sz w:val="20"/>
          <w:szCs w:val="20"/>
          <w:vertAlign w:val="superscript"/>
        </w:rPr>
        <w:t>rd</w:t>
      </w:r>
      <w:r w:rsidRPr="000C6C81">
        <w:rPr>
          <w:rFonts w:ascii="Arial" w:hAnsi="Arial" w:cs="Arial"/>
          <w:sz w:val="20"/>
          <w:szCs w:val="20"/>
        </w:rPr>
        <w:t xml:space="preserve"> of October 2024)</w:t>
      </w:r>
    </w:p>
    <w:p w14:paraId="4D95B731" w14:textId="0B879426" w:rsidR="001F5068" w:rsidRPr="000C6C81" w:rsidRDefault="001F5068" w:rsidP="001F5068">
      <w:pPr>
        <w:pStyle w:val="NormalWeb"/>
        <w:rPr>
          <w:rFonts w:ascii="Arial" w:hAnsi="Arial" w:cs="Arial"/>
          <w:sz w:val="20"/>
          <w:szCs w:val="20"/>
        </w:rPr>
      </w:pPr>
      <w:r w:rsidRPr="000C6C81">
        <w:rPr>
          <w:rFonts w:ascii="Arial" w:hAnsi="Arial" w:cs="Arial"/>
          <w:sz w:val="20"/>
          <w:szCs w:val="20"/>
        </w:rPr>
        <w:t>‌</w:t>
      </w:r>
      <w:r w:rsidR="000C6C81">
        <w:rPr>
          <w:rFonts w:ascii="Arial" w:hAnsi="Arial" w:cs="Arial"/>
          <w:sz w:val="20"/>
          <w:szCs w:val="20"/>
        </w:rPr>
        <w:t>P</w:t>
      </w:r>
      <w:r w:rsidRPr="000C6C81">
        <w:rPr>
          <w:rFonts w:ascii="Arial" w:hAnsi="Arial" w:cs="Arial"/>
          <w:sz w:val="20"/>
          <w:szCs w:val="20"/>
        </w:rPr>
        <w:t>ublic Health Wales (2020). </w:t>
      </w:r>
      <w:r w:rsidRPr="000C6C81">
        <w:rPr>
          <w:rStyle w:val="Emphasis"/>
          <w:rFonts w:ascii="Arial" w:eastAsiaTheme="majorEastAsia" w:hAnsi="Arial" w:cs="Arial"/>
          <w:sz w:val="20"/>
          <w:szCs w:val="20"/>
        </w:rPr>
        <w:t>Adverse Childhood Experiences—Public Health Wales</w:t>
      </w:r>
      <w:r w:rsidRPr="000C6C81">
        <w:rPr>
          <w:rFonts w:ascii="Arial" w:hAnsi="Arial" w:cs="Arial"/>
          <w:sz w:val="20"/>
          <w:szCs w:val="20"/>
        </w:rPr>
        <w:t xml:space="preserve">. [online] </w:t>
      </w:r>
      <w:proofErr w:type="spellStart"/>
      <w:r w:rsidRPr="000C6C81">
        <w:rPr>
          <w:rFonts w:ascii="Arial" w:hAnsi="Arial" w:cs="Arial"/>
          <w:sz w:val="20"/>
          <w:szCs w:val="20"/>
        </w:rPr>
        <w:t>Nhs.wales</w:t>
      </w:r>
      <w:proofErr w:type="spellEnd"/>
      <w:r w:rsidRPr="000C6C81">
        <w:rPr>
          <w:rFonts w:ascii="Arial" w:hAnsi="Arial" w:cs="Arial"/>
          <w:sz w:val="20"/>
          <w:szCs w:val="20"/>
        </w:rPr>
        <w:t xml:space="preserve">. Available at: </w:t>
      </w:r>
      <w:hyperlink r:id="rId13" w:history="1">
        <w:r w:rsidRPr="000C6C81">
          <w:rPr>
            <w:rStyle w:val="Hyperlink"/>
            <w:rFonts w:ascii="Arial" w:eastAsiaTheme="majorEastAsia" w:hAnsi="Arial" w:cs="Arial"/>
            <w:sz w:val="20"/>
            <w:szCs w:val="20"/>
          </w:rPr>
          <w:t>https://phw.nhs.wales/topics/adverse-childhood-experiences/</w:t>
        </w:r>
      </w:hyperlink>
      <w:r w:rsidRPr="000C6C81">
        <w:rPr>
          <w:rFonts w:ascii="Arial" w:hAnsi="Arial" w:cs="Arial"/>
          <w:sz w:val="20"/>
          <w:szCs w:val="20"/>
        </w:rPr>
        <w:t>.</w:t>
      </w:r>
    </w:p>
    <w:p w14:paraId="03A1BC01" w14:textId="6F91580D" w:rsidR="001F5068" w:rsidRPr="000C6C81" w:rsidRDefault="000C6C81" w:rsidP="001F5068">
      <w:pPr>
        <w:pStyle w:val="NormalWeb"/>
        <w:rPr>
          <w:rFonts w:ascii="Arial" w:hAnsi="Arial" w:cs="Arial"/>
          <w:sz w:val="20"/>
          <w:szCs w:val="20"/>
        </w:rPr>
      </w:pPr>
      <w:r>
        <w:rPr>
          <w:rFonts w:ascii="Arial" w:hAnsi="Arial" w:cs="Arial"/>
          <w:sz w:val="20"/>
          <w:szCs w:val="20"/>
        </w:rPr>
        <w:t>(</w:t>
      </w:r>
      <w:r w:rsidR="001F5068" w:rsidRPr="000C6C81">
        <w:rPr>
          <w:rFonts w:ascii="Arial" w:hAnsi="Arial" w:cs="Arial"/>
          <w:sz w:val="20"/>
          <w:szCs w:val="20"/>
        </w:rPr>
        <w:t>Accessed on 7</w:t>
      </w:r>
      <w:r w:rsidR="001F5068" w:rsidRPr="000C6C81">
        <w:rPr>
          <w:rFonts w:ascii="Arial" w:hAnsi="Arial" w:cs="Arial"/>
          <w:sz w:val="20"/>
          <w:szCs w:val="20"/>
          <w:vertAlign w:val="superscript"/>
        </w:rPr>
        <w:t>th</w:t>
      </w:r>
      <w:r w:rsidR="001F5068" w:rsidRPr="000C6C81">
        <w:rPr>
          <w:rFonts w:ascii="Arial" w:hAnsi="Arial" w:cs="Arial"/>
          <w:sz w:val="20"/>
          <w:szCs w:val="20"/>
        </w:rPr>
        <w:t xml:space="preserve"> of October 2024</w:t>
      </w:r>
      <w:r>
        <w:rPr>
          <w:rFonts w:ascii="Arial" w:hAnsi="Arial" w:cs="Arial"/>
          <w:sz w:val="20"/>
          <w:szCs w:val="20"/>
        </w:rPr>
        <w:t>)</w:t>
      </w:r>
    </w:p>
    <w:p w14:paraId="5CF8F939" w14:textId="35EBD20D"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roofErr w:type="spellStart"/>
      <w:proofErr w:type="gramStart"/>
      <w:r w:rsidRPr="000C6C81">
        <w:rPr>
          <w:rFonts w:ascii="Arial" w:hAnsi="Arial" w:cs="Arial"/>
          <w:sz w:val="20"/>
          <w:szCs w:val="20"/>
        </w:rPr>
        <w:t>phw.nhs.wales</w:t>
      </w:r>
      <w:proofErr w:type="spellEnd"/>
      <w:proofErr w:type="gramEnd"/>
      <w:r w:rsidRPr="000C6C81">
        <w:rPr>
          <w:rFonts w:ascii="Arial" w:hAnsi="Arial" w:cs="Arial"/>
          <w:sz w:val="20"/>
          <w:szCs w:val="20"/>
        </w:rPr>
        <w:t>. (n.d.).   </w:t>
      </w:r>
      <w:r w:rsidRPr="000C6C81">
        <w:rPr>
          <w:rStyle w:val="Emphasis"/>
          <w:rFonts w:ascii="Arial" w:eastAsiaTheme="majorEastAsia" w:hAnsi="Arial" w:cs="Arial"/>
          <w:sz w:val="20"/>
          <w:szCs w:val="20"/>
        </w:rPr>
        <w:t>Early Action Together—Public Health Wales</w:t>
      </w:r>
      <w:r w:rsidRPr="000C6C81">
        <w:rPr>
          <w:rFonts w:ascii="Arial" w:hAnsi="Arial" w:cs="Arial"/>
          <w:sz w:val="20"/>
          <w:szCs w:val="20"/>
        </w:rPr>
        <w:t xml:space="preserve">. [online] Available at: </w:t>
      </w:r>
      <w:hyperlink r:id="rId14" w:history="1">
        <w:r w:rsidRPr="000C6C81">
          <w:rPr>
            <w:rStyle w:val="Hyperlink"/>
            <w:rFonts w:ascii="Arial" w:eastAsiaTheme="majorEastAsia" w:hAnsi="Arial" w:cs="Arial"/>
            <w:sz w:val="20"/>
            <w:szCs w:val="20"/>
          </w:rPr>
          <w:t>https://phw.nhs.wales/services-and-teams/early-action-together/</w:t>
        </w:r>
      </w:hyperlink>
      <w:r w:rsidRPr="000C6C81">
        <w:rPr>
          <w:rFonts w:ascii="Arial" w:hAnsi="Arial" w:cs="Arial"/>
          <w:sz w:val="20"/>
          <w:szCs w:val="20"/>
        </w:rPr>
        <w:t>.</w:t>
      </w:r>
    </w:p>
    <w:p w14:paraId="567DF485"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on 20</w:t>
      </w:r>
      <w:r w:rsidRPr="000C6C81">
        <w:rPr>
          <w:rFonts w:ascii="Arial" w:hAnsi="Arial" w:cs="Arial"/>
          <w:sz w:val="20"/>
          <w:szCs w:val="20"/>
          <w:vertAlign w:val="superscript"/>
        </w:rPr>
        <w:t>th</w:t>
      </w:r>
      <w:r w:rsidRPr="000C6C81">
        <w:rPr>
          <w:rFonts w:ascii="Arial" w:hAnsi="Arial" w:cs="Arial"/>
          <w:sz w:val="20"/>
          <w:szCs w:val="20"/>
        </w:rPr>
        <w:t xml:space="preserve"> of October 2024)</w:t>
      </w:r>
    </w:p>
    <w:p w14:paraId="46B9A06F" w14:textId="32E602C8"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‌Rasche, K., Dudeck, M., Otte, S., Klingner, S., Vasic, N., and </w:t>
      </w:r>
      <w:proofErr w:type="spellStart"/>
      <w:r w:rsidRPr="000C6C81">
        <w:rPr>
          <w:rFonts w:ascii="Arial" w:hAnsi="Arial" w:cs="Arial"/>
          <w:sz w:val="20"/>
          <w:szCs w:val="20"/>
        </w:rPr>
        <w:t>Streb</w:t>
      </w:r>
      <w:proofErr w:type="spellEnd"/>
      <w:r w:rsidRPr="000C6C81">
        <w:rPr>
          <w:rFonts w:ascii="Arial" w:hAnsi="Arial" w:cs="Arial"/>
          <w:sz w:val="20"/>
          <w:szCs w:val="20"/>
        </w:rPr>
        <w:t xml:space="preserve">, J., 2016. Factors influencing the pathway from trauma to aggression: A current review of behavioural studies. </w:t>
      </w:r>
      <w:r w:rsidRPr="000C6C81">
        <w:rPr>
          <w:rStyle w:val="Emphasis"/>
          <w:rFonts w:ascii="Arial" w:eastAsiaTheme="majorEastAsia" w:hAnsi="Arial" w:cs="Arial"/>
          <w:sz w:val="20"/>
          <w:szCs w:val="20"/>
        </w:rPr>
        <w:t>Neurology, Psychiatry, and Brain Research</w:t>
      </w:r>
      <w:r w:rsidRPr="000C6C81">
        <w:rPr>
          <w:rFonts w:ascii="Arial" w:hAnsi="Arial" w:cs="Arial"/>
          <w:sz w:val="20"/>
          <w:szCs w:val="20"/>
        </w:rPr>
        <w:t>, </w:t>
      </w:r>
      <w:r w:rsidRPr="000C6C81">
        <w:rPr>
          <w:rStyle w:val="Emphasis"/>
          <w:rFonts w:ascii="Arial" w:eastAsiaTheme="majorEastAsia" w:hAnsi="Arial" w:cs="Arial"/>
          <w:sz w:val="20"/>
          <w:szCs w:val="20"/>
        </w:rPr>
        <w:t>22</w:t>
      </w:r>
      <w:r w:rsidRPr="000C6C81">
        <w:rPr>
          <w:rFonts w:ascii="Arial" w:hAnsi="Arial" w:cs="Arial"/>
          <w:sz w:val="20"/>
          <w:szCs w:val="20"/>
        </w:rPr>
        <w:t>(2), pp. 75-80.</w:t>
      </w:r>
    </w:p>
    <w:p w14:paraId="49491AD5" w14:textId="17F760CE"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Rokach, A., and Clayton, S. (2023). </w:t>
      </w:r>
      <w:r w:rsidRPr="000C6C81">
        <w:rPr>
          <w:rStyle w:val="Emphasis"/>
          <w:rFonts w:ascii="Arial" w:eastAsiaTheme="majorEastAsia" w:hAnsi="Arial" w:cs="Arial"/>
          <w:sz w:val="20"/>
          <w:szCs w:val="20"/>
        </w:rPr>
        <w:t xml:space="preserve">Adverse Childhood Experiences and Their </w:t>
      </w:r>
      <w:proofErr w:type="spellStart"/>
      <w:r w:rsidRPr="000C6C81">
        <w:rPr>
          <w:rStyle w:val="Emphasis"/>
          <w:rFonts w:ascii="Arial" w:eastAsiaTheme="majorEastAsia" w:hAnsi="Arial" w:cs="Arial"/>
          <w:sz w:val="20"/>
          <w:szCs w:val="20"/>
        </w:rPr>
        <w:t>LifeLong</w:t>
      </w:r>
      <w:proofErr w:type="spellEnd"/>
      <w:r w:rsidRPr="000C6C81">
        <w:rPr>
          <w:rStyle w:val="Emphasis"/>
          <w:rFonts w:ascii="Arial" w:eastAsiaTheme="majorEastAsia" w:hAnsi="Arial" w:cs="Arial"/>
          <w:sz w:val="20"/>
          <w:szCs w:val="20"/>
        </w:rPr>
        <w:t xml:space="preserve"> Impact</w:t>
      </w:r>
      <w:r w:rsidRPr="000C6C81">
        <w:rPr>
          <w:rFonts w:ascii="Arial" w:hAnsi="Arial" w:cs="Arial"/>
          <w:sz w:val="20"/>
          <w:szCs w:val="20"/>
        </w:rPr>
        <w:t>. Elsevier.</w:t>
      </w:r>
    </w:p>
    <w:p w14:paraId="09C93E87" w14:textId="3D058620" w:rsidR="001F5068" w:rsidRPr="000C6C81" w:rsidRDefault="001F5068" w:rsidP="001F5068">
      <w:pPr>
        <w:pStyle w:val="NormalWeb"/>
        <w:rPr>
          <w:rFonts w:ascii="Arial" w:hAnsi="Arial" w:cs="Arial"/>
          <w:sz w:val="20"/>
          <w:szCs w:val="20"/>
        </w:rPr>
      </w:pPr>
      <w:r w:rsidRPr="000C6C81">
        <w:rPr>
          <w:rFonts w:ascii="Arial" w:hAnsi="Arial" w:cs="Arial"/>
          <w:sz w:val="20"/>
          <w:szCs w:val="20"/>
        </w:rPr>
        <w:t> Rodriguez</w:t>
      </w:r>
      <w:r w:rsidRPr="000C6C81">
        <w:rPr>
          <w:rFonts w:ascii="Arial" w:hAnsi="Arial" w:cs="Arial"/>
          <w:sz w:val="20"/>
          <w:szCs w:val="20"/>
          <w:vertAlign w:val="superscript"/>
        </w:rPr>
        <w:t>1</w:t>
      </w:r>
      <w:r w:rsidRPr="000C6C81">
        <w:rPr>
          <w:rFonts w:ascii="Arial" w:hAnsi="Arial" w:cs="Arial"/>
          <w:sz w:val="20"/>
          <w:szCs w:val="20"/>
        </w:rPr>
        <w:t>, G., Glendinning</w:t>
      </w:r>
      <w:r w:rsidRPr="000C6C81">
        <w:rPr>
          <w:rFonts w:ascii="Arial" w:hAnsi="Arial" w:cs="Arial"/>
          <w:sz w:val="20"/>
          <w:szCs w:val="20"/>
          <w:vertAlign w:val="superscript"/>
        </w:rPr>
        <w:t>2</w:t>
      </w:r>
      <w:r w:rsidRPr="000C6C81">
        <w:rPr>
          <w:rFonts w:ascii="Arial" w:hAnsi="Arial" w:cs="Arial"/>
          <w:sz w:val="20"/>
          <w:szCs w:val="20"/>
        </w:rPr>
        <w:t>, F., Harker</w:t>
      </w:r>
      <w:r w:rsidRPr="000C6C81">
        <w:rPr>
          <w:rFonts w:ascii="Arial" w:hAnsi="Arial" w:cs="Arial"/>
          <w:sz w:val="20"/>
          <w:szCs w:val="20"/>
          <w:vertAlign w:val="superscript"/>
        </w:rPr>
        <w:t>1</w:t>
      </w:r>
      <w:r w:rsidRPr="000C6C81">
        <w:rPr>
          <w:rFonts w:ascii="Arial" w:hAnsi="Arial" w:cs="Arial"/>
          <w:sz w:val="20"/>
          <w:szCs w:val="20"/>
        </w:rPr>
        <w:t xml:space="preserve">, S., and Hayley, D. (n.d.). </w:t>
      </w:r>
      <w:r w:rsidRPr="000C6C81">
        <w:rPr>
          <w:rStyle w:val="Emphasis"/>
          <w:rFonts w:ascii="Arial" w:eastAsiaTheme="majorEastAsia" w:hAnsi="Arial" w:cs="Arial"/>
          <w:sz w:val="20"/>
          <w:szCs w:val="20"/>
        </w:rPr>
        <w:t>Adverse Childhood Experience Trauma-Informed Multi-agency The Early Action Together (ACE TIME) training is a 15-month follow-up program for police and partners. Early Action Together: Police &amp; Partners ACEs Programme Adverse Childhood Experience Trauma-Informed Multi-agency Early Action Together (ACE TIME) training is a 15-month follow-up program for police and partners. Authors</w:t>
      </w:r>
      <w:r w:rsidRPr="000C6C81">
        <w:rPr>
          <w:rFonts w:ascii="Arial" w:hAnsi="Arial" w:cs="Arial"/>
          <w:sz w:val="20"/>
          <w:szCs w:val="20"/>
        </w:rPr>
        <w:t xml:space="preserve">. [online] Available at: </w:t>
      </w:r>
      <w:hyperlink r:id="rId15" w:history="1">
        <w:r w:rsidRPr="000C6C81">
          <w:rPr>
            <w:rStyle w:val="Hyperlink"/>
            <w:rFonts w:ascii="Arial" w:eastAsiaTheme="majorEastAsia" w:hAnsi="Arial" w:cs="Arial"/>
            <w:sz w:val="20"/>
            <w:szCs w:val="20"/>
          </w:rPr>
          <w:t>https://www.rsph.org.uk/static/03bc2b85-4f12-45f4-96c6baa4e3eb8fa3/PHW-EAT-Time-Training-Follow-Up-report.pdf</w:t>
        </w:r>
      </w:hyperlink>
    </w:p>
    <w:p w14:paraId="08706636"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23</w:t>
      </w:r>
      <w:r w:rsidRPr="000C6C81">
        <w:rPr>
          <w:rFonts w:ascii="Arial" w:hAnsi="Arial" w:cs="Arial"/>
          <w:sz w:val="20"/>
          <w:szCs w:val="20"/>
          <w:vertAlign w:val="superscript"/>
        </w:rPr>
        <w:t>rd</w:t>
      </w:r>
      <w:r w:rsidRPr="000C6C81">
        <w:rPr>
          <w:rFonts w:ascii="Arial" w:hAnsi="Arial" w:cs="Arial"/>
          <w:sz w:val="20"/>
          <w:szCs w:val="20"/>
        </w:rPr>
        <w:t xml:space="preserve"> October of 2024)</w:t>
      </w:r>
    </w:p>
    <w:p w14:paraId="2B169379" w14:textId="339B3306"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‌Shore, R. (2003). </w:t>
      </w:r>
      <w:r w:rsidRPr="000C6C81">
        <w:rPr>
          <w:rStyle w:val="Emphasis"/>
          <w:rFonts w:ascii="Arial" w:eastAsiaTheme="majorEastAsia" w:hAnsi="Arial" w:cs="Arial"/>
          <w:sz w:val="20"/>
          <w:szCs w:val="20"/>
        </w:rPr>
        <w:t>The Heart of a Child: The Care of Children in Crisis</w:t>
      </w:r>
      <w:r w:rsidRPr="000C6C81">
        <w:rPr>
          <w:rFonts w:ascii="Arial" w:hAnsi="Arial" w:cs="Arial"/>
          <w:sz w:val="20"/>
          <w:szCs w:val="20"/>
        </w:rPr>
        <w:t>. New York: Basic Books.</w:t>
      </w:r>
    </w:p>
    <w:p w14:paraId="1C2442CE"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Teicher, M. H., Anderson, C. M., &amp; Polcari, A. (2003). Developmental Neurobiology of Childhood Stress and Trauma. </w:t>
      </w:r>
      <w:r w:rsidRPr="000C6C81">
        <w:rPr>
          <w:rStyle w:val="Emphasis"/>
          <w:rFonts w:ascii="Arial" w:eastAsiaTheme="majorEastAsia" w:hAnsi="Arial" w:cs="Arial"/>
          <w:sz w:val="20"/>
          <w:szCs w:val="20"/>
        </w:rPr>
        <w:t>Psychiatric Clinics of North America</w:t>
      </w:r>
      <w:r w:rsidRPr="000C6C81">
        <w:rPr>
          <w:rFonts w:ascii="Arial" w:hAnsi="Arial" w:cs="Arial"/>
          <w:sz w:val="20"/>
          <w:szCs w:val="20"/>
        </w:rPr>
        <w:t>, 26(3), 503-520.</w:t>
      </w:r>
    </w:p>
    <w:p w14:paraId="0E181BBC" w14:textId="640137CE"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‌Widom, C. S., Marmorstein, N., &amp; White, H. R. (2007). Childhood victimization and drug use in adulthood: A prospective investigation. </w:t>
      </w:r>
      <w:r w:rsidRPr="000C6C81">
        <w:rPr>
          <w:rStyle w:val="Emphasis"/>
          <w:rFonts w:ascii="Arial" w:eastAsiaTheme="majorEastAsia" w:hAnsi="Arial" w:cs="Arial"/>
          <w:sz w:val="20"/>
          <w:szCs w:val="20"/>
        </w:rPr>
        <w:t>Journal of Studies on Alcohol and Drugs</w:t>
      </w:r>
      <w:r w:rsidRPr="000C6C81">
        <w:rPr>
          <w:rFonts w:ascii="Arial" w:hAnsi="Arial" w:cs="Arial"/>
          <w:sz w:val="20"/>
          <w:szCs w:val="20"/>
        </w:rPr>
        <w:t>, 68(6), 817-825</w:t>
      </w:r>
    </w:p>
    <w:p w14:paraId="0F01D0B0" w14:textId="1DC6D6BE" w:rsidR="001F5068" w:rsidRPr="000C6C81" w:rsidRDefault="001F5068" w:rsidP="001F5068">
      <w:pPr>
        <w:pStyle w:val="NormalWeb"/>
        <w:rPr>
          <w:rFonts w:ascii="Arial" w:hAnsi="Arial" w:cs="Arial"/>
          <w:sz w:val="20"/>
          <w:szCs w:val="20"/>
        </w:rPr>
      </w:pPr>
      <w:r w:rsidRPr="000C6C81">
        <w:rPr>
          <w:rFonts w:ascii="Arial" w:hAnsi="Arial" w:cs="Arial"/>
          <w:sz w:val="20"/>
          <w:szCs w:val="20"/>
        </w:rPr>
        <w:t xml:space="preserve"> World Health Organisation Collaborating Centre on Investment for Health and Well-Being. (n.d.). </w:t>
      </w:r>
      <w:r w:rsidRPr="000C6C81">
        <w:rPr>
          <w:rStyle w:val="Emphasis"/>
          <w:rFonts w:ascii="Arial" w:eastAsiaTheme="majorEastAsia" w:hAnsi="Arial" w:cs="Arial"/>
          <w:sz w:val="20"/>
          <w:szCs w:val="20"/>
        </w:rPr>
        <w:t>The study conducted an evaluation of the Adverse Childhood Experience Trauma Informed Multi-</w:t>
      </w:r>
      <w:proofErr w:type="gramStart"/>
      <w:r w:rsidRPr="000C6C81">
        <w:rPr>
          <w:rStyle w:val="Emphasis"/>
          <w:rFonts w:ascii="Arial" w:eastAsiaTheme="majorEastAsia" w:hAnsi="Arial" w:cs="Arial"/>
          <w:sz w:val="20"/>
          <w:szCs w:val="20"/>
        </w:rPr>
        <w:t>agency</w:t>
      </w:r>
      <w:proofErr w:type="gramEnd"/>
      <w:r w:rsidRPr="000C6C81">
        <w:rPr>
          <w:rStyle w:val="Emphasis"/>
          <w:rFonts w:ascii="Arial" w:eastAsiaTheme="majorEastAsia" w:hAnsi="Arial" w:cs="Arial"/>
          <w:sz w:val="20"/>
          <w:szCs w:val="20"/>
        </w:rPr>
        <w:t xml:space="preserve"> Early Action Together (ACE TIME) training, which was rolled out nationally to police and partners. </w:t>
      </w:r>
      <w:r w:rsidRPr="000C6C81">
        <w:rPr>
          <w:rFonts w:ascii="Arial" w:hAnsi="Arial" w:cs="Arial"/>
          <w:sz w:val="20"/>
          <w:szCs w:val="20"/>
        </w:rPr>
        <w:t xml:space="preserve">[online] Available at: </w:t>
      </w:r>
      <w:hyperlink r:id="rId16" w:history="1">
        <w:r w:rsidRPr="000C6C81">
          <w:rPr>
            <w:rStyle w:val="Hyperlink"/>
            <w:rFonts w:ascii="Arial" w:eastAsiaTheme="majorEastAsia" w:hAnsi="Arial" w:cs="Arial"/>
            <w:sz w:val="20"/>
            <w:szCs w:val="20"/>
          </w:rPr>
          <w:t>https://phwwhocc.co.uk/resources/an-evaluation-of-the-adverse-childhood-experience-trauma-informed-multi-agency-early-action-together-ace-time-training-national-roll-out-to-police-and-partners-2/</w:t>
        </w:r>
      </w:hyperlink>
      <w:r w:rsidRPr="000C6C81">
        <w:rPr>
          <w:rFonts w:ascii="Arial" w:hAnsi="Arial" w:cs="Arial"/>
          <w:sz w:val="20"/>
          <w:szCs w:val="20"/>
        </w:rPr>
        <w:t>.</w:t>
      </w:r>
    </w:p>
    <w:p w14:paraId="53AFA2D0"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(Accessed on 20</w:t>
      </w:r>
      <w:r w:rsidRPr="000C6C81">
        <w:rPr>
          <w:rFonts w:ascii="Arial" w:hAnsi="Arial" w:cs="Arial"/>
          <w:sz w:val="20"/>
          <w:szCs w:val="20"/>
          <w:vertAlign w:val="superscript"/>
        </w:rPr>
        <w:t>th</w:t>
      </w:r>
      <w:r w:rsidRPr="000C6C81">
        <w:rPr>
          <w:rFonts w:ascii="Arial" w:hAnsi="Arial" w:cs="Arial"/>
          <w:sz w:val="20"/>
          <w:szCs w:val="20"/>
        </w:rPr>
        <w:t xml:space="preserve"> of October 2024)</w:t>
      </w:r>
    </w:p>
    <w:p w14:paraId="4243CDFA" w14:textId="77777777" w:rsidR="001F5068" w:rsidRPr="000C6C81" w:rsidRDefault="001F5068" w:rsidP="001F5068">
      <w:pPr>
        <w:pStyle w:val="NormalWeb"/>
        <w:rPr>
          <w:rFonts w:ascii="Arial" w:hAnsi="Arial" w:cs="Arial"/>
          <w:sz w:val="20"/>
          <w:szCs w:val="20"/>
        </w:rPr>
      </w:pPr>
      <w:proofErr w:type="spellStart"/>
      <w:r w:rsidRPr="000C6C81">
        <w:rPr>
          <w:rFonts w:ascii="Arial" w:hAnsi="Arial" w:cs="Arial"/>
          <w:sz w:val="20"/>
          <w:szCs w:val="20"/>
        </w:rPr>
        <w:lastRenderedPageBreak/>
        <w:t>Zoccolillo</w:t>
      </w:r>
      <w:proofErr w:type="spellEnd"/>
      <w:r w:rsidRPr="000C6C81">
        <w:rPr>
          <w:rFonts w:ascii="Arial" w:hAnsi="Arial" w:cs="Arial"/>
          <w:sz w:val="20"/>
          <w:szCs w:val="20"/>
        </w:rPr>
        <w:t>, M. (1993). Gender Differences in the Development of Conduct Disorder and Antisocial Personality Disorder. </w:t>
      </w:r>
      <w:r w:rsidRPr="000C6C81">
        <w:rPr>
          <w:rStyle w:val="Emphasis"/>
          <w:rFonts w:ascii="Arial" w:eastAsiaTheme="majorEastAsia" w:hAnsi="Arial" w:cs="Arial"/>
          <w:sz w:val="20"/>
          <w:szCs w:val="20"/>
        </w:rPr>
        <w:t>Psychological Bulletin</w:t>
      </w:r>
      <w:r w:rsidRPr="000C6C81">
        <w:rPr>
          <w:rFonts w:ascii="Arial" w:hAnsi="Arial" w:cs="Arial"/>
          <w:sz w:val="20"/>
          <w:szCs w:val="20"/>
        </w:rPr>
        <w:t>, 113(2), 283-292.</w:t>
      </w:r>
    </w:p>
    <w:p w14:paraId="3E41BB0C"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7AB1A348"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0BD1FEE4"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122C1C84"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414EA375"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00E19F7E"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6AB04C09" w14:textId="77777777" w:rsidR="001F5068" w:rsidRPr="000C6C81" w:rsidRDefault="001F5068" w:rsidP="001F5068">
      <w:pPr>
        <w:pStyle w:val="NormalWeb"/>
        <w:rPr>
          <w:rFonts w:ascii="Arial" w:hAnsi="Arial" w:cs="Arial"/>
          <w:sz w:val="20"/>
          <w:szCs w:val="20"/>
        </w:rPr>
      </w:pPr>
      <w:r w:rsidRPr="000C6C81">
        <w:rPr>
          <w:rFonts w:ascii="Arial" w:hAnsi="Arial" w:cs="Arial"/>
          <w:sz w:val="20"/>
          <w:szCs w:val="20"/>
        </w:rPr>
        <w:t> </w:t>
      </w:r>
    </w:p>
    <w:p w14:paraId="0861D602" w14:textId="77777777" w:rsidR="001F5068" w:rsidRDefault="001F5068" w:rsidP="001F5068">
      <w:pPr>
        <w:pStyle w:val="NormalWeb"/>
      </w:pPr>
      <w:r>
        <w:t> </w:t>
      </w:r>
    </w:p>
    <w:p w14:paraId="2C5BB669" w14:textId="77777777" w:rsidR="001F5068" w:rsidRDefault="001F5068" w:rsidP="001F5068">
      <w:pPr>
        <w:pStyle w:val="NormalWeb"/>
      </w:pPr>
      <w:r>
        <w:t> </w:t>
      </w:r>
    </w:p>
    <w:p w14:paraId="7A70D4B8" w14:textId="77777777" w:rsidR="00B61A09" w:rsidRDefault="00B61A09"/>
    <w:sectPr w:rsidR="00B61A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icrosoft Himalaya">
    <w:panose1 w:val="01010100010101010101"/>
    <w:charset w:val="00"/>
    <w:family w:val="auto"/>
    <w:pitch w:val="variable"/>
    <w:sig w:usb0="80000003" w:usb1="00010000" w:usb2="0000004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068"/>
    <w:rsid w:val="00014F0F"/>
    <w:rsid w:val="000313F5"/>
    <w:rsid w:val="000C12B2"/>
    <w:rsid w:val="000C6C81"/>
    <w:rsid w:val="000D7FC5"/>
    <w:rsid w:val="0012736F"/>
    <w:rsid w:val="00150E3B"/>
    <w:rsid w:val="001569DD"/>
    <w:rsid w:val="001C48EA"/>
    <w:rsid w:val="001F5068"/>
    <w:rsid w:val="00294E1D"/>
    <w:rsid w:val="002E6247"/>
    <w:rsid w:val="002F7188"/>
    <w:rsid w:val="00316437"/>
    <w:rsid w:val="00407268"/>
    <w:rsid w:val="00510504"/>
    <w:rsid w:val="0054780E"/>
    <w:rsid w:val="005F3722"/>
    <w:rsid w:val="0075430B"/>
    <w:rsid w:val="00790C88"/>
    <w:rsid w:val="007E008A"/>
    <w:rsid w:val="00821E0B"/>
    <w:rsid w:val="00841F2B"/>
    <w:rsid w:val="008851FE"/>
    <w:rsid w:val="008C6D2A"/>
    <w:rsid w:val="008E6173"/>
    <w:rsid w:val="00942683"/>
    <w:rsid w:val="00966D6A"/>
    <w:rsid w:val="00A05AF1"/>
    <w:rsid w:val="00A82E8A"/>
    <w:rsid w:val="00AB3C40"/>
    <w:rsid w:val="00AB6902"/>
    <w:rsid w:val="00B00873"/>
    <w:rsid w:val="00B24337"/>
    <w:rsid w:val="00B43812"/>
    <w:rsid w:val="00B61A09"/>
    <w:rsid w:val="00B91562"/>
    <w:rsid w:val="00BC2FA3"/>
    <w:rsid w:val="00BD6D73"/>
    <w:rsid w:val="00CE380E"/>
    <w:rsid w:val="00D304E0"/>
    <w:rsid w:val="00D32D13"/>
    <w:rsid w:val="00D540DF"/>
    <w:rsid w:val="00D61F18"/>
    <w:rsid w:val="00DA4985"/>
    <w:rsid w:val="00E92BE3"/>
    <w:rsid w:val="00FC29C5"/>
  </w:rsids>
  <m:mathPr>
    <m:mathFont m:val="Cambria Math"/>
    <m:brkBin m:val="before"/>
    <m:brkBinSub m:val="--"/>
    <m:smallFrac m:val="0"/>
    <m:dispDef/>
    <m:lMargin m:val="0"/>
    <m:rMargin m:val="0"/>
    <m:defJc m:val="centerGroup"/>
    <m:wrapIndent m:val="1440"/>
    <m:intLim m:val="subSup"/>
    <m:naryLim m:val="undOvr"/>
  </m:mathPr>
  <w:themeFontLang w:val="en-GB"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5C2E3"/>
  <w15:chartTrackingRefBased/>
  <w15:docId w15:val="{7A1CAD99-7CC0-4C2C-BE8B-FE9EAC26A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0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0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0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0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0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0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0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0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0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0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0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0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0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0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0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0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0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068"/>
    <w:rPr>
      <w:rFonts w:eastAsiaTheme="majorEastAsia" w:cstheme="majorBidi"/>
      <w:color w:val="272727" w:themeColor="text1" w:themeTint="D8"/>
    </w:rPr>
  </w:style>
  <w:style w:type="paragraph" w:styleId="Title">
    <w:name w:val="Title"/>
    <w:basedOn w:val="Normal"/>
    <w:next w:val="Normal"/>
    <w:link w:val="TitleChar"/>
    <w:uiPriority w:val="10"/>
    <w:qFormat/>
    <w:rsid w:val="001F50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0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0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0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068"/>
    <w:pPr>
      <w:spacing w:before="160"/>
      <w:jc w:val="center"/>
    </w:pPr>
    <w:rPr>
      <w:i/>
      <w:iCs/>
      <w:color w:val="404040" w:themeColor="text1" w:themeTint="BF"/>
    </w:rPr>
  </w:style>
  <w:style w:type="character" w:customStyle="1" w:styleId="QuoteChar">
    <w:name w:val="Quote Char"/>
    <w:basedOn w:val="DefaultParagraphFont"/>
    <w:link w:val="Quote"/>
    <w:uiPriority w:val="29"/>
    <w:rsid w:val="001F5068"/>
    <w:rPr>
      <w:i/>
      <w:iCs/>
      <w:color w:val="404040" w:themeColor="text1" w:themeTint="BF"/>
    </w:rPr>
  </w:style>
  <w:style w:type="paragraph" w:styleId="ListParagraph">
    <w:name w:val="List Paragraph"/>
    <w:basedOn w:val="Normal"/>
    <w:uiPriority w:val="34"/>
    <w:qFormat/>
    <w:rsid w:val="001F5068"/>
    <w:pPr>
      <w:ind w:left="720"/>
      <w:contextualSpacing/>
    </w:pPr>
  </w:style>
  <w:style w:type="character" w:styleId="IntenseEmphasis">
    <w:name w:val="Intense Emphasis"/>
    <w:basedOn w:val="DefaultParagraphFont"/>
    <w:uiPriority w:val="21"/>
    <w:qFormat/>
    <w:rsid w:val="001F5068"/>
    <w:rPr>
      <w:i/>
      <w:iCs/>
      <w:color w:val="0F4761" w:themeColor="accent1" w:themeShade="BF"/>
    </w:rPr>
  </w:style>
  <w:style w:type="paragraph" w:styleId="IntenseQuote">
    <w:name w:val="Intense Quote"/>
    <w:basedOn w:val="Normal"/>
    <w:next w:val="Normal"/>
    <w:link w:val="IntenseQuoteChar"/>
    <w:uiPriority w:val="30"/>
    <w:qFormat/>
    <w:rsid w:val="001F50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068"/>
    <w:rPr>
      <w:i/>
      <w:iCs/>
      <w:color w:val="0F4761" w:themeColor="accent1" w:themeShade="BF"/>
    </w:rPr>
  </w:style>
  <w:style w:type="character" w:styleId="IntenseReference">
    <w:name w:val="Intense Reference"/>
    <w:basedOn w:val="DefaultParagraphFont"/>
    <w:uiPriority w:val="32"/>
    <w:qFormat/>
    <w:rsid w:val="001F5068"/>
    <w:rPr>
      <w:b/>
      <w:bCs/>
      <w:smallCaps/>
      <w:color w:val="0F4761" w:themeColor="accent1" w:themeShade="BF"/>
      <w:spacing w:val="5"/>
    </w:rPr>
  </w:style>
  <w:style w:type="paragraph" w:styleId="NormalWeb">
    <w:name w:val="Normal (Web)"/>
    <w:basedOn w:val="Normal"/>
    <w:uiPriority w:val="99"/>
    <w:unhideWhenUsed/>
    <w:rsid w:val="001F5068"/>
    <w:pPr>
      <w:spacing w:before="100" w:beforeAutospacing="1" w:after="100" w:afterAutospacing="1" w:line="240" w:lineRule="auto"/>
    </w:pPr>
    <w:rPr>
      <w:rFonts w:ascii="Times New Roman" w:eastAsia="Times New Roman" w:hAnsi="Times New Roman" w:cs="Times New Roman"/>
      <w:kern w:val="0"/>
      <w:sz w:val="24"/>
      <w:szCs w:val="24"/>
      <w:lang w:eastAsia="en-GB" w:bidi="bo-CN"/>
    </w:rPr>
  </w:style>
  <w:style w:type="character" w:styleId="Strong">
    <w:name w:val="Strong"/>
    <w:basedOn w:val="DefaultParagraphFont"/>
    <w:uiPriority w:val="22"/>
    <w:qFormat/>
    <w:rsid w:val="001F5068"/>
    <w:rPr>
      <w:b/>
      <w:bCs/>
    </w:rPr>
  </w:style>
  <w:style w:type="character" w:styleId="Emphasis">
    <w:name w:val="Emphasis"/>
    <w:basedOn w:val="DefaultParagraphFont"/>
    <w:uiPriority w:val="20"/>
    <w:qFormat/>
    <w:rsid w:val="001F5068"/>
    <w:rPr>
      <w:i/>
      <w:iCs/>
    </w:rPr>
  </w:style>
  <w:style w:type="character" w:styleId="Hyperlink">
    <w:name w:val="Hyperlink"/>
    <w:basedOn w:val="DefaultParagraphFont"/>
    <w:uiPriority w:val="99"/>
    <w:unhideWhenUsed/>
    <w:rsid w:val="001F5068"/>
    <w:rPr>
      <w:color w:val="0000FF"/>
      <w:u w:val="single"/>
    </w:rPr>
  </w:style>
  <w:style w:type="character" w:styleId="UnresolvedMention">
    <w:name w:val="Unresolved Mention"/>
    <w:basedOn w:val="DefaultParagraphFont"/>
    <w:uiPriority w:val="99"/>
    <w:semiHidden/>
    <w:unhideWhenUsed/>
    <w:rsid w:val="002E62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683238">
      <w:bodyDiv w:val="1"/>
      <w:marLeft w:val="0"/>
      <w:marRight w:val="0"/>
      <w:marTop w:val="0"/>
      <w:marBottom w:val="0"/>
      <w:divBdr>
        <w:top w:val="none" w:sz="0" w:space="0" w:color="auto"/>
        <w:left w:val="none" w:sz="0" w:space="0" w:color="auto"/>
        <w:bottom w:val="none" w:sz="0" w:space="0" w:color="auto"/>
        <w:right w:val="none" w:sz="0" w:space="0" w:color="auto"/>
      </w:divBdr>
    </w:div>
    <w:div w:id="63988473">
      <w:bodyDiv w:val="1"/>
      <w:marLeft w:val="0"/>
      <w:marRight w:val="0"/>
      <w:marTop w:val="0"/>
      <w:marBottom w:val="0"/>
      <w:divBdr>
        <w:top w:val="none" w:sz="0" w:space="0" w:color="auto"/>
        <w:left w:val="none" w:sz="0" w:space="0" w:color="auto"/>
        <w:bottom w:val="none" w:sz="0" w:space="0" w:color="auto"/>
        <w:right w:val="none" w:sz="0" w:space="0" w:color="auto"/>
      </w:divBdr>
    </w:div>
    <w:div w:id="285502950">
      <w:bodyDiv w:val="1"/>
      <w:marLeft w:val="0"/>
      <w:marRight w:val="0"/>
      <w:marTop w:val="0"/>
      <w:marBottom w:val="0"/>
      <w:divBdr>
        <w:top w:val="none" w:sz="0" w:space="0" w:color="auto"/>
        <w:left w:val="none" w:sz="0" w:space="0" w:color="auto"/>
        <w:bottom w:val="none" w:sz="0" w:space="0" w:color="auto"/>
        <w:right w:val="none" w:sz="0" w:space="0" w:color="auto"/>
      </w:divBdr>
    </w:div>
    <w:div w:id="354499956">
      <w:bodyDiv w:val="1"/>
      <w:marLeft w:val="0"/>
      <w:marRight w:val="0"/>
      <w:marTop w:val="0"/>
      <w:marBottom w:val="0"/>
      <w:divBdr>
        <w:top w:val="none" w:sz="0" w:space="0" w:color="auto"/>
        <w:left w:val="none" w:sz="0" w:space="0" w:color="auto"/>
        <w:bottom w:val="none" w:sz="0" w:space="0" w:color="auto"/>
        <w:right w:val="none" w:sz="0" w:space="0" w:color="auto"/>
      </w:divBdr>
    </w:div>
    <w:div w:id="458500355">
      <w:bodyDiv w:val="1"/>
      <w:marLeft w:val="0"/>
      <w:marRight w:val="0"/>
      <w:marTop w:val="0"/>
      <w:marBottom w:val="0"/>
      <w:divBdr>
        <w:top w:val="none" w:sz="0" w:space="0" w:color="auto"/>
        <w:left w:val="none" w:sz="0" w:space="0" w:color="auto"/>
        <w:bottom w:val="none" w:sz="0" w:space="0" w:color="auto"/>
        <w:right w:val="none" w:sz="0" w:space="0" w:color="auto"/>
      </w:divBdr>
    </w:div>
    <w:div w:id="555239544">
      <w:bodyDiv w:val="1"/>
      <w:marLeft w:val="0"/>
      <w:marRight w:val="0"/>
      <w:marTop w:val="0"/>
      <w:marBottom w:val="0"/>
      <w:divBdr>
        <w:top w:val="none" w:sz="0" w:space="0" w:color="auto"/>
        <w:left w:val="none" w:sz="0" w:space="0" w:color="auto"/>
        <w:bottom w:val="none" w:sz="0" w:space="0" w:color="auto"/>
        <w:right w:val="none" w:sz="0" w:space="0" w:color="auto"/>
      </w:divBdr>
    </w:div>
    <w:div w:id="606471894">
      <w:bodyDiv w:val="1"/>
      <w:marLeft w:val="0"/>
      <w:marRight w:val="0"/>
      <w:marTop w:val="0"/>
      <w:marBottom w:val="0"/>
      <w:divBdr>
        <w:top w:val="none" w:sz="0" w:space="0" w:color="auto"/>
        <w:left w:val="none" w:sz="0" w:space="0" w:color="auto"/>
        <w:bottom w:val="none" w:sz="0" w:space="0" w:color="auto"/>
        <w:right w:val="none" w:sz="0" w:space="0" w:color="auto"/>
      </w:divBdr>
    </w:div>
    <w:div w:id="640156352">
      <w:bodyDiv w:val="1"/>
      <w:marLeft w:val="0"/>
      <w:marRight w:val="0"/>
      <w:marTop w:val="0"/>
      <w:marBottom w:val="0"/>
      <w:divBdr>
        <w:top w:val="none" w:sz="0" w:space="0" w:color="auto"/>
        <w:left w:val="none" w:sz="0" w:space="0" w:color="auto"/>
        <w:bottom w:val="none" w:sz="0" w:space="0" w:color="auto"/>
        <w:right w:val="none" w:sz="0" w:space="0" w:color="auto"/>
      </w:divBdr>
    </w:div>
    <w:div w:id="680933991">
      <w:bodyDiv w:val="1"/>
      <w:marLeft w:val="0"/>
      <w:marRight w:val="0"/>
      <w:marTop w:val="0"/>
      <w:marBottom w:val="0"/>
      <w:divBdr>
        <w:top w:val="none" w:sz="0" w:space="0" w:color="auto"/>
        <w:left w:val="none" w:sz="0" w:space="0" w:color="auto"/>
        <w:bottom w:val="none" w:sz="0" w:space="0" w:color="auto"/>
        <w:right w:val="none" w:sz="0" w:space="0" w:color="auto"/>
      </w:divBdr>
    </w:div>
    <w:div w:id="696736385">
      <w:bodyDiv w:val="1"/>
      <w:marLeft w:val="0"/>
      <w:marRight w:val="0"/>
      <w:marTop w:val="0"/>
      <w:marBottom w:val="0"/>
      <w:divBdr>
        <w:top w:val="none" w:sz="0" w:space="0" w:color="auto"/>
        <w:left w:val="none" w:sz="0" w:space="0" w:color="auto"/>
        <w:bottom w:val="none" w:sz="0" w:space="0" w:color="auto"/>
        <w:right w:val="none" w:sz="0" w:space="0" w:color="auto"/>
      </w:divBdr>
    </w:div>
    <w:div w:id="763500082">
      <w:bodyDiv w:val="1"/>
      <w:marLeft w:val="0"/>
      <w:marRight w:val="0"/>
      <w:marTop w:val="0"/>
      <w:marBottom w:val="0"/>
      <w:divBdr>
        <w:top w:val="none" w:sz="0" w:space="0" w:color="auto"/>
        <w:left w:val="none" w:sz="0" w:space="0" w:color="auto"/>
        <w:bottom w:val="none" w:sz="0" w:space="0" w:color="auto"/>
        <w:right w:val="none" w:sz="0" w:space="0" w:color="auto"/>
      </w:divBdr>
    </w:div>
    <w:div w:id="800074750">
      <w:bodyDiv w:val="1"/>
      <w:marLeft w:val="0"/>
      <w:marRight w:val="0"/>
      <w:marTop w:val="0"/>
      <w:marBottom w:val="0"/>
      <w:divBdr>
        <w:top w:val="none" w:sz="0" w:space="0" w:color="auto"/>
        <w:left w:val="none" w:sz="0" w:space="0" w:color="auto"/>
        <w:bottom w:val="none" w:sz="0" w:space="0" w:color="auto"/>
        <w:right w:val="none" w:sz="0" w:space="0" w:color="auto"/>
      </w:divBdr>
    </w:div>
    <w:div w:id="807013831">
      <w:bodyDiv w:val="1"/>
      <w:marLeft w:val="0"/>
      <w:marRight w:val="0"/>
      <w:marTop w:val="0"/>
      <w:marBottom w:val="0"/>
      <w:divBdr>
        <w:top w:val="none" w:sz="0" w:space="0" w:color="auto"/>
        <w:left w:val="none" w:sz="0" w:space="0" w:color="auto"/>
        <w:bottom w:val="none" w:sz="0" w:space="0" w:color="auto"/>
        <w:right w:val="none" w:sz="0" w:space="0" w:color="auto"/>
      </w:divBdr>
    </w:div>
    <w:div w:id="849417038">
      <w:bodyDiv w:val="1"/>
      <w:marLeft w:val="0"/>
      <w:marRight w:val="0"/>
      <w:marTop w:val="0"/>
      <w:marBottom w:val="0"/>
      <w:divBdr>
        <w:top w:val="none" w:sz="0" w:space="0" w:color="auto"/>
        <w:left w:val="none" w:sz="0" w:space="0" w:color="auto"/>
        <w:bottom w:val="none" w:sz="0" w:space="0" w:color="auto"/>
        <w:right w:val="none" w:sz="0" w:space="0" w:color="auto"/>
      </w:divBdr>
    </w:div>
    <w:div w:id="936671290">
      <w:bodyDiv w:val="1"/>
      <w:marLeft w:val="0"/>
      <w:marRight w:val="0"/>
      <w:marTop w:val="0"/>
      <w:marBottom w:val="0"/>
      <w:divBdr>
        <w:top w:val="none" w:sz="0" w:space="0" w:color="auto"/>
        <w:left w:val="none" w:sz="0" w:space="0" w:color="auto"/>
        <w:bottom w:val="none" w:sz="0" w:space="0" w:color="auto"/>
        <w:right w:val="none" w:sz="0" w:space="0" w:color="auto"/>
      </w:divBdr>
    </w:div>
    <w:div w:id="947463754">
      <w:bodyDiv w:val="1"/>
      <w:marLeft w:val="0"/>
      <w:marRight w:val="0"/>
      <w:marTop w:val="0"/>
      <w:marBottom w:val="0"/>
      <w:divBdr>
        <w:top w:val="none" w:sz="0" w:space="0" w:color="auto"/>
        <w:left w:val="none" w:sz="0" w:space="0" w:color="auto"/>
        <w:bottom w:val="none" w:sz="0" w:space="0" w:color="auto"/>
        <w:right w:val="none" w:sz="0" w:space="0" w:color="auto"/>
      </w:divBdr>
    </w:div>
    <w:div w:id="992491173">
      <w:bodyDiv w:val="1"/>
      <w:marLeft w:val="0"/>
      <w:marRight w:val="0"/>
      <w:marTop w:val="0"/>
      <w:marBottom w:val="0"/>
      <w:divBdr>
        <w:top w:val="none" w:sz="0" w:space="0" w:color="auto"/>
        <w:left w:val="none" w:sz="0" w:space="0" w:color="auto"/>
        <w:bottom w:val="none" w:sz="0" w:space="0" w:color="auto"/>
        <w:right w:val="none" w:sz="0" w:space="0" w:color="auto"/>
      </w:divBdr>
    </w:div>
    <w:div w:id="1088499939">
      <w:bodyDiv w:val="1"/>
      <w:marLeft w:val="0"/>
      <w:marRight w:val="0"/>
      <w:marTop w:val="0"/>
      <w:marBottom w:val="0"/>
      <w:divBdr>
        <w:top w:val="none" w:sz="0" w:space="0" w:color="auto"/>
        <w:left w:val="none" w:sz="0" w:space="0" w:color="auto"/>
        <w:bottom w:val="none" w:sz="0" w:space="0" w:color="auto"/>
        <w:right w:val="none" w:sz="0" w:space="0" w:color="auto"/>
      </w:divBdr>
    </w:div>
    <w:div w:id="1158107706">
      <w:bodyDiv w:val="1"/>
      <w:marLeft w:val="0"/>
      <w:marRight w:val="0"/>
      <w:marTop w:val="0"/>
      <w:marBottom w:val="0"/>
      <w:divBdr>
        <w:top w:val="none" w:sz="0" w:space="0" w:color="auto"/>
        <w:left w:val="none" w:sz="0" w:space="0" w:color="auto"/>
        <w:bottom w:val="none" w:sz="0" w:space="0" w:color="auto"/>
        <w:right w:val="none" w:sz="0" w:space="0" w:color="auto"/>
      </w:divBdr>
    </w:div>
    <w:div w:id="1274896229">
      <w:bodyDiv w:val="1"/>
      <w:marLeft w:val="0"/>
      <w:marRight w:val="0"/>
      <w:marTop w:val="0"/>
      <w:marBottom w:val="0"/>
      <w:divBdr>
        <w:top w:val="none" w:sz="0" w:space="0" w:color="auto"/>
        <w:left w:val="none" w:sz="0" w:space="0" w:color="auto"/>
        <w:bottom w:val="none" w:sz="0" w:space="0" w:color="auto"/>
        <w:right w:val="none" w:sz="0" w:space="0" w:color="auto"/>
      </w:divBdr>
    </w:div>
    <w:div w:id="1299645111">
      <w:bodyDiv w:val="1"/>
      <w:marLeft w:val="0"/>
      <w:marRight w:val="0"/>
      <w:marTop w:val="0"/>
      <w:marBottom w:val="0"/>
      <w:divBdr>
        <w:top w:val="none" w:sz="0" w:space="0" w:color="auto"/>
        <w:left w:val="none" w:sz="0" w:space="0" w:color="auto"/>
        <w:bottom w:val="none" w:sz="0" w:space="0" w:color="auto"/>
        <w:right w:val="none" w:sz="0" w:space="0" w:color="auto"/>
      </w:divBdr>
    </w:div>
    <w:div w:id="1336104669">
      <w:bodyDiv w:val="1"/>
      <w:marLeft w:val="0"/>
      <w:marRight w:val="0"/>
      <w:marTop w:val="0"/>
      <w:marBottom w:val="0"/>
      <w:divBdr>
        <w:top w:val="none" w:sz="0" w:space="0" w:color="auto"/>
        <w:left w:val="none" w:sz="0" w:space="0" w:color="auto"/>
        <w:bottom w:val="none" w:sz="0" w:space="0" w:color="auto"/>
        <w:right w:val="none" w:sz="0" w:space="0" w:color="auto"/>
      </w:divBdr>
    </w:div>
    <w:div w:id="1511724051">
      <w:bodyDiv w:val="1"/>
      <w:marLeft w:val="0"/>
      <w:marRight w:val="0"/>
      <w:marTop w:val="0"/>
      <w:marBottom w:val="0"/>
      <w:divBdr>
        <w:top w:val="none" w:sz="0" w:space="0" w:color="auto"/>
        <w:left w:val="none" w:sz="0" w:space="0" w:color="auto"/>
        <w:bottom w:val="none" w:sz="0" w:space="0" w:color="auto"/>
        <w:right w:val="none" w:sz="0" w:space="0" w:color="auto"/>
      </w:divBdr>
    </w:div>
    <w:div w:id="1541438797">
      <w:bodyDiv w:val="1"/>
      <w:marLeft w:val="0"/>
      <w:marRight w:val="0"/>
      <w:marTop w:val="0"/>
      <w:marBottom w:val="0"/>
      <w:divBdr>
        <w:top w:val="none" w:sz="0" w:space="0" w:color="auto"/>
        <w:left w:val="none" w:sz="0" w:space="0" w:color="auto"/>
        <w:bottom w:val="none" w:sz="0" w:space="0" w:color="auto"/>
        <w:right w:val="none" w:sz="0" w:space="0" w:color="auto"/>
      </w:divBdr>
    </w:div>
    <w:div w:id="1606616172">
      <w:bodyDiv w:val="1"/>
      <w:marLeft w:val="0"/>
      <w:marRight w:val="0"/>
      <w:marTop w:val="0"/>
      <w:marBottom w:val="0"/>
      <w:divBdr>
        <w:top w:val="none" w:sz="0" w:space="0" w:color="auto"/>
        <w:left w:val="none" w:sz="0" w:space="0" w:color="auto"/>
        <w:bottom w:val="none" w:sz="0" w:space="0" w:color="auto"/>
        <w:right w:val="none" w:sz="0" w:space="0" w:color="auto"/>
      </w:divBdr>
    </w:div>
    <w:div w:id="1658343876">
      <w:bodyDiv w:val="1"/>
      <w:marLeft w:val="0"/>
      <w:marRight w:val="0"/>
      <w:marTop w:val="0"/>
      <w:marBottom w:val="0"/>
      <w:divBdr>
        <w:top w:val="none" w:sz="0" w:space="0" w:color="auto"/>
        <w:left w:val="none" w:sz="0" w:space="0" w:color="auto"/>
        <w:bottom w:val="none" w:sz="0" w:space="0" w:color="auto"/>
        <w:right w:val="none" w:sz="0" w:space="0" w:color="auto"/>
      </w:divBdr>
    </w:div>
    <w:div w:id="1683702638">
      <w:bodyDiv w:val="1"/>
      <w:marLeft w:val="0"/>
      <w:marRight w:val="0"/>
      <w:marTop w:val="0"/>
      <w:marBottom w:val="0"/>
      <w:divBdr>
        <w:top w:val="none" w:sz="0" w:space="0" w:color="auto"/>
        <w:left w:val="none" w:sz="0" w:space="0" w:color="auto"/>
        <w:bottom w:val="none" w:sz="0" w:space="0" w:color="auto"/>
        <w:right w:val="none" w:sz="0" w:space="0" w:color="auto"/>
      </w:divBdr>
    </w:div>
    <w:div w:id="1819683220">
      <w:bodyDiv w:val="1"/>
      <w:marLeft w:val="0"/>
      <w:marRight w:val="0"/>
      <w:marTop w:val="0"/>
      <w:marBottom w:val="0"/>
      <w:divBdr>
        <w:top w:val="none" w:sz="0" w:space="0" w:color="auto"/>
        <w:left w:val="none" w:sz="0" w:space="0" w:color="auto"/>
        <w:bottom w:val="none" w:sz="0" w:space="0" w:color="auto"/>
        <w:right w:val="none" w:sz="0" w:space="0" w:color="auto"/>
      </w:divBdr>
    </w:div>
    <w:div w:id="1837726155">
      <w:bodyDiv w:val="1"/>
      <w:marLeft w:val="0"/>
      <w:marRight w:val="0"/>
      <w:marTop w:val="0"/>
      <w:marBottom w:val="0"/>
      <w:divBdr>
        <w:top w:val="none" w:sz="0" w:space="0" w:color="auto"/>
        <w:left w:val="none" w:sz="0" w:space="0" w:color="auto"/>
        <w:bottom w:val="none" w:sz="0" w:space="0" w:color="auto"/>
        <w:right w:val="none" w:sz="0" w:space="0" w:color="auto"/>
      </w:divBdr>
    </w:div>
    <w:div w:id="1857425026">
      <w:bodyDiv w:val="1"/>
      <w:marLeft w:val="0"/>
      <w:marRight w:val="0"/>
      <w:marTop w:val="0"/>
      <w:marBottom w:val="0"/>
      <w:divBdr>
        <w:top w:val="none" w:sz="0" w:space="0" w:color="auto"/>
        <w:left w:val="none" w:sz="0" w:space="0" w:color="auto"/>
        <w:bottom w:val="none" w:sz="0" w:space="0" w:color="auto"/>
        <w:right w:val="none" w:sz="0" w:space="0" w:color="auto"/>
      </w:divBdr>
    </w:div>
    <w:div w:id="1913421491">
      <w:bodyDiv w:val="1"/>
      <w:marLeft w:val="0"/>
      <w:marRight w:val="0"/>
      <w:marTop w:val="0"/>
      <w:marBottom w:val="0"/>
      <w:divBdr>
        <w:top w:val="none" w:sz="0" w:space="0" w:color="auto"/>
        <w:left w:val="none" w:sz="0" w:space="0" w:color="auto"/>
        <w:bottom w:val="none" w:sz="0" w:space="0" w:color="auto"/>
        <w:right w:val="none" w:sz="0" w:space="0" w:color="auto"/>
      </w:divBdr>
    </w:div>
    <w:div w:id="2062244550">
      <w:bodyDiv w:val="1"/>
      <w:marLeft w:val="0"/>
      <w:marRight w:val="0"/>
      <w:marTop w:val="0"/>
      <w:marBottom w:val="0"/>
      <w:divBdr>
        <w:top w:val="none" w:sz="0" w:space="0" w:color="auto"/>
        <w:left w:val="none" w:sz="0" w:space="0" w:color="auto"/>
        <w:bottom w:val="none" w:sz="0" w:space="0" w:color="auto"/>
        <w:right w:val="none" w:sz="0" w:space="0" w:color="auto"/>
      </w:divBdr>
    </w:div>
    <w:div w:id="209743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14100971_Safelives_blog_Living_with_domestic_abuse_as_an_Adverse_Childhood_Experience_ACE" TargetMode="External"/><Relationship Id="rId13" Type="http://schemas.openxmlformats.org/officeDocument/2006/relationships/hyperlink" Target="https://phw.nhs.wales/topics/adverse-childhood-experience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ealth-ni.gov.uk/articles/misuse-drugs-legislations" TargetMode="External"/><Relationship Id="rId12" Type="http://schemas.openxmlformats.org/officeDocument/2006/relationships/hyperlink" Target="https://news.npcc.police.uk/releases/police-chiefs-and-pccs-set-out-a-vision-for-policing-in-2025"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phwwhocc.co.uk/resources/an-evaluation-of-the-adverse-childhood-experience-trauma-informed-multi-agency-early-action-together-ace-time-training-national-roll-out-to-police-and-partners-2/" TargetMode="External"/><Relationship Id="rId1" Type="http://schemas.openxmlformats.org/officeDocument/2006/relationships/styles" Target="styles.xml"/><Relationship Id="rId6" Type="http://schemas.openxmlformats.org/officeDocument/2006/relationships/hyperlink" Target="https://www.college.police.uk/research/projects" TargetMode="External"/><Relationship Id="rId11" Type="http://schemas.openxmlformats.org/officeDocument/2006/relationships/hyperlink" Target="https://doi.org/10.1176/appi.ps.201800281" TargetMode="External"/><Relationship Id="rId5" Type="http://schemas.openxmlformats.org/officeDocument/2006/relationships/hyperlink" Target="https://assets.college.police.uk/s3fs-public/2021-02/responding-to-trauma-in-policing.pdf" TargetMode="External"/><Relationship Id="rId15" Type="http://schemas.openxmlformats.org/officeDocument/2006/relationships/hyperlink" Target="https://www.rsph.org.uk/static/03bc2b85-4f12-45f4-96c6baa4e3eb8fa3/PHW-EAT-Time-Training-Follow-Up-report.pdf" TargetMode="External"/><Relationship Id="rId10" Type="http://schemas.openxmlformats.org/officeDocument/2006/relationships/hyperlink" Target="https://hmicfrs.justiceinspectorates.gov.uk/publications/policing-and-mental-health-picking-up-the-pieces/" TargetMode="External"/><Relationship Id="rId4" Type="http://schemas.openxmlformats.org/officeDocument/2006/relationships/hyperlink" Target="https://www.cdc.gov/aces/about/index.html" TargetMode="External"/><Relationship Id="rId9" Type="http://schemas.openxmlformats.org/officeDocument/2006/relationships/hyperlink" Target="https://www.rsph.org.uk/static/b294237d-63b0-4b65-81cf4441fc486d75/PHW-EAT-Summary-Report-" TargetMode="External"/><Relationship Id="rId14" Type="http://schemas.openxmlformats.org/officeDocument/2006/relationships/hyperlink" Target="https://phw.nhs.wales/services-and-teams/early-action-togeth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4039</Words>
  <Characters>23026</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Lee,Kelly swp8332</dc:creator>
  <cp:keywords/>
  <dc:description/>
  <cp:lastModifiedBy>Lee,Kelly swp8332</cp:lastModifiedBy>
  <cp:revision>2</cp:revision>
  <dcterms:created xsi:type="dcterms:W3CDTF">2024-11-03T18:22:00Z</dcterms:created>
  <dcterms:modified xsi:type="dcterms:W3CDTF">2024-11-03T18:22:00Z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2024-10-24T09:32:04Z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b2213bcf-11fd-4b07-972e-69e4f3f790ca</vt:lpwstr>
  </property>
  <property fmtid="{D5CDD505-2E9C-101B-9397-08002B2CF9AE}" pid="8" name="MSIP_Label_66cf8fe5-b7b7-4df7-b38d-1c61ac2f6639_ContentBits">
    <vt:lpwstr>0</vt:lpwstr>
  </property>
</Properties>
</file>