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127CF" w14:textId="77777777" w:rsidR="004C2BCA" w:rsidRDefault="004C2BCA" w:rsidP="004C2BCA">
      <w:pPr>
        <w:rPr>
          <w:sz w:val="32"/>
          <w:szCs w:val="32"/>
        </w:rPr>
      </w:pPr>
      <w:bookmarkStart w:id="0" w:name="_Hlk216691944"/>
      <w:r>
        <w:rPr>
          <w:noProof/>
          <w:lang w:eastAsia="en-GB"/>
        </w:rPr>
        <w:drawing>
          <wp:anchor distT="0" distB="0" distL="114300" distR="114300" simplePos="0" relativeHeight="251653632" behindDoc="1" locked="0" layoutInCell="1" allowOverlap="1" wp14:anchorId="262A104A" wp14:editId="36BFBC9A">
            <wp:simplePos x="0" y="0"/>
            <wp:positionH relativeFrom="column">
              <wp:posOffset>63796</wp:posOffset>
            </wp:positionH>
            <wp:positionV relativeFrom="paragraph">
              <wp:posOffset>118</wp:posOffset>
            </wp:positionV>
            <wp:extent cx="2228850" cy="885825"/>
            <wp:effectExtent l="0" t="0" r="0" b="9525"/>
            <wp:wrapTight wrapText="bothSides">
              <wp:wrapPolygon edited="0">
                <wp:start x="0" y="0"/>
                <wp:lineTo x="0" y="21368"/>
                <wp:lineTo x="21415" y="21368"/>
                <wp:lineTo x="21415" y="0"/>
                <wp:lineTo x="0" y="0"/>
              </wp:wrapPolygon>
            </wp:wrapTight>
            <wp:docPr id="1823432417" name="Picture 1823432417"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432417" name="Picture 1823432417" descr="A close-up of a sign"/>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8850" cy="885825"/>
                    </a:xfrm>
                    <a:prstGeom prst="rect">
                      <a:avLst/>
                    </a:prstGeom>
                  </pic:spPr>
                </pic:pic>
              </a:graphicData>
            </a:graphic>
            <wp14:sizeRelH relativeFrom="page">
              <wp14:pctWidth>0</wp14:pctWidth>
            </wp14:sizeRelH>
            <wp14:sizeRelV relativeFrom="page">
              <wp14:pctHeight>0</wp14:pctHeight>
            </wp14:sizeRelV>
          </wp:anchor>
        </w:drawing>
      </w:r>
    </w:p>
    <w:p w14:paraId="59910C82" w14:textId="77777777" w:rsidR="004C2BCA" w:rsidRDefault="004C2BCA" w:rsidP="004C2BCA">
      <w:pPr>
        <w:rPr>
          <w:sz w:val="32"/>
          <w:szCs w:val="32"/>
        </w:rPr>
      </w:pPr>
    </w:p>
    <w:p w14:paraId="2C99CF0A" w14:textId="77777777" w:rsidR="004C2BCA" w:rsidRDefault="004C2BCA" w:rsidP="004C2BCA">
      <w:pPr>
        <w:rPr>
          <w:sz w:val="32"/>
          <w:szCs w:val="32"/>
        </w:rPr>
      </w:pPr>
    </w:p>
    <w:p w14:paraId="23A8771F" w14:textId="77777777" w:rsidR="004C2BCA" w:rsidRDefault="004C2BCA" w:rsidP="004C2BCA">
      <w:pPr>
        <w:rPr>
          <w:sz w:val="32"/>
          <w:szCs w:val="32"/>
        </w:rPr>
      </w:pPr>
    </w:p>
    <w:p w14:paraId="10EE947D" w14:textId="77777777" w:rsidR="004C2BCA" w:rsidRDefault="004C2BCA" w:rsidP="004C2BCA">
      <w:pPr>
        <w:rPr>
          <w:sz w:val="32"/>
          <w:szCs w:val="32"/>
        </w:rPr>
      </w:pPr>
    </w:p>
    <w:p w14:paraId="2BC34A0A" w14:textId="77777777" w:rsidR="004C2BCA" w:rsidRDefault="004C2BCA" w:rsidP="004C2BCA">
      <w:pPr>
        <w:rPr>
          <w:sz w:val="32"/>
          <w:szCs w:val="32"/>
        </w:rPr>
      </w:pPr>
    </w:p>
    <w:p w14:paraId="7DFC382C" w14:textId="77777777" w:rsidR="004C2BCA" w:rsidRDefault="004C2BCA" w:rsidP="004C2BCA">
      <w:pPr>
        <w:rPr>
          <w:sz w:val="32"/>
          <w:szCs w:val="32"/>
        </w:rPr>
      </w:pPr>
    </w:p>
    <w:p w14:paraId="40F460D7" w14:textId="6FE300B9" w:rsidR="004C2BCA" w:rsidRDefault="004C2BCA" w:rsidP="1F2AB047">
      <w:pPr>
        <w:rPr>
          <w:sz w:val="32"/>
          <w:szCs w:val="32"/>
        </w:rPr>
      </w:pPr>
    </w:p>
    <w:p w14:paraId="7A33E3C8" w14:textId="77777777" w:rsidR="004C2BCA" w:rsidRDefault="004C2BCA" w:rsidP="004C2BCA">
      <w:pPr>
        <w:jc w:val="center"/>
        <w:rPr>
          <w:sz w:val="32"/>
          <w:szCs w:val="32"/>
        </w:rPr>
      </w:pPr>
    </w:p>
    <w:p w14:paraId="33B65B08" w14:textId="77777777" w:rsidR="004C2BCA" w:rsidRDefault="004C2BCA" w:rsidP="004C2BCA">
      <w:pPr>
        <w:jc w:val="center"/>
        <w:rPr>
          <w:sz w:val="32"/>
          <w:szCs w:val="32"/>
        </w:rPr>
      </w:pPr>
      <w:r>
        <w:rPr>
          <w:sz w:val="32"/>
          <w:szCs w:val="32"/>
        </w:rPr>
        <w:t>L4 – Principles of OME</w:t>
      </w:r>
    </w:p>
    <w:p w14:paraId="75CF009E" w14:textId="77777777" w:rsidR="004C2BCA" w:rsidRDefault="004C2BCA" w:rsidP="004C2BCA">
      <w:pPr>
        <w:jc w:val="center"/>
        <w:rPr>
          <w:sz w:val="32"/>
          <w:szCs w:val="32"/>
        </w:rPr>
      </w:pPr>
      <w:r>
        <w:rPr>
          <w:sz w:val="32"/>
          <w:szCs w:val="32"/>
        </w:rPr>
        <w:t>(OME Degree) ACDA4019</w:t>
      </w:r>
    </w:p>
    <w:p w14:paraId="2157AEE0" w14:textId="77777777" w:rsidR="004C2BCA" w:rsidRDefault="004C2BCA" w:rsidP="004C2BCA">
      <w:pPr>
        <w:jc w:val="center"/>
        <w:rPr>
          <w:sz w:val="32"/>
          <w:szCs w:val="32"/>
        </w:rPr>
      </w:pPr>
      <w:r>
        <w:rPr>
          <w:sz w:val="32"/>
          <w:szCs w:val="32"/>
        </w:rPr>
        <w:t>Understanding the importance of critical diameter and critical density in the detonation process</w:t>
      </w:r>
    </w:p>
    <w:p w14:paraId="3BDC9C6B" w14:textId="77777777" w:rsidR="004C2BCA" w:rsidRDefault="004C2BCA" w:rsidP="004C2BCA">
      <w:pPr>
        <w:jc w:val="center"/>
        <w:rPr>
          <w:sz w:val="32"/>
          <w:szCs w:val="32"/>
        </w:rPr>
      </w:pPr>
      <w:r w:rsidRPr="2566C323">
        <w:rPr>
          <w:sz w:val="32"/>
          <w:szCs w:val="32"/>
        </w:rPr>
        <w:t>Charlotte McCombe</w:t>
      </w:r>
    </w:p>
    <w:p w14:paraId="196994EF" w14:textId="77777777" w:rsidR="004C2BCA" w:rsidRDefault="004C2BCA" w:rsidP="004C2BCA">
      <w:pPr>
        <w:jc w:val="center"/>
        <w:rPr>
          <w:sz w:val="32"/>
          <w:szCs w:val="32"/>
        </w:rPr>
      </w:pPr>
      <w:r w:rsidRPr="2566C323">
        <w:rPr>
          <w:sz w:val="32"/>
          <w:szCs w:val="32"/>
        </w:rPr>
        <w:t>Student Number: 2411524</w:t>
      </w:r>
    </w:p>
    <w:p w14:paraId="0283430F" w14:textId="77777777" w:rsidR="004C2BCA" w:rsidRDefault="004C2BCA" w:rsidP="004C2BCA">
      <w:pPr>
        <w:jc w:val="center"/>
        <w:rPr>
          <w:sz w:val="32"/>
          <w:szCs w:val="32"/>
        </w:rPr>
      </w:pPr>
    </w:p>
    <w:p w14:paraId="00B04CB4" w14:textId="77777777" w:rsidR="004C2BCA" w:rsidRDefault="004C2BCA" w:rsidP="004C2BCA">
      <w:pPr>
        <w:jc w:val="center"/>
        <w:rPr>
          <w:sz w:val="32"/>
          <w:szCs w:val="32"/>
        </w:rPr>
      </w:pPr>
    </w:p>
    <w:p w14:paraId="067B35FE" w14:textId="77777777" w:rsidR="004C2BCA" w:rsidRDefault="004C2BCA" w:rsidP="004C2BCA">
      <w:pPr>
        <w:jc w:val="center"/>
        <w:rPr>
          <w:sz w:val="32"/>
          <w:szCs w:val="32"/>
        </w:rPr>
      </w:pPr>
    </w:p>
    <w:p w14:paraId="3FD2F5E8" w14:textId="77777777" w:rsidR="004C2BCA" w:rsidRDefault="004C2BCA" w:rsidP="004C2BCA">
      <w:pPr>
        <w:jc w:val="center"/>
        <w:rPr>
          <w:sz w:val="32"/>
          <w:szCs w:val="32"/>
        </w:rPr>
      </w:pPr>
    </w:p>
    <w:bookmarkEnd w:id="0"/>
    <w:p w14:paraId="1B30AB8B" w14:textId="77777777" w:rsidR="004C2BCA" w:rsidRDefault="004C2BCA" w:rsidP="004C2BCA">
      <w:pPr>
        <w:jc w:val="center"/>
        <w:rPr>
          <w:sz w:val="32"/>
          <w:szCs w:val="32"/>
        </w:rPr>
      </w:pPr>
    </w:p>
    <w:p w14:paraId="20FA255E" w14:textId="4BAB0024" w:rsidR="004C2BCA" w:rsidRDefault="004C2BCA" w:rsidP="1F2AB047">
      <w:pPr>
        <w:jc w:val="center"/>
        <w:rPr>
          <w:sz w:val="32"/>
          <w:szCs w:val="32"/>
        </w:rPr>
      </w:pPr>
    </w:p>
    <w:p w14:paraId="235B8767" w14:textId="0C5FF52E" w:rsidR="004C2BCA" w:rsidRDefault="004C2BCA" w:rsidP="1F2AB047">
      <w:pPr>
        <w:jc w:val="center"/>
        <w:rPr>
          <w:sz w:val="32"/>
          <w:szCs w:val="32"/>
        </w:rPr>
      </w:pPr>
    </w:p>
    <w:p w14:paraId="3531AC84" w14:textId="5FB03BDD" w:rsidR="004C2BCA" w:rsidRDefault="004C2BCA" w:rsidP="1F2AB047">
      <w:pPr>
        <w:rPr>
          <w:sz w:val="32"/>
          <w:szCs w:val="32"/>
        </w:rPr>
      </w:pPr>
    </w:p>
    <w:p w14:paraId="4DB4268F" w14:textId="394D96D9" w:rsidR="004C2BCA" w:rsidRDefault="0B573473" w:rsidP="1F2AB047">
      <w:pPr>
        <w:pStyle w:val="Heading1"/>
      </w:pPr>
      <w:bookmarkStart w:id="1" w:name="_Toc216714088"/>
      <w:r>
        <w:lastRenderedPageBreak/>
        <w:t>Contents</w:t>
      </w:r>
      <w:bookmarkEnd w:id="1"/>
    </w:p>
    <w:sdt>
      <w:sdtPr>
        <w:id w:val="1809416091"/>
        <w:docPartObj>
          <w:docPartGallery w:val="Table of Contents"/>
          <w:docPartUnique/>
        </w:docPartObj>
      </w:sdtPr>
      <w:sdtEndPr/>
      <w:sdtContent>
        <w:p w14:paraId="378A4B5B" w14:textId="5F47682B" w:rsidR="006C155A" w:rsidRDefault="1F2AB047">
          <w:pPr>
            <w:pStyle w:val="TOC1"/>
            <w:tabs>
              <w:tab w:val="right" w:leader="dot" w:pos="9016"/>
            </w:tabs>
            <w:rPr>
              <w:rFonts w:eastAsiaTheme="minorEastAsia"/>
              <w:noProof/>
              <w:kern w:val="2"/>
              <w:sz w:val="24"/>
              <w:szCs w:val="24"/>
              <w:lang w:eastAsia="en-GB"/>
              <w14:ligatures w14:val="standardContextual"/>
            </w:rPr>
          </w:pPr>
          <w:r>
            <w:fldChar w:fldCharType="begin"/>
          </w:r>
          <w:r>
            <w:instrText>TOC \o "1-9" \z \u \h</w:instrText>
          </w:r>
          <w:r>
            <w:fldChar w:fldCharType="separate"/>
          </w:r>
          <w:hyperlink w:anchor="_Toc216714088" w:history="1">
            <w:r w:rsidR="006C155A" w:rsidRPr="006048E0">
              <w:rPr>
                <w:rStyle w:val="Hyperlink"/>
                <w:noProof/>
              </w:rPr>
              <w:t>Contents</w:t>
            </w:r>
            <w:r w:rsidR="006C155A">
              <w:rPr>
                <w:noProof/>
                <w:webHidden/>
              </w:rPr>
              <w:tab/>
            </w:r>
            <w:r w:rsidR="006C155A">
              <w:rPr>
                <w:noProof/>
                <w:webHidden/>
              </w:rPr>
              <w:fldChar w:fldCharType="begin"/>
            </w:r>
            <w:r w:rsidR="006C155A">
              <w:rPr>
                <w:noProof/>
                <w:webHidden/>
              </w:rPr>
              <w:instrText xml:space="preserve"> PAGEREF _Toc216714088 \h </w:instrText>
            </w:r>
            <w:r w:rsidR="006C155A">
              <w:rPr>
                <w:noProof/>
                <w:webHidden/>
              </w:rPr>
            </w:r>
            <w:r w:rsidR="006C155A">
              <w:rPr>
                <w:noProof/>
                <w:webHidden/>
              </w:rPr>
              <w:fldChar w:fldCharType="separate"/>
            </w:r>
            <w:r w:rsidR="006C155A">
              <w:rPr>
                <w:noProof/>
                <w:webHidden/>
              </w:rPr>
              <w:t>2</w:t>
            </w:r>
            <w:r w:rsidR="006C155A">
              <w:rPr>
                <w:noProof/>
                <w:webHidden/>
              </w:rPr>
              <w:fldChar w:fldCharType="end"/>
            </w:r>
          </w:hyperlink>
        </w:p>
        <w:p w14:paraId="4F79BF45" w14:textId="4B15B5F7" w:rsidR="006C155A" w:rsidRDefault="006C155A">
          <w:pPr>
            <w:pStyle w:val="TOC1"/>
            <w:tabs>
              <w:tab w:val="right" w:leader="dot" w:pos="9016"/>
            </w:tabs>
            <w:rPr>
              <w:rFonts w:eastAsiaTheme="minorEastAsia"/>
              <w:noProof/>
              <w:kern w:val="2"/>
              <w:sz w:val="24"/>
              <w:szCs w:val="24"/>
              <w:lang w:eastAsia="en-GB"/>
              <w14:ligatures w14:val="standardContextual"/>
            </w:rPr>
          </w:pPr>
          <w:hyperlink w:anchor="_Toc216714089" w:history="1">
            <w:r w:rsidRPr="006048E0">
              <w:rPr>
                <w:rStyle w:val="Hyperlink"/>
                <w:noProof/>
              </w:rPr>
              <w:t>Introduction</w:t>
            </w:r>
            <w:r>
              <w:rPr>
                <w:noProof/>
                <w:webHidden/>
              </w:rPr>
              <w:tab/>
            </w:r>
            <w:r>
              <w:rPr>
                <w:noProof/>
                <w:webHidden/>
              </w:rPr>
              <w:fldChar w:fldCharType="begin"/>
            </w:r>
            <w:r>
              <w:rPr>
                <w:noProof/>
                <w:webHidden/>
              </w:rPr>
              <w:instrText xml:space="preserve"> PAGEREF _Toc216714089 \h </w:instrText>
            </w:r>
            <w:r>
              <w:rPr>
                <w:noProof/>
                <w:webHidden/>
              </w:rPr>
            </w:r>
            <w:r>
              <w:rPr>
                <w:noProof/>
                <w:webHidden/>
              </w:rPr>
              <w:fldChar w:fldCharType="separate"/>
            </w:r>
            <w:r>
              <w:rPr>
                <w:noProof/>
                <w:webHidden/>
              </w:rPr>
              <w:t>3</w:t>
            </w:r>
            <w:r>
              <w:rPr>
                <w:noProof/>
                <w:webHidden/>
              </w:rPr>
              <w:fldChar w:fldCharType="end"/>
            </w:r>
          </w:hyperlink>
        </w:p>
        <w:p w14:paraId="0CAB9269" w14:textId="4DB02D8C" w:rsidR="006C155A" w:rsidRDefault="006C155A">
          <w:pPr>
            <w:pStyle w:val="TOC2"/>
            <w:tabs>
              <w:tab w:val="right" w:leader="dot" w:pos="9016"/>
            </w:tabs>
            <w:rPr>
              <w:rFonts w:eastAsiaTheme="minorEastAsia"/>
              <w:noProof/>
              <w:kern w:val="2"/>
              <w:sz w:val="24"/>
              <w:szCs w:val="24"/>
              <w:lang w:eastAsia="en-GB"/>
              <w14:ligatures w14:val="standardContextual"/>
            </w:rPr>
          </w:pPr>
          <w:hyperlink w:anchor="_Toc216714090" w:history="1">
            <w:r w:rsidRPr="006048E0">
              <w:rPr>
                <w:rStyle w:val="Hyperlink"/>
                <w:noProof/>
              </w:rPr>
              <w:t>Explosives and Explosions</w:t>
            </w:r>
            <w:r>
              <w:rPr>
                <w:noProof/>
                <w:webHidden/>
              </w:rPr>
              <w:tab/>
            </w:r>
            <w:r>
              <w:rPr>
                <w:noProof/>
                <w:webHidden/>
              </w:rPr>
              <w:fldChar w:fldCharType="begin"/>
            </w:r>
            <w:r>
              <w:rPr>
                <w:noProof/>
                <w:webHidden/>
              </w:rPr>
              <w:instrText xml:space="preserve"> PAGEREF _Toc216714090 \h </w:instrText>
            </w:r>
            <w:r>
              <w:rPr>
                <w:noProof/>
                <w:webHidden/>
              </w:rPr>
            </w:r>
            <w:r>
              <w:rPr>
                <w:noProof/>
                <w:webHidden/>
              </w:rPr>
              <w:fldChar w:fldCharType="separate"/>
            </w:r>
            <w:r>
              <w:rPr>
                <w:noProof/>
                <w:webHidden/>
              </w:rPr>
              <w:t>3</w:t>
            </w:r>
            <w:r>
              <w:rPr>
                <w:noProof/>
                <w:webHidden/>
              </w:rPr>
              <w:fldChar w:fldCharType="end"/>
            </w:r>
          </w:hyperlink>
        </w:p>
        <w:p w14:paraId="2D1C7F8B" w14:textId="41620093" w:rsidR="006C155A" w:rsidRDefault="006C155A">
          <w:pPr>
            <w:pStyle w:val="TOC2"/>
            <w:tabs>
              <w:tab w:val="right" w:leader="dot" w:pos="9016"/>
            </w:tabs>
            <w:rPr>
              <w:rFonts w:eastAsiaTheme="minorEastAsia"/>
              <w:noProof/>
              <w:kern w:val="2"/>
              <w:sz w:val="24"/>
              <w:szCs w:val="24"/>
              <w:lang w:eastAsia="en-GB"/>
              <w14:ligatures w14:val="standardContextual"/>
            </w:rPr>
          </w:pPr>
          <w:hyperlink w:anchor="_Toc216714091" w:history="1">
            <w:r w:rsidRPr="006048E0">
              <w:rPr>
                <w:rStyle w:val="Hyperlink"/>
                <w:noProof/>
              </w:rPr>
              <w:t>Classification of Explosives</w:t>
            </w:r>
            <w:r>
              <w:rPr>
                <w:noProof/>
                <w:webHidden/>
              </w:rPr>
              <w:tab/>
            </w:r>
            <w:r>
              <w:rPr>
                <w:noProof/>
                <w:webHidden/>
              </w:rPr>
              <w:fldChar w:fldCharType="begin"/>
            </w:r>
            <w:r>
              <w:rPr>
                <w:noProof/>
                <w:webHidden/>
              </w:rPr>
              <w:instrText xml:space="preserve"> PAGEREF _Toc216714091 \h </w:instrText>
            </w:r>
            <w:r>
              <w:rPr>
                <w:noProof/>
                <w:webHidden/>
              </w:rPr>
            </w:r>
            <w:r>
              <w:rPr>
                <w:noProof/>
                <w:webHidden/>
              </w:rPr>
              <w:fldChar w:fldCharType="separate"/>
            </w:r>
            <w:r>
              <w:rPr>
                <w:noProof/>
                <w:webHidden/>
              </w:rPr>
              <w:t>4</w:t>
            </w:r>
            <w:r>
              <w:rPr>
                <w:noProof/>
                <w:webHidden/>
              </w:rPr>
              <w:fldChar w:fldCharType="end"/>
            </w:r>
          </w:hyperlink>
        </w:p>
        <w:p w14:paraId="3955B038" w14:textId="479A8629" w:rsidR="006C155A" w:rsidRDefault="006C155A">
          <w:pPr>
            <w:pStyle w:val="TOC2"/>
            <w:tabs>
              <w:tab w:val="right" w:leader="dot" w:pos="9016"/>
            </w:tabs>
            <w:rPr>
              <w:rFonts w:eastAsiaTheme="minorEastAsia"/>
              <w:noProof/>
              <w:kern w:val="2"/>
              <w:sz w:val="24"/>
              <w:szCs w:val="24"/>
              <w:lang w:eastAsia="en-GB"/>
              <w14:ligatures w14:val="standardContextual"/>
            </w:rPr>
          </w:pPr>
          <w:hyperlink w:anchor="_Toc216714092" w:history="1">
            <w:r w:rsidRPr="006048E0">
              <w:rPr>
                <w:rStyle w:val="Hyperlink"/>
                <w:noProof/>
              </w:rPr>
              <w:t>The Explosive Train</w:t>
            </w:r>
            <w:r>
              <w:rPr>
                <w:noProof/>
                <w:webHidden/>
              </w:rPr>
              <w:tab/>
            </w:r>
            <w:r>
              <w:rPr>
                <w:noProof/>
                <w:webHidden/>
              </w:rPr>
              <w:fldChar w:fldCharType="begin"/>
            </w:r>
            <w:r>
              <w:rPr>
                <w:noProof/>
                <w:webHidden/>
              </w:rPr>
              <w:instrText xml:space="preserve"> PAGEREF _Toc216714092 \h </w:instrText>
            </w:r>
            <w:r>
              <w:rPr>
                <w:noProof/>
                <w:webHidden/>
              </w:rPr>
            </w:r>
            <w:r>
              <w:rPr>
                <w:noProof/>
                <w:webHidden/>
              </w:rPr>
              <w:fldChar w:fldCharType="separate"/>
            </w:r>
            <w:r>
              <w:rPr>
                <w:noProof/>
                <w:webHidden/>
              </w:rPr>
              <w:t>5</w:t>
            </w:r>
            <w:r>
              <w:rPr>
                <w:noProof/>
                <w:webHidden/>
              </w:rPr>
              <w:fldChar w:fldCharType="end"/>
            </w:r>
          </w:hyperlink>
        </w:p>
        <w:p w14:paraId="27561B14" w14:textId="1D97637E" w:rsidR="006C155A" w:rsidRDefault="006C155A">
          <w:pPr>
            <w:pStyle w:val="TOC1"/>
            <w:tabs>
              <w:tab w:val="right" w:leader="dot" w:pos="9016"/>
            </w:tabs>
            <w:rPr>
              <w:rFonts w:eastAsiaTheme="minorEastAsia"/>
              <w:noProof/>
              <w:kern w:val="2"/>
              <w:sz w:val="24"/>
              <w:szCs w:val="24"/>
              <w:lang w:eastAsia="en-GB"/>
              <w14:ligatures w14:val="standardContextual"/>
            </w:rPr>
          </w:pPr>
          <w:hyperlink w:anchor="_Toc216714093" w:history="1">
            <w:r w:rsidRPr="006048E0">
              <w:rPr>
                <w:rStyle w:val="Hyperlink"/>
                <w:noProof/>
              </w:rPr>
              <w:t>Literature review</w:t>
            </w:r>
            <w:r>
              <w:rPr>
                <w:noProof/>
                <w:webHidden/>
              </w:rPr>
              <w:tab/>
            </w:r>
            <w:r>
              <w:rPr>
                <w:noProof/>
                <w:webHidden/>
              </w:rPr>
              <w:fldChar w:fldCharType="begin"/>
            </w:r>
            <w:r>
              <w:rPr>
                <w:noProof/>
                <w:webHidden/>
              </w:rPr>
              <w:instrText xml:space="preserve"> PAGEREF _Toc216714093 \h </w:instrText>
            </w:r>
            <w:r>
              <w:rPr>
                <w:noProof/>
                <w:webHidden/>
              </w:rPr>
            </w:r>
            <w:r>
              <w:rPr>
                <w:noProof/>
                <w:webHidden/>
              </w:rPr>
              <w:fldChar w:fldCharType="separate"/>
            </w:r>
            <w:r>
              <w:rPr>
                <w:noProof/>
                <w:webHidden/>
              </w:rPr>
              <w:t>6</w:t>
            </w:r>
            <w:r>
              <w:rPr>
                <w:noProof/>
                <w:webHidden/>
              </w:rPr>
              <w:fldChar w:fldCharType="end"/>
            </w:r>
          </w:hyperlink>
        </w:p>
        <w:p w14:paraId="2D5993BA" w14:textId="36751D17" w:rsidR="006C155A" w:rsidRDefault="006C155A">
          <w:pPr>
            <w:pStyle w:val="TOC2"/>
            <w:tabs>
              <w:tab w:val="right" w:leader="dot" w:pos="9016"/>
            </w:tabs>
            <w:rPr>
              <w:rFonts w:eastAsiaTheme="minorEastAsia"/>
              <w:noProof/>
              <w:kern w:val="2"/>
              <w:sz w:val="24"/>
              <w:szCs w:val="24"/>
              <w:lang w:eastAsia="en-GB"/>
              <w14:ligatures w14:val="standardContextual"/>
            </w:rPr>
          </w:pPr>
          <w:hyperlink w:anchor="_Toc216714094" w:history="1">
            <w:r w:rsidRPr="006048E0">
              <w:rPr>
                <w:rStyle w:val="Hyperlink"/>
                <w:noProof/>
              </w:rPr>
              <w:t>Lead Azide</w:t>
            </w:r>
            <w:r>
              <w:rPr>
                <w:noProof/>
                <w:webHidden/>
              </w:rPr>
              <w:tab/>
            </w:r>
            <w:r>
              <w:rPr>
                <w:noProof/>
                <w:webHidden/>
              </w:rPr>
              <w:fldChar w:fldCharType="begin"/>
            </w:r>
            <w:r>
              <w:rPr>
                <w:noProof/>
                <w:webHidden/>
              </w:rPr>
              <w:instrText xml:space="preserve"> PAGEREF _Toc216714094 \h </w:instrText>
            </w:r>
            <w:r>
              <w:rPr>
                <w:noProof/>
                <w:webHidden/>
              </w:rPr>
            </w:r>
            <w:r>
              <w:rPr>
                <w:noProof/>
                <w:webHidden/>
              </w:rPr>
              <w:fldChar w:fldCharType="separate"/>
            </w:r>
            <w:r>
              <w:rPr>
                <w:noProof/>
                <w:webHidden/>
              </w:rPr>
              <w:t>6</w:t>
            </w:r>
            <w:r>
              <w:rPr>
                <w:noProof/>
                <w:webHidden/>
              </w:rPr>
              <w:fldChar w:fldCharType="end"/>
            </w:r>
          </w:hyperlink>
        </w:p>
        <w:p w14:paraId="608508A8" w14:textId="0CF75FD8" w:rsidR="006C155A" w:rsidRDefault="006C155A">
          <w:pPr>
            <w:pStyle w:val="TOC2"/>
            <w:tabs>
              <w:tab w:val="right" w:leader="dot" w:pos="9016"/>
            </w:tabs>
            <w:rPr>
              <w:rFonts w:eastAsiaTheme="minorEastAsia"/>
              <w:noProof/>
              <w:kern w:val="2"/>
              <w:sz w:val="24"/>
              <w:szCs w:val="24"/>
              <w:lang w:eastAsia="en-GB"/>
              <w14:ligatures w14:val="standardContextual"/>
            </w:rPr>
          </w:pPr>
          <w:hyperlink w:anchor="_Toc216714095" w:history="1">
            <w:r w:rsidRPr="006048E0">
              <w:rPr>
                <w:rStyle w:val="Hyperlink"/>
                <w:noProof/>
              </w:rPr>
              <w:t>Trinitrotoluene</w:t>
            </w:r>
            <w:r>
              <w:rPr>
                <w:noProof/>
                <w:webHidden/>
              </w:rPr>
              <w:tab/>
            </w:r>
            <w:r>
              <w:rPr>
                <w:noProof/>
                <w:webHidden/>
              </w:rPr>
              <w:fldChar w:fldCharType="begin"/>
            </w:r>
            <w:r>
              <w:rPr>
                <w:noProof/>
                <w:webHidden/>
              </w:rPr>
              <w:instrText xml:space="preserve"> PAGEREF _Toc216714095 \h </w:instrText>
            </w:r>
            <w:r>
              <w:rPr>
                <w:noProof/>
                <w:webHidden/>
              </w:rPr>
            </w:r>
            <w:r>
              <w:rPr>
                <w:noProof/>
                <w:webHidden/>
              </w:rPr>
              <w:fldChar w:fldCharType="separate"/>
            </w:r>
            <w:r>
              <w:rPr>
                <w:noProof/>
                <w:webHidden/>
              </w:rPr>
              <w:t>7</w:t>
            </w:r>
            <w:r>
              <w:rPr>
                <w:noProof/>
                <w:webHidden/>
              </w:rPr>
              <w:fldChar w:fldCharType="end"/>
            </w:r>
          </w:hyperlink>
        </w:p>
        <w:p w14:paraId="6AA9F6CF" w14:textId="7F1BFB6F" w:rsidR="006C155A" w:rsidRDefault="006C155A">
          <w:pPr>
            <w:pStyle w:val="TOC2"/>
            <w:tabs>
              <w:tab w:val="right" w:leader="dot" w:pos="9016"/>
            </w:tabs>
            <w:rPr>
              <w:rFonts w:eastAsiaTheme="minorEastAsia"/>
              <w:noProof/>
              <w:kern w:val="2"/>
              <w:sz w:val="24"/>
              <w:szCs w:val="24"/>
              <w:lang w:eastAsia="en-GB"/>
              <w14:ligatures w14:val="standardContextual"/>
            </w:rPr>
          </w:pPr>
          <w:hyperlink w:anchor="_Toc216714096" w:history="1">
            <w:r w:rsidRPr="006048E0">
              <w:rPr>
                <w:rStyle w:val="Hyperlink"/>
                <w:noProof/>
              </w:rPr>
              <w:t>Performance Figures</w:t>
            </w:r>
            <w:r>
              <w:rPr>
                <w:noProof/>
                <w:webHidden/>
              </w:rPr>
              <w:tab/>
            </w:r>
            <w:r>
              <w:rPr>
                <w:noProof/>
                <w:webHidden/>
              </w:rPr>
              <w:fldChar w:fldCharType="begin"/>
            </w:r>
            <w:r>
              <w:rPr>
                <w:noProof/>
                <w:webHidden/>
              </w:rPr>
              <w:instrText xml:space="preserve"> PAGEREF _Toc216714096 \h </w:instrText>
            </w:r>
            <w:r>
              <w:rPr>
                <w:noProof/>
                <w:webHidden/>
              </w:rPr>
            </w:r>
            <w:r>
              <w:rPr>
                <w:noProof/>
                <w:webHidden/>
              </w:rPr>
              <w:fldChar w:fldCharType="separate"/>
            </w:r>
            <w:r>
              <w:rPr>
                <w:noProof/>
                <w:webHidden/>
              </w:rPr>
              <w:t>9</w:t>
            </w:r>
            <w:r>
              <w:rPr>
                <w:noProof/>
                <w:webHidden/>
              </w:rPr>
              <w:fldChar w:fldCharType="end"/>
            </w:r>
          </w:hyperlink>
        </w:p>
        <w:p w14:paraId="156E64FA" w14:textId="5C5E0A81" w:rsidR="006C155A" w:rsidRDefault="006C155A">
          <w:pPr>
            <w:pStyle w:val="TOC1"/>
            <w:tabs>
              <w:tab w:val="right" w:leader="dot" w:pos="9016"/>
            </w:tabs>
            <w:rPr>
              <w:rFonts w:eastAsiaTheme="minorEastAsia"/>
              <w:noProof/>
              <w:kern w:val="2"/>
              <w:sz w:val="24"/>
              <w:szCs w:val="24"/>
              <w:lang w:eastAsia="en-GB"/>
              <w14:ligatures w14:val="standardContextual"/>
            </w:rPr>
          </w:pPr>
          <w:hyperlink w:anchor="_Toc216714097" w:history="1">
            <w:r w:rsidRPr="006048E0">
              <w:rPr>
                <w:rStyle w:val="Hyperlink"/>
                <w:noProof/>
              </w:rPr>
              <w:t>Critical diameter, density and detonation</w:t>
            </w:r>
            <w:r>
              <w:rPr>
                <w:noProof/>
                <w:webHidden/>
              </w:rPr>
              <w:tab/>
            </w:r>
            <w:r>
              <w:rPr>
                <w:noProof/>
                <w:webHidden/>
              </w:rPr>
              <w:fldChar w:fldCharType="begin"/>
            </w:r>
            <w:r>
              <w:rPr>
                <w:noProof/>
                <w:webHidden/>
              </w:rPr>
              <w:instrText xml:space="preserve"> PAGEREF _Toc216714097 \h </w:instrText>
            </w:r>
            <w:r>
              <w:rPr>
                <w:noProof/>
                <w:webHidden/>
              </w:rPr>
            </w:r>
            <w:r>
              <w:rPr>
                <w:noProof/>
                <w:webHidden/>
              </w:rPr>
              <w:fldChar w:fldCharType="separate"/>
            </w:r>
            <w:r>
              <w:rPr>
                <w:noProof/>
                <w:webHidden/>
              </w:rPr>
              <w:t>10</w:t>
            </w:r>
            <w:r>
              <w:rPr>
                <w:noProof/>
                <w:webHidden/>
              </w:rPr>
              <w:fldChar w:fldCharType="end"/>
            </w:r>
          </w:hyperlink>
        </w:p>
        <w:p w14:paraId="47249560" w14:textId="0EDD1773" w:rsidR="006C155A" w:rsidRDefault="006C155A">
          <w:pPr>
            <w:pStyle w:val="TOC2"/>
            <w:tabs>
              <w:tab w:val="right" w:leader="dot" w:pos="9016"/>
            </w:tabs>
            <w:rPr>
              <w:rFonts w:eastAsiaTheme="minorEastAsia"/>
              <w:noProof/>
              <w:kern w:val="2"/>
              <w:sz w:val="24"/>
              <w:szCs w:val="24"/>
              <w:lang w:eastAsia="en-GB"/>
              <w14:ligatures w14:val="standardContextual"/>
            </w:rPr>
          </w:pPr>
          <w:hyperlink w:anchor="_Toc216714098" w:history="1">
            <w:r w:rsidRPr="006048E0">
              <w:rPr>
                <w:rStyle w:val="Hyperlink"/>
                <w:noProof/>
              </w:rPr>
              <w:t>Critical Density and Theoretical Maximum Density</w:t>
            </w:r>
            <w:r>
              <w:rPr>
                <w:noProof/>
                <w:webHidden/>
              </w:rPr>
              <w:tab/>
            </w:r>
            <w:r>
              <w:rPr>
                <w:noProof/>
                <w:webHidden/>
              </w:rPr>
              <w:fldChar w:fldCharType="begin"/>
            </w:r>
            <w:r>
              <w:rPr>
                <w:noProof/>
                <w:webHidden/>
              </w:rPr>
              <w:instrText xml:space="preserve"> PAGEREF _Toc216714098 \h </w:instrText>
            </w:r>
            <w:r>
              <w:rPr>
                <w:noProof/>
                <w:webHidden/>
              </w:rPr>
            </w:r>
            <w:r>
              <w:rPr>
                <w:noProof/>
                <w:webHidden/>
              </w:rPr>
              <w:fldChar w:fldCharType="separate"/>
            </w:r>
            <w:r>
              <w:rPr>
                <w:noProof/>
                <w:webHidden/>
              </w:rPr>
              <w:t>10</w:t>
            </w:r>
            <w:r>
              <w:rPr>
                <w:noProof/>
                <w:webHidden/>
              </w:rPr>
              <w:fldChar w:fldCharType="end"/>
            </w:r>
          </w:hyperlink>
        </w:p>
        <w:p w14:paraId="61835372" w14:textId="0F29180B" w:rsidR="006C155A" w:rsidRDefault="006C155A">
          <w:pPr>
            <w:pStyle w:val="TOC2"/>
            <w:tabs>
              <w:tab w:val="right" w:leader="dot" w:pos="9016"/>
            </w:tabs>
            <w:rPr>
              <w:rFonts w:eastAsiaTheme="minorEastAsia"/>
              <w:noProof/>
              <w:kern w:val="2"/>
              <w:sz w:val="24"/>
              <w:szCs w:val="24"/>
              <w:lang w:eastAsia="en-GB"/>
              <w14:ligatures w14:val="standardContextual"/>
            </w:rPr>
          </w:pPr>
          <w:hyperlink w:anchor="_Toc216714099" w:history="1">
            <w:r w:rsidRPr="006048E0">
              <w:rPr>
                <w:rStyle w:val="Hyperlink"/>
                <w:noProof/>
              </w:rPr>
              <w:t>Critical Diameter</w:t>
            </w:r>
            <w:r>
              <w:rPr>
                <w:noProof/>
                <w:webHidden/>
              </w:rPr>
              <w:tab/>
            </w:r>
            <w:r>
              <w:rPr>
                <w:noProof/>
                <w:webHidden/>
              </w:rPr>
              <w:fldChar w:fldCharType="begin"/>
            </w:r>
            <w:r>
              <w:rPr>
                <w:noProof/>
                <w:webHidden/>
              </w:rPr>
              <w:instrText xml:space="preserve"> PAGEREF _Toc216714099 \h </w:instrText>
            </w:r>
            <w:r>
              <w:rPr>
                <w:noProof/>
                <w:webHidden/>
              </w:rPr>
            </w:r>
            <w:r>
              <w:rPr>
                <w:noProof/>
                <w:webHidden/>
              </w:rPr>
              <w:fldChar w:fldCharType="separate"/>
            </w:r>
            <w:r>
              <w:rPr>
                <w:noProof/>
                <w:webHidden/>
              </w:rPr>
              <w:t>11</w:t>
            </w:r>
            <w:r>
              <w:rPr>
                <w:noProof/>
                <w:webHidden/>
              </w:rPr>
              <w:fldChar w:fldCharType="end"/>
            </w:r>
          </w:hyperlink>
        </w:p>
        <w:p w14:paraId="062538E0" w14:textId="00D5645A" w:rsidR="006C155A" w:rsidRDefault="006C155A">
          <w:pPr>
            <w:pStyle w:val="TOC2"/>
            <w:tabs>
              <w:tab w:val="right" w:leader="dot" w:pos="9016"/>
            </w:tabs>
            <w:rPr>
              <w:rFonts w:eastAsiaTheme="minorEastAsia"/>
              <w:noProof/>
              <w:kern w:val="2"/>
              <w:sz w:val="24"/>
              <w:szCs w:val="24"/>
              <w:lang w:eastAsia="en-GB"/>
              <w14:ligatures w14:val="standardContextual"/>
            </w:rPr>
          </w:pPr>
          <w:hyperlink w:anchor="_Toc216714100" w:history="1">
            <w:r w:rsidRPr="006048E0">
              <w:rPr>
                <w:rStyle w:val="Hyperlink"/>
                <w:noProof/>
              </w:rPr>
              <w:t>Detonation</w:t>
            </w:r>
            <w:r>
              <w:rPr>
                <w:noProof/>
                <w:webHidden/>
              </w:rPr>
              <w:tab/>
            </w:r>
            <w:r>
              <w:rPr>
                <w:noProof/>
                <w:webHidden/>
              </w:rPr>
              <w:fldChar w:fldCharType="begin"/>
            </w:r>
            <w:r>
              <w:rPr>
                <w:noProof/>
                <w:webHidden/>
              </w:rPr>
              <w:instrText xml:space="preserve"> PAGEREF _Toc216714100 \h </w:instrText>
            </w:r>
            <w:r>
              <w:rPr>
                <w:noProof/>
                <w:webHidden/>
              </w:rPr>
            </w:r>
            <w:r>
              <w:rPr>
                <w:noProof/>
                <w:webHidden/>
              </w:rPr>
              <w:fldChar w:fldCharType="separate"/>
            </w:r>
            <w:r>
              <w:rPr>
                <w:noProof/>
                <w:webHidden/>
              </w:rPr>
              <w:t>12</w:t>
            </w:r>
            <w:r>
              <w:rPr>
                <w:noProof/>
                <w:webHidden/>
              </w:rPr>
              <w:fldChar w:fldCharType="end"/>
            </w:r>
          </w:hyperlink>
        </w:p>
        <w:p w14:paraId="5D039189" w14:textId="48B2B237" w:rsidR="006C155A" w:rsidRDefault="006C155A">
          <w:pPr>
            <w:pStyle w:val="TOC2"/>
            <w:tabs>
              <w:tab w:val="right" w:leader="dot" w:pos="9016"/>
            </w:tabs>
            <w:rPr>
              <w:rFonts w:eastAsiaTheme="minorEastAsia"/>
              <w:noProof/>
              <w:kern w:val="2"/>
              <w:sz w:val="24"/>
              <w:szCs w:val="24"/>
              <w:lang w:eastAsia="en-GB"/>
              <w14:ligatures w14:val="standardContextual"/>
            </w:rPr>
          </w:pPr>
          <w:hyperlink w:anchor="_Toc216714101" w:history="1">
            <w:r w:rsidRPr="006048E0">
              <w:rPr>
                <w:rStyle w:val="Hyperlink"/>
                <w:noProof/>
              </w:rPr>
              <w:t>Detonation path of lead azide to TNT</w:t>
            </w:r>
            <w:r>
              <w:rPr>
                <w:noProof/>
                <w:webHidden/>
              </w:rPr>
              <w:tab/>
            </w:r>
            <w:r>
              <w:rPr>
                <w:noProof/>
                <w:webHidden/>
              </w:rPr>
              <w:fldChar w:fldCharType="begin"/>
            </w:r>
            <w:r>
              <w:rPr>
                <w:noProof/>
                <w:webHidden/>
              </w:rPr>
              <w:instrText xml:space="preserve"> PAGEREF _Toc216714101 \h </w:instrText>
            </w:r>
            <w:r>
              <w:rPr>
                <w:noProof/>
                <w:webHidden/>
              </w:rPr>
            </w:r>
            <w:r>
              <w:rPr>
                <w:noProof/>
                <w:webHidden/>
              </w:rPr>
              <w:fldChar w:fldCharType="separate"/>
            </w:r>
            <w:r>
              <w:rPr>
                <w:noProof/>
                <w:webHidden/>
              </w:rPr>
              <w:t>12</w:t>
            </w:r>
            <w:r>
              <w:rPr>
                <w:noProof/>
                <w:webHidden/>
              </w:rPr>
              <w:fldChar w:fldCharType="end"/>
            </w:r>
          </w:hyperlink>
        </w:p>
        <w:p w14:paraId="6CF31C65" w14:textId="3448F1C1" w:rsidR="006C155A" w:rsidRDefault="006C155A">
          <w:pPr>
            <w:pStyle w:val="TOC2"/>
            <w:tabs>
              <w:tab w:val="right" w:leader="dot" w:pos="9016"/>
            </w:tabs>
            <w:rPr>
              <w:rFonts w:eastAsiaTheme="minorEastAsia"/>
              <w:noProof/>
              <w:kern w:val="2"/>
              <w:sz w:val="24"/>
              <w:szCs w:val="24"/>
              <w:lang w:eastAsia="en-GB"/>
              <w14:ligatures w14:val="standardContextual"/>
            </w:rPr>
          </w:pPr>
          <w:hyperlink w:anchor="_Toc216714102" w:history="1">
            <w:r w:rsidRPr="006048E0">
              <w:rPr>
                <w:rStyle w:val="Hyperlink"/>
                <w:noProof/>
              </w:rPr>
              <w:t>How confinement would alter critical diameters</w:t>
            </w:r>
            <w:r>
              <w:rPr>
                <w:noProof/>
                <w:webHidden/>
              </w:rPr>
              <w:tab/>
            </w:r>
            <w:r>
              <w:rPr>
                <w:noProof/>
                <w:webHidden/>
              </w:rPr>
              <w:fldChar w:fldCharType="begin"/>
            </w:r>
            <w:r>
              <w:rPr>
                <w:noProof/>
                <w:webHidden/>
              </w:rPr>
              <w:instrText xml:space="preserve"> PAGEREF _Toc216714102 \h </w:instrText>
            </w:r>
            <w:r>
              <w:rPr>
                <w:noProof/>
                <w:webHidden/>
              </w:rPr>
            </w:r>
            <w:r>
              <w:rPr>
                <w:noProof/>
                <w:webHidden/>
              </w:rPr>
              <w:fldChar w:fldCharType="separate"/>
            </w:r>
            <w:r>
              <w:rPr>
                <w:noProof/>
                <w:webHidden/>
              </w:rPr>
              <w:t>13</w:t>
            </w:r>
            <w:r>
              <w:rPr>
                <w:noProof/>
                <w:webHidden/>
              </w:rPr>
              <w:fldChar w:fldCharType="end"/>
            </w:r>
          </w:hyperlink>
        </w:p>
        <w:p w14:paraId="4595308C" w14:textId="466F5AC0" w:rsidR="006C155A" w:rsidRDefault="006C155A">
          <w:pPr>
            <w:pStyle w:val="TOC2"/>
            <w:tabs>
              <w:tab w:val="right" w:leader="dot" w:pos="9016"/>
            </w:tabs>
            <w:rPr>
              <w:rFonts w:eastAsiaTheme="minorEastAsia"/>
              <w:noProof/>
              <w:kern w:val="2"/>
              <w:sz w:val="24"/>
              <w:szCs w:val="24"/>
              <w:lang w:eastAsia="en-GB"/>
              <w14:ligatures w14:val="standardContextual"/>
            </w:rPr>
          </w:pPr>
          <w:hyperlink w:anchor="_Toc216714103" w:history="1">
            <w:r w:rsidRPr="006048E0">
              <w:rPr>
                <w:rStyle w:val="Hyperlink"/>
                <w:noProof/>
              </w:rPr>
              <w:t>How confinement benefits OME professionals</w:t>
            </w:r>
            <w:r>
              <w:rPr>
                <w:noProof/>
                <w:webHidden/>
              </w:rPr>
              <w:tab/>
            </w:r>
            <w:r>
              <w:rPr>
                <w:noProof/>
                <w:webHidden/>
              </w:rPr>
              <w:fldChar w:fldCharType="begin"/>
            </w:r>
            <w:r>
              <w:rPr>
                <w:noProof/>
                <w:webHidden/>
              </w:rPr>
              <w:instrText xml:space="preserve"> PAGEREF _Toc216714103 \h </w:instrText>
            </w:r>
            <w:r>
              <w:rPr>
                <w:noProof/>
                <w:webHidden/>
              </w:rPr>
            </w:r>
            <w:r>
              <w:rPr>
                <w:noProof/>
                <w:webHidden/>
              </w:rPr>
              <w:fldChar w:fldCharType="separate"/>
            </w:r>
            <w:r>
              <w:rPr>
                <w:noProof/>
                <w:webHidden/>
              </w:rPr>
              <w:t>14</w:t>
            </w:r>
            <w:r>
              <w:rPr>
                <w:noProof/>
                <w:webHidden/>
              </w:rPr>
              <w:fldChar w:fldCharType="end"/>
            </w:r>
          </w:hyperlink>
        </w:p>
        <w:p w14:paraId="07744D65" w14:textId="42737362" w:rsidR="006C155A" w:rsidRDefault="006C155A">
          <w:pPr>
            <w:pStyle w:val="TOC1"/>
            <w:tabs>
              <w:tab w:val="right" w:leader="dot" w:pos="9016"/>
            </w:tabs>
            <w:rPr>
              <w:rFonts w:eastAsiaTheme="minorEastAsia"/>
              <w:noProof/>
              <w:kern w:val="2"/>
              <w:sz w:val="24"/>
              <w:szCs w:val="24"/>
              <w:lang w:eastAsia="en-GB"/>
              <w14:ligatures w14:val="standardContextual"/>
            </w:rPr>
          </w:pPr>
          <w:hyperlink w:anchor="_Toc216714104" w:history="1">
            <w:r w:rsidRPr="006048E0">
              <w:rPr>
                <w:rStyle w:val="Hyperlink"/>
                <w:noProof/>
              </w:rPr>
              <w:t>Explosive Train – Lead Azide and TNT</w:t>
            </w:r>
            <w:r>
              <w:rPr>
                <w:noProof/>
                <w:webHidden/>
              </w:rPr>
              <w:tab/>
            </w:r>
            <w:r>
              <w:rPr>
                <w:noProof/>
                <w:webHidden/>
              </w:rPr>
              <w:fldChar w:fldCharType="begin"/>
            </w:r>
            <w:r>
              <w:rPr>
                <w:noProof/>
                <w:webHidden/>
              </w:rPr>
              <w:instrText xml:space="preserve"> PAGEREF _Toc216714104 \h </w:instrText>
            </w:r>
            <w:r>
              <w:rPr>
                <w:noProof/>
                <w:webHidden/>
              </w:rPr>
            </w:r>
            <w:r>
              <w:rPr>
                <w:noProof/>
                <w:webHidden/>
              </w:rPr>
              <w:fldChar w:fldCharType="separate"/>
            </w:r>
            <w:r>
              <w:rPr>
                <w:noProof/>
                <w:webHidden/>
              </w:rPr>
              <w:t>15</w:t>
            </w:r>
            <w:r>
              <w:rPr>
                <w:noProof/>
                <w:webHidden/>
              </w:rPr>
              <w:fldChar w:fldCharType="end"/>
            </w:r>
          </w:hyperlink>
        </w:p>
        <w:p w14:paraId="13C9C9B3" w14:textId="435F9950" w:rsidR="006C155A" w:rsidRDefault="006C155A">
          <w:pPr>
            <w:pStyle w:val="TOC1"/>
            <w:tabs>
              <w:tab w:val="right" w:leader="dot" w:pos="9016"/>
            </w:tabs>
            <w:rPr>
              <w:rFonts w:eastAsiaTheme="minorEastAsia"/>
              <w:noProof/>
              <w:kern w:val="2"/>
              <w:sz w:val="24"/>
              <w:szCs w:val="24"/>
              <w:lang w:eastAsia="en-GB"/>
              <w14:ligatures w14:val="standardContextual"/>
            </w:rPr>
          </w:pPr>
          <w:hyperlink w:anchor="_Toc216714105" w:history="1">
            <w:r w:rsidRPr="006048E0">
              <w:rPr>
                <w:rStyle w:val="Hyperlink"/>
                <w:noProof/>
              </w:rPr>
              <w:t>Conclusion</w:t>
            </w:r>
            <w:r>
              <w:rPr>
                <w:noProof/>
                <w:webHidden/>
              </w:rPr>
              <w:tab/>
            </w:r>
            <w:r>
              <w:rPr>
                <w:noProof/>
                <w:webHidden/>
              </w:rPr>
              <w:fldChar w:fldCharType="begin"/>
            </w:r>
            <w:r>
              <w:rPr>
                <w:noProof/>
                <w:webHidden/>
              </w:rPr>
              <w:instrText xml:space="preserve"> PAGEREF _Toc216714105 \h </w:instrText>
            </w:r>
            <w:r>
              <w:rPr>
                <w:noProof/>
                <w:webHidden/>
              </w:rPr>
            </w:r>
            <w:r>
              <w:rPr>
                <w:noProof/>
                <w:webHidden/>
              </w:rPr>
              <w:fldChar w:fldCharType="separate"/>
            </w:r>
            <w:r>
              <w:rPr>
                <w:noProof/>
                <w:webHidden/>
              </w:rPr>
              <w:t>16</w:t>
            </w:r>
            <w:r>
              <w:rPr>
                <w:noProof/>
                <w:webHidden/>
              </w:rPr>
              <w:fldChar w:fldCharType="end"/>
            </w:r>
          </w:hyperlink>
        </w:p>
        <w:p w14:paraId="3F4B9FBC" w14:textId="1D27CCCA" w:rsidR="006C155A" w:rsidRDefault="006C155A">
          <w:pPr>
            <w:pStyle w:val="TOC1"/>
            <w:tabs>
              <w:tab w:val="right" w:leader="dot" w:pos="9016"/>
            </w:tabs>
            <w:rPr>
              <w:rFonts w:eastAsiaTheme="minorEastAsia"/>
              <w:noProof/>
              <w:kern w:val="2"/>
              <w:sz w:val="24"/>
              <w:szCs w:val="24"/>
              <w:lang w:eastAsia="en-GB"/>
              <w14:ligatures w14:val="standardContextual"/>
            </w:rPr>
          </w:pPr>
          <w:hyperlink w:anchor="_Toc216714106" w:history="1">
            <w:r w:rsidRPr="006048E0">
              <w:rPr>
                <w:rStyle w:val="Hyperlink"/>
                <w:noProof/>
              </w:rPr>
              <w:t>Bibliography</w:t>
            </w:r>
            <w:r>
              <w:rPr>
                <w:noProof/>
                <w:webHidden/>
              </w:rPr>
              <w:tab/>
            </w:r>
            <w:r>
              <w:rPr>
                <w:noProof/>
                <w:webHidden/>
              </w:rPr>
              <w:fldChar w:fldCharType="begin"/>
            </w:r>
            <w:r>
              <w:rPr>
                <w:noProof/>
                <w:webHidden/>
              </w:rPr>
              <w:instrText xml:space="preserve"> PAGEREF _Toc216714106 \h </w:instrText>
            </w:r>
            <w:r>
              <w:rPr>
                <w:noProof/>
                <w:webHidden/>
              </w:rPr>
            </w:r>
            <w:r>
              <w:rPr>
                <w:noProof/>
                <w:webHidden/>
              </w:rPr>
              <w:fldChar w:fldCharType="separate"/>
            </w:r>
            <w:r>
              <w:rPr>
                <w:noProof/>
                <w:webHidden/>
              </w:rPr>
              <w:t>17</w:t>
            </w:r>
            <w:r>
              <w:rPr>
                <w:noProof/>
                <w:webHidden/>
              </w:rPr>
              <w:fldChar w:fldCharType="end"/>
            </w:r>
          </w:hyperlink>
        </w:p>
        <w:p w14:paraId="533BC29E" w14:textId="09B3BB4F" w:rsidR="006C155A" w:rsidRDefault="006C155A">
          <w:pPr>
            <w:pStyle w:val="TOC1"/>
            <w:tabs>
              <w:tab w:val="right" w:leader="dot" w:pos="9016"/>
            </w:tabs>
            <w:rPr>
              <w:rFonts w:eastAsiaTheme="minorEastAsia"/>
              <w:noProof/>
              <w:kern w:val="2"/>
              <w:sz w:val="24"/>
              <w:szCs w:val="24"/>
              <w:lang w:eastAsia="en-GB"/>
              <w14:ligatures w14:val="standardContextual"/>
            </w:rPr>
          </w:pPr>
          <w:hyperlink w:anchor="_Toc216714107" w:history="1">
            <w:r w:rsidRPr="006048E0">
              <w:rPr>
                <w:rStyle w:val="Hyperlink"/>
                <w:noProof/>
              </w:rPr>
              <w:t>Appendices</w:t>
            </w:r>
            <w:r>
              <w:rPr>
                <w:noProof/>
                <w:webHidden/>
              </w:rPr>
              <w:tab/>
            </w:r>
            <w:r>
              <w:rPr>
                <w:noProof/>
                <w:webHidden/>
              </w:rPr>
              <w:fldChar w:fldCharType="begin"/>
            </w:r>
            <w:r>
              <w:rPr>
                <w:noProof/>
                <w:webHidden/>
              </w:rPr>
              <w:instrText xml:space="preserve"> PAGEREF _Toc216714107 \h </w:instrText>
            </w:r>
            <w:r>
              <w:rPr>
                <w:noProof/>
                <w:webHidden/>
              </w:rPr>
            </w:r>
            <w:r>
              <w:rPr>
                <w:noProof/>
                <w:webHidden/>
              </w:rPr>
              <w:fldChar w:fldCharType="separate"/>
            </w:r>
            <w:r>
              <w:rPr>
                <w:noProof/>
                <w:webHidden/>
              </w:rPr>
              <w:t>20</w:t>
            </w:r>
            <w:r>
              <w:rPr>
                <w:noProof/>
                <w:webHidden/>
              </w:rPr>
              <w:fldChar w:fldCharType="end"/>
            </w:r>
          </w:hyperlink>
        </w:p>
        <w:p w14:paraId="4E64E2BC" w14:textId="36A600A4" w:rsidR="1F2AB047" w:rsidRDefault="1F2AB047" w:rsidP="1F2AB047">
          <w:pPr>
            <w:pStyle w:val="TOC1"/>
            <w:tabs>
              <w:tab w:val="right" w:leader="dot" w:pos="9015"/>
            </w:tabs>
            <w:rPr>
              <w:rStyle w:val="Hyperlink"/>
            </w:rPr>
          </w:pPr>
          <w:r>
            <w:fldChar w:fldCharType="end"/>
          </w:r>
        </w:p>
      </w:sdtContent>
    </w:sdt>
    <w:p w14:paraId="1338174A" w14:textId="77777777" w:rsidR="004C2BCA" w:rsidRDefault="004C2BCA" w:rsidP="1F2AB047">
      <w:pPr>
        <w:rPr>
          <w:b/>
          <w:bCs/>
        </w:rPr>
      </w:pPr>
    </w:p>
    <w:p w14:paraId="4C508CB5" w14:textId="4E15AC17" w:rsidR="1F2AB047" w:rsidRDefault="1F2AB047" w:rsidP="1F2AB047">
      <w:pPr>
        <w:rPr>
          <w:b/>
          <w:bCs/>
        </w:rPr>
      </w:pPr>
    </w:p>
    <w:p w14:paraId="07C52BFC" w14:textId="1481C418" w:rsidR="1F2AB047" w:rsidRDefault="1F2AB047" w:rsidP="1F2AB047">
      <w:pPr>
        <w:rPr>
          <w:b/>
          <w:bCs/>
        </w:rPr>
      </w:pPr>
    </w:p>
    <w:p w14:paraId="52248A34" w14:textId="57C9B754" w:rsidR="1F2AB047" w:rsidRDefault="1F2AB047" w:rsidP="1F2AB047">
      <w:pPr>
        <w:rPr>
          <w:b/>
          <w:bCs/>
        </w:rPr>
      </w:pPr>
    </w:p>
    <w:p w14:paraId="0CA8E83A" w14:textId="463A7D7B" w:rsidR="1F2AB047" w:rsidRDefault="1F2AB047" w:rsidP="1F2AB047">
      <w:pPr>
        <w:rPr>
          <w:b/>
          <w:bCs/>
        </w:rPr>
      </w:pPr>
    </w:p>
    <w:p w14:paraId="6DFCF06C" w14:textId="2AA620F7" w:rsidR="1F2AB047" w:rsidRDefault="1F2AB047" w:rsidP="1F2AB047">
      <w:pPr>
        <w:rPr>
          <w:b/>
          <w:bCs/>
        </w:rPr>
      </w:pPr>
    </w:p>
    <w:p w14:paraId="41749A05" w14:textId="2AE4D9BB" w:rsidR="1F2AB047" w:rsidRDefault="1F2AB047" w:rsidP="1F2AB047">
      <w:pPr>
        <w:rPr>
          <w:b/>
          <w:bCs/>
        </w:rPr>
      </w:pPr>
    </w:p>
    <w:p w14:paraId="35E24755" w14:textId="52319A9E" w:rsidR="1F2AB047" w:rsidRDefault="1F2AB047" w:rsidP="1F2AB047">
      <w:pPr>
        <w:rPr>
          <w:b/>
          <w:bCs/>
        </w:rPr>
      </w:pPr>
    </w:p>
    <w:p w14:paraId="43F0FB22" w14:textId="0A9F4FFE" w:rsidR="00C85272" w:rsidRDefault="00C85272" w:rsidP="1F2AB047">
      <w:pPr>
        <w:spacing w:line="278" w:lineRule="auto"/>
        <w:rPr>
          <w:rFonts w:ascii="Arial" w:hAnsi="Arial" w:cs="Arial"/>
          <w:sz w:val="24"/>
          <w:szCs w:val="24"/>
        </w:rPr>
      </w:pPr>
    </w:p>
    <w:p w14:paraId="5DF571AA" w14:textId="77777777" w:rsidR="001F5542" w:rsidRDefault="001F5542" w:rsidP="001F5542">
      <w:pPr>
        <w:pStyle w:val="Heading1"/>
      </w:pPr>
      <w:bookmarkStart w:id="2" w:name="_Toc216714089"/>
      <w:r>
        <w:lastRenderedPageBreak/>
        <w:t>Introduction</w:t>
      </w:r>
      <w:bookmarkEnd w:id="2"/>
    </w:p>
    <w:p w14:paraId="2C166445" w14:textId="77777777" w:rsidR="001F5542" w:rsidRPr="00D15D93" w:rsidRDefault="001F5542" w:rsidP="001F5542">
      <w:pPr>
        <w:pStyle w:val="Heading2"/>
      </w:pPr>
      <w:bookmarkStart w:id="3" w:name="_Toc216714090"/>
      <w:r>
        <w:t>Explosives and Explosions</w:t>
      </w:r>
      <w:bookmarkEnd w:id="3"/>
    </w:p>
    <w:p w14:paraId="721178EA" w14:textId="77777777" w:rsidR="001F5542" w:rsidRDefault="001F5542" w:rsidP="001F5542">
      <w:pPr>
        <w:spacing w:line="360" w:lineRule="auto"/>
        <w:rPr>
          <w:rFonts w:ascii="Arial" w:hAnsi="Arial" w:cs="Arial"/>
        </w:rPr>
      </w:pPr>
      <w:r>
        <w:rPr>
          <w:rFonts w:ascii="Arial" w:hAnsi="Arial" w:cs="Arial"/>
        </w:rPr>
        <w:t>An explosive is a substance which is effective in producing an explosion through self-sustaining chemical reactions.  An explosion is the rapid expansion of heat and gas, producing effects including blast and fragmentation. An explosion can be physical, chemical or nuclear</w:t>
      </w:r>
      <w:sdt>
        <w:sdtPr>
          <w:rPr>
            <w:rFonts w:ascii="Arial" w:hAnsi="Arial" w:cs="Arial"/>
          </w:rPr>
          <w:id w:val="-1055785884"/>
          <w:citation/>
        </w:sdtPr>
        <w:sdtEndPr/>
        <w:sdtContent>
          <w:r>
            <w:rPr>
              <w:rFonts w:ascii="Arial" w:hAnsi="Arial" w:cs="Arial"/>
            </w:rPr>
            <w:fldChar w:fldCharType="begin"/>
          </w:r>
          <w:r>
            <w:rPr>
              <w:rFonts w:ascii="Arial" w:hAnsi="Arial" w:cs="Arial"/>
            </w:rPr>
            <w:instrText xml:space="preserve"> CITATION MOD20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[1]</w:t>
          </w:r>
          <w:r>
            <w:rPr>
              <w:rFonts w:ascii="Arial" w:hAnsi="Arial" w:cs="Arial"/>
            </w:rPr>
            <w:fldChar w:fldCharType="end"/>
          </w:r>
        </w:sdtContent>
      </w:sdt>
      <w:r>
        <w:rPr>
          <w:rFonts w:ascii="Arial" w:hAnsi="Arial" w:cs="Arial"/>
        </w:rPr>
        <w:t>. Pyrotechnics are a type of explosive that are non-detonative chemical reactions to produce heat, light, sound or gas</w:t>
      </w:r>
      <w:sdt>
        <w:sdtPr>
          <w:rPr>
            <w:rFonts w:ascii="Arial" w:hAnsi="Arial" w:cs="Arial"/>
          </w:rPr>
          <w:id w:val="1457519744"/>
          <w:citation/>
        </w:sdtPr>
        <w:sdtEndPr/>
        <w:sdtContent>
          <w:r>
            <w:rPr>
              <w:rFonts w:ascii="Arial" w:hAnsi="Arial" w:cs="Arial"/>
            </w:rPr>
            <w:fldChar w:fldCharType="begin"/>
          </w:r>
          <w:r>
            <w:rPr>
              <w:rFonts w:ascii="Arial" w:hAnsi="Arial" w:cs="Arial"/>
            </w:rPr>
            <w:instrText xml:space="preserve"> CITATION UNU23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[2]</w:t>
          </w:r>
          <w:r>
            <w:rPr>
              <w:rFonts w:ascii="Arial" w:hAnsi="Arial" w:cs="Arial"/>
            </w:rPr>
            <w:fldChar w:fldCharType="end"/>
          </w:r>
        </w:sdtContent>
      </w:sdt>
      <w:r>
        <w:rPr>
          <w:rFonts w:ascii="Arial" w:hAnsi="Arial" w:cs="Arial"/>
        </w:rPr>
        <w:t>. Explosive substances are used in many environments including defence, mining and fireworks.</w:t>
      </w:r>
    </w:p>
    <w:p w14:paraId="48A6C44E" w14:textId="77777777" w:rsidR="00C85272" w:rsidRDefault="00C85272">
      <w:pPr>
        <w:rPr>
          <w:rFonts w:ascii="Arial" w:hAnsi="Arial" w:cs="Arial"/>
        </w:rPr>
      </w:pPr>
    </w:p>
    <w:p w14:paraId="5EB907F6" w14:textId="77777777" w:rsidR="00E615B1" w:rsidRDefault="00E615B1">
      <w:pPr>
        <w:rPr>
          <w:rFonts w:ascii="Arial" w:hAnsi="Arial" w:cs="Arial"/>
        </w:rPr>
      </w:pPr>
    </w:p>
    <w:p w14:paraId="100799B2" w14:textId="77777777" w:rsidR="00E615B1" w:rsidRDefault="00E615B1">
      <w:pPr>
        <w:rPr>
          <w:rFonts w:ascii="Arial" w:hAnsi="Arial" w:cs="Arial"/>
        </w:rPr>
      </w:pPr>
    </w:p>
    <w:p w14:paraId="2B4CA394" w14:textId="77777777" w:rsidR="00E615B1" w:rsidRDefault="00E615B1">
      <w:pPr>
        <w:rPr>
          <w:rFonts w:ascii="Arial" w:hAnsi="Arial" w:cs="Arial"/>
        </w:rPr>
      </w:pPr>
    </w:p>
    <w:p w14:paraId="55FE04EF" w14:textId="77777777" w:rsidR="00E615B1" w:rsidRDefault="00E615B1">
      <w:pPr>
        <w:rPr>
          <w:rFonts w:ascii="Arial" w:hAnsi="Arial" w:cs="Arial"/>
        </w:rPr>
      </w:pPr>
    </w:p>
    <w:p w14:paraId="40411CBD" w14:textId="77777777" w:rsidR="00E615B1" w:rsidRDefault="00E615B1">
      <w:pPr>
        <w:rPr>
          <w:rFonts w:ascii="Arial" w:hAnsi="Arial" w:cs="Arial"/>
        </w:rPr>
      </w:pPr>
    </w:p>
    <w:p w14:paraId="7D42C55C" w14:textId="77777777" w:rsidR="00E615B1" w:rsidRDefault="00E615B1">
      <w:pPr>
        <w:rPr>
          <w:rFonts w:ascii="Arial" w:hAnsi="Arial" w:cs="Arial"/>
        </w:rPr>
      </w:pPr>
    </w:p>
    <w:p w14:paraId="0D43017F" w14:textId="77777777" w:rsidR="00E615B1" w:rsidRDefault="00E615B1">
      <w:pPr>
        <w:rPr>
          <w:rFonts w:ascii="Arial" w:hAnsi="Arial" w:cs="Arial"/>
        </w:rPr>
      </w:pPr>
    </w:p>
    <w:p w14:paraId="4CCBA4F0" w14:textId="77777777" w:rsidR="00E615B1" w:rsidRDefault="00E615B1">
      <w:pPr>
        <w:rPr>
          <w:rFonts w:ascii="Arial" w:hAnsi="Arial" w:cs="Arial"/>
        </w:rPr>
      </w:pPr>
    </w:p>
    <w:p w14:paraId="3C00E11E" w14:textId="77777777" w:rsidR="00E615B1" w:rsidRDefault="00E615B1">
      <w:pPr>
        <w:rPr>
          <w:rFonts w:ascii="Arial" w:hAnsi="Arial" w:cs="Arial"/>
        </w:rPr>
      </w:pPr>
    </w:p>
    <w:p w14:paraId="26EED2D7" w14:textId="77777777" w:rsidR="00E615B1" w:rsidRDefault="00E615B1">
      <w:pPr>
        <w:rPr>
          <w:rFonts w:ascii="Arial" w:hAnsi="Arial" w:cs="Arial"/>
        </w:rPr>
      </w:pPr>
    </w:p>
    <w:p w14:paraId="397E1D4A" w14:textId="77777777" w:rsidR="00E615B1" w:rsidRDefault="00E615B1">
      <w:pPr>
        <w:rPr>
          <w:rFonts w:ascii="Arial" w:hAnsi="Arial" w:cs="Arial"/>
        </w:rPr>
      </w:pPr>
    </w:p>
    <w:p w14:paraId="60114099" w14:textId="77777777" w:rsidR="00E615B1" w:rsidRDefault="00E615B1">
      <w:pPr>
        <w:rPr>
          <w:rFonts w:ascii="Arial" w:hAnsi="Arial" w:cs="Arial"/>
        </w:rPr>
      </w:pPr>
    </w:p>
    <w:p w14:paraId="3165E0EA" w14:textId="77777777" w:rsidR="00E615B1" w:rsidRDefault="00E615B1">
      <w:pPr>
        <w:rPr>
          <w:rFonts w:ascii="Arial" w:hAnsi="Arial" w:cs="Arial"/>
        </w:rPr>
      </w:pPr>
    </w:p>
    <w:p w14:paraId="36DC61F2" w14:textId="77777777" w:rsidR="00E615B1" w:rsidRDefault="00E615B1">
      <w:pPr>
        <w:rPr>
          <w:rFonts w:ascii="Arial" w:hAnsi="Arial" w:cs="Arial"/>
        </w:rPr>
      </w:pPr>
    </w:p>
    <w:p w14:paraId="6AFA5B09" w14:textId="77777777" w:rsidR="00E615B1" w:rsidRDefault="00E615B1">
      <w:pPr>
        <w:rPr>
          <w:rFonts w:ascii="Arial" w:hAnsi="Arial" w:cs="Arial"/>
        </w:rPr>
      </w:pPr>
    </w:p>
    <w:p w14:paraId="457787E1" w14:textId="77777777" w:rsidR="00E615B1" w:rsidRDefault="00E615B1">
      <w:pPr>
        <w:rPr>
          <w:rFonts w:ascii="Arial" w:hAnsi="Arial" w:cs="Arial"/>
        </w:rPr>
      </w:pPr>
    </w:p>
    <w:p w14:paraId="66FDCC99" w14:textId="77777777" w:rsidR="00E615B1" w:rsidRDefault="00E615B1">
      <w:pPr>
        <w:rPr>
          <w:rFonts w:ascii="Arial" w:hAnsi="Arial" w:cs="Arial"/>
        </w:rPr>
      </w:pPr>
    </w:p>
    <w:p w14:paraId="3D0518AB" w14:textId="77777777" w:rsidR="00E615B1" w:rsidRDefault="00E615B1">
      <w:pPr>
        <w:rPr>
          <w:rFonts w:ascii="Arial" w:hAnsi="Arial" w:cs="Arial"/>
        </w:rPr>
      </w:pPr>
    </w:p>
    <w:p w14:paraId="3EBD3FDD" w14:textId="77777777" w:rsidR="00E615B1" w:rsidRDefault="00E615B1">
      <w:pPr>
        <w:rPr>
          <w:rFonts w:ascii="Arial" w:hAnsi="Arial" w:cs="Arial"/>
        </w:rPr>
      </w:pPr>
    </w:p>
    <w:p w14:paraId="47359D3D" w14:textId="77777777" w:rsidR="00E615B1" w:rsidRDefault="00E615B1">
      <w:pPr>
        <w:rPr>
          <w:rFonts w:ascii="Arial" w:hAnsi="Arial" w:cs="Arial"/>
        </w:rPr>
      </w:pPr>
    </w:p>
    <w:p w14:paraId="571B5888" w14:textId="77777777" w:rsidR="00E615B1" w:rsidRDefault="00E615B1">
      <w:pPr>
        <w:rPr>
          <w:rFonts w:ascii="Arial" w:hAnsi="Arial" w:cs="Arial"/>
        </w:rPr>
      </w:pPr>
    </w:p>
    <w:p w14:paraId="248B24D5" w14:textId="77777777" w:rsidR="00E615B1" w:rsidRDefault="00E615B1">
      <w:pPr>
        <w:rPr>
          <w:rFonts w:ascii="Arial" w:hAnsi="Arial" w:cs="Arial"/>
        </w:rPr>
      </w:pPr>
    </w:p>
    <w:p w14:paraId="636D6D6A" w14:textId="77777777" w:rsidR="00E615B1" w:rsidRDefault="00E615B1">
      <w:pPr>
        <w:rPr>
          <w:rFonts w:ascii="Arial" w:hAnsi="Arial" w:cs="Arial"/>
        </w:rPr>
      </w:pPr>
    </w:p>
    <w:p w14:paraId="02BADB24" w14:textId="77777777" w:rsidR="00D44C91" w:rsidRPr="00422810" w:rsidRDefault="00D44C91" w:rsidP="00D44C91">
      <w:pPr>
        <w:pStyle w:val="Heading2"/>
        <w:spacing w:line="360" w:lineRule="auto"/>
        <w:rPr>
          <w:color w:val="156082" w:themeColor="accent1"/>
        </w:rPr>
      </w:pPr>
      <w:bookmarkStart w:id="4" w:name="_Toc216714091"/>
      <w:r w:rsidRPr="1F2AB047">
        <w:rPr>
          <w:color w:val="156082" w:themeColor="accent1"/>
        </w:rPr>
        <w:lastRenderedPageBreak/>
        <w:t>Classification of Explosives</w:t>
      </w:r>
      <w:bookmarkEnd w:id="4"/>
      <w:r w:rsidRPr="1F2AB047">
        <w:rPr>
          <w:color w:val="156082" w:themeColor="accent1"/>
        </w:rPr>
        <w:t xml:space="preserve"> </w:t>
      </w:r>
    </w:p>
    <w:p w14:paraId="5575992B" w14:textId="77777777" w:rsidR="00D44C91" w:rsidRDefault="00D44C91" w:rsidP="00D44C91">
      <w:pPr>
        <w:spacing w:line="360" w:lineRule="auto"/>
        <w:rPr>
          <w:rFonts w:ascii="Arial" w:hAnsi="Arial" w:cs="Arial"/>
        </w:rPr>
      </w:pPr>
      <w:r>
        <w:rPr>
          <w:rFonts w:ascii="Arial" w:hAnsi="Arial" w:cs="Arial"/>
        </w:rPr>
        <w:t>Explosive substances are separated into different categories based on their qualities and behaviour.</w:t>
      </w:r>
    </w:p>
    <w:p w14:paraId="1B81DD18" w14:textId="77777777" w:rsidR="00D44C91" w:rsidRDefault="00D44C91" w:rsidP="00D44C91">
      <w:pPr>
        <w:keepNext/>
        <w:spacing w:line="360" w:lineRule="auto"/>
        <w:jc w:val="center"/>
      </w:pPr>
      <w:r>
        <w:rPr>
          <w:rFonts w:ascii="Arial" w:hAnsi="Arial" w:cs="Arial"/>
          <w:noProof/>
          <w14:ligatures w14:val="standardContextual"/>
        </w:rPr>
        <w:drawing>
          <wp:inline distT="0" distB="0" distL="0" distR="0" wp14:anchorId="556C0AB9" wp14:editId="2CE43E1D">
            <wp:extent cx="4648439" cy="3168813"/>
            <wp:effectExtent l="0" t="0" r="0" b="0"/>
            <wp:docPr id="1104341581" name="Picture 1" descr="A diagram of explos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341581" name="Picture 1" descr="A diagram of explosives"/>
                    <pic:cNvPicPr/>
                  </pic:nvPicPr>
                  <pic:blipFill>
                    <a:blip r:embed="rId8">
                      <a:extLst>
                        <a:ext uri="{28A0092B-C50C-407E-A947-70E740481C1C}">
                          <a14:useLocalDpi xmlns:a14="http://schemas.microsoft.com/office/drawing/2010/main" val="0"/>
                        </a:ext>
                      </a:extLst>
                    </a:blip>
                    <a:stretch>
                      <a:fillRect/>
                    </a:stretch>
                  </pic:blipFill>
                  <pic:spPr>
                    <a:xfrm>
                      <a:off x="0" y="0"/>
                      <a:ext cx="4648439" cy="3168813"/>
                    </a:xfrm>
                    <a:prstGeom prst="rect">
                      <a:avLst/>
                    </a:prstGeom>
                  </pic:spPr>
                </pic:pic>
              </a:graphicData>
            </a:graphic>
          </wp:inline>
        </w:drawing>
      </w:r>
    </w:p>
    <w:p w14:paraId="600B9D5C" w14:textId="2942ED80" w:rsidR="00D44C91" w:rsidRDefault="00D44C91" w:rsidP="00D44C91">
      <w:pPr>
        <w:pStyle w:val="Caption"/>
        <w:spacing w:line="360" w:lineRule="auto"/>
        <w:jc w:val="center"/>
        <w:rPr>
          <w:rFonts w:ascii="Arial" w:hAnsi="Arial" w:cs="Arial"/>
        </w:rPr>
      </w:pPr>
      <w:r>
        <w:t xml:space="preserve">Figure </w:t>
      </w:r>
      <w:fldSimple w:instr=" SEQ Figure \* ARABIC ">
        <w:r w:rsidR="00C01267">
          <w:rPr>
            <w:noProof/>
          </w:rPr>
          <w:t>1</w:t>
        </w:r>
      </w:fldSimple>
      <w:r>
        <w:t>- Classification of explosives with examples</w:t>
      </w:r>
      <w:sdt>
        <w:sdtPr>
          <w:id w:val="-404374719"/>
          <w:citation/>
        </w:sdtPr>
        <w:sdtEndPr/>
        <w:sdtContent>
          <w:r>
            <w:fldChar w:fldCharType="begin"/>
          </w:r>
          <w:r>
            <w:instrText xml:space="preserve"> CITATION Jai10 \l 2057 </w:instrText>
          </w:r>
          <w:r>
            <w:fldChar w:fldCharType="separate"/>
          </w:r>
          <w:r>
            <w:rPr>
              <w:noProof/>
            </w:rPr>
            <w:t xml:space="preserve"> </w:t>
          </w:r>
          <w:r w:rsidRPr="0055124B">
            <w:rPr>
              <w:noProof/>
            </w:rPr>
            <w:t>[3]</w:t>
          </w:r>
          <w:r>
            <w:fldChar w:fldCharType="end"/>
          </w:r>
        </w:sdtContent>
      </w:sdt>
    </w:p>
    <w:p w14:paraId="38A0C2BD" w14:textId="77777777" w:rsidR="00D44C91" w:rsidRDefault="00D44C91" w:rsidP="00D44C91">
      <w:pPr>
        <w:spacing w:line="360" w:lineRule="auto"/>
        <w:rPr>
          <w:rFonts w:ascii="Arial" w:hAnsi="Arial" w:cs="Arial"/>
        </w:rPr>
      </w:pPr>
      <w:r>
        <w:rPr>
          <w:rFonts w:ascii="Arial" w:hAnsi="Arial" w:cs="Arial"/>
        </w:rPr>
        <w:t xml:space="preserve">The diagram above shows the main types of explosives as high, low, pyrotechnics and civil explosives. Pyrotechnics are often treated as a low explosive due to their nature of deflagrating </w:t>
      </w:r>
      <w:sdt>
        <w:sdtPr>
          <w:rPr>
            <w:rFonts w:ascii="Arial" w:hAnsi="Arial" w:cs="Arial"/>
          </w:rPr>
          <w:id w:val="-18542093"/>
          <w:citation/>
        </w:sdtPr>
        <w:sdtEndPr/>
        <w:sdtContent>
          <w:r>
            <w:rPr>
              <w:rFonts w:ascii="Arial" w:hAnsi="Arial" w:cs="Arial"/>
            </w:rPr>
            <w:fldChar w:fldCharType="begin"/>
          </w:r>
          <w:r>
            <w:rPr>
              <w:rFonts w:ascii="Arial" w:hAnsi="Arial" w:cs="Arial"/>
            </w:rPr>
            <w:instrText xml:space="preserve"> CITATION MOD20 \l 2057 </w:instrText>
          </w:r>
          <w:r>
            <w:rPr>
              <w:rFonts w:ascii="Arial" w:hAnsi="Arial" w:cs="Arial"/>
            </w:rPr>
            <w:fldChar w:fldCharType="separate"/>
          </w:r>
          <w:r w:rsidRPr="0055124B">
            <w:rPr>
              <w:rFonts w:ascii="Arial" w:hAnsi="Arial" w:cs="Arial"/>
              <w:noProof/>
            </w:rPr>
            <w:t>[1]</w:t>
          </w:r>
          <w:r>
            <w:rPr>
              <w:rFonts w:ascii="Arial" w:hAnsi="Arial" w:cs="Arial"/>
            </w:rPr>
            <w:fldChar w:fldCharType="end"/>
          </w:r>
        </w:sdtContent>
      </w:sdt>
      <w:r>
        <w:rPr>
          <w:rFonts w:ascii="Arial" w:hAnsi="Arial" w:cs="Arial"/>
        </w:rPr>
        <w:t>. High Explosives undergo detonation and high gas pressures with a velocity of detonation greater than 1800m/s</w:t>
      </w:r>
      <w:sdt>
        <w:sdtPr>
          <w:rPr>
            <w:rFonts w:ascii="Arial" w:hAnsi="Arial" w:cs="Arial"/>
          </w:rPr>
          <w:id w:val="1256703066"/>
          <w:citation/>
        </w:sdtPr>
        <w:sdtEndPr/>
        <w:sdtContent>
          <w:r>
            <w:rPr>
              <w:rFonts w:ascii="Arial" w:hAnsi="Arial" w:cs="Arial"/>
            </w:rPr>
            <w:fldChar w:fldCharType="begin"/>
          </w:r>
          <w:r>
            <w:rPr>
              <w:rFonts w:ascii="Arial" w:hAnsi="Arial" w:cs="Arial"/>
            </w:rPr>
            <w:instrText xml:space="preserve"> CITATION Mah14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[4]</w:t>
          </w:r>
          <w:r>
            <w:rPr>
              <w:rFonts w:ascii="Arial" w:hAnsi="Arial" w:cs="Arial"/>
            </w:rPr>
            <w:fldChar w:fldCharType="end"/>
          </w:r>
        </w:sdtContent>
      </w:sdt>
      <w:r>
        <w:rPr>
          <w:rFonts w:ascii="Arial" w:hAnsi="Arial" w:cs="Arial"/>
        </w:rPr>
        <w:t xml:space="preserve">. Low Explosives undergo deflagration at a fast pace releasing gas and have reaction velocities between 600-1000m/s </w:t>
      </w:r>
      <w:sdt>
        <w:sdtPr>
          <w:rPr>
            <w:rFonts w:ascii="Arial" w:hAnsi="Arial" w:cs="Arial"/>
          </w:rPr>
          <w:id w:val="-872694396"/>
          <w:citation/>
        </w:sdtPr>
        <w:sdtEndPr/>
        <w:sdtContent>
          <w:r>
            <w:rPr>
              <w:rFonts w:ascii="Arial" w:hAnsi="Arial" w:cs="Arial"/>
            </w:rPr>
            <w:fldChar w:fldCharType="begin"/>
          </w:r>
          <w:r>
            <w:rPr>
              <w:rFonts w:ascii="Arial" w:hAnsi="Arial" w:cs="Arial"/>
            </w:rPr>
            <w:instrText xml:space="preserve"> CITATION Mah14 \l 2057 </w:instrText>
          </w:r>
          <w:r>
            <w:rPr>
              <w:rFonts w:ascii="Arial" w:hAnsi="Arial" w:cs="Arial"/>
            </w:rPr>
            <w:fldChar w:fldCharType="separate"/>
          </w:r>
          <w:r w:rsidRPr="0055124B">
            <w:rPr>
              <w:rFonts w:ascii="Arial" w:hAnsi="Arial" w:cs="Arial"/>
              <w:noProof/>
            </w:rPr>
            <w:t>[4]</w:t>
          </w:r>
          <w:r>
            <w:rPr>
              <w:rFonts w:ascii="Arial" w:hAnsi="Arial" w:cs="Arial"/>
            </w:rPr>
            <w:fldChar w:fldCharType="end"/>
          </w:r>
        </w:sdtContent>
      </w:sdt>
      <w:r>
        <w:rPr>
          <w:rFonts w:ascii="Arial" w:hAnsi="Arial" w:cs="Arial"/>
        </w:rPr>
        <w:t>. Primary explosives are a high explosive and are very sensitive and can be easily initiated through various factors including heat, friction and shock</w:t>
      </w:r>
      <w:sdt>
        <w:sdtPr>
          <w:rPr>
            <w:rFonts w:ascii="Arial" w:hAnsi="Arial" w:cs="Arial"/>
          </w:rPr>
          <w:id w:val="-2038116645"/>
          <w:citation/>
        </w:sdtPr>
        <w:sdtEndPr/>
        <w:sdtContent>
          <w:r>
            <w:rPr>
              <w:rFonts w:ascii="Arial" w:hAnsi="Arial" w:cs="Arial"/>
            </w:rPr>
            <w:fldChar w:fldCharType="begin"/>
          </w:r>
          <w:r>
            <w:rPr>
              <w:rFonts w:ascii="Arial" w:hAnsi="Arial" w:cs="Arial"/>
            </w:rPr>
            <w:instrText xml:space="preserve"> CITATION Pet06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[5]</w:t>
          </w:r>
          <w:r>
            <w:rPr>
              <w:rFonts w:ascii="Arial" w:hAnsi="Arial" w:cs="Arial"/>
            </w:rPr>
            <w:fldChar w:fldCharType="end"/>
          </w:r>
        </w:sdtContent>
      </w:sdt>
      <w:r>
        <w:rPr>
          <w:rFonts w:ascii="Arial" w:hAnsi="Arial" w:cs="Arial"/>
        </w:rPr>
        <w:t>. Secondary explosives are also a high explosive and are less sensitive therefore require a greater amount of energy to initiate</w:t>
      </w:r>
      <w:r w:rsidRPr="002D5345">
        <w:rPr>
          <w:rFonts w:ascii="Arial" w:hAnsi="Arial" w:cs="Arial"/>
          <w:color w:val="000000" w:themeColor="text1"/>
        </w:rPr>
        <w:t>.  This energy is provided through the explosive train.</w:t>
      </w:r>
    </w:p>
    <w:p w14:paraId="0A5BB138" w14:textId="77777777" w:rsidR="00D44C91" w:rsidRDefault="00D44C91" w:rsidP="00D44C91">
      <w:pPr>
        <w:pStyle w:val="Heading2"/>
      </w:pPr>
    </w:p>
    <w:p w14:paraId="7AAA5BAD" w14:textId="77777777" w:rsidR="00D44C91" w:rsidRDefault="00D44C91" w:rsidP="00D44C91"/>
    <w:p w14:paraId="748BEDBC" w14:textId="77777777" w:rsidR="00D44C91" w:rsidRDefault="00D44C91" w:rsidP="00D44C91"/>
    <w:p w14:paraId="372C4919" w14:textId="77777777" w:rsidR="00D44C91" w:rsidRDefault="00D44C91" w:rsidP="00D44C91"/>
    <w:p w14:paraId="38FD0B0A" w14:textId="77777777" w:rsidR="00D44C91" w:rsidRDefault="00D44C91" w:rsidP="00D44C91"/>
    <w:p w14:paraId="5E9D58FF" w14:textId="77777777" w:rsidR="00D44C91" w:rsidRPr="002D5345" w:rsidRDefault="00D44C91" w:rsidP="00D44C91"/>
    <w:p w14:paraId="59F49D11" w14:textId="77777777" w:rsidR="00511599" w:rsidRPr="00422810" w:rsidRDefault="00511599" w:rsidP="00511599">
      <w:pPr>
        <w:pStyle w:val="Heading2"/>
        <w:rPr>
          <w:color w:val="156082" w:themeColor="accent1"/>
        </w:rPr>
      </w:pPr>
      <w:bookmarkStart w:id="5" w:name="_Toc216714092"/>
      <w:r w:rsidRPr="1F2AB047">
        <w:rPr>
          <w:color w:val="156082" w:themeColor="accent1"/>
        </w:rPr>
        <w:lastRenderedPageBreak/>
        <w:t>The Explosive Train</w:t>
      </w:r>
      <w:bookmarkEnd w:id="5"/>
    </w:p>
    <w:p w14:paraId="183A80C7" w14:textId="77777777" w:rsidR="00511599" w:rsidRDefault="00511599" w:rsidP="00511599">
      <w:pPr>
        <w:spacing w:line="360" w:lineRule="auto"/>
        <w:rPr>
          <w:rFonts w:ascii="Arial" w:hAnsi="Arial" w:cs="Arial"/>
        </w:rPr>
      </w:pPr>
      <w:r>
        <w:rPr>
          <w:rFonts w:ascii="Arial" w:hAnsi="Arial" w:cs="Arial"/>
        </w:rPr>
        <w:t>The explosive train is a path of explosive components from initiation to detonation. The train normally contains three components – initiator, booster and main charge. However, it is possible to have an explosive train with only two components which uses a primary explosive to initiate a secondary explosive. This two-step train is used for small applications where the detonation wave from the initiator provides enough energy for the secondary explosive to detonate</w:t>
      </w:r>
      <w:sdt>
        <w:sdtPr>
          <w:rPr>
            <w:rFonts w:ascii="Arial" w:hAnsi="Arial" w:cs="Arial"/>
          </w:rPr>
          <w:id w:val="1792249036"/>
          <w:citation/>
        </w:sdtPr>
        <w:sdtEndPr/>
        <w:sdtContent>
          <w:r>
            <w:rPr>
              <w:rFonts w:ascii="Arial" w:hAnsi="Arial" w:cs="Arial"/>
            </w:rPr>
            <w:fldChar w:fldCharType="begin"/>
          </w:r>
          <w:r>
            <w:rPr>
              <w:rFonts w:ascii="Arial" w:hAnsi="Arial" w:cs="Arial"/>
            </w:rPr>
            <w:instrText xml:space="preserve"> CITATION Abd18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[6]</w:t>
          </w:r>
          <w:r>
            <w:rPr>
              <w:rFonts w:ascii="Arial" w:hAnsi="Arial" w:cs="Arial"/>
            </w:rPr>
            <w:fldChar w:fldCharType="end"/>
          </w:r>
        </w:sdtContent>
      </w:sdt>
      <w:r>
        <w:rPr>
          <w:rFonts w:ascii="Arial" w:hAnsi="Arial" w:cs="Arial"/>
        </w:rPr>
        <w:t xml:space="preserve">. </w:t>
      </w:r>
    </w:p>
    <w:p w14:paraId="176AFF7A" w14:textId="77777777" w:rsidR="00511599" w:rsidRDefault="00511599" w:rsidP="00511599">
      <w:pPr>
        <w:rPr>
          <w:rFonts w:ascii="Arial" w:hAnsi="Arial" w:cs="Arial"/>
        </w:rPr>
      </w:pPr>
      <w:r>
        <w:rPr>
          <w:noProof/>
        </w:rPr>
        <mc:AlternateContent>
          <mc:Choice Requires="wps">
            <w:drawing>
              <wp:anchor distT="0" distB="0" distL="114300" distR="114300" simplePos="0" relativeHeight="251649536" behindDoc="1" locked="0" layoutInCell="1" allowOverlap="1" wp14:anchorId="18E953D1" wp14:editId="4A4136D1">
                <wp:simplePos x="0" y="0"/>
                <wp:positionH relativeFrom="column">
                  <wp:posOffset>741680</wp:posOffset>
                </wp:positionH>
                <wp:positionV relativeFrom="paragraph">
                  <wp:posOffset>2762250</wp:posOffset>
                </wp:positionV>
                <wp:extent cx="4241800" cy="635"/>
                <wp:effectExtent l="0" t="0" r="0" b="0"/>
                <wp:wrapTight wrapText="bothSides">
                  <wp:wrapPolygon edited="0">
                    <wp:start x="0" y="0"/>
                    <wp:lineTo x="0" y="21600"/>
                    <wp:lineTo x="21600" y="21600"/>
                    <wp:lineTo x="21600" y="0"/>
                  </wp:wrapPolygon>
                </wp:wrapTight>
                <wp:docPr id="1623998416" name="Text Box 1"/>
                <wp:cNvGraphicFramePr/>
                <a:graphic xmlns:a="http://schemas.openxmlformats.org/drawingml/2006/main">
                  <a:graphicData uri="http://schemas.microsoft.com/office/word/2010/wordprocessingShape">
                    <wps:wsp>
                      <wps:cNvSpPr txBox="1"/>
                      <wps:spPr>
                        <a:xfrm>
                          <a:off x="0" y="0"/>
                          <a:ext cx="4241800" cy="635"/>
                        </a:xfrm>
                        <a:prstGeom prst="rect">
                          <a:avLst/>
                        </a:prstGeom>
                        <a:solidFill>
                          <a:prstClr val="white"/>
                        </a:solidFill>
                        <a:ln>
                          <a:noFill/>
                        </a:ln>
                      </wps:spPr>
                      <wps:txbx>
                        <w:txbxContent>
                          <w:p w14:paraId="167F7036" w14:textId="7FFA8943" w:rsidR="00511599" w:rsidRPr="00075B52" w:rsidRDefault="00511599" w:rsidP="00511599">
                            <w:pPr>
                              <w:pStyle w:val="Caption"/>
                              <w:rPr>
                                <w:noProof/>
                                <w:sz w:val="22"/>
                                <w:szCs w:val="22"/>
                              </w:rPr>
                            </w:pPr>
                            <w:r>
                              <w:t xml:space="preserve">Figure </w:t>
                            </w:r>
                            <w:fldSimple w:instr=" SEQ Figure \* ARABIC ">
                              <w:r w:rsidR="00C01267">
                                <w:rPr>
                                  <w:noProof/>
                                </w:rPr>
                                <w:t>2</w:t>
                              </w:r>
                            </w:fldSimple>
                            <w:r>
                              <w:t>- 2 and 3 step explosive trains</w:t>
                            </w:r>
                            <w:sdt>
                              <w:sdtPr>
                                <w:id w:val="427784111"/>
                                <w:citation/>
                              </w:sdtPr>
                              <w:sdtEndPr/>
                              <w:sdtContent>
                                <w:r>
                                  <w:fldChar w:fldCharType="begin"/>
                                </w:r>
                                <w:r>
                                  <w:instrText xml:space="preserve"> CITATION Mat13 \l 2057 </w:instrText>
                                </w:r>
                                <w:r>
                                  <w:fldChar w:fldCharType="separate"/>
                                </w:r>
                                <w:r>
                                  <w:rPr>
                                    <w:noProof/>
                                  </w:rPr>
                                  <w:t xml:space="preserve"> </w:t>
                                </w:r>
                                <w:r w:rsidRPr="0055124B">
                                  <w:rPr>
                                    <w:noProof/>
                                  </w:rPr>
                                  <w:t>[8]</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8E953D1" id="_x0000_t202" coordsize="21600,21600" o:spt="202" path="m,l,21600r21600,l21600,xe">
                <v:stroke joinstyle="miter"/>
                <v:path gradientshapeok="t" o:connecttype="rect"/>
              </v:shapetype>
              <v:shape id="Text Box 1" o:spid="_x0000_s1026" type="#_x0000_t202" style="position:absolute;margin-left:58.4pt;margin-top:217.5pt;width:334pt;height:.05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" stroked="f">
                <v:textbox style="mso-fit-shape-to-text:t" inset="0,0,0,0">
                  <w:txbxContent>
                    <w:p w14:paraId="167F7036" w14:textId="7FFA8943" w:rsidR="00511599" w:rsidRPr="00075B52" w:rsidRDefault="00511599" w:rsidP="00511599">
                      <w:pPr>
                        <w:pStyle w:val="Caption"/>
                        <w:rPr>
                          <w:noProof/>
                          <w:sz w:val="22"/>
                          <w:szCs w:val="22"/>
                        </w:rPr>
                      </w:pPr>
                      <w:r>
                        <w:t xml:space="preserve">Figure </w:t>
                      </w:r>
                      <w:fldSimple w:instr=" SEQ Figure \* ARABIC ">
                        <w:r w:rsidR="00C01267">
                          <w:rPr>
                            <w:noProof/>
                          </w:rPr>
                          <w:t>2</w:t>
                        </w:r>
                      </w:fldSimple>
                      <w:r>
                        <w:t>- 2 and 3 step explosive trains</w:t>
                      </w:r>
                      <w:sdt>
                        <w:sdtPr>
                          <w:id w:val="427784111"/>
                          <w:citation/>
                        </w:sdtPr>
                        <w:sdtEndPr/>
                        <w:sdtContent>
                          <w:r>
                            <w:fldChar w:fldCharType="begin"/>
                          </w:r>
                          <w:r>
                            <w:instrText xml:space="preserve"> CITATION Mat13 \l 2057 </w:instrText>
                          </w:r>
                          <w:r>
                            <w:fldChar w:fldCharType="separate"/>
                          </w:r>
                          <w:r>
                            <w:rPr>
                              <w:noProof/>
                            </w:rPr>
                            <w:t xml:space="preserve"> </w:t>
                          </w:r>
                          <w:r w:rsidRPr="0055124B">
                            <w:rPr>
                              <w:noProof/>
                            </w:rPr>
                            <w:t>[8]</w:t>
                          </w:r>
                          <w:r>
                            <w:fldChar w:fldCharType="end"/>
                          </w:r>
                        </w:sdtContent>
                      </w:sdt>
                    </w:p>
                  </w:txbxContent>
                </v:textbox>
                <w10:wrap type="tight"/>
              </v:shape>
            </w:pict>
          </mc:Fallback>
        </mc:AlternateContent>
      </w:r>
      <w:r>
        <w:rPr>
          <w:noProof/>
        </w:rPr>
        <w:drawing>
          <wp:anchor distT="0" distB="0" distL="114300" distR="114300" simplePos="0" relativeHeight="251646464" behindDoc="1" locked="0" layoutInCell="1" allowOverlap="1" wp14:anchorId="42E0CB1D" wp14:editId="44DCF38C">
            <wp:simplePos x="0" y="0"/>
            <wp:positionH relativeFrom="margin">
              <wp:align>center</wp:align>
            </wp:positionH>
            <wp:positionV relativeFrom="paragraph">
              <wp:posOffset>4494</wp:posOffset>
            </wp:positionV>
            <wp:extent cx="4242218" cy="2700997"/>
            <wp:effectExtent l="0" t="0" r="6350" b="4445"/>
            <wp:wrapTight wrapText="bothSides">
              <wp:wrapPolygon edited="0">
                <wp:start x="0" y="0"/>
                <wp:lineTo x="0" y="21483"/>
                <wp:lineTo x="21535" y="21483"/>
                <wp:lineTo x="21535" y="0"/>
                <wp:lineTo x="0" y="0"/>
              </wp:wrapPolygon>
            </wp:wrapTight>
            <wp:docPr id="310911243" name="Picture 2" descr="Introduction to Initiating Substances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roduction to Initiating Substances | SpringerLin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2218" cy="2700997"/>
                    </a:xfrm>
                    <a:prstGeom prst="rect">
                      <a:avLst/>
                    </a:prstGeom>
                    <a:noFill/>
                    <a:ln>
                      <a:noFill/>
                    </a:ln>
                  </pic:spPr>
                </pic:pic>
              </a:graphicData>
            </a:graphic>
          </wp:anchor>
        </w:drawing>
      </w:r>
    </w:p>
    <w:p w14:paraId="7ED7B319" w14:textId="77777777" w:rsidR="00511599" w:rsidRDefault="00511599" w:rsidP="00511599">
      <w:pPr>
        <w:rPr>
          <w:rFonts w:ascii="Arial" w:hAnsi="Arial" w:cs="Arial"/>
        </w:rPr>
      </w:pPr>
    </w:p>
    <w:p w14:paraId="7FC1CC49" w14:textId="21657AB6" w:rsidR="00511599" w:rsidRDefault="00511599" w:rsidP="1F2AB047">
      <w:pPr>
        <w:spacing w:line="360" w:lineRule="auto"/>
        <w:rPr>
          <w:rFonts w:ascii="Arial" w:hAnsi="Arial" w:cs="Arial"/>
        </w:rPr>
      </w:pPr>
      <w:r>
        <w:rPr>
          <w:rFonts w:ascii="Arial" w:hAnsi="Arial" w:cs="Arial"/>
        </w:rPr>
        <w:t xml:space="preserve">The three-step chain has a decreasing sensitivity and increasing quantity of the explosive. The initiator is the most sensitive part of the train made of primary explosive and is found in primers or </w:t>
      </w:r>
      <w:proofErr w:type="spellStart"/>
      <w:r>
        <w:rPr>
          <w:rFonts w:ascii="Arial" w:hAnsi="Arial" w:cs="Arial"/>
        </w:rPr>
        <w:t>fuzes</w:t>
      </w:r>
      <w:proofErr w:type="spellEnd"/>
      <w:r>
        <w:rPr>
          <w:rFonts w:ascii="Arial" w:hAnsi="Arial" w:cs="Arial"/>
        </w:rPr>
        <w:t>. The initiator reacts to a stimulus such as heat, electricity or friction and detonates. The energy is then transferred from the primary explosive to the booster which detonates and transfers a larger amount of energy to the less sensitive main charge which then detonates</w:t>
      </w:r>
      <w:sdt>
        <w:sdtPr>
          <w:rPr>
            <w:rFonts w:ascii="Arial" w:hAnsi="Arial" w:cs="Arial"/>
          </w:rPr>
          <w:id w:val="1815519345"/>
          <w:citation/>
        </w:sdtPr>
        <w:sdtEndPr/>
        <w:sdtContent>
          <w:r>
            <w:rPr>
              <w:rFonts w:ascii="Arial" w:hAnsi="Arial" w:cs="Arial"/>
            </w:rPr>
            <w:fldChar w:fldCharType="begin"/>
          </w:r>
          <w:r>
            <w:rPr>
              <w:rFonts w:ascii="Arial" w:hAnsi="Arial" w:cs="Arial"/>
            </w:rPr>
            <w:instrText xml:space="preserve"> CITATION MOD20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[1]</w:t>
          </w:r>
          <w:r>
            <w:rPr>
              <w:rFonts w:ascii="Arial" w:hAnsi="Arial" w:cs="Arial"/>
            </w:rPr>
            <w:fldChar w:fldCharType="end"/>
          </w:r>
        </w:sdtContent>
      </w:sdt>
      <w:r>
        <w:rPr>
          <w:rFonts w:ascii="Arial" w:hAnsi="Arial" w:cs="Arial"/>
        </w:rPr>
        <w:t>. The large amounts of energy produced in this train ensure detonation of the main charge given other requirements such as critical diameter and density are met.</w:t>
      </w:r>
    </w:p>
    <w:p w14:paraId="48C717D0" w14:textId="77777777" w:rsidR="00511599" w:rsidRDefault="00511599" w:rsidP="00511599">
      <w:pPr>
        <w:spacing w:line="360" w:lineRule="auto"/>
        <w:rPr>
          <w:rFonts w:ascii="Arial" w:hAnsi="Arial" w:cs="Arial"/>
        </w:rPr>
      </w:pPr>
    </w:p>
    <w:p w14:paraId="6911E3C1" w14:textId="77777777" w:rsidR="00E615B1" w:rsidRDefault="00E615B1">
      <w:pPr>
        <w:rPr>
          <w:rFonts w:ascii="Arial" w:hAnsi="Arial" w:cs="Arial"/>
        </w:rPr>
      </w:pPr>
    </w:p>
    <w:p w14:paraId="6946AB1C" w14:textId="77777777" w:rsidR="00997A66" w:rsidRDefault="00997A66">
      <w:pPr>
        <w:rPr>
          <w:rFonts w:ascii="Arial" w:hAnsi="Arial" w:cs="Arial"/>
        </w:rPr>
      </w:pPr>
    </w:p>
    <w:p w14:paraId="63CA2C5A" w14:textId="77777777" w:rsidR="00997A66" w:rsidRDefault="00997A66">
      <w:pPr>
        <w:rPr>
          <w:rFonts w:ascii="Arial" w:hAnsi="Arial" w:cs="Arial"/>
        </w:rPr>
      </w:pPr>
    </w:p>
    <w:p w14:paraId="373AD236" w14:textId="64C2F062" w:rsidR="00997A66" w:rsidRDefault="00997A66" w:rsidP="1F2AB047">
      <w:pPr>
        <w:rPr>
          <w:rFonts w:ascii="Arial" w:hAnsi="Arial" w:cs="Arial"/>
        </w:rPr>
      </w:pPr>
    </w:p>
    <w:p w14:paraId="5F2A4B3A" w14:textId="77777777" w:rsidR="00AC40B3" w:rsidRPr="005E2191" w:rsidRDefault="00AC40B3" w:rsidP="00AC40B3">
      <w:pPr>
        <w:pStyle w:val="Heading1"/>
      </w:pPr>
      <w:bookmarkStart w:id="6" w:name="_Toc216714093"/>
      <w:r>
        <w:lastRenderedPageBreak/>
        <w:t>Literature review</w:t>
      </w:r>
      <w:bookmarkEnd w:id="6"/>
    </w:p>
    <w:p w14:paraId="7494CEB4" w14:textId="77777777" w:rsidR="00AC40B3" w:rsidRDefault="00AC40B3" w:rsidP="00AC40B3">
      <w:pPr>
        <w:pStyle w:val="Heading2"/>
      </w:pPr>
      <w:bookmarkStart w:id="7" w:name="_Toc216714094"/>
      <w:r>
        <w:t>Lead Azide</w:t>
      </w:r>
      <w:bookmarkEnd w:id="7"/>
    </w:p>
    <w:p w14:paraId="0BCAB90B" w14:textId="77777777" w:rsidR="00AC40B3" w:rsidRDefault="00AC40B3" w:rsidP="00AC40B3">
      <w:pPr>
        <w:spacing w:line="360" w:lineRule="auto"/>
        <w:rPr>
          <w:rFonts w:ascii="Arial" w:hAnsi="Arial" w:cs="Arial"/>
        </w:rPr>
      </w:pPr>
      <w:r>
        <w:rPr>
          <w:rFonts w:ascii="Arial" w:hAnsi="Arial" w:cs="Arial"/>
        </w:rPr>
        <w:t xml:space="preserve">Lead </w:t>
      </w:r>
      <w:proofErr w:type="spellStart"/>
      <w:r>
        <w:rPr>
          <w:rFonts w:ascii="Arial" w:hAnsi="Arial" w:cs="Arial"/>
        </w:rPr>
        <w:t>Azide</w:t>
      </w:r>
      <w:proofErr w:type="spellEnd"/>
      <w:r>
        <w:rPr>
          <w:rFonts w:ascii="Arial" w:hAnsi="Arial" w:cs="Arial"/>
        </w:rPr>
        <w:t xml:space="preserve"> is a primary explosive produced by mixing sodium </w:t>
      </w:r>
      <w:proofErr w:type="spellStart"/>
      <w:r>
        <w:rPr>
          <w:rFonts w:ascii="Arial" w:hAnsi="Arial" w:cs="Arial"/>
        </w:rPr>
        <w:t>azide</w:t>
      </w:r>
      <w:proofErr w:type="spellEnd"/>
      <w:r>
        <w:rPr>
          <w:rFonts w:ascii="Arial" w:hAnsi="Arial" w:cs="Arial"/>
        </w:rPr>
        <w:t xml:space="preserve"> and lead acetate or nitrate. It is a very sensitive material with a figure of insensitiveness value of 20 and is very sensitive to multiple stimulus such as heat and electrostatic charge. However, is less sensitive to stabbing and flash without the use of topping material. The main uses for Lead </w:t>
      </w:r>
      <w:proofErr w:type="spellStart"/>
      <w:r>
        <w:rPr>
          <w:rFonts w:ascii="Arial" w:hAnsi="Arial" w:cs="Arial"/>
        </w:rPr>
        <w:t>azide</w:t>
      </w:r>
      <w:proofErr w:type="spellEnd"/>
      <w:r>
        <w:rPr>
          <w:rFonts w:ascii="Arial" w:hAnsi="Arial" w:cs="Arial"/>
        </w:rPr>
        <w:t xml:space="preserve"> are military ammunition and commercial blasting caps which act as initiator in the explosive train</w:t>
      </w:r>
      <w:sdt>
        <w:sdtPr>
          <w:rPr>
            <w:rFonts w:ascii="Arial" w:hAnsi="Arial" w:cs="Arial"/>
          </w:rPr>
          <w:id w:val="1131059012"/>
          <w:citation/>
        </w:sdtPr>
        <w:sdtEndPr/>
        <w:sdtContent>
          <w:r>
            <w:rPr>
              <w:rFonts w:ascii="Arial" w:hAnsi="Arial" w:cs="Arial"/>
            </w:rPr>
            <w:fldChar w:fldCharType="begin"/>
          </w:r>
          <w:r>
            <w:rPr>
              <w:rFonts w:ascii="Arial" w:hAnsi="Arial" w:cs="Arial"/>
            </w:rPr>
            <w:instrText xml:space="preserve"> CITATION Jai10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[3]</w:t>
          </w:r>
          <w:r>
            <w:rPr>
              <w:rFonts w:ascii="Arial" w:hAnsi="Arial" w:cs="Arial"/>
            </w:rPr>
            <w:fldChar w:fldCharType="end"/>
          </w:r>
        </w:sdtContent>
      </w:sdt>
      <w:r>
        <w:rPr>
          <w:rFonts w:ascii="Arial" w:hAnsi="Arial" w:cs="Arial"/>
        </w:rPr>
        <w:t xml:space="preserve">. Lead </w:t>
      </w:r>
      <w:proofErr w:type="spellStart"/>
      <w:r>
        <w:rPr>
          <w:rFonts w:ascii="Arial" w:hAnsi="Arial" w:cs="Arial"/>
        </w:rPr>
        <w:t>Azide</w:t>
      </w:r>
      <w:proofErr w:type="spellEnd"/>
      <w:r>
        <w:rPr>
          <w:rFonts w:ascii="Arial" w:hAnsi="Arial" w:cs="Arial"/>
        </w:rPr>
        <w:t xml:space="preserve"> has been used by British services since 1925 with various compositions created for fill in detonators</w:t>
      </w:r>
      <w:sdt>
        <w:sdtPr>
          <w:rPr>
            <w:rFonts w:ascii="Arial" w:hAnsi="Arial" w:cs="Arial"/>
          </w:rPr>
          <w:id w:val="-520164555"/>
          <w:citation/>
        </w:sdtPr>
        <w:sdtEndPr/>
        <w:sdtContent>
          <w:r>
            <w:rPr>
              <w:rFonts w:ascii="Arial" w:hAnsi="Arial" w:cs="Arial"/>
            </w:rPr>
            <w:fldChar w:fldCharType="begin"/>
          </w:r>
          <w:r>
            <w:rPr>
              <w:rFonts w:ascii="Arial" w:hAnsi="Arial" w:cs="Arial"/>
            </w:rPr>
            <w:instrText xml:space="preserve"> CITATION Min72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[7]</w:t>
          </w:r>
          <w:r>
            <w:rPr>
              <w:rFonts w:ascii="Arial" w:hAnsi="Arial" w:cs="Arial"/>
            </w:rPr>
            <w:fldChar w:fldCharType="end"/>
          </w:r>
        </w:sdtContent>
      </w:sdt>
      <w:r>
        <w:rPr>
          <w:rFonts w:ascii="Arial" w:hAnsi="Arial" w:cs="Arial"/>
        </w:rPr>
        <w:t xml:space="preserve">.  The LZY detonators use service lead </w:t>
      </w:r>
      <w:proofErr w:type="spellStart"/>
      <w:r>
        <w:rPr>
          <w:rFonts w:ascii="Arial" w:hAnsi="Arial" w:cs="Arial"/>
        </w:rPr>
        <w:t>azide</w:t>
      </w:r>
      <w:proofErr w:type="spellEnd"/>
      <w:r>
        <w:rPr>
          <w:rFonts w:ascii="Arial" w:hAnsi="Arial" w:cs="Arial"/>
        </w:rPr>
        <w:t xml:space="preserve"> which has a sensitive hard crystalline structure and uses a sensitiser composition of RD1651 as a top increment so it can be used for stab sensitive applications</w:t>
      </w:r>
      <w:sdt>
        <w:sdtPr>
          <w:rPr>
            <w:rFonts w:ascii="Arial" w:hAnsi="Arial" w:cs="Arial"/>
          </w:rPr>
          <w:id w:val="663978573"/>
          <w:citation/>
        </w:sdtPr>
        <w:sdtEndPr/>
        <w:sdtContent>
          <w:r>
            <w:rPr>
              <w:rFonts w:ascii="Arial" w:hAnsi="Arial" w:cs="Arial"/>
            </w:rPr>
            <w:fldChar w:fldCharType="begin"/>
          </w:r>
          <w:r>
            <w:rPr>
              <w:rFonts w:ascii="Arial" w:hAnsi="Arial" w:cs="Arial"/>
            </w:rPr>
            <w:instrText xml:space="preserve"> CITATION MOD20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[1]</w:t>
          </w:r>
          <w:r>
            <w:rPr>
              <w:rFonts w:ascii="Arial" w:hAnsi="Arial" w:cs="Arial"/>
            </w:rPr>
            <w:fldChar w:fldCharType="end"/>
          </w:r>
        </w:sdtContent>
      </w:sdt>
      <w:r>
        <w:rPr>
          <w:rFonts w:ascii="Arial" w:hAnsi="Arial" w:cs="Arial"/>
        </w:rPr>
        <w:t xml:space="preserve">. Lead </w:t>
      </w:r>
      <w:proofErr w:type="spellStart"/>
      <w:r>
        <w:rPr>
          <w:rFonts w:ascii="Arial" w:hAnsi="Arial" w:cs="Arial"/>
        </w:rPr>
        <w:t>Azide’s</w:t>
      </w:r>
      <w:proofErr w:type="spellEnd"/>
      <w:r>
        <w:rPr>
          <w:rFonts w:ascii="Arial" w:hAnsi="Arial" w:cs="Arial"/>
        </w:rPr>
        <w:t xml:space="preserve"> ability to be used at a high density without being dead pressed makes it suitable for the use in detonators</w:t>
      </w:r>
      <w:sdt>
        <w:sdtPr>
          <w:rPr>
            <w:rFonts w:ascii="Arial" w:hAnsi="Arial" w:cs="Arial"/>
          </w:rPr>
          <w:id w:val="-1780953290"/>
          <w:citation/>
        </w:sdtPr>
        <w:sdtEndPr/>
        <w:sdtContent>
          <w:r>
            <w:rPr>
              <w:rFonts w:ascii="Arial" w:hAnsi="Arial" w:cs="Arial"/>
            </w:rPr>
            <w:fldChar w:fldCharType="begin"/>
          </w:r>
          <w:r>
            <w:rPr>
              <w:rFonts w:ascii="Arial" w:hAnsi="Arial" w:cs="Arial"/>
            </w:rPr>
            <w:instrText xml:space="preserve"> CITATION Mat13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[8]</w:t>
          </w:r>
          <w:r>
            <w:rPr>
              <w:rFonts w:ascii="Arial" w:hAnsi="Arial" w:cs="Arial"/>
            </w:rPr>
            <w:fldChar w:fldCharType="end"/>
          </w:r>
        </w:sdtContent>
      </w:sdt>
      <w:r>
        <w:rPr>
          <w:rFonts w:ascii="Arial" w:hAnsi="Arial" w:cs="Arial"/>
        </w:rPr>
        <w:t>.</w:t>
      </w:r>
    </w:p>
    <w:p w14:paraId="7B2992F7" w14:textId="77777777" w:rsidR="00AC40B3" w:rsidRDefault="00AC40B3" w:rsidP="00AC40B3">
      <w:pPr>
        <w:spacing w:line="360" w:lineRule="auto"/>
        <w:rPr>
          <w:rFonts w:ascii="Arial" w:hAnsi="Arial" w:cs="Arial"/>
        </w:rPr>
      </w:pPr>
      <w:r>
        <w:rPr>
          <w:rFonts w:ascii="Arial" w:hAnsi="Arial" w:cs="Arial"/>
        </w:rPr>
        <w:t xml:space="preserve">In comparison to mercury fulminate, another commonly used primary explosive, lead </w:t>
      </w:r>
      <w:proofErr w:type="spellStart"/>
      <w:r>
        <w:rPr>
          <w:rFonts w:ascii="Arial" w:hAnsi="Arial" w:cs="Arial"/>
        </w:rPr>
        <w:t>azide</w:t>
      </w:r>
      <w:proofErr w:type="spellEnd"/>
      <w:r>
        <w:rPr>
          <w:rFonts w:ascii="Arial" w:hAnsi="Arial" w:cs="Arial"/>
        </w:rPr>
        <w:t xml:space="preserve"> has a greater detonative effect and shelf life</w:t>
      </w:r>
      <w:sdt>
        <w:sdtPr>
          <w:rPr>
            <w:rFonts w:ascii="Arial" w:hAnsi="Arial" w:cs="Arial"/>
          </w:rPr>
          <w:id w:val="-1694377416"/>
          <w:citation/>
        </w:sdtPr>
        <w:sdtEndPr/>
        <w:sdtContent>
          <w:r>
            <w:rPr>
              <w:rFonts w:ascii="Arial" w:hAnsi="Arial" w:cs="Arial"/>
            </w:rPr>
            <w:fldChar w:fldCharType="begin"/>
          </w:r>
          <w:r>
            <w:rPr>
              <w:rFonts w:ascii="Arial" w:hAnsi="Arial" w:cs="Arial"/>
            </w:rPr>
            <w:instrText xml:space="preserve"> CITATION MOD20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[1]</w:t>
          </w:r>
          <w:r>
            <w:rPr>
              <w:rFonts w:ascii="Arial" w:hAnsi="Arial" w:cs="Arial"/>
            </w:rPr>
            <w:fldChar w:fldCharType="end"/>
          </w:r>
        </w:sdtContent>
      </w:sdt>
      <w:r>
        <w:rPr>
          <w:rFonts w:ascii="Arial" w:hAnsi="Arial" w:cs="Arial"/>
        </w:rPr>
        <w:t>.</w:t>
      </w:r>
      <w:r w:rsidRPr="00CE1BE7">
        <w:rPr>
          <w:rFonts w:ascii="Arial" w:hAnsi="Arial" w:cs="Arial"/>
        </w:rPr>
        <w:t xml:space="preserve"> </w:t>
      </w:r>
      <w:r>
        <w:rPr>
          <w:rFonts w:ascii="Arial" w:hAnsi="Arial" w:cs="Arial"/>
        </w:rPr>
        <w:t xml:space="preserve">The critical threshold stress for initiation to shock lead </w:t>
      </w:r>
      <w:proofErr w:type="spellStart"/>
      <w:r>
        <w:rPr>
          <w:rFonts w:ascii="Arial" w:hAnsi="Arial" w:cs="Arial"/>
        </w:rPr>
        <w:t>azide</w:t>
      </w:r>
      <w:proofErr w:type="spellEnd"/>
      <w:r>
        <w:rPr>
          <w:rFonts w:ascii="Arial" w:hAnsi="Arial" w:cs="Arial"/>
        </w:rPr>
        <w:t xml:space="preserve"> for full detonation is 0.5GPa</w:t>
      </w:r>
      <w:sdt>
        <w:sdtPr>
          <w:rPr>
            <w:rFonts w:ascii="Arial" w:hAnsi="Arial" w:cs="Arial"/>
          </w:rPr>
          <w:id w:val="-2057700471"/>
          <w:citation/>
        </w:sdtPr>
        <w:sdtEndPr/>
        <w:sdtContent>
          <w:r>
            <w:rPr>
              <w:rFonts w:ascii="Arial" w:hAnsi="Arial" w:cs="Arial"/>
            </w:rPr>
            <w:fldChar w:fldCharType="begin"/>
          </w:r>
          <w:r>
            <w:rPr>
              <w:rFonts w:ascii="Arial" w:hAnsi="Arial" w:cs="Arial"/>
            </w:rPr>
            <w:instrText xml:space="preserve"> CITATION Nei22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[9]</w:t>
          </w:r>
          <w:r>
            <w:rPr>
              <w:rFonts w:ascii="Arial" w:hAnsi="Arial" w:cs="Arial"/>
            </w:rPr>
            <w:fldChar w:fldCharType="end"/>
          </w:r>
        </w:sdtContent>
      </w:sdt>
      <w:r>
        <w:rPr>
          <w:rFonts w:ascii="Arial" w:hAnsi="Arial" w:cs="Arial"/>
        </w:rPr>
        <w:t xml:space="preserve">. Lead </w:t>
      </w:r>
      <w:proofErr w:type="spellStart"/>
      <w:r>
        <w:rPr>
          <w:rFonts w:ascii="Arial" w:hAnsi="Arial" w:cs="Arial"/>
        </w:rPr>
        <w:t>azide</w:t>
      </w:r>
      <w:proofErr w:type="spellEnd"/>
      <w:r>
        <w:rPr>
          <w:rFonts w:ascii="Arial" w:hAnsi="Arial" w:cs="Arial"/>
        </w:rPr>
        <w:t xml:space="preserve"> has been tested to determine the length of the detonation zone and shown there is a an unsteady detonation formed up to 3mm of the charge length was reached and the detonation becomes steady as the reaction wave catches up to the shock wave</w:t>
      </w:r>
      <w:sdt>
        <w:sdtPr>
          <w:rPr>
            <w:rFonts w:ascii="Arial" w:hAnsi="Arial" w:cs="Arial"/>
          </w:rPr>
          <w:id w:val="103541412"/>
          <w:citation/>
        </w:sdtPr>
        <w:sdtEndPr/>
        <w:sdtContent>
          <w:r>
            <w:rPr>
              <w:rFonts w:ascii="Arial" w:hAnsi="Arial" w:cs="Arial"/>
            </w:rPr>
            <w:fldChar w:fldCharType="begin"/>
          </w:r>
          <w:r>
            <w:rPr>
              <w:rFonts w:ascii="Arial" w:hAnsi="Arial" w:cs="Arial"/>
            </w:rPr>
            <w:instrText xml:space="preserve"> CITATION MuY22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[10]</w:t>
          </w:r>
          <w:r>
            <w:rPr>
              <w:rFonts w:ascii="Arial" w:hAnsi="Arial" w:cs="Arial"/>
            </w:rPr>
            <w:fldChar w:fldCharType="end"/>
          </w:r>
        </w:sdtContent>
      </w:sdt>
      <w:r>
        <w:rPr>
          <w:rFonts w:ascii="Arial" w:hAnsi="Arial" w:cs="Arial"/>
        </w:rPr>
        <w:t>.</w:t>
      </w:r>
    </w:p>
    <w:p w14:paraId="04F801E0" w14:textId="77777777" w:rsidR="00AC40B3" w:rsidRDefault="00AC40B3" w:rsidP="00AC40B3">
      <w:pPr>
        <w:spacing w:line="360" w:lineRule="auto"/>
        <w:rPr>
          <w:rFonts w:ascii="Arial" w:hAnsi="Arial" w:cs="Arial"/>
        </w:rPr>
      </w:pPr>
      <w:r>
        <w:rPr>
          <w:noProof/>
        </w:rPr>
        <mc:AlternateContent>
          <mc:Choice Requires="wps">
            <w:drawing>
              <wp:anchor distT="0" distB="0" distL="114300" distR="114300" simplePos="0" relativeHeight="251655680" behindDoc="1" locked="0" layoutInCell="1" allowOverlap="1" wp14:anchorId="4E66B292" wp14:editId="54DD6E05">
                <wp:simplePos x="0" y="0"/>
                <wp:positionH relativeFrom="column">
                  <wp:posOffset>0</wp:posOffset>
                </wp:positionH>
                <wp:positionV relativeFrom="paragraph">
                  <wp:posOffset>2940685</wp:posOffset>
                </wp:positionV>
                <wp:extent cx="4516120" cy="635"/>
                <wp:effectExtent l="0" t="0" r="0" b="0"/>
                <wp:wrapTight wrapText="bothSides">
                  <wp:wrapPolygon edited="0">
                    <wp:start x="0" y="0"/>
                    <wp:lineTo x="0" y="21600"/>
                    <wp:lineTo x="21600" y="21600"/>
                    <wp:lineTo x="21600" y="0"/>
                  </wp:wrapPolygon>
                </wp:wrapTight>
                <wp:docPr id="816085391" name="Text Box 1"/>
                <wp:cNvGraphicFramePr/>
                <a:graphic xmlns:a="http://schemas.openxmlformats.org/drawingml/2006/main">
                  <a:graphicData uri="http://schemas.microsoft.com/office/word/2010/wordprocessingShape">
                    <wps:wsp>
                      <wps:cNvSpPr txBox="1"/>
                      <wps:spPr>
                        <a:xfrm>
                          <a:off x="0" y="0"/>
                          <a:ext cx="4516120" cy="635"/>
                        </a:xfrm>
                        <a:prstGeom prst="rect">
                          <a:avLst/>
                        </a:prstGeom>
                        <a:solidFill>
                          <a:prstClr val="white"/>
                        </a:solidFill>
                        <a:ln>
                          <a:noFill/>
                        </a:ln>
                      </wps:spPr>
                      <wps:txbx>
                        <w:txbxContent>
                          <w:p w14:paraId="54857874" w14:textId="2DD46EE5" w:rsidR="00AC40B3" w:rsidRPr="00E478F1" w:rsidRDefault="00AC40B3" w:rsidP="00AC40B3">
                            <w:pPr>
                              <w:pStyle w:val="Caption"/>
                              <w:rPr>
                                <w:rFonts w:ascii="Calibri" w:eastAsia="Times New Roman" w:hAnsi="Calibri" w:cs="Calibri"/>
                                <w:noProof/>
                                <w:color w:val="000000"/>
                                <w:sz w:val="22"/>
                                <w:szCs w:val="22"/>
                              </w:rPr>
                            </w:pPr>
                            <w:r>
                              <w:t xml:space="preserve">Figure </w:t>
                            </w:r>
                            <w:fldSimple w:instr=" SEQ Figure \* ARABIC ">
                              <w:r w:rsidR="00C01267">
                                <w:rPr>
                                  <w:noProof/>
                                </w:rPr>
                                <w:t>3</w:t>
                              </w:r>
                            </w:fldSimple>
                            <w:r>
                              <w:t>-</w:t>
                            </w:r>
                            <w:r w:rsidRPr="0039084D">
                              <w:t>α</w:t>
                            </w:r>
                            <w:r>
                              <w:t xml:space="preserve"> form and </w:t>
                            </w:r>
                            <w:r w:rsidRPr="0039084D">
                              <w:t>β</w:t>
                            </w:r>
                            <w:r>
                              <w:t xml:space="preserve"> form of Lead </w:t>
                            </w:r>
                            <w:proofErr w:type="spellStart"/>
                            <w:r>
                              <w:t>Azide</w:t>
                            </w:r>
                            <w:proofErr w:type="spellEnd"/>
                            <w:sdt>
                              <w:sdtPr>
                                <w:id w:val="-561017925"/>
                                <w:citation/>
                              </w:sdtPr>
                              <w:sdtEndPr/>
                              <w:sdtContent>
                                <w:r>
                                  <w:fldChar w:fldCharType="begin"/>
                                </w:r>
                                <w:r>
                                  <w:instrText xml:space="preserve"> CITATION Mat13 \l 2057 </w:instrText>
                                </w:r>
                                <w:r>
                                  <w:fldChar w:fldCharType="separate"/>
                                </w:r>
                                <w:r>
                                  <w:rPr>
                                    <w:noProof/>
                                  </w:rPr>
                                  <w:t xml:space="preserve"> </w:t>
                                </w:r>
                                <w:r w:rsidRPr="0055124B">
                                  <w:rPr>
                                    <w:noProof/>
                                  </w:rPr>
                                  <w:t>[8]</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66B292" id="_x0000_s1027" type="#_x0000_t202" style="position:absolute;margin-left:0;margin-top:231.55pt;width:355.6pt;height:.0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" stroked="f">
                <v:textbox style="mso-fit-shape-to-text:t" inset="0,0,0,0">
                  <w:txbxContent>
                    <w:p w14:paraId="54857874" w14:textId="2DD46EE5" w:rsidR="00AC40B3" w:rsidRPr="00E478F1" w:rsidRDefault="00AC40B3" w:rsidP="00AC40B3">
                      <w:pPr>
                        <w:pStyle w:val="Caption"/>
                        <w:rPr>
                          <w:rFonts w:ascii="Calibri" w:eastAsia="Times New Roman" w:hAnsi="Calibri" w:cs="Calibri"/>
                          <w:noProof/>
                          <w:color w:val="000000"/>
                          <w:sz w:val="22"/>
                          <w:szCs w:val="22"/>
                        </w:rPr>
                      </w:pPr>
                      <w:r>
                        <w:t xml:space="preserve">Figure </w:t>
                      </w:r>
                      <w:fldSimple w:instr=" SEQ Figure \* ARABIC ">
                        <w:r w:rsidR="00C01267">
                          <w:rPr>
                            <w:noProof/>
                          </w:rPr>
                          <w:t>3</w:t>
                        </w:r>
                      </w:fldSimple>
                      <w:r>
                        <w:t>-</w:t>
                      </w:r>
                      <w:r w:rsidRPr="0039084D">
                        <w:t>α</w:t>
                      </w:r>
                      <w:r>
                        <w:t xml:space="preserve"> form and </w:t>
                      </w:r>
                      <w:r w:rsidRPr="0039084D">
                        <w:t>β</w:t>
                      </w:r>
                      <w:r>
                        <w:t xml:space="preserve"> form of Lead </w:t>
                      </w:r>
                      <w:proofErr w:type="spellStart"/>
                      <w:r>
                        <w:t>Azide</w:t>
                      </w:r>
                      <w:proofErr w:type="spellEnd"/>
                      <w:sdt>
                        <w:sdtPr>
                          <w:id w:val="-561017925"/>
                          <w:citation/>
                        </w:sdtPr>
                        <w:sdtEndPr/>
                        <w:sdtContent>
                          <w:r>
                            <w:fldChar w:fldCharType="begin"/>
                          </w:r>
                          <w:r>
                            <w:instrText xml:space="preserve"> CITATION Mat13 \l 2057 </w:instrText>
                          </w:r>
                          <w:r>
                            <w:fldChar w:fldCharType="separate"/>
                          </w:r>
                          <w:r>
                            <w:rPr>
                              <w:noProof/>
                            </w:rPr>
                            <w:t xml:space="preserve"> </w:t>
                          </w:r>
                          <w:r w:rsidRPr="0055124B">
                            <w:rPr>
                              <w:noProof/>
                            </w:rPr>
                            <w:t>[8]</w:t>
                          </w:r>
                          <w:r>
                            <w:fldChar w:fldCharType="end"/>
                          </w:r>
                        </w:sdtContent>
                      </w:sdt>
                    </w:p>
                  </w:txbxContent>
                </v:textbox>
                <w10:wrap type="tight"/>
              </v:shape>
            </w:pict>
          </mc:Fallback>
        </mc:AlternateContent>
      </w:r>
      <w:r>
        <w:rPr>
          <w:rFonts w:ascii="Arial" w:hAnsi="Arial" w:cs="Arial"/>
        </w:rPr>
        <w:t xml:space="preserve">Lead </w:t>
      </w:r>
      <w:proofErr w:type="spellStart"/>
      <w:r>
        <w:rPr>
          <w:rFonts w:ascii="Arial" w:hAnsi="Arial" w:cs="Arial"/>
        </w:rPr>
        <w:t>azide</w:t>
      </w:r>
      <w:proofErr w:type="spellEnd"/>
      <w:r>
        <w:rPr>
          <w:rFonts w:ascii="Arial" w:hAnsi="Arial" w:cs="Arial"/>
        </w:rPr>
        <w:t xml:space="preserve"> is mainly produced in two forms, alpha(</w:t>
      </w:r>
      <w:r w:rsidRPr="0039084D">
        <w:t>α</w:t>
      </w:r>
      <w:r>
        <w:rPr>
          <w:rFonts w:ascii="Arial" w:hAnsi="Arial" w:cs="Arial"/>
        </w:rPr>
        <w:t>)- orthorhombic and beta(</w:t>
      </w:r>
      <w:r w:rsidRPr="0039084D">
        <w:t>β</w:t>
      </w:r>
      <w:r>
        <w:t>)</w:t>
      </w:r>
      <w:r>
        <w:rPr>
          <w:rFonts w:ascii="Arial" w:hAnsi="Arial" w:cs="Arial"/>
        </w:rPr>
        <w:t xml:space="preserve"> - monoclinic with the alpha form used for technical applications as it is the most stable formation</w:t>
      </w:r>
      <w:sdt>
        <w:sdtPr>
          <w:rPr>
            <w:rFonts w:ascii="Arial" w:hAnsi="Arial" w:cs="Arial"/>
          </w:rPr>
          <w:id w:val="-586923129"/>
          <w:citation/>
        </w:sdtPr>
        <w:sdtEndPr/>
        <w:sdtContent>
          <w:r>
            <w:rPr>
              <w:rFonts w:ascii="Arial" w:hAnsi="Arial" w:cs="Arial"/>
            </w:rPr>
            <w:fldChar w:fldCharType="begin"/>
          </w:r>
          <w:r>
            <w:rPr>
              <w:rFonts w:ascii="Arial" w:hAnsi="Arial" w:cs="Arial"/>
            </w:rPr>
            <w:instrText xml:space="preserve"> CITATION Mat13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[8]</w:t>
          </w:r>
          <w:r>
            <w:rPr>
              <w:rFonts w:ascii="Arial" w:hAnsi="Arial" w:cs="Arial"/>
            </w:rPr>
            <w:fldChar w:fldCharType="end"/>
          </w:r>
        </w:sdtContent>
      </w:sdt>
      <w:r>
        <w:rPr>
          <w:rFonts w:ascii="Arial" w:hAnsi="Arial" w:cs="Arial"/>
        </w:rPr>
        <w:t xml:space="preserve">. Pure lead </w:t>
      </w:r>
      <w:proofErr w:type="spellStart"/>
      <w:r>
        <w:rPr>
          <w:rFonts w:ascii="Arial" w:hAnsi="Arial" w:cs="Arial"/>
        </w:rPr>
        <w:t>azide</w:t>
      </w:r>
      <w:proofErr w:type="spellEnd"/>
      <w:r>
        <w:rPr>
          <w:rFonts w:ascii="Arial" w:hAnsi="Arial" w:cs="Arial"/>
        </w:rPr>
        <w:t xml:space="preserve"> has a high ignition temperature of 330</w:t>
      </w:r>
      <w:r w:rsidRPr="00852F18">
        <w:rPr>
          <w:rFonts w:ascii="Arial" w:hAnsi="Arial" w:cs="Arial"/>
        </w:rPr>
        <w:t>°</w:t>
      </w:r>
      <w:r>
        <w:rPr>
          <w:rFonts w:ascii="Arial" w:hAnsi="Arial" w:cs="Arial"/>
        </w:rPr>
        <w:t>C</w:t>
      </w:r>
      <w:r w:rsidRPr="001529A6">
        <w:rPr>
          <w:rFonts w:ascii="Arial" w:hAnsi="Arial" w:cs="Arial"/>
          <w:color w:val="FF0000"/>
        </w:rPr>
        <w:t xml:space="preserve"> </w:t>
      </w:r>
      <w:r>
        <w:rPr>
          <w:rFonts w:ascii="Arial" w:hAnsi="Arial" w:cs="Arial"/>
        </w:rPr>
        <w:t>and a high thermal stability</w:t>
      </w:r>
      <w:sdt>
        <w:sdtPr>
          <w:rPr>
            <w:rFonts w:ascii="Arial" w:hAnsi="Arial" w:cs="Arial"/>
          </w:rPr>
          <w:id w:val="740841643"/>
          <w:citation/>
        </w:sdtPr>
        <w:sdtEndPr/>
        <w:sdtContent>
          <w:r>
            <w:rPr>
              <w:rFonts w:ascii="Arial" w:hAnsi="Arial" w:cs="Arial"/>
            </w:rPr>
            <w:fldChar w:fldCharType="begin"/>
          </w:r>
          <w:r>
            <w:rPr>
              <w:rFonts w:ascii="Arial" w:hAnsi="Arial" w:cs="Arial"/>
            </w:rPr>
            <w:instrText xml:space="preserve"> CITATION Mat13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[8]</w:t>
          </w:r>
          <w:r>
            <w:rPr>
              <w:rFonts w:ascii="Arial" w:hAnsi="Arial" w:cs="Arial"/>
            </w:rPr>
            <w:fldChar w:fldCharType="end"/>
          </w:r>
        </w:sdtContent>
      </w:sdt>
      <w:r>
        <w:rPr>
          <w:rFonts w:ascii="Arial" w:hAnsi="Arial" w:cs="Arial"/>
        </w:rPr>
        <w:t>. However, in the production of the alpha formation it is possible for other forms to be present, causing the substance to be more sensitive and unstable and therefore must be destroyed</w:t>
      </w:r>
      <w:sdt>
        <w:sdtPr>
          <w:rPr>
            <w:rFonts w:ascii="Arial" w:hAnsi="Arial" w:cs="Arial"/>
          </w:rPr>
          <w:id w:val="-1758667487"/>
          <w:citation/>
        </w:sdtPr>
        <w:sdtEndPr/>
        <w:sdtContent>
          <w:r>
            <w:rPr>
              <w:rFonts w:ascii="Arial" w:hAnsi="Arial" w:cs="Arial"/>
            </w:rPr>
            <w:fldChar w:fldCharType="begin"/>
          </w:r>
          <w:r>
            <w:rPr>
              <w:rFonts w:ascii="Arial" w:hAnsi="Arial" w:cs="Arial"/>
            </w:rPr>
            <w:instrText xml:space="preserve"> CITATION Mat13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[8]</w:t>
          </w:r>
          <w:r>
            <w:rPr>
              <w:rFonts w:ascii="Arial" w:hAnsi="Arial" w:cs="Arial"/>
            </w:rPr>
            <w:fldChar w:fldCharType="end"/>
          </w:r>
        </w:sdtContent>
      </w:sdt>
      <w:r>
        <w:rPr>
          <w:rFonts w:ascii="Arial" w:hAnsi="Arial" w:cs="Arial"/>
        </w:rPr>
        <w:t xml:space="preserve">. </w:t>
      </w:r>
    </w:p>
    <w:p w14:paraId="0D49419C" w14:textId="77777777" w:rsidR="00AC40B3" w:rsidRDefault="00AC40B3" w:rsidP="1F2AB047">
      <w:pPr>
        <w:spacing w:line="360" w:lineRule="auto"/>
        <w:rPr>
          <w:rFonts w:ascii="Arial" w:hAnsi="Arial" w:cs="Arial"/>
        </w:rPr>
      </w:pPr>
      <w:r>
        <w:rPr>
          <w:rFonts w:ascii="Calibri" w:eastAsia="Times New Roman" w:hAnsi="Calibri" w:cs="Calibri"/>
          <w:noProof/>
          <w:color w:val="000000"/>
        </w:rPr>
        <w:drawing>
          <wp:anchor distT="0" distB="0" distL="114300" distR="114300" simplePos="0" relativeHeight="251652608" behindDoc="1" locked="0" layoutInCell="1" allowOverlap="1" wp14:anchorId="4DD28DA2" wp14:editId="21905532">
            <wp:simplePos x="0" y="0"/>
            <wp:positionH relativeFrom="margin">
              <wp:align>left</wp:align>
            </wp:positionH>
            <wp:positionV relativeFrom="paragraph">
              <wp:posOffset>6896</wp:posOffset>
            </wp:positionV>
            <wp:extent cx="4516341" cy="1569661"/>
            <wp:effectExtent l="0" t="0" r="0" b="0"/>
            <wp:wrapTight wrapText="bothSides">
              <wp:wrapPolygon edited="0">
                <wp:start x="0" y="0"/>
                <wp:lineTo x="0" y="21242"/>
                <wp:lineTo x="21503" y="21242"/>
                <wp:lineTo x="21503" y="0"/>
                <wp:lineTo x="0" y="0"/>
              </wp:wrapPolygon>
            </wp:wrapTight>
            <wp:docPr id="1671579576" name="Picture 10" descr="A close-up of a micro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579576" name="Picture 10" descr="A close-up of a microscope"/>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4516341" cy="1569661"/>
                    </a:xfrm>
                    <a:prstGeom prst="rect">
                      <a:avLst/>
                    </a:prstGeom>
                    <a:noFill/>
                    <a:ln>
                      <a:noFill/>
                    </a:ln>
                  </pic:spPr>
                </pic:pic>
              </a:graphicData>
            </a:graphic>
          </wp:anchor>
        </w:drawing>
      </w:r>
    </w:p>
    <w:p w14:paraId="7BD68CB2" w14:textId="77777777" w:rsidR="00997A66" w:rsidRDefault="00997A66">
      <w:pPr>
        <w:rPr>
          <w:rFonts w:ascii="Arial" w:hAnsi="Arial" w:cs="Arial"/>
        </w:rPr>
      </w:pPr>
    </w:p>
    <w:p w14:paraId="5499B47C" w14:textId="77777777" w:rsidR="0052468E" w:rsidRPr="00BE725F" w:rsidRDefault="0052468E" w:rsidP="0052468E">
      <w:pPr>
        <w:pStyle w:val="Heading2"/>
      </w:pPr>
      <w:bookmarkStart w:id="8" w:name="_Toc216714095"/>
      <w:r>
        <w:lastRenderedPageBreak/>
        <w:t>Trinitrotoluene</w:t>
      </w:r>
      <w:bookmarkEnd w:id="8"/>
    </w:p>
    <w:p w14:paraId="27ADE518" w14:textId="77777777" w:rsidR="0052468E" w:rsidRDefault="0052468E" w:rsidP="0052468E">
      <w:pPr>
        <w:spacing w:line="360" w:lineRule="auto"/>
        <w:rPr>
          <w:rFonts w:ascii="Arial" w:hAnsi="Arial" w:cs="Arial"/>
        </w:rPr>
      </w:pPr>
      <w:r>
        <w:rPr>
          <w:rFonts w:ascii="Arial" w:hAnsi="Arial" w:cs="Arial"/>
        </w:rPr>
        <w:t>TNT (Trinitrotoluene) is a secondary explosive and contains nitrogen, carbon, oxygen and hydrogen. TNT is easily manufactured through the nitration of toluene with nitric acid and sulfuric followed by purifications</w:t>
      </w:r>
      <w:sdt>
        <w:sdtPr>
          <w:rPr>
            <w:rFonts w:ascii="Arial" w:hAnsi="Arial" w:cs="Arial"/>
          </w:rPr>
          <w:id w:val="1157878122"/>
          <w:citation/>
        </w:sdtPr>
        <w:sdtEndPr/>
        <w:sdtContent>
          <w:r>
            <w:rPr>
              <w:rFonts w:ascii="Arial" w:hAnsi="Arial" w:cs="Arial"/>
            </w:rPr>
            <w:fldChar w:fldCharType="begin"/>
          </w:r>
          <w:r>
            <w:rPr>
              <w:rFonts w:ascii="Arial" w:hAnsi="Arial" w:cs="Arial"/>
            </w:rPr>
            <w:instrText xml:space="preserve"> CITATION Hil72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[11]</w:t>
          </w:r>
          <w:r>
            <w:rPr>
              <w:rFonts w:ascii="Arial" w:hAnsi="Arial" w:cs="Arial"/>
            </w:rPr>
            <w:fldChar w:fldCharType="end"/>
          </w:r>
        </w:sdtContent>
      </w:sdt>
      <w:r>
        <w:rPr>
          <w:rFonts w:ascii="Arial" w:hAnsi="Arial" w:cs="Arial"/>
        </w:rPr>
        <w:t>. It is used as the main charge in the explosive train, often in mixtures, to produce effects such as blast and fragmentation.</w:t>
      </w:r>
    </w:p>
    <w:p w14:paraId="553AA0B6" w14:textId="77777777" w:rsidR="0052468E" w:rsidRDefault="0052468E" w:rsidP="0052468E">
      <w:pPr>
        <w:keepNext/>
      </w:pPr>
      <w:r>
        <w:rPr>
          <w:rFonts w:ascii="Arial" w:hAnsi="Arial" w:cs="Arial"/>
          <w:noProof/>
          <w14:ligatures w14:val="standardContextual"/>
        </w:rPr>
        <w:drawing>
          <wp:inline distT="0" distB="0" distL="0" distR="0" wp14:anchorId="28347F46" wp14:editId="01036E36">
            <wp:extent cx="3141552" cy="2625588"/>
            <wp:effectExtent l="0" t="0" r="1905" b="3810"/>
            <wp:docPr id="172865635" name="Picture 6" descr="A diagram of a chemical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65635" name="Picture 6" descr="A diagram of a chemical proces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147937" cy="2630924"/>
                    </a:xfrm>
                    <a:prstGeom prst="rect">
                      <a:avLst/>
                    </a:prstGeom>
                  </pic:spPr>
                </pic:pic>
              </a:graphicData>
            </a:graphic>
          </wp:inline>
        </w:drawing>
      </w:r>
    </w:p>
    <w:p w14:paraId="45343B89" w14:textId="4E98BB6E" w:rsidR="0052468E" w:rsidRPr="00532859" w:rsidRDefault="0052468E" w:rsidP="0052468E">
      <w:pPr>
        <w:pStyle w:val="Caption"/>
      </w:pPr>
      <w:r>
        <w:t xml:space="preserve">Figure </w:t>
      </w:r>
      <w:fldSimple w:instr=" SEQ Figure \* ARABIC ">
        <w:r w:rsidR="00C01267">
          <w:rPr>
            <w:noProof/>
          </w:rPr>
          <w:t>4</w:t>
        </w:r>
      </w:fldSimple>
      <w:r>
        <w:t>- Process of nitration of Toluene to produce TNT</w:t>
      </w:r>
      <w:sdt>
        <w:sdtPr>
          <w:id w:val="-1175344598"/>
          <w:citation/>
        </w:sdtPr>
        <w:sdtEndPr/>
        <w:sdtContent>
          <w:r>
            <w:fldChar w:fldCharType="begin"/>
          </w:r>
          <w:r>
            <w:instrText xml:space="preserve"> CITATION Hil72 \l 2057 </w:instrText>
          </w:r>
          <w:r>
            <w:fldChar w:fldCharType="separate"/>
          </w:r>
          <w:r>
            <w:rPr>
              <w:noProof/>
            </w:rPr>
            <w:t xml:space="preserve"> </w:t>
          </w:r>
          <w:r w:rsidRPr="0055124B">
            <w:rPr>
              <w:noProof/>
            </w:rPr>
            <w:t>[11]</w:t>
          </w:r>
          <w:r>
            <w:fldChar w:fldCharType="end"/>
          </w:r>
        </w:sdtContent>
      </w:sdt>
    </w:p>
    <w:p w14:paraId="7FDCD34D" w14:textId="77777777" w:rsidR="0052468E" w:rsidRDefault="0052468E" w:rsidP="0052468E">
      <w:pPr>
        <w:spacing w:line="360" w:lineRule="auto"/>
        <w:rPr>
          <w:rFonts w:ascii="Arial" w:hAnsi="Arial" w:cs="Arial"/>
        </w:rPr>
      </w:pPr>
      <w:r>
        <w:rPr>
          <w:rFonts w:ascii="Arial" w:hAnsi="Arial" w:cs="Arial"/>
        </w:rPr>
        <w:t>TNT is a widely used energetic compound due to the ease of manufacture and ability to be used in mixtures for ammunition fill. It has a melting temperature between 80-82 degrees Celsius allowing it be cast filled in munitions such as mortars, grenades and warheads</w:t>
      </w:r>
      <w:sdt>
        <w:sdtPr>
          <w:rPr>
            <w:rFonts w:ascii="Arial" w:hAnsi="Arial" w:cs="Arial"/>
          </w:rPr>
          <w:id w:val="639464653"/>
          <w:citation/>
        </w:sdtPr>
        <w:sdtEndPr/>
        <w:sdtContent>
          <w:r>
            <w:rPr>
              <w:rFonts w:ascii="Arial" w:hAnsi="Arial" w:cs="Arial"/>
            </w:rPr>
            <w:fldChar w:fldCharType="begin"/>
          </w:r>
          <w:r>
            <w:rPr>
              <w:rFonts w:ascii="Arial" w:hAnsi="Arial" w:cs="Arial"/>
            </w:rPr>
            <w:instrText xml:space="preserve"> CITATION Tal22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[12]</w:t>
          </w:r>
          <w:r>
            <w:rPr>
              <w:rFonts w:ascii="Arial" w:hAnsi="Arial" w:cs="Arial"/>
            </w:rPr>
            <w:fldChar w:fldCharType="end"/>
          </w:r>
        </w:sdtContent>
      </w:sdt>
      <w:r>
        <w:rPr>
          <w:rFonts w:ascii="Arial" w:hAnsi="Arial" w:cs="Arial"/>
        </w:rPr>
        <w:t xml:space="preserve"> The density and critical diameter of TNT varies with the method of manufacture such as compaction ,cast and pressed charges shown below </w:t>
      </w:r>
      <w:sdt>
        <w:sdtPr>
          <w:rPr>
            <w:rFonts w:ascii="Arial" w:hAnsi="Arial" w:cs="Arial"/>
          </w:rPr>
          <w:id w:val="-247889302"/>
          <w:citation/>
        </w:sdtPr>
        <w:sdtEndPr/>
        <w:sdtContent>
          <w:r>
            <w:rPr>
              <w:rFonts w:ascii="Arial" w:hAnsi="Arial" w:cs="Arial"/>
            </w:rPr>
            <w:fldChar w:fldCharType="begin"/>
          </w:r>
          <w:r>
            <w:rPr>
              <w:rFonts w:ascii="Arial" w:hAnsi="Arial" w:cs="Arial"/>
            </w:rPr>
            <w:instrText xml:space="preserve"> CITATION Gib23 \l 2057 </w:instrText>
          </w:r>
          <w:r>
            <w:rPr>
              <w:rFonts w:ascii="Arial" w:hAnsi="Arial" w:cs="Arial"/>
            </w:rPr>
            <w:fldChar w:fldCharType="separate"/>
          </w:r>
          <w:r w:rsidRPr="0055124B">
            <w:rPr>
              <w:rFonts w:ascii="Arial" w:hAnsi="Arial" w:cs="Arial"/>
              <w:noProof/>
            </w:rPr>
            <w:t>[13]</w:t>
          </w:r>
          <w:r>
            <w:rPr>
              <w:rFonts w:ascii="Arial" w:hAnsi="Arial" w:cs="Arial"/>
            </w:rPr>
            <w:fldChar w:fldCharType="end"/>
          </w:r>
        </w:sdtContent>
      </w:sdt>
      <w:r>
        <w:rPr>
          <w:rFonts w:ascii="Arial" w:hAnsi="Arial" w:cs="Arial"/>
        </w:rPr>
        <w:t>.</w:t>
      </w:r>
    </w:p>
    <w:p w14:paraId="55A33DB0" w14:textId="77777777" w:rsidR="0052468E" w:rsidRDefault="0052468E" w:rsidP="0052468E">
      <w:pPr>
        <w:keepNext/>
      </w:pPr>
      <w:r>
        <w:rPr>
          <w:rFonts w:ascii="Arial" w:hAnsi="Arial" w:cs="Arial"/>
          <w:noProof/>
          <w14:ligatures w14:val="standardContextual"/>
        </w:rPr>
        <w:drawing>
          <wp:inline distT="0" distB="0" distL="0" distR="0" wp14:anchorId="7BA7AF8E" wp14:editId="6B06E5A7">
            <wp:extent cx="4038808" cy="1212912"/>
            <wp:effectExtent l="0" t="0" r="0" b="6350"/>
            <wp:docPr id="518128330" name="Picture 5" descr="A close-up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128330" name="Picture 5" descr="A close-up of a table&#10;&#10;AI-generated content may be incorrect."/>
                    <pic:cNvPicPr/>
                  </pic:nvPicPr>
                  <pic:blipFill rotWithShape="1">
                    <a:blip r:embed="rId13">
                      <a:extLst>
                        <a:ext uri="{28A0092B-C50C-407E-A947-70E740481C1C}">
                          <a14:useLocalDpi xmlns:a14="http://schemas.microsoft.com/office/drawing/2010/main" val="0"/>
                        </a:ext>
                      </a:extLst>
                    </a:blip>
                    <a:srcRect l="-697" t="-9279" r="697" b="9279"/>
                    <a:stretch>
                      <a:fillRect/>
                    </a:stretch>
                  </pic:blipFill>
                  <pic:spPr>
                    <a:xfrm>
                      <a:off x="0" y="0"/>
                      <a:ext cx="4038808" cy="1212912"/>
                    </a:xfrm>
                    <a:prstGeom prst="rect">
                      <a:avLst/>
                    </a:prstGeom>
                  </pic:spPr>
                </pic:pic>
              </a:graphicData>
            </a:graphic>
          </wp:inline>
        </w:drawing>
      </w:r>
    </w:p>
    <w:p w14:paraId="72826792" w14:textId="22B1047E" w:rsidR="0052468E" w:rsidRDefault="0052468E" w:rsidP="0052468E">
      <w:pPr>
        <w:pStyle w:val="Caption"/>
        <w:rPr>
          <w:rFonts w:ascii="Arial" w:hAnsi="Arial" w:cs="Arial"/>
        </w:rPr>
      </w:pPr>
      <w:r>
        <w:t xml:space="preserve">Figure </w:t>
      </w:r>
      <w:fldSimple w:instr=" SEQ Figure \* ARABIC ">
        <w:r w:rsidR="00C01267">
          <w:rPr>
            <w:noProof/>
          </w:rPr>
          <w:t>5</w:t>
        </w:r>
      </w:fldSimple>
      <w:r>
        <w:t xml:space="preserve"> -Charge density's, detonation velocities and critical diameter of unconfined TNT cylindrical charges</w:t>
      </w:r>
      <w:sdt>
        <w:sdtPr>
          <w:id w:val="1976570753"/>
          <w:citation/>
        </w:sdtPr>
        <w:sdtEndPr/>
        <w:sdtContent>
          <w:r>
            <w:fldChar w:fldCharType="begin"/>
          </w:r>
          <w:r>
            <w:instrText xml:space="preserve"> CITATION Gib23 \l 2057 </w:instrText>
          </w:r>
          <w:r>
            <w:fldChar w:fldCharType="separate"/>
          </w:r>
          <w:r>
            <w:rPr>
              <w:noProof/>
            </w:rPr>
            <w:t xml:space="preserve"> </w:t>
          </w:r>
          <w:r w:rsidRPr="0055124B">
            <w:rPr>
              <w:noProof/>
            </w:rPr>
            <w:t>[13]</w:t>
          </w:r>
          <w:r>
            <w:fldChar w:fldCharType="end"/>
          </w:r>
        </w:sdtContent>
      </w:sdt>
    </w:p>
    <w:p w14:paraId="0FCC35B1" w14:textId="77777777" w:rsidR="0052468E" w:rsidRDefault="0052468E" w:rsidP="0052468E">
      <w:pPr>
        <w:spacing w:line="360" w:lineRule="auto"/>
        <w:rPr>
          <w:rFonts w:ascii="Arial" w:hAnsi="Arial" w:cs="Arial"/>
        </w:rPr>
      </w:pPr>
      <w:r>
        <w:rPr>
          <w:rFonts w:ascii="Arial" w:hAnsi="Arial" w:cs="Arial"/>
        </w:rPr>
        <w:t xml:space="preserve">The table shows TNT has the smallest critical diameter of 2.6mm in the pressed form and the highest detonation velocity in this form </w:t>
      </w:r>
      <w:r w:rsidRPr="00CE1BE7">
        <w:rPr>
          <w:rFonts w:ascii="Arial" w:hAnsi="Arial" w:cs="Arial"/>
        </w:rPr>
        <w:t>at 7.045mm/</w:t>
      </w:r>
      <w:proofErr w:type="spellStart"/>
      <w:r w:rsidRPr="00CE1BE7">
        <w:rPr>
          <w:rFonts w:ascii="Arial" w:hAnsi="Arial" w:cs="Arial"/>
        </w:rPr>
        <w:t>μs</w:t>
      </w:r>
      <w:proofErr w:type="spellEnd"/>
      <w:r w:rsidRPr="00CE1BE7">
        <w:rPr>
          <w:rFonts w:ascii="Arial" w:hAnsi="Arial" w:cs="Arial"/>
        </w:rPr>
        <w:t>.</w:t>
      </w:r>
      <w:r>
        <w:rPr>
          <w:rFonts w:ascii="Arial" w:hAnsi="Arial" w:cs="Arial"/>
        </w:rPr>
        <w:t xml:space="preserve"> As TNT is a secondary explosive it requires a much more powerful stimulus to initiate than lead </w:t>
      </w:r>
      <w:proofErr w:type="spellStart"/>
      <w:r>
        <w:rPr>
          <w:rFonts w:ascii="Arial" w:hAnsi="Arial" w:cs="Arial"/>
        </w:rPr>
        <w:t>azide</w:t>
      </w:r>
      <w:proofErr w:type="spellEnd"/>
      <w:r>
        <w:rPr>
          <w:rFonts w:ascii="Arial" w:hAnsi="Arial" w:cs="Arial"/>
        </w:rPr>
        <w:t xml:space="preserve">, often from a detonator or a </w:t>
      </w:r>
      <w:proofErr w:type="spellStart"/>
      <w:r>
        <w:rPr>
          <w:rFonts w:ascii="Arial" w:hAnsi="Arial" w:cs="Arial"/>
        </w:rPr>
        <w:t>fuze</w:t>
      </w:r>
      <w:proofErr w:type="spellEnd"/>
      <w:r>
        <w:rPr>
          <w:rFonts w:ascii="Arial" w:hAnsi="Arial" w:cs="Arial"/>
        </w:rPr>
        <w:t xml:space="preserve"> in an artillery shell. With large quantities of </w:t>
      </w:r>
      <w:proofErr w:type="gramStart"/>
      <w:r>
        <w:rPr>
          <w:rFonts w:ascii="Arial" w:hAnsi="Arial" w:cs="Arial"/>
        </w:rPr>
        <w:t>TNT</w:t>
      </w:r>
      <w:proofErr w:type="gramEnd"/>
      <w:r>
        <w:rPr>
          <w:rFonts w:ascii="Arial" w:hAnsi="Arial" w:cs="Arial"/>
        </w:rPr>
        <w:t xml:space="preserve"> a booster is also used to provide energy for complete detonation. </w:t>
      </w:r>
    </w:p>
    <w:p w14:paraId="507CFDD4" w14:textId="77777777" w:rsidR="0067013E" w:rsidRDefault="0067013E">
      <w:pPr>
        <w:rPr>
          <w:rFonts w:ascii="Arial" w:hAnsi="Arial" w:cs="Arial"/>
        </w:rPr>
      </w:pPr>
    </w:p>
    <w:p w14:paraId="03FBE074" w14:textId="77777777" w:rsidR="006311E0" w:rsidRDefault="006311E0" w:rsidP="006311E0">
      <w:pPr>
        <w:spacing w:line="360" w:lineRule="auto"/>
        <w:rPr>
          <w:rFonts w:ascii="Arial" w:hAnsi="Arial" w:cs="Arial"/>
        </w:rPr>
      </w:pPr>
      <w:r>
        <w:rPr>
          <w:rFonts w:ascii="Arial" w:hAnsi="Arial" w:cs="Arial"/>
        </w:rPr>
        <w:lastRenderedPageBreak/>
        <w:t>TNT has a negative oxygen balance of -73.96% therefore produces carbon, water and carbon monoxide as products of reaction</w:t>
      </w:r>
      <w:sdt>
        <w:sdtPr>
          <w:rPr>
            <w:rFonts w:ascii="Arial" w:hAnsi="Arial" w:cs="Arial"/>
          </w:rPr>
          <w:id w:val="1903089469"/>
          <w:citation/>
        </w:sdtPr>
        <w:sdtEndPr/>
        <w:sdtContent>
          <w:r>
            <w:rPr>
              <w:rFonts w:ascii="Arial" w:hAnsi="Arial" w:cs="Arial"/>
            </w:rPr>
            <w:fldChar w:fldCharType="begin"/>
          </w:r>
          <w:r>
            <w:rPr>
              <w:rFonts w:ascii="Arial" w:hAnsi="Arial" w:cs="Arial"/>
            </w:rPr>
            <w:instrText xml:space="preserve"> CITATION MOD20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[1]</w:t>
          </w:r>
          <w:r>
            <w:rPr>
              <w:rFonts w:ascii="Arial" w:hAnsi="Arial" w:cs="Arial"/>
            </w:rPr>
            <w:fldChar w:fldCharType="end"/>
          </w:r>
        </w:sdtContent>
      </w:sdt>
      <w:r>
        <w:rPr>
          <w:rFonts w:ascii="Arial" w:hAnsi="Arial" w:cs="Arial"/>
        </w:rPr>
        <w:t xml:space="preserve">.  The products of the decomposition of an explosive can be found using Kistiakowsky-Wilson Rules. </w:t>
      </w:r>
    </w:p>
    <w:p w14:paraId="70DE7B4F" w14:textId="77777777" w:rsidR="006311E0" w:rsidRDefault="006311E0" w:rsidP="006311E0">
      <w:pPr>
        <w:spacing w:line="360" w:lineRule="auto"/>
        <w:rPr>
          <w:rFonts w:ascii="Arial" w:hAnsi="Arial" w:cs="Arial"/>
        </w:rPr>
      </w:pPr>
      <w:r>
        <w:rPr>
          <w:rFonts w:ascii="Arial" w:hAnsi="Arial" w:cs="Arial"/>
        </w:rPr>
        <w:t xml:space="preserve">The production process of TNT involves the addition of </w:t>
      </w:r>
      <w:proofErr w:type="spellStart"/>
      <w:r>
        <w:rPr>
          <w:rFonts w:ascii="Arial" w:hAnsi="Arial" w:cs="Arial"/>
        </w:rPr>
        <w:t>hexanitrostilbene</w:t>
      </w:r>
      <w:proofErr w:type="spellEnd"/>
      <w:r>
        <w:rPr>
          <w:rFonts w:ascii="Arial" w:hAnsi="Arial" w:cs="Arial"/>
        </w:rPr>
        <w:t xml:space="preserve"> (HNS) to ensure crystals are random and interlocking. Adding HMX increases the resistance to cracking of the TNT, reducing the possibility of ignition through adiabatic compression</w:t>
      </w:r>
      <w:sdt>
        <w:sdtPr>
          <w:rPr>
            <w:rFonts w:ascii="Arial" w:hAnsi="Arial" w:cs="Arial"/>
          </w:rPr>
          <w:id w:val="-617226284"/>
          <w:citation/>
        </w:sdtPr>
        <w:sdtEndPr/>
        <w:sdtContent>
          <w:r>
            <w:rPr>
              <w:rFonts w:ascii="Arial" w:hAnsi="Arial" w:cs="Arial"/>
            </w:rPr>
            <w:fldChar w:fldCharType="begin"/>
          </w:r>
          <w:r>
            <w:rPr>
              <w:rFonts w:ascii="Arial" w:hAnsi="Arial" w:cs="Arial"/>
            </w:rPr>
            <w:instrText xml:space="preserve"> CITATION MOD20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[1]</w:t>
          </w:r>
          <w:r>
            <w:rPr>
              <w:rFonts w:ascii="Arial" w:hAnsi="Arial" w:cs="Arial"/>
            </w:rPr>
            <w:fldChar w:fldCharType="end"/>
          </w:r>
        </w:sdtContent>
      </w:sdt>
      <w:r>
        <w:rPr>
          <w:rFonts w:ascii="Arial" w:hAnsi="Arial" w:cs="Arial"/>
        </w:rPr>
        <w:t>.</w:t>
      </w:r>
    </w:p>
    <w:p w14:paraId="222D763E" w14:textId="77777777" w:rsidR="006311E0" w:rsidRDefault="006311E0" w:rsidP="006311E0">
      <w:pPr>
        <w:keepNext/>
        <w:spacing w:line="360" w:lineRule="auto"/>
      </w:pPr>
      <w:r>
        <w:rPr>
          <w:rFonts w:ascii="Calibri" w:eastAsia="Times New Roman" w:hAnsi="Calibri" w:cs="Calibri"/>
          <w:noProof/>
          <w:color w:val="000000"/>
        </w:rPr>
        <w:drawing>
          <wp:inline distT="0" distB="0" distL="0" distR="0" wp14:anchorId="4E075D93" wp14:editId="0B9D9F28">
            <wp:extent cx="5731510" cy="2011680"/>
            <wp:effectExtent l="0" t="0" r="2540" b="7620"/>
            <wp:docPr id="919721835" name="Picture 11" descr="A collage of images of pla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721835" name="Picture 11" descr="A collage of images of plants&#10;&#10;AI-generated content may be incorrect."/>
                    <pic:cNvPicPr>
                      <a:picLocks noChangeAspect="1" noChangeArrowheads="1"/>
                    </pic:cNvPicPr>
                  </pic:nvPicPr>
                  <pic:blipFill rotWithShape="1">
                    <a:blip r:embed="rId14" r:link="rId15">
                      <a:extLst>
                        <a:ext uri="{28A0092B-C50C-407E-A947-70E740481C1C}">
                          <a14:useLocalDpi xmlns:a14="http://schemas.microsoft.com/office/drawing/2010/main" val="0"/>
                        </a:ext>
                      </a:extLst>
                    </a:blip>
                    <a:srcRect b="15879"/>
                    <a:stretch>
                      <a:fillRect/>
                    </a:stretch>
                  </pic:blipFill>
                  <pic:spPr bwMode="auto">
                    <a:xfrm>
                      <a:off x="0" y="0"/>
                      <a:ext cx="5731510" cy="2011680"/>
                    </a:xfrm>
                    <a:prstGeom prst="rect">
                      <a:avLst/>
                    </a:prstGeom>
                    <a:noFill/>
                    <a:ln>
                      <a:noFill/>
                    </a:ln>
                    <a:extLst>
                      <a:ext uri="{53640926-AAD7-44D8-BBD7-CCE9431645EC}">
                        <a14:shadowObscured xmlns:a14="http://schemas.microsoft.com/office/drawing/2010/main"/>
                      </a:ext>
                    </a:extLst>
                  </pic:spPr>
                </pic:pic>
              </a:graphicData>
            </a:graphic>
          </wp:inline>
        </w:drawing>
      </w:r>
    </w:p>
    <w:p w14:paraId="451DFBC5" w14:textId="3E2D13FD" w:rsidR="006311E0" w:rsidRDefault="006311E0" w:rsidP="006311E0">
      <w:pPr>
        <w:pStyle w:val="Caption"/>
      </w:pPr>
      <w:r>
        <w:t xml:space="preserve">Figure </w:t>
      </w:r>
      <w:fldSimple w:instr=" SEQ Figure \* ARABIC ">
        <w:r w:rsidR="00C01267">
          <w:rPr>
            <w:noProof/>
          </w:rPr>
          <w:t>6</w:t>
        </w:r>
      </w:fldSimple>
      <w:r>
        <w:t>- Unmodified TNT (a) and TNT with HNS added (b)</w:t>
      </w:r>
      <w:sdt>
        <w:sdtPr>
          <w:id w:val="1290776543"/>
          <w:citation/>
        </w:sdtPr>
        <w:sdtEndPr/>
        <w:sdtContent>
          <w:r>
            <w:fldChar w:fldCharType="begin"/>
          </w:r>
          <w:r>
            <w:instrText xml:space="preserve"> CITATION MOD20 \l 2057 </w:instrText>
          </w:r>
          <w:r>
            <w:fldChar w:fldCharType="separate"/>
          </w:r>
          <w:r>
            <w:rPr>
              <w:noProof/>
            </w:rPr>
            <w:t xml:space="preserve"> </w:t>
          </w:r>
          <w:r w:rsidRPr="0055124B">
            <w:rPr>
              <w:noProof/>
            </w:rPr>
            <w:t>[1]</w:t>
          </w:r>
          <w:r>
            <w:fldChar w:fldCharType="end"/>
          </w:r>
        </w:sdtContent>
      </w:sdt>
    </w:p>
    <w:p w14:paraId="2A5086D7" w14:textId="77777777" w:rsidR="006311E0" w:rsidRPr="008F455E" w:rsidRDefault="006311E0" w:rsidP="006311E0"/>
    <w:p w14:paraId="6E51AA83" w14:textId="77777777" w:rsidR="006311E0" w:rsidRDefault="006311E0" w:rsidP="006311E0">
      <w:pPr>
        <w:rPr>
          <w:rFonts w:ascii="Arial" w:hAnsi="Arial" w:cs="Arial"/>
        </w:rPr>
      </w:pPr>
    </w:p>
    <w:p w14:paraId="56E0B6C8" w14:textId="77777777" w:rsidR="00AD1A70" w:rsidRDefault="00AD1A70">
      <w:pPr>
        <w:rPr>
          <w:rFonts w:ascii="Arial" w:hAnsi="Arial" w:cs="Arial"/>
        </w:rPr>
      </w:pPr>
    </w:p>
    <w:p w14:paraId="170AC759" w14:textId="77777777" w:rsidR="00342F37" w:rsidRDefault="00342F37">
      <w:pPr>
        <w:rPr>
          <w:rFonts w:ascii="Arial" w:hAnsi="Arial" w:cs="Arial"/>
        </w:rPr>
      </w:pPr>
    </w:p>
    <w:p w14:paraId="57555AFE" w14:textId="77777777" w:rsidR="00342F37" w:rsidRDefault="00342F37">
      <w:pPr>
        <w:rPr>
          <w:rFonts w:ascii="Arial" w:hAnsi="Arial" w:cs="Arial"/>
        </w:rPr>
      </w:pPr>
    </w:p>
    <w:p w14:paraId="4647ABBE" w14:textId="77777777" w:rsidR="00342F37" w:rsidRDefault="00342F37">
      <w:pPr>
        <w:rPr>
          <w:rFonts w:ascii="Arial" w:hAnsi="Arial" w:cs="Arial"/>
        </w:rPr>
      </w:pPr>
    </w:p>
    <w:p w14:paraId="45D5DFF5" w14:textId="77777777" w:rsidR="00342F37" w:rsidRDefault="00342F37">
      <w:pPr>
        <w:rPr>
          <w:rFonts w:ascii="Arial" w:hAnsi="Arial" w:cs="Arial"/>
        </w:rPr>
      </w:pPr>
    </w:p>
    <w:p w14:paraId="75036148" w14:textId="77777777" w:rsidR="00342F37" w:rsidRDefault="00342F37">
      <w:pPr>
        <w:rPr>
          <w:rFonts w:ascii="Arial" w:hAnsi="Arial" w:cs="Arial"/>
        </w:rPr>
      </w:pPr>
    </w:p>
    <w:p w14:paraId="370AD13D" w14:textId="77777777" w:rsidR="00342F37" w:rsidRDefault="00342F37">
      <w:pPr>
        <w:rPr>
          <w:rFonts w:ascii="Arial" w:hAnsi="Arial" w:cs="Arial"/>
        </w:rPr>
      </w:pPr>
    </w:p>
    <w:p w14:paraId="558F72F1" w14:textId="77777777" w:rsidR="00342F37" w:rsidRDefault="00342F37">
      <w:pPr>
        <w:rPr>
          <w:rFonts w:ascii="Arial" w:hAnsi="Arial" w:cs="Arial"/>
        </w:rPr>
      </w:pPr>
    </w:p>
    <w:p w14:paraId="65F7CCDD" w14:textId="77777777" w:rsidR="00342F37" w:rsidRDefault="00342F37">
      <w:pPr>
        <w:rPr>
          <w:rFonts w:ascii="Arial" w:hAnsi="Arial" w:cs="Arial"/>
        </w:rPr>
      </w:pPr>
    </w:p>
    <w:p w14:paraId="084621AC" w14:textId="77777777" w:rsidR="00342F37" w:rsidRDefault="00342F37">
      <w:pPr>
        <w:rPr>
          <w:rFonts w:ascii="Arial" w:hAnsi="Arial" w:cs="Arial"/>
        </w:rPr>
      </w:pPr>
    </w:p>
    <w:p w14:paraId="135D83BB" w14:textId="77777777" w:rsidR="00342F37" w:rsidRDefault="00342F37">
      <w:pPr>
        <w:rPr>
          <w:rFonts w:ascii="Arial" w:hAnsi="Arial" w:cs="Arial"/>
        </w:rPr>
      </w:pPr>
    </w:p>
    <w:p w14:paraId="00F64D02" w14:textId="77777777" w:rsidR="00342F37" w:rsidRDefault="00342F37">
      <w:pPr>
        <w:rPr>
          <w:rFonts w:ascii="Arial" w:hAnsi="Arial" w:cs="Arial"/>
        </w:rPr>
      </w:pPr>
    </w:p>
    <w:p w14:paraId="5CCF5039" w14:textId="58AE36F6" w:rsidR="00342F37" w:rsidRDefault="00342F37" w:rsidP="1F2AB047">
      <w:pPr>
        <w:rPr>
          <w:rFonts w:ascii="Arial" w:hAnsi="Arial" w:cs="Arial"/>
        </w:rPr>
      </w:pPr>
    </w:p>
    <w:p w14:paraId="6724EFCC" w14:textId="77777777" w:rsidR="00DE489B" w:rsidRDefault="00DE489B" w:rsidP="1F2AB047">
      <w:pPr>
        <w:rPr>
          <w:rFonts w:ascii="Arial" w:hAnsi="Arial" w:cs="Arial"/>
        </w:rPr>
      </w:pPr>
    </w:p>
    <w:p w14:paraId="014BEA05" w14:textId="1404805A" w:rsidR="00193C7E" w:rsidRDefault="00193C7E" w:rsidP="00193C7E">
      <w:pPr>
        <w:pStyle w:val="Heading2"/>
      </w:pPr>
      <w:bookmarkStart w:id="9" w:name="_Toc216714096"/>
      <w:r>
        <w:lastRenderedPageBreak/>
        <w:t>Performance Figures</w:t>
      </w:r>
      <w:bookmarkEnd w:id="9"/>
    </w:p>
    <w:p w14:paraId="585D7A9C" w14:textId="77777777" w:rsidR="00193C7E" w:rsidRPr="00586306" w:rsidRDefault="00193C7E" w:rsidP="00193C7E">
      <w:pPr>
        <w:rPr>
          <w:rFonts w:ascii="Arial" w:hAnsi="Arial" w:cs="Arial"/>
        </w:rPr>
      </w:pPr>
      <w:r w:rsidRPr="00586306">
        <w:rPr>
          <w:rFonts w:ascii="Arial" w:hAnsi="Arial" w:cs="Arial"/>
        </w:rPr>
        <w:t xml:space="preserve">Table 1 - Lead </w:t>
      </w:r>
      <w:proofErr w:type="spellStart"/>
      <w:r w:rsidRPr="00586306">
        <w:rPr>
          <w:rFonts w:ascii="Arial" w:hAnsi="Arial" w:cs="Arial"/>
        </w:rPr>
        <w:t>Azide</w:t>
      </w:r>
      <w:proofErr w:type="spellEnd"/>
      <w:r w:rsidRPr="00586306">
        <w:rPr>
          <w:rFonts w:ascii="Arial" w:hAnsi="Arial" w:cs="Arial"/>
        </w:rPr>
        <w:t xml:space="preserve"> and TNT performance characteristics </w:t>
      </w:r>
      <w:sdt>
        <w:sdtPr>
          <w:rPr>
            <w:rFonts w:ascii="Arial" w:hAnsi="Arial" w:cs="Arial"/>
          </w:rPr>
          <w:id w:val="955223144"/>
          <w:citation/>
        </w:sdtPr>
        <w:sdtEndPr/>
        <w:sdtContent>
          <w:r w:rsidRPr="00586306">
            <w:rPr>
              <w:rFonts w:ascii="Arial" w:hAnsi="Arial" w:cs="Arial"/>
            </w:rPr>
            <w:fldChar w:fldCharType="begin"/>
          </w:r>
          <w:r w:rsidRPr="00586306">
            <w:rPr>
              <w:rFonts w:ascii="Arial" w:hAnsi="Arial" w:cs="Arial"/>
            </w:rPr>
            <w:instrText xml:space="preserve"> CITATION MOD20 \l 2057 </w:instrText>
          </w:r>
          <w:r w:rsidRPr="00586306">
            <w:rPr>
              <w:rFonts w:ascii="Arial" w:hAnsi="Arial" w:cs="Arial"/>
            </w:rPr>
            <w:fldChar w:fldCharType="separate"/>
          </w:r>
          <w:r w:rsidRPr="0055124B">
            <w:rPr>
              <w:rFonts w:ascii="Arial" w:hAnsi="Arial" w:cs="Arial"/>
              <w:noProof/>
            </w:rPr>
            <w:t>[1]</w:t>
          </w:r>
          <w:r w:rsidRPr="00586306">
            <w:rPr>
              <w:rFonts w:ascii="Arial" w:hAnsi="Arial" w:cs="Arial"/>
            </w:rPr>
            <w:fldChar w:fldCharType="end"/>
          </w:r>
        </w:sdtContent>
      </w:sdt>
      <w:r w:rsidRPr="00586306">
        <w:rPr>
          <w:rFonts w:ascii="Arial" w:hAnsi="Arial" w:cs="Arial"/>
        </w:rPr>
        <w:t>.</w:t>
      </w:r>
    </w:p>
    <w:tbl>
      <w:tblPr>
        <w:tblStyle w:val="TableGrid"/>
        <w:tblW w:w="10216" w:type="dxa"/>
        <w:tblLook w:val="04A0" w:firstRow="1" w:lastRow="0" w:firstColumn="1" w:lastColumn="0" w:noHBand="0" w:noVBand="1"/>
      </w:tblPr>
      <w:tblGrid>
        <w:gridCol w:w="3567"/>
        <w:gridCol w:w="3127"/>
        <w:gridCol w:w="3522"/>
      </w:tblGrid>
      <w:tr w:rsidR="00193C7E" w14:paraId="74634265" w14:textId="77777777" w:rsidTr="001F3DA2">
        <w:trPr>
          <w:trHeight w:val="293"/>
        </w:trPr>
        <w:tc>
          <w:tcPr>
            <w:tcW w:w="3567" w:type="dxa"/>
          </w:tcPr>
          <w:p w14:paraId="1535A6BD" w14:textId="77777777" w:rsidR="00193C7E" w:rsidRDefault="00193C7E" w:rsidP="001F3DA2">
            <w:pPr>
              <w:rPr>
                <w:rFonts w:ascii="Arial" w:hAnsi="Arial" w:cs="Arial"/>
              </w:rPr>
            </w:pPr>
          </w:p>
        </w:tc>
        <w:tc>
          <w:tcPr>
            <w:tcW w:w="3127" w:type="dxa"/>
          </w:tcPr>
          <w:p w14:paraId="464A6D76" w14:textId="77777777" w:rsidR="00193C7E" w:rsidRDefault="00193C7E" w:rsidP="001F3DA2">
            <w:pPr>
              <w:rPr>
                <w:rFonts w:ascii="Arial" w:hAnsi="Arial" w:cs="Arial"/>
              </w:rPr>
            </w:pPr>
            <w:r>
              <w:rPr>
                <w:rFonts w:ascii="Arial" w:hAnsi="Arial" w:cs="Arial"/>
              </w:rPr>
              <w:t xml:space="preserve">Lead </w:t>
            </w:r>
            <w:proofErr w:type="spellStart"/>
            <w:r>
              <w:rPr>
                <w:rFonts w:ascii="Arial" w:hAnsi="Arial" w:cs="Arial"/>
              </w:rPr>
              <w:t>Azide</w:t>
            </w:r>
            <w:proofErr w:type="spellEnd"/>
          </w:p>
        </w:tc>
        <w:tc>
          <w:tcPr>
            <w:tcW w:w="3522" w:type="dxa"/>
          </w:tcPr>
          <w:p w14:paraId="305628AD" w14:textId="77777777" w:rsidR="00193C7E" w:rsidRDefault="00193C7E" w:rsidP="001F3DA2">
            <w:pPr>
              <w:rPr>
                <w:rFonts w:ascii="Arial" w:hAnsi="Arial" w:cs="Arial"/>
              </w:rPr>
            </w:pPr>
            <w:r>
              <w:rPr>
                <w:rFonts w:ascii="Arial" w:hAnsi="Arial" w:cs="Arial"/>
              </w:rPr>
              <w:t>TNT</w:t>
            </w:r>
          </w:p>
        </w:tc>
      </w:tr>
      <w:tr w:rsidR="00193C7E" w14:paraId="659337A6" w14:textId="77777777" w:rsidTr="001F3DA2">
        <w:trPr>
          <w:trHeight w:val="293"/>
        </w:trPr>
        <w:tc>
          <w:tcPr>
            <w:tcW w:w="3567" w:type="dxa"/>
          </w:tcPr>
          <w:p w14:paraId="1EF71CD2" w14:textId="77777777" w:rsidR="00193C7E" w:rsidRDefault="00193C7E" w:rsidP="001F3DA2">
            <w:pPr>
              <w:rPr>
                <w:rFonts w:ascii="Arial" w:hAnsi="Arial" w:cs="Arial"/>
              </w:rPr>
            </w:pPr>
            <w:r>
              <w:rPr>
                <w:rFonts w:ascii="Arial" w:hAnsi="Arial" w:cs="Arial"/>
              </w:rPr>
              <w:t>Formula</w:t>
            </w:r>
          </w:p>
        </w:tc>
        <w:tc>
          <w:tcPr>
            <w:tcW w:w="3127" w:type="dxa"/>
          </w:tcPr>
          <w:p w14:paraId="09196F25" w14:textId="77777777" w:rsidR="00193C7E" w:rsidRDefault="00193C7E" w:rsidP="001F3DA2">
            <w:pPr>
              <w:rPr>
                <w:rFonts w:ascii="Arial" w:hAnsi="Arial" w:cs="Arial"/>
              </w:rPr>
            </w:pPr>
            <w:r>
              <w:rPr>
                <w:rFonts w:ascii="Arial" w:hAnsi="Arial" w:cs="Arial"/>
              </w:rPr>
              <w:t>PbN6</w:t>
            </w:r>
          </w:p>
        </w:tc>
        <w:tc>
          <w:tcPr>
            <w:tcW w:w="3522" w:type="dxa"/>
          </w:tcPr>
          <w:p w14:paraId="2FC9A387" w14:textId="77777777" w:rsidR="00193C7E" w:rsidRDefault="00193C7E" w:rsidP="001F3DA2">
            <w:pPr>
              <w:rPr>
                <w:rFonts w:ascii="Arial" w:hAnsi="Arial" w:cs="Arial"/>
              </w:rPr>
            </w:pPr>
            <w:r>
              <w:rPr>
                <w:rFonts w:ascii="Arial" w:hAnsi="Arial" w:cs="Arial"/>
              </w:rPr>
              <w:t>C7H5N3O6</w:t>
            </w:r>
          </w:p>
        </w:tc>
      </w:tr>
      <w:tr w:rsidR="00193C7E" w14:paraId="70BA0A93" w14:textId="77777777" w:rsidTr="001F3DA2">
        <w:trPr>
          <w:trHeight w:val="293"/>
        </w:trPr>
        <w:tc>
          <w:tcPr>
            <w:tcW w:w="3567" w:type="dxa"/>
          </w:tcPr>
          <w:p w14:paraId="5BCAD1B1" w14:textId="77777777" w:rsidR="00193C7E" w:rsidRDefault="00193C7E" w:rsidP="001F3DA2">
            <w:pPr>
              <w:rPr>
                <w:rFonts w:ascii="Arial" w:hAnsi="Arial" w:cs="Arial"/>
              </w:rPr>
            </w:pPr>
            <w:r>
              <w:rPr>
                <w:rFonts w:ascii="Arial" w:hAnsi="Arial" w:cs="Arial"/>
              </w:rPr>
              <w:t>Detonation Velocity (m/s)</w:t>
            </w:r>
          </w:p>
        </w:tc>
        <w:tc>
          <w:tcPr>
            <w:tcW w:w="3127" w:type="dxa"/>
          </w:tcPr>
          <w:p w14:paraId="0EDB4CD8" w14:textId="77777777" w:rsidR="00193C7E" w:rsidRDefault="00193C7E" w:rsidP="001F3DA2">
            <w:pPr>
              <w:rPr>
                <w:rFonts w:ascii="Arial" w:hAnsi="Arial" w:cs="Arial"/>
              </w:rPr>
            </w:pPr>
            <w:r>
              <w:rPr>
                <w:rFonts w:ascii="Arial" w:hAnsi="Arial" w:cs="Arial"/>
              </w:rPr>
              <w:t>4550 (Pure)</w:t>
            </w:r>
          </w:p>
        </w:tc>
        <w:tc>
          <w:tcPr>
            <w:tcW w:w="3522" w:type="dxa"/>
          </w:tcPr>
          <w:p w14:paraId="0E1FB045" w14:textId="77777777" w:rsidR="00193C7E" w:rsidRDefault="00193C7E" w:rsidP="001F3DA2">
            <w:pPr>
              <w:rPr>
                <w:rFonts w:ascii="Arial" w:hAnsi="Arial" w:cs="Arial"/>
              </w:rPr>
            </w:pPr>
            <w:r>
              <w:rPr>
                <w:rFonts w:ascii="Arial" w:hAnsi="Arial" w:cs="Arial"/>
              </w:rPr>
              <w:t>6900</w:t>
            </w:r>
          </w:p>
        </w:tc>
      </w:tr>
      <w:tr w:rsidR="00193C7E" w14:paraId="254BD04C" w14:textId="77777777" w:rsidTr="001F3DA2">
        <w:trPr>
          <w:trHeight w:val="293"/>
        </w:trPr>
        <w:tc>
          <w:tcPr>
            <w:tcW w:w="3567" w:type="dxa"/>
          </w:tcPr>
          <w:p w14:paraId="2C349C7E" w14:textId="77777777" w:rsidR="00193C7E" w:rsidRDefault="00193C7E" w:rsidP="001F3DA2">
            <w:pPr>
              <w:rPr>
                <w:rFonts w:ascii="Arial" w:hAnsi="Arial" w:cs="Arial"/>
              </w:rPr>
            </w:pPr>
            <w:r>
              <w:rPr>
                <w:rFonts w:ascii="Arial" w:hAnsi="Arial" w:cs="Arial"/>
              </w:rPr>
              <w:t>Ignition Temperature (</w:t>
            </w:r>
            <w:r w:rsidRPr="00586306">
              <w:rPr>
                <w:rFonts w:ascii="Arial" w:hAnsi="Arial" w:cs="Arial"/>
              </w:rPr>
              <w:t>°C</w:t>
            </w:r>
            <w:r>
              <w:rPr>
                <w:rFonts w:ascii="Arial" w:hAnsi="Arial" w:cs="Arial"/>
              </w:rPr>
              <w:t>)</w:t>
            </w:r>
          </w:p>
        </w:tc>
        <w:tc>
          <w:tcPr>
            <w:tcW w:w="3127" w:type="dxa"/>
          </w:tcPr>
          <w:p w14:paraId="7964679C" w14:textId="77777777" w:rsidR="00193C7E" w:rsidRDefault="00193C7E" w:rsidP="001F3DA2">
            <w:pPr>
              <w:rPr>
                <w:rFonts w:ascii="Arial" w:hAnsi="Arial" w:cs="Arial"/>
              </w:rPr>
            </w:pPr>
            <w:r>
              <w:rPr>
                <w:rFonts w:ascii="Arial" w:hAnsi="Arial" w:cs="Arial"/>
              </w:rPr>
              <w:t>330</w:t>
            </w:r>
          </w:p>
        </w:tc>
        <w:tc>
          <w:tcPr>
            <w:tcW w:w="3522" w:type="dxa"/>
          </w:tcPr>
          <w:p w14:paraId="1BE7C3B6" w14:textId="77777777" w:rsidR="00193C7E" w:rsidRDefault="00193C7E" w:rsidP="001F3DA2">
            <w:pPr>
              <w:rPr>
                <w:rFonts w:ascii="Arial" w:hAnsi="Arial" w:cs="Arial"/>
              </w:rPr>
            </w:pPr>
            <w:r>
              <w:rPr>
                <w:rFonts w:ascii="Arial" w:hAnsi="Arial" w:cs="Arial"/>
              </w:rPr>
              <w:t>240 degrees Celsius</w:t>
            </w:r>
          </w:p>
        </w:tc>
      </w:tr>
      <w:tr w:rsidR="00193C7E" w14:paraId="18A36551" w14:textId="77777777" w:rsidTr="001F3DA2">
        <w:trPr>
          <w:trHeight w:val="293"/>
        </w:trPr>
        <w:tc>
          <w:tcPr>
            <w:tcW w:w="3567" w:type="dxa"/>
          </w:tcPr>
          <w:p w14:paraId="6882A968" w14:textId="77777777" w:rsidR="00193C7E" w:rsidRDefault="00193C7E" w:rsidP="001F3DA2">
            <w:pPr>
              <w:rPr>
                <w:rFonts w:ascii="Arial" w:hAnsi="Arial" w:cs="Arial"/>
              </w:rPr>
            </w:pPr>
            <w:r>
              <w:rPr>
                <w:rFonts w:ascii="Arial" w:hAnsi="Arial" w:cs="Arial"/>
              </w:rPr>
              <w:t xml:space="preserve">Gas Volume </w:t>
            </w:r>
            <m:oMath>
              <m:r>
                <w:rPr>
                  <w:rFonts w:ascii="Cambria Math" w:hAnsi="Cambria Math" w:cs="Arial"/>
                </w:rPr>
                <m:t>V /d</m:t>
              </m:r>
              <m:sSup>
                <m:sSupPr>
                  <m:ctrlPr>
                    <w:rPr>
                      <w:rFonts w:ascii="Cambria Math" w:hAnsi="Cambria Math" w:cs="Arial"/>
                      <w:i/>
                    </w:rPr>
                  </m:ctrlPr>
                </m:sSupPr>
                <m:e>
                  <m:r>
                    <w:rPr>
                      <w:rFonts w:ascii="Cambria Math" w:hAnsi="Cambria Math" w:cs="Arial"/>
                    </w:rPr>
                    <m:t>m</m:t>
                  </m:r>
                </m:e>
                <m:sup>
                  <m:r>
                    <w:rPr>
                      <w:rFonts w:ascii="Cambria Math" w:hAnsi="Cambria Math" w:cs="Arial"/>
                    </w:rPr>
                    <m:t>3</m:t>
                  </m:r>
                </m:sup>
              </m:sSup>
              <m:r>
                <w:rPr>
                  <w:rFonts w:ascii="Cambria Math" w:hAnsi="Cambria Math" w:cs="Arial"/>
                </w:rPr>
                <m:t>k</m:t>
              </m:r>
              <m:sSup>
                <m:sSupPr>
                  <m:ctrlPr>
                    <w:rPr>
                      <w:rFonts w:ascii="Cambria Math" w:hAnsi="Cambria Math" w:cs="Arial"/>
                      <w:i/>
                    </w:rPr>
                  </m:ctrlPr>
                </m:sSupPr>
                <m:e>
                  <m:r>
                    <w:rPr>
                      <w:rFonts w:ascii="Cambria Math" w:hAnsi="Cambria Math" w:cs="Arial"/>
                    </w:rPr>
                    <m:t>g</m:t>
                  </m:r>
                </m:e>
                <m:sup>
                  <m:r>
                    <w:rPr>
                      <w:rFonts w:ascii="Cambria Math" w:hAnsi="Cambria Math" w:cs="Arial"/>
                    </w:rPr>
                    <m:t>-1</m:t>
                  </m:r>
                </m:sup>
              </m:sSup>
              <m:r>
                <w:rPr>
                  <w:rFonts w:ascii="Cambria Math" w:hAnsi="Cambria Math" w:cs="Arial"/>
                </w:rPr>
                <m:t>)</m:t>
              </m:r>
            </m:oMath>
          </w:p>
        </w:tc>
        <w:tc>
          <w:tcPr>
            <w:tcW w:w="3127" w:type="dxa"/>
          </w:tcPr>
          <w:p w14:paraId="77A9E4A7" w14:textId="77777777" w:rsidR="00193C7E" w:rsidRDefault="00193C7E" w:rsidP="001F3DA2">
            <w:pPr>
              <w:rPr>
                <w:rFonts w:ascii="Arial" w:hAnsi="Arial" w:cs="Arial"/>
              </w:rPr>
            </w:pPr>
            <w:r>
              <w:rPr>
                <w:rFonts w:ascii="Arial" w:hAnsi="Arial" w:cs="Arial"/>
              </w:rPr>
              <w:t>218</w:t>
            </w:r>
          </w:p>
        </w:tc>
        <w:tc>
          <w:tcPr>
            <w:tcW w:w="3522" w:type="dxa"/>
          </w:tcPr>
          <w:p w14:paraId="4BB5CDC2" w14:textId="77777777" w:rsidR="00193C7E" w:rsidRDefault="00193C7E" w:rsidP="001F3DA2">
            <w:pPr>
              <w:rPr>
                <w:rFonts w:ascii="Arial" w:hAnsi="Arial" w:cs="Arial"/>
              </w:rPr>
            </w:pPr>
            <w:r>
              <w:rPr>
                <w:rFonts w:ascii="Arial" w:hAnsi="Arial" w:cs="Arial"/>
              </w:rPr>
              <w:t>At STP 739.65</w:t>
            </w:r>
          </w:p>
        </w:tc>
      </w:tr>
      <w:tr w:rsidR="00193C7E" w14:paraId="661D9CD3" w14:textId="77777777" w:rsidTr="001F3DA2">
        <w:trPr>
          <w:trHeight w:val="274"/>
        </w:trPr>
        <w:tc>
          <w:tcPr>
            <w:tcW w:w="3567" w:type="dxa"/>
          </w:tcPr>
          <w:p w14:paraId="4F72A619" w14:textId="77777777" w:rsidR="00193C7E" w:rsidRDefault="00193C7E" w:rsidP="001F3DA2">
            <w:pPr>
              <w:rPr>
                <w:rFonts w:ascii="Arial" w:hAnsi="Arial" w:cs="Arial"/>
              </w:rPr>
            </w:pPr>
            <w:r>
              <w:rPr>
                <w:rFonts w:ascii="Arial" w:hAnsi="Arial" w:cs="Arial"/>
              </w:rPr>
              <w:t>Detonation Products</w:t>
            </w:r>
          </w:p>
        </w:tc>
        <w:tc>
          <w:tcPr>
            <w:tcW w:w="3127" w:type="dxa"/>
          </w:tcPr>
          <w:p w14:paraId="7C5AE678" w14:textId="77777777" w:rsidR="00193C7E" w:rsidRPr="009E5D85" w:rsidRDefault="00193C7E" w:rsidP="001F3DA2">
            <w:pPr>
              <w:rPr>
                <w:rFonts w:ascii="Arial" w:hAnsi="Arial" w:cs="Arial"/>
              </w:rPr>
            </w:pPr>
            <w:r w:rsidRPr="009E5D85">
              <w:rPr>
                <w:rFonts w:ascii="Arial" w:hAnsi="Arial" w:cs="Arial"/>
              </w:rPr>
              <w:t>Pb+3N2+110.8kcal</w:t>
            </w:r>
            <w:sdt>
              <w:sdtPr>
                <w:rPr>
                  <w:rFonts w:ascii="Arial" w:hAnsi="Arial" w:cs="Arial"/>
                </w:rPr>
                <w:id w:val="-803082384"/>
                <w:citation/>
              </w:sdtPr>
              <w:sdtEndPr/>
              <w:sdtContent>
                <w:r w:rsidRPr="009E5D85">
                  <w:rPr>
                    <w:rFonts w:ascii="Arial" w:hAnsi="Arial" w:cs="Arial"/>
                  </w:rPr>
                  <w:fldChar w:fldCharType="begin"/>
                </w:r>
                <w:r w:rsidRPr="009E5D85">
                  <w:rPr>
                    <w:rFonts w:ascii="Arial" w:hAnsi="Arial" w:cs="Arial"/>
                  </w:rPr>
                  <w:instrText xml:space="preserve"> CITATION Min72 \l 2057 </w:instrText>
                </w:r>
                <w:r w:rsidRPr="009E5D85">
                  <w:rPr>
                    <w:rFonts w:ascii="Arial" w:hAnsi="Arial" w:cs="Arial"/>
                  </w:rPr>
                  <w:fldChar w:fldCharType="separate"/>
                </w:r>
                <w:r>
                  <w:rPr>
                    <w:rFonts w:ascii="Arial" w:hAnsi="Arial" w:cs="Arial"/>
                    <w:noProof/>
                  </w:rPr>
                  <w:t xml:space="preserve"> </w:t>
                </w:r>
                <w:r w:rsidRPr="0055124B">
                  <w:rPr>
                    <w:rFonts w:ascii="Arial" w:hAnsi="Arial" w:cs="Arial"/>
                    <w:noProof/>
                  </w:rPr>
                  <w:t>[7]</w:t>
                </w:r>
                <w:r w:rsidRPr="009E5D85">
                  <w:rPr>
                    <w:rFonts w:ascii="Arial" w:hAnsi="Arial" w:cs="Arial"/>
                  </w:rPr>
                  <w:fldChar w:fldCharType="end"/>
                </w:r>
              </w:sdtContent>
            </w:sdt>
          </w:p>
        </w:tc>
        <w:tc>
          <w:tcPr>
            <w:tcW w:w="3522" w:type="dxa"/>
          </w:tcPr>
          <w:p w14:paraId="46487E2F" w14:textId="77777777" w:rsidR="00193C7E" w:rsidRDefault="00193C7E" w:rsidP="001F3DA2">
            <w:pPr>
              <w:rPr>
                <w:rFonts w:ascii="Arial" w:hAnsi="Arial" w:cs="Arial"/>
              </w:rPr>
            </w:pPr>
            <w:r>
              <w:rPr>
                <w:rFonts w:ascii="Arial" w:hAnsi="Arial" w:cs="Arial"/>
              </w:rPr>
              <w:t>3.5Co+3.5Cs+2.5H2O+1.5N2</w:t>
            </w:r>
          </w:p>
        </w:tc>
      </w:tr>
      <w:tr w:rsidR="00193C7E" w14:paraId="5272D45D" w14:textId="77777777" w:rsidTr="001F3DA2">
        <w:trPr>
          <w:trHeight w:val="293"/>
        </w:trPr>
        <w:tc>
          <w:tcPr>
            <w:tcW w:w="3567" w:type="dxa"/>
          </w:tcPr>
          <w:p w14:paraId="19163CFF" w14:textId="77777777" w:rsidR="00193C7E" w:rsidRDefault="00193C7E" w:rsidP="001F3DA2">
            <w:pPr>
              <w:rPr>
                <w:rFonts w:ascii="Arial" w:hAnsi="Arial" w:cs="Arial"/>
              </w:rPr>
            </w:pPr>
            <w:r>
              <w:rPr>
                <w:rFonts w:ascii="Arial" w:hAnsi="Arial" w:cs="Arial"/>
              </w:rPr>
              <w:t>Critical Diameter</w:t>
            </w:r>
          </w:p>
        </w:tc>
        <w:tc>
          <w:tcPr>
            <w:tcW w:w="3127" w:type="dxa"/>
          </w:tcPr>
          <w:p w14:paraId="052EBD29" w14:textId="50CC2BEB" w:rsidR="00193C7E" w:rsidRDefault="00193C7E" w:rsidP="001F3DA2">
            <w:pPr>
              <w:rPr>
                <w:rFonts w:ascii="Arial" w:hAnsi="Arial" w:cs="Arial"/>
              </w:rPr>
            </w:pPr>
            <w:r>
              <w:rPr>
                <w:rFonts w:ascii="Arial" w:hAnsi="Arial" w:cs="Arial"/>
              </w:rPr>
              <w:t>&lt;50</w:t>
            </w:r>
            <w:r w:rsidRPr="00F74ED7">
              <w:rPr>
                <w:rFonts w:ascii="Arial" w:hAnsi="Arial" w:cs="Arial"/>
              </w:rPr>
              <w:t>μ</w:t>
            </w:r>
            <w:r>
              <w:rPr>
                <w:rFonts w:ascii="Arial" w:hAnsi="Arial" w:cs="Arial"/>
              </w:rPr>
              <w:t>m</w:t>
            </w:r>
            <w:sdt>
              <w:sdtPr>
                <w:rPr>
                  <w:rFonts w:ascii="Arial" w:hAnsi="Arial" w:cs="Arial"/>
                </w:rPr>
                <w:id w:val="1157574394"/>
                <w:citation/>
              </w:sdtPr>
              <w:sdtEndPr/>
              <w:sdtContent>
                <w:r>
                  <w:rPr>
                    <w:rFonts w:ascii="Arial" w:hAnsi="Arial" w:cs="Arial"/>
                  </w:rPr>
                  <w:fldChar w:fldCharType="begin"/>
                </w:r>
                <w:r>
                  <w:rPr>
                    <w:rFonts w:ascii="Arial" w:hAnsi="Arial" w:cs="Arial"/>
                  </w:rPr>
                  <w:instrText xml:space="preserve"> CITATION Tap11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[14]</w:t>
                </w:r>
                <w:r>
                  <w:rPr>
                    <w:rFonts w:ascii="Arial" w:hAnsi="Arial" w:cs="Arial"/>
                  </w:rPr>
                  <w:fldChar w:fldCharType="end"/>
                </w:r>
              </w:sdtContent>
            </w:sdt>
            <w:r w:rsidR="003876D3">
              <w:rPr>
                <w:rFonts w:ascii="Arial" w:hAnsi="Arial" w:cs="Arial"/>
              </w:rPr>
              <w:t xml:space="preserve"> </w:t>
            </w:r>
            <w:r w:rsidR="00292DA6">
              <w:rPr>
                <w:rFonts w:ascii="Arial" w:hAnsi="Arial" w:cs="Arial"/>
              </w:rPr>
              <w:t>(confined and unconfined)</w:t>
            </w:r>
          </w:p>
        </w:tc>
        <w:tc>
          <w:tcPr>
            <w:tcW w:w="3522" w:type="dxa"/>
          </w:tcPr>
          <w:p w14:paraId="5E37E3A2" w14:textId="77777777" w:rsidR="00193C7E" w:rsidRDefault="00193C7E" w:rsidP="001F3DA2">
            <w:pPr>
              <w:rPr>
                <w:rFonts w:ascii="Arial" w:hAnsi="Arial" w:cs="Arial"/>
              </w:rPr>
            </w:pPr>
            <w:r>
              <w:rPr>
                <w:rFonts w:ascii="Arial" w:hAnsi="Arial" w:cs="Arial"/>
              </w:rPr>
              <w:t>2.6-62.6mm</w:t>
            </w:r>
            <w:sdt>
              <w:sdtPr>
                <w:rPr>
                  <w:rFonts w:ascii="Arial" w:hAnsi="Arial" w:cs="Arial"/>
                </w:rPr>
                <w:id w:val="2108237317"/>
                <w:citation/>
              </w:sdtPr>
              <w:sdtEndPr/>
              <w:sdtContent>
                <w:r>
                  <w:rPr>
                    <w:rFonts w:ascii="Arial" w:hAnsi="Arial" w:cs="Arial"/>
                  </w:rPr>
                  <w:fldChar w:fldCharType="begin"/>
                </w:r>
                <w:r>
                  <w:rPr>
                    <w:rFonts w:ascii="Arial" w:hAnsi="Arial" w:cs="Arial"/>
                  </w:rPr>
                  <w:instrText xml:space="preserve"> CITATION Gib23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[13]</w:t>
                </w:r>
                <w:r>
                  <w:rPr>
                    <w:rFonts w:ascii="Arial" w:hAnsi="Arial" w:cs="Arial"/>
                  </w:rPr>
                  <w:fldChar w:fldCharType="end"/>
                </w:r>
              </w:sdtContent>
            </w:sdt>
          </w:p>
          <w:p w14:paraId="6D1B7C0C" w14:textId="77777777" w:rsidR="00292DA6" w:rsidRDefault="00292DA6" w:rsidP="001F3DA2">
            <w:pPr>
              <w:rPr>
                <w:rFonts w:ascii="Arial" w:hAnsi="Arial" w:cs="Arial"/>
              </w:rPr>
            </w:pPr>
          </w:p>
        </w:tc>
      </w:tr>
      <w:tr w:rsidR="00193C7E" w14:paraId="0F563FCD" w14:textId="77777777" w:rsidTr="001F3DA2">
        <w:trPr>
          <w:trHeight w:val="310"/>
        </w:trPr>
        <w:tc>
          <w:tcPr>
            <w:tcW w:w="3567" w:type="dxa"/>
          </w:tcPr>
          <w:p w14:paraId="1A49E54E" w14:textId="77777777" w:rsidR="00193C7E" w:rsidRDefault="00193C7E" w:rsidP="001F3DA2">
            <w:pPr>
              <w:rPr>
                <w:rFonts w:ascii="Arial" w:hAnsi="Arial" w:cs="Arial"/>
              </w:rPr>
            </w:pPr>
            <w:r>
              <w:rPr>
                <w:rFonts w:ascii="Arial" w:hAnsi="Arial" w:cs="Arial"/>
              </w:rPr>
              <w:t xml:space="preserve">Critical Density </w:t>
            </w:r>
            <m:oMath>
              <m:r>
                <w:rPr>
                  <w:rFonts w:ascii="Cambria Math" w:hAnsi="Cambria Math" w:cs="Arial"/>
                </w:rPr>
                <m:t>(gc</m:t>
              </m:r>
              <m:sSup>
                <m:sSupPr>
                  <m:ctrlPr>
                    <w:rPr>
                      <w:rFonts w:ascii="Cambria Math" w:hAnsi="Cambria Math" w:cs="Arial"/>
                      <w:i/>
                    </w:rPr>
                  </m:ctrlPr>
                </m:sSupPr>
                <m:e>
                  <m:r>
                    <w:rPr>
                      <w:rFonts w:ascii="Cambria Math" w:hAnsi="Cambria Math" w:cs="Arial"/>
                    </w:rPr>
                    <m:t>m</m:t>
                  </m:r>
                </m:e>
                <m:sup>
                  <m:r>
                    <w:rPr>
                      <w:rFonts w:ascii="Cambria Math" w:hAnsi="Cambria Math" w:cs="Arial"/>
                    </w:rPr>
                    <m:t>-3</m:t>
                  </m:r>
                </m:sup>
              </m:sSup>
              <m:r>
                <w:rPr>
                  <w:rFonts w:ascii="Cambria Math" w:eastAsiaTheme="minorEastAsia" w:hAnsi="Cambria Math" w:cs="Arial"/>
                </w:rPr>
                <m:t>)</m:t>
              </m:r>
            </m:oMath>
          </w:p>
        </w:tc>
        <w:tc>
          <w:tcPr>
            <w:tcW w:w="3127" w:type="dxa"/>
          </w:tcPr>
          <w:p w14:paraId="1FEE9BEF" w14:textId="77777777" w:rsidR="00193C7E" w:rsidRDefault="00193C7E" w:rsidP="001F3DA2">
            <w:pPr>
              <w:rPr>
                <w:rFonts w:ascii="Arial" w:hAnsi="Arial" w:cs="Arial"/>
              </w:rPr>
            </w:pPr>
            <w:r>
              <w:rPr>
                <w:rFonts w:ascii="Arial" w:hAnsi="Arial" w:cs="Arial"/>
              </w:rPr>
              <w:t>3.8(pure)</w:t>
            </w:r>
          </w:p>
        </w:tc>
        <w:tc>
          <w:tcPr>
            <w:tcW w:w="3522" w:type="dxa"/>
          </w:tcPr>
          <w:p w14:paraId="1FE0D4F3" w14:textId="77777777" w:rsidR="00193C7E" w:rsidRDefault="00193C7E" w:rsidP="001F3DA2">
            <w:pPr>
              <w:rPr>
                <w:rFonts w:ascii="Arial" w:hAnsi="Arial" w:cs="Arial"/>
              </w:rPr>
            </w:pPr>
            <w:r>
              <w:rPr>
                <w:rFonts w:ascii="Arial" w:hAnsi="Arial" w:cs="Arial"/>
              </w:rPr>
              <w:t>1.443-1.620</w:t>
            </w:r>
            <w:sdt>
              <w:sdtPr>
                <w:rPr>
                  <w:rFonts w:ascii="Arial" w:hAnsi="Arial" w:cs="Arial"/>
                </w:rPr>
                <w:id w:val="-851333311"/>
                <w:citation/>
              </w:sdtPr>
              <w:sdtEndPr/>
              <w:sdtContent>
                <w:r>
                  <w:rPr>
                    <w:rFonts w:ascii="Arial" w:hAnsi="Arial" w:cs="Arial"/>
                  </w:rPr>
                  <w:fldChar w:fldCharType="begin"/>
                </w:r>
                <w:r>
                  <w:rPr>
                    <w:rFonts w:ascii="Arial" w:hAnsi="Arial" w:cs="Arial"/>
                  </w:rPr>
                  <w:instrText xml:space="preserve"> CITATION Gib23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[13]</w:t>
                </w:r>
                <w:r>
                  <w:rPr>
                    <w:rFonts w:ascii="Arial" w:hAnsi="Arial" w:cs="Arial"/>
                  </w:rPr>
                  <w:fldChar w:fldCharType="end"/>
                </w:r>
              </w:sdtContent>
            </w:sdt>
          </w:p>
        </w:tc>
      </w:tr>
      <w:tr w:rsidR="00193C7E" w14:paraId="5FD19EF9" w14:textId="77777777" w:rsidTr="001F3DA2">
        <w:trPr>
          <w:trHeight w:val="293"/>
        </w:trPr>
        <w:tc>
          <w:tcPr>
            <w:tcW w:w="3567" w:type="dxa"/>
          </w:tcPr>
          <w:p w14:paraId="7ADA66EC" w14:textId="77777777" w:rsidR="00193C7E" w:rsidRDefault="00193C7E" w:rsidP="001F3DA2">
            <w:pPr>
              <w:rPr>
                <w:rFonts w:ascii="Arial" w:hAnsi="Arial" w:cs="Arial"/>
              </w:rPr>
            </w:pPr>
            <w:r>
              <w:rPr>
                <w:rFonts w:ascii="Arial" w:hAnsi="Arial" w:cs="Arial"/>
              </w:rPr>
              <w:t>Oxygen Balance (%)</w:t>
            </w:r>
          </w:p>
        </w:tc>
        <w:tc>
          <w:tcPr>
            <w:tcW w:w="3127" w:type="dxa"/>
          </w:tcPr>
          <w:p w14:paraId="27AB6891" w14:textId="77777777" w:rsidR="00193C7E" w:rsidRDefault="00193C7E" w:rsidP="001F3DA2">
            <w:pPr>
              <w:rPr>
                <w:rFonts w:ascii="Arial" w:hAnsi="Arial" w:cs="Arial"/>
              </w:rPr>
            </w:pPr>
            <w:r>
              <w:rPr>
                <w:rFonts w:ascii="Arial" w:hAnsi="Arial" w:cs="Arial"/>
              </w:rPr>
              <w:t>0.00</w:t>
            </w:r>
          </w:p>
        </w:tc>
        <w:tc>
          <w:tcPr>
            <w:tcW w:w="3522" w:type="dxa"/>
          </w:tcPr>
          <w:p w14:paraId="75D74DD3" w14:textId="77777777" w:rsidR="00193C7E" w:rsidRDefault="00193C7E" w:rsidP="001F3DA2">
            <w:pPr>
              <w:rPr>
                <w:rFonts w:ascii="Arial" w:hAnsi="Arial" w:cs="Arial"/>
              </w:rPr>
            </w:pPr>
            <w:r>
              <w:rPr>
                <w:rFonts w:ascii="Arial" w:hAnsi="Arial" w:cs="Arial"/>
              </w:rPr>
              <w:t>-73.96</w:t>
            </w:r>
          </w:p>
        </w:tc>
      </w:tr>
      <w:tr w:rsidR="00193C7E" w14:paraId="1BB2F1F4" w14:textId="77777777" w:rsidTr="001F3DA2">
        <w:trPr>
          <w:trHeight w:val="101"/>
        </w:trPr>
        <w:tc>
          <w:tcPr>
            <w:tcW w:w="3567" w:type="dxa"/>
          </w:tcPr>
          <w:p w14:paraId="07CC9219" w14:textId="77777777" w:rsidR="00193C7E" w:rsidRDefault="00193C7E" w:rsidP="001F3DA2">
            <w:pPr>
              <w:rPr>
                <w:rFonts w:ascii="Arial" w:hAnsi="Arial" w:cs="Arial"/>
              </w:rPr>
            </w:pPr>
            <w:r>
              <w:rPr>
                <w:rFonts w:ascii="Arial" w:hAnsi="Arial" w:cs="Arial"/>
              </w:rPr>
              <w:t>Heat of explosion (</w:t>
            </w:r>
            <m:oMath>
              <m:r>
                <w:rPr>
                  <w:rFonts w:ascii="Cambria Math" w:hAnsi="Cambria Math" w:cs="Arial"/>
                </w:rPr>
                <m:t>∆</m:t>
              </m:r>
              <m:sSub>
                <m:sSubPr>
                  <m:ctrlPr>
                    <w:rPr>
                      <w:rFonts w:ascii="Cambria Math" w:hAnsi="Cambria Math" w:cs="Arial"/>
                      <w:i/>
                    </w:rPr>
                  </m:ctrlPr>
                </m:sSubPr>
                <m:e>
                  <m:r>
                    <w:rPr>
                      <w:rFonts w:ascii="Cambria Math" w:hAnsi="Cambria Math" w:cs="Arial"/>
                    </w:rPr>
                    <m:t>H</m:t>
                  </m:r>
                </m:e>
                <m:sub>
                  <m:r>
                    <w:rPr>
                      <w:rFonts w:ascii="Cambria Math" w:hAnsi="Cambria Math" w:cs="Arial"/>
                    </w:rPr>
                    <m:t>d</m:t>
                  </m:r>
                </m:sub>
              </m:sSub>
              <m:r>
                <w:rPr>
                  <w:rFonts w:ascii="Cambria Math" w:hAnsi="Cambria Math" w:cs="Arial"/>
                </w:rPr>
                <m:t>/kJ  mo</m:t>
              </m:r>
              <m:sSup>
                <m:sSupPr>
                  <m:ctrlPr>
                    <w:rPr>
                      <w:rFonts w:ascii="Cambria Math" w:hAnsi="Cambria Math" w:cs="Arial"/>
                      <w:i/>
                    </w:rPr>
                  </m:ctrlPr>
                </m:sSupPr>
                <m:e>
                  <m:r>
                    <w:rPr>
                      <w:rFonts w:ascii="Cambria Math" w:hAnsi="Cambria Math" w:cs="Arial"/>
                    </w:rPr>
                    <m:t>l</m:t>
                  </m:r>
                </m:e>
                <m:sup>
                  <m:r>
                    <w:rPr>
                      <w:rFonts w:ascii="Cambria Math" w:hAnsi="Cambria Math" w:cs="Arial"/>
                    </w:rPr>
                    <m:t>-1</m:t>
                  </m:r>
                </m:sup>
              </m:sSup>
            </m:oMath>
            <w:r>
              <w:rPr>
                <w:rFonts w:ascii="Arial" w:eastAsiaTheme="minorEastAsia" w:hAnsi="Arial" w:cs="Arial"/>
              </w:rPr>
              <w:t>)</w:t>
            </w:r>
          </w:p>
        </w:tc>
        <w:tc>
          <w:tcPr>
            <w:tcW w:w="3127" w:type="dxa"/>
          </w:tcPr>
          <w:p w14:paraId="4E0D822D" w14:textId="77777777" w:rsidR="00193C7E" w:rsidRDefault="00193C7E" w:rsidP="001F3DA2">
            <w:pPr>
              <w:rPr>
                <w:rFonts w:ascii="Arial" w:hAnsi="Arial" w:cs="Arial"/>
              </w:rPr>
            </w:pPr>
            <w:r>
              <w:rPr>
                <w:rFonts w:ascii="Arial" w:hAnsi="Arial" w:cs="Arial"/>
              </w:rPr>
              <w:t>-469</w:t>
            </w:r>
          </w:p>
        </w:tc>
        <w:tc>
          <w:tcPr>
            <w:tcW w:w="3522" w:type="dxa"/>
          </w:tcPr>
          <w:p w14:paraId="7747E1EB" w14:textId="77777777" w:rsidR="00193C7E" w:rsidRDefault="00193C7E" w:rsidP="001F3DA2">
            <w:pPr>
              <w:rPr>
                <w:rFonts w:ascii="Arial" w:hAnsi="Arial" w:cs="Arial"/>
              </w:rPr>
            </w:pPr>
            <w:r>
              <w:rPr>
                <w:rFonts w:ascii="Arial" w:hAnsi="Arial" w:cs="Arial"/>
              </w:rPr>
              <w:t>-929.34</w:t>
            </w:r>
          </w:p>
        </w:tc>
      </w:tr>
      <w:tr w:rsidR="00193C7E" w14:paraId="79B7ADDE" w14:textId="77777777" w:rsidTr="001F3DA2">
        <w:trPr>
          <w:trHeight w:val="293"/>
        </w:trPr>
        <w:tc>
          <w:tcPr>
            <w:tcW w:w="3567" w:type="dxa"/>
          </w:tcPr>
          <w:p w14:paraId="3AF8E19A" w14:textId="77777777" w:rsidR="00193C7E" w:rsidRDefault="00193C7E" w:rsidP="001F3DA2">
            <w:pPr>
              <w:rPr>
                <w:rFonts w:ascii="Arial" w:hAnsi="Arial" w:cs="Arial"/>
              </w:rPr>
            </w:pPr>
            <w:r>
              <w:rPr>
                <w:rFonts w:ascii="Arial" w:hAnsi="Arial" w:cs="Arial"/>
              </w:rPr>
              <w:t>Heat of Detonation (</w:t>
            </w:r>
            <m:oMath>
              <m:sSub>
                <m:sSubPr>
                  <m:ctrlPr>
                    <w:rPr>
                      <w:rFonts w:ascii="Cambria Math" w:hAnsi="Cambria Math" w:cs="Arial"/>
                      <w:i/>
                    </w:rPr>
                  </m:ctrlPr>
                </m:sSubPr>
                <m:e>
                  <m:r>
                    <w:rPr>
                      <w:rFonts w:ascii="Cambria Math" w:hAnsi="Cambria Math" w:cs="Arial"/>
                    </w:rPr>
                    <m:t>Q</m:t>
                  </m:r>
                </m:e>
                <m:sub>
                  <m:r>
                    <w:rPr>
                      <w:rFonts w:ascii="Cambria Math" w:hAnsi="Cambria Math" w:cs="Arial"/>
                    </w:rPr>
                    <m:t>v</m:t>
                  </m:r>
                </m:sub>
              </m:sSub>
              <m:r>
                <w:rPr>
                  <w:rFonts w:ascii="Cambria Math" w:hAnsi="Cambria Math" w:cs="Arial"/>
                </w:rPr>
                <m:t>/kJ  k</m:t>
              </m:r>
              <m:sSup>
                <m:sSupPr>
                  <m:ctrlPr>
                    <w:rPr>
                      <w:rFonts w:ascii="Cambria Math" w:hAnsi="Cambria Math" w:cs="Arial"/>
                      <w:i/>
                    </w:rPr>
                  </m:ctrlPr>
                </m:sSupPr>
                <m:e>
                  <m:r>
                    <w:rPr>
                      <w:rFonts w:ascii="Cambria Math" w:hAnsi="Cambria Math" w:cs="Arial"/>
                    </w:rPr>
                    <m:t>g</m:t>
                  </m:r>
                </m:e>
                <m:sup>
                  <m:r>
                    <w:rPr>
                      <w:rFonts w:ascii="Cambria Math" w:hAnsi="Cambria Math" w:cs="Arial"/>
                    </w:rPr>
                    <m:t>-1</m:t>
                  </m:r>
                </m:sup>
              </m:sSup>
              <m:r>
                <w:rPr>
                  <w:rFonts w:ascii="Cambria Math" w:hAnsi="Cambria Math" w:cs="Arial"/>
                </w:rPr>
                <m:t xml:space="preserve">) </m:t>
              </m:r>
            </m:oMath>
          </w:p>
        </w:tc>
        <w:tc>
          <w:tcPr>
            <w:tcW w:w="3127" w:type="dxa"/>
          </w:tcPr>
          <w:p w14:paraId="78F3A11E" w14:textId="77777777" w:rsidR="00193C7E" w:rsidRDefault="00193C7E" w:rsidP="001F3DA2">
            <w:pPr>
              <w:rPr>
                <w:rFonts w:ascii="Arial" w:hAnsi="Arial" w:cs="Arial"/>
              </w:rPr>
            </w:pPr>
            <w:r>
              <w:rPr>
                <w:rFonts w:ascii="Arial" w:hAnsi="Arial" w:cs="Arial"/>
              </w:rPr>
              <w:t>1610.36</w:t>
            </w:r>
          </w:p>
        </w:tc>
        <w:tc>
          <w:tcPr>
            <w:tcW w:w="3522" w:type="dxa"/>
          </w:tcPr>
          <w:p w14:paraId="3578E360" w14:textId="77777777" w:rsidR="00193C7E" w:rsidRDefault="00193C7E" w:rsidP="001F3DA2">
            <w:pPr>
              <w:rPr>
                <w:rFonts w:ascii="Arial" w:hAnsi="Arial" w:cs="Arial"/>
              </w:rPr>
            </w:pPr>
            <w:r>
              <w:rPr>
                <w:rFonts w:ascii="Arial" w:hAnsi="Arial" w:cs="Arial"/>
              </w:rPr>
              <w:t>4091.63</w:t>
            </w:r>
          </w:p>
        </w:tc>
      </w:tr>
      <w:tr w:rsidR="00193C7E" w14:paraId="5DFB0951" w14:textId="77777777" w:rsidTr="001F3DA2">
        <w:trPr>
          <w:trHeight w:val="293"/>
        </w:trPr>
        <w:tc>
          <w:tcPr>
            <w:tcW w:w="3567" w:type="dxa"/>
          </w:tcPr>
          <w:p w14:paraId="16960F3E" w14:textId="77777777" w:rsidR="00193C7E" w:rsidRDefault="00193C7E" w:rsidP="001F3DA2">
            <w:pPr>
              <w:rPr>
                <w:rFonts w:ascii="Arial" w:hAnsi="Arial" w:cs="Arial"/>
              </w:rPr>
            </w:pPr>
            <w:r>
              <w:rPr>
                <w:rFonts w:ascii="Arial" w:hAnsi="Arial" w:cs="Arial"/>
              </w:rPr>
              <w:t>Detonation Pressure (</w:t>
            </w:r>
            <w:proofErr w:type="spellStart"/>
            <w:r>
              <w:rPr>
                <w:rFonts w:ascii="Arial" w:hAnsi="Arial" w:cs="Arial"/>
              </w:rPr>
              <w:t>GPa</w:t>
            </w:r>
            <w:proofErr w:type="spellEnd"/>
            <w:r>
              <w:rPr>
                <w:rFonts w:ascii="Arial" w:hAnsi="Arial" w:cs="Arial"/>
              </w:rPr>
              <w:t>)</w:t>
            </w:r>
          </w:p>
        </w:tc>
        <w:tc>
          <w:tcPr>
            <w:tcW w:w="3127" w:type="dxa"/>
          </w:tcPr>
          <w:p w14:paraId="15D37F17" w14:textId="77777777" w:rsidR="00193C7E" w:rsidRDefault="00193C7E" w:rsidP="001F3DA2">
            <w:pPr>
              <w:rPr>
                <w:rFonts w:ascii="Arial" w:hAnsi="Arial" w:cs="Arial"/>
              </w:rPr>
            </w:pPr>
            <w:r>
              <w:rPr>
                <w:rFonts w:ascii="Arial" w:hAnsi="Arial" w:cs="Arial"/>
              </w:rPr>
              <w:t>17.12</w:t>
            </w:r>
            <w:sdt>
              <w:sdtPr>
                <w:rPr>
                  <w:rFonts w:ascii="Arial" w:hAnsi="Arial" w:cs="Arial"/>
                </w:rPr>
                <w:id w:val="-453484703"/>
                <w:citation/>
              </w:sdtPr>
              <w:sdtEndPr/>
              <w:sdtContent>
                <w:r>
                  <w:rPr>
                    <w:rFonts w:ascii="Arial" w:hAnsi="Arial" w:cs="Arial"/>
                  </w:rPr>
                  <w:fldChar w:fldCharType="begin"/>
                </w:r>
                <w:r>
                  <w:rPr>
                    <w:rFonts w:ascii="Arial" w:hAnsi="Arial" w:cs="Arial"/>
                  </w:rPr>
                  <w:instrText xml:space="preserve"> CITATION MuY22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[10]</w:t>
                </w:r>
                <w:r>
                  <w:rPr>
                    <w:rFonts w:ascii="Arial" w:hAnsi="Arial" w:cs="Arial"/>
                  </w:rPr>
                  <w:fldChar w:fldCharType="end"/>
                </w:r>
              </w:sdtContent>
            </w:sdt>
          </w:p>
        </w:tc>
        <w:tc>
          <w:tcPr>
            <w:tcW w:w="3522" w:type="dxa"/>
          </w:tcPr>
          <w:p w14:paraId="6DBF465B" w14:textId="77777777" w:rsidR="00193C7E" w:rsidRDefault="00193C7E" w:rsidP="001F3DA2">
            <w:pPr>
              <w:rPr>
                <w:rFonts w:ascii="Arial" w:hAnsi="Arial" w:cs="Arial"/>
              </w:rPr>
            </w:pPr>
            <w:r>
              <w:rPr>
                <w:rFonts w:ascii="Arial" w:hAnsi="Arial" w:cs="Arial"/>
              </w:rPr>
              <w:t>24</w:t>
            </w:r>
          </w:p>
        </w:tc>
      </w:tr>
      <w:tr w:rsidR="00193C7E" w14:paraId="34D2957C" w14:textId="77777777" w:rsidTr="001F3DA2">
        <w:trPr>
          <w:trHeight w:val="293"/>
        </w:trPr>
        <w:tc>
          <w:tcPr>
            <w:tcW w:w="3567" w:type="dxa"/>
          </w:tcPr>
          <w:p w14:paraId="02A156CD" w14:textId="77777777" w:rsidR="00193C7E" w:rsidRDefault="00193C7E" w:rsidP="001F3DA2">
            <w:pPr>
              <w:rPr>
                <w:rFonts w:ascii="Arial" w:hAnsi="Arial" w:cs="Arial"/>
              </w:rPr>
            </w:pPr>
            <w:r>
              <w:rPr>
                <w:rFonts w:ascii="Arial" w:hAnsi="Arial" w:cs="Arial"/>
              </w:rPr>
              <w:t xml:space="preserve">Factor of insensitiveness </w:t>
            </w:r>
          </w:p>
        </w:tc>
        <w:tc>
          <w:tcPr>
            <w:tcW w:w="3127" w:type="dxa"/>
          </w:tcPr>
          <w:p w14:paraId="028B98F2" w14:textId="77777777" w:rsidR="00193C7E" w:rsidRDefault="00193C7E" w:rsidP="001F3DA2">
            <w:pPr>
              <w:rPr>
                <w:rFonts w:ascii="Arial" w:hAnsi="Arial" w:cs="Arial"/>
              </w:rPr>
            </w:pPr>
            <w:r>
              <w:rPr>
                <w:rFonts w:ascii="Arial" w:hAnsi="Arial" w:cs="Arial"/>
              </w:rPr>
              <w:t>20</w:t>
            </w:r>
            <w:sdt>
              <w:sdtPr>
                <w:rPr>
                  <w:rFonts w:ascii="Arial" w:hAnsi="Arial" w:cs="Arial"/>
                </w:rPr>
                <w:id w:val="530849445"/>
                <w:citation/>
              </w:sdtPr>
              <w:sdtEndPr/>
              <w:sdtContent>
                <w:r>
                  <w:rPr>
                    <w:rFonts w:ascii="Arial" w:hAnsi="Arial" w:cs="Arial"/>
                  </w:rPr>
                  <w:fldChar w:fldCharType="begin"/>
                </w:r>
                <w:r>
                  <w:rPr>
                    <w:rFonts w:ascii="Arial" w:hAnsi="Arial" w:cs="Arial"/>
                  </w:rPr>
                  <w:instrText xml:space="preserve"> CITATION Jai10 \l 2057 </w:instrText>
                </w:r>
                <w:r>
                  <w:rPr>
                    <w:rFonts w:ascii="Arial" w:hAnsi="Arial" w:cs="Arial"/>
                  </w:rPr>
                  <w:fldChar w:fldCharType="separate"/>
                </w:r>
                <w:r>
                  <w:rPr>
                    <w:rFonts w:ascii="Arial" w:hAnsi="Arial" w:cs="Arial"/>
                    <w:noProof/>
                  </w:rPr>
                  <w:t xml:space="preserve"> </w:t>
                </w:r>
                <w:r w:rsidRPr="0055124B">
                  <w:rPr>
                    <w:rFonts w:ascii="Arial" w:hAnsi="Arial" w:cs="Arial"/>
                    <w:noProof/>
                  </w:rPr>
                  <w:t>[3]</w:t>
                </w:r>
                <w:r>
                  <w:rPr>
                    <w:rFonts w:ascii="Arial" w:hAnsi="Arial" w:cs="Arial"/>
                  </w:rPr>
                  <w:fldChar w:fldCharType="end"/>
                </w:r>
              </w:sdtContent>
            </w:sdt>
          </w:p>
        </w:tc>
        <w:tc>
          <w:tcPr>
            <w:tcW w:w="3522" w:type="dxa"/>
          </w:tcPr>
          <w:p w14:paraId="40771E4F" w14:textId="77777777" w:rsidR="00193C7E" w:rsidRDefault="00193C7E" w:rsidP="001F3DA2">
            <w:pPr>
              <w:rPr>
                <w:rFonts w:ascii="Arial" w:hAnsi="Arial" w:cs="Arial"/>
              </w:rPr>
            </w:pPr>
            <w:r>
              <w:rPr>
                <w:rFonts w:ascii="Arial" w:hAnsi="Arial" w:cs="Arial"/>
              </w:rPr>
              <w:t>150</w:t>
            </w:r>
          </w:p>
        </w:tc>
      </w:tr>
      <w:tr w:rsidR="00193C7E" w14:paraId="3B3E97B3" w14:textId="77777777" w:rsidTr="001F3DA2">
        <w:trPr>
          <w:trHeight w:val="349"/>
        </w:trPr>
        <w:tc>
          <w:tcPr>
            <w:tcW w:w="3567" w:type="dxa"/>
          </w:tcPr>
          <w:p w14:paraId="0DBD919D" w14:textId="77777777" w:rsidR="00193C7E" w:rsidRDefault="00193C7E" w:rsidP="001F3DA2">
            <w:pPr>
              <w:rPr>
                <w:rFonts w:ascii="Arial" w:hAnsi="Arial" w:cs="Arial"/>
              </w:rPr>
            </w:pPr>
            <w:r>
              <w:rPr>
                <w:rFonts w:ascii="Arial" w:hAnsi="Arial" w:cs="Arial"/>
              </w:rPr>
              <w:t>Theoretical Maximum density</w:t>
            </w:r>
          </w:p>
        </w:tc>
        <w:tc>
          <w:tcPr>
            <w:tcW w:w="3127" w:type="dxa"/>
          </w:tcPr>
          <w:p w14:paraId="3C87E62A" w14:textId="77777777" w:rsidR="00193C7E" w:rsidRDefault="00193C7E" w:rsidP="001F3DA2">
            <w:pPr>
              <w:rPr>
                <w:rFonts w:ascii="Arial" w:hAnsi="Arial" w:cs="Arial"/>
              </w:rPr>
            </w:pPr>
            <w:r>
              <w:rPr>
                <w:rFonts w:ascii="Arial" w:hAnsi="Arial" w:cs="Arial"/>
              </w:rPr>
              <w:t>4.71g/cc</w:t>
            </w:r>
            <w:sdt>
              <w:sdtPr>
                <w:rPr>
                  <w:rFonts w:ascii="Arial" w:hAnsi="Arial" w:cs="Arial"/>
                </w:rPr>
                <w:id w:val="-803229741"/>
                <w:citation/>
              </w:sdtPr>
              <w:sdtEndPr/>
              <w:sdtContent>
                <w:r w:rsidRPr="004C1398">
                  <w:rPr>
                    <w:rFonts w:ascii="Arial" w:hAnsi="Arial" w:cs="Arial"/>
                  </w:rPr>
                  <w:fldChar w:fldCharType="begin"/>
                </w:r>
                <w:r w:rsidRPr="004C1398">
                  <w:rPr>
                    <w:rFonts w:ascii="Arial" w:hAnsi="Arial" w:cs="Arial"/>
                  </w:rPr>
                  <w:instrText xml:space="preserve"> CITATION Pet06 \l 2057 </w:instrText>
                </w:r>
                <w:r w:rsidRPr="004C1398">
                  <w:rPr>
                    <w:rFonts w:ascii="Arial" w:hAnsi="Arial" w:cs="Arial"/>
                  </w:rPr>
                  <w:fldChar w:fldCharType="separate"/>
                </w:r>
                <w:r>
                  <w:rPr>
                    <w:rFonts w:ascii="Arial" w:hAnsi="Arial" w:cs="Arial"/>
                    <w:noProof/>
                  </w:rPr>
                  <w:t xml:space="preserve"> </w:t>
                </w:r>
                <w:r w:rsidRPr="0055124B">
                  <w:rPr>
                    <w:rFonts w:ascii="Arial" w:hAnsi="Arial" w:cs="Arial"/>
                    <w:noProof/>
                  </w:rPr>
                  <w:t>[5]</w:t>
                </w:r>
                <w:r w:rsidRPr="004C1398">
                  <w:rPr>
                    <w:rFonts w:ascii="Arial" w:hAnsi="Arial" w:cs="Arial"/>
                  </w:rPr>
                  <w:fldChar w:fldCharType="end"/>
                </w:r>
              </w:sdtContent>
            </w:sdt>
          </w:p>
        </w:tc>
        <w:tc>
          <w:tcPr>
            <w:tcW w:w="3522" w:type="dxa"/>
          </w:tcPr>
          <w:p w14:paraId="4495A097" w14:textId="77777777" w:rsidR="00193C7E" w:rsidRDefault="00193C7E" w:rsidP="001F3DA2">
            <w:pPr>
              <w:rPr>
                <w:rFonts w:ascii="Arial" w:hAnsi="Arial" w:cs="Arial"/>
              </w:rPr>
            </w:pPr>
            <w:r>
              <w:rPr>
                <w:rFonts w:ascii="Arial" w:hAnsi="Arial" w:cs="Arial"/>
              </w:rPr>
              <w:t xml:space="preserve">1.64 </w:t>
            </w:r>
            <m:oMath>
              <m:r>
                <w:rPr>
                  <w:rFonts w:ascii="Cambria Math" w:hAnsi="Cambria Math" w:cs="Arial"/>
                </w:rPr>
                <m:t>gc</m:t>
              </m:r>
              <m:sSup>
                <m:sSupPr>
                  <m:ctrlPr>
                    <w:rPr>
                      <w:rFonts w:ascii="Cambria Math" w:hAnsi="Cambria Math" w:cs="Arial"/>
                      <w:i/>
                    </w:rPr>
                  </m:ctrlPr>
                </m:sSupPr>
                <m:e>
                  <m:r>
                    <w:rPr>
                      <w:rFonts w:ascii="Cambria Math" w:hAnsi="Cambria Math" w:cs="Arial"/>
                    </w:rPr>
                    <m:t>m</m:t>
                  </m:r>
                </m:e>
                <m:sup>
                  <m:r>
                    <w:rPr>
                      <w:rFonts w:ascii="Cambria Math" w:hAnsi="Cambria Math" w:cs="Arial"/>
                    </w:rPr>
                    <m:t>-3</m:t>
                  </m:r>
                </m:sup>
              </m:sSup>
            </m:oMath>
          </w:p>
        </w:tc>
      </w:tr>
      <w:tr w:rsidR="00193C7E" w14:paraId="04CF7122" w14:textId="77777777" w:rsidTr="001F3DA2">
        <w:trPr>
          <w:trHeight w:val="293"/>
        </w:trPr>
        <w:tc>
          <w:tcPr>
            <w:tcW w:w="3567" w:type="dxa"/>
          </w:tcPr>
          <w:p w14:paraId="6B4E7582" w14:textId="77777777" w:rsidR="00193C7E" w:rsidRDefault="00193C7E" w:rsidP="001F3DA2">
            <w:pPr>
              <w:rPr>
                <w:rFonts w:ascii="Arial" w:hAnsi="Arial" w:cs="Arial"/>
              </w:rPr>
            </w:pPr>
            <w:r>
              <w:rPr>
                <w:rFonts w:ascii="Arial" w:hAnsi="Arial" w:cs="Arial"/>
              </w:rPr>
              <w:t>Power Index (%)</w:t>
            </w:r>
          </w:p>
        </w:tc>
        <w:tc>
          <w:tcPr>
            <w:tcW w:w="3127" w:type="dxa"/>
          </w:tcPr>
          <w:p w14:paraId="3BFEE101" w14:textId="77777777" w:rsidR="00193C7E" w:rsidRDefault="00193C7E" w:rsidP="001F3DA2">
            <w:pPr>
              <w:rPr>
                <w:rFonts w:ascii="Arial" w:hAnsi="Arial" w:cs="Arial"/>
              </w:rPr>
            </w:pPr>
            <w:r>
              <w:rPr>
                <w:rFonts w:ascii="Arial" w:hAnsi="Arial" w:cs="Arial"/>
              </w:rPr>
              <w:t>12.8</w:t>
            </w:r>
          </w:p>
        </w:tc>
        <w:tc>
          <w:tcPr>
            <w:tcW w:w="3522" w:type="dxa"/>
          </w:tcPr>
          <w:p w14:paraId="3C0AC90B" w14:textId="77777777" w:rsidR="00193C7E" w:rsidRDefault="00193C7E" w:rsidP="001F3DA2">
            <w:pPr>
              <w:rPr>
                <w:rFonts w:ascii="Arial" w:hAnsi="Arial" w:cs="Arial"/>
              </w:rPr>
            </w:pPr>
            <w:r>
              <w:rPr>
                <w:rFonts w:ascii="Arial" w:hAnsi="Arial" w:cs="Arial"/>
              </w:rPr>
              <w:t>110.32</w:t>
            </w:r>
          </w:p>
        </w:tc>
      </w:tr>
      <w:tr w:rsidR="00193C7E" w14:paraId="52B4995D" w14:textId="77777777" w:rsidTr="001F3DA2">
        <w:trPr>
          <w:trHeight w:val="293"/>
        </w:trPr>
        <w:tc>
          <w:tcPr>
            <w:tcW w:w="3567" w:type="dxa"/>
          </w:tcPr>
          <w:p w14:paraId="2533D96E" w14:textId="77777777" w:rsidR="00193C7E" w:rsidRDefault="00193C7E" w:rsidP="001F3DA2">
            <w:pPr>
              <w:rPr>
                <w:rFonts w:ascii="Arial" w:hAnsi="Arial" w:cs="Arial"/>
              </w:rPr>
            </w:pPr>
            <w:r>
              <w:rPr>
                <w:rFonts w:ascii="Arial" w:hAnsi="Arial" w:cs="Arial"/>
              </w:rPr>
              <w:t>Explosive power</w:t>
            </w:r>
          </w:p>
        </w:tc>
        <w:tc>
          <w:tcPr>
            <w:tcW w:w="3127" w:type="dxa"/>
          </w:tcPr>
          <w:p w14:paraId="51290DA7" w14:textId="77777777" w:rsidR="00193C7E" w:rsidRDefault="00193C7E" w:rsidP="001F3DA2">
            <w:pPr>
              <w:rPr>
                <w:rFonts w:ascii="Arial" w:hAnsi="Arial" w:cs="Arial"/>
              </w:rPr>
            </w:pPr>
            <w:r>
              <w:rPr>
                <w:rFonts w:ascii="Arial" w:hAnsi="Arial" w:cs="Arial"/>
              </w:rPr>
              <w:t>35.11</w:t>
            </w:r>
          </w:p>
        </w:tc>
        <w:tc>
          <w:tcPr>
            <w:tcW w:w="3522" w:type="dxa"/>
          </w:tcPr>
          <w:p w14:paraId="2EFD9E74" w14:textId="77777777" w:rsidR="00193C7E" w:rsidRDefault="00193C7E" w:rsidP="001F3DA2">
            <w:pPr>
              <w:rPr>
                <w:rFonts w:ascii="Arial" w:hAnsi="Arial" w:cs="Arial"/>
              </w:rPr>
            </w:pPr>
            <w:r>
              <w:rPr>
                <w:rFonts w:ascii="Arial" w:hAnsi="Arial" w:cs="Arial"/>
              </w:rPr>
              <w:t>302.64</w:t>
            </w:r>
          </w:p>
        </w:tc>
      </w:tr>
      <w:tr w:rsidR="00193C7E" w14:paraId="1D9D89ED" w14:textId="77777777" w:rsidTr="00004E96">
        <w:trPr>
          <w:trHeight w:val="115"/>
        </w:trPr>
        <w:tc>
          <w:tcPr>
            <w:tcW w:w="3567" w:type="dxa"/>
          </w:tcPr>
          <w:p w14:paraId="756C5ABA" w14:textId="77777777" w:rsidR="00193C7E" w:rsidRDefault="00193C7E" w:rsidP="001F3DA2">
            <w:pPr>
              <w:rPr>
                <w:rFonts w:ascii="Arial" w:hAnsi="Arial" w:cs="Arial"/>
              </w:rPr>
            </w:pPr>
            <w:r>
              <w:rPr>
                <w:rFonts w:ascii="Arial" w:hAnsi="Arial" w:cs="Arial"/>
              </w:rPr>
              <w:t xml:space="preserve">Standard density </w:t>
            </w:r>
            <m:oMath>
              <m:r>
                <w:rPr>
                  <w:rFonts w:ascii="Cambria Math" w:hAnsi="Cambria Math" w:cs="Arial"/>
                </w:rPr>
                <m:t>(gc</m:t>
              </m:r>
              <m:sSup>
                <m:sSupPr>
                  <m:ctrlPr>
                    <w:rPr>
                      <w:rFonts w:ascii="Cambria Math" w:hAnsi="Cambria Math" w:cs="Arial"/>
                      <w:i/>
                    </w:rPr>
                  </m:ctrlPr>
                </m:sSupPr>
                <m:e>
                  <m:r>
                    <w:rPr>
                      <w:rFonts w:ascii="Cambria Math" w:hAnsi="Cambria Math" w:cs="Arial"/>
                    </w:rPr>
                    <m:t>m</m:t>
                  </m:r>
                </m:e>
                <m:sup>
                  <m:r>
                    <w:rPr>
                      <w:rFonts w:ascii="Cambria Math" w:hAnsi="Cambria Math" w:cs="Arial"/>
                    </w:rPr>
                    <m:t>-3</m:t>
                  </m:r>
                </m:sup>
              </m:sSup>
              <m:r>
                <w:rPr>
                  <w:rFonts w:ascii="Cambria Math" w:eastAsiaTheme="minorEastAsia" w:hAnsi="Cambria Math" w:cs="Arial"/>
                </w:rPr>
                <m:t>)</m:t>
              </m:r>
            </m:oMath>
          </w:p>
        </w:tc>
        <w:tc>
          <w:tcPr>
            <w:tcW w:w="3127" w:type="dxa"/>
          </w:tcPr>
          <w:p w14:paraId="58E17885" w14:textId="77777777" w:rsidR="00193C7E" w:rsidRDefault="00193C7E" w:rsidP="001F3DA2">
            <w:pPr>
              <w:rPr>
                <w:rFonts w:ascii="Arial" w:hAnsi="Arial" w:cs="Arial"/>
              </w:rPr>
            </w:pPr>
            <w:r>
              <w:rPr>
                <w:rFonts w:ascii="Arial" w:hAnsi="Arial" w:cs="Arial"/>
              </w:rPr>
              <w:t>SLA 4.78</w:t>
            </w:r>
          </w:p>
        </w:tc>
        <w:tc>
          <w:tcPr>
            <w:tcW w:w="3522" w:type="dxa"/>
          </w:tcPr>
          <w:p w14:paraId="5CD97655" w14:textId="77777777" w:rsidR="00193C7E" w:rsidRDefault="00193C7E" w:rsidP="001F3DA2">
            <w:pPr>
              <w:rPr>
                <w:rFonts w:ascii="Arial" w:hAnsi="Arial" w:cs="Arial"/>
              </w:rPr>
            </w:pPr>
            <w:r>
              <w:rPr>
                <w:rFonts w:ascii="Arial" w:hAnsi="Arial" w:cs="Arial"/>
              </w:rPr>
              <w:t>1.60</w:t>
            </w:r>
          </w:p>
        </w:tc>
      </w:tr>
    </w:tbl>
    <w:p w14:paraId="3FC103EB" w14:textId="77777777" w:rsidR="00193C7E" w:rsidRDefault="00193C7E" w:rsidP="00193C7E">
      <w:pPr>
        <w:rPr>
          <w:rFonts w:ascii="Arial" w:hAnsi="Arial" w:cs="Arial"/>
        </w:rPr>
      </w:pPr>
    </w:p>
    <w:p w14:paraId="6AC01866" w14:textId="77777777" w:rsidR="00193C7E" w:rsidRDefault="00193C7E" w:rsidP="00193C7E">
      <w:pPr>
        <w:spacing w:line="360" w:lineRule="auto"/>
        <w:rPr>
          <w:rFonts w:ascii="Arial" w:hAnsi="Arial" w:cs="Arial"/>
        </w:rPr>
      </w:pPr>
      <w:r>
        <w:rPr>
          <w:rFonts w:ascii="Arial" w:hAnsi="Arial" w:cs="Arial"/>
        </w:rPr>
        <w:t xml:space="preserve">In comparison lead </w:t>
      </w:r>
      <w:proofErr w:type="spellStart"/>
      <w:r>
        <w:rPr>
          <w:rFonts w:ascii="Arial" w:hAnsi="Arial" w:cs="Arial"/>
        </w:rPr>
        <w:t>azide</w:t>
      </w:r>
      <w:proofErr w:type="spellEnd"/>
      <w:r>
        <w:rPr>
          <w:rFonts w:ascii="Arial" w:hAnsi="Arial" w:cs="Arial"/>
        </w:rPr>
        <w:t xml:space="preserve"> and TNT have many differences, lead </w:t>
      </w:r>
      <w:proofErr w:type="spellStart"/>
      <w:r>
        <w:rPr>
          <w:rFonts w:ascii="Arial" w:hAnsi="Arial" w:cs="Arial"/>
        </w:rPr>
        <w:t>azide</w:t>
      </w:r>
      <w:proofErr w:type="spellEnd"/>
      <w:r>
        <w:rPr>
          <w:rFonts w:ascii="Arial" w:hAnsi="Arial" w:cs="Arial"/>
        </w:rPr>
        <w:t xml:space="preserve"> is a much denser compound than TNT at both standard value and at critical diameter. TNT has a much greater detonation velocity and explosive power. Both share a negative heat of explosion releasing huge amounts of heat and gas to the surroundings. </w:t>
      </w:r>
    </w:p>
    <w:p w14:paraId="0D7969D0" w14:textId="77777777" w:rsidR="001521A5" w:rsidRDefault="001521A5" w:rsidP="00193C7E">
      <w:pPr>
        <w:spacing w:line="360" w:lineRule="auto"/>
        <w:rPr>
          <w:rFonts w:ascii="Arial" w:hAnsi="Arial" w:cs="Arial"/>
        </w:rPr>
      </w:pPr>
    </w:p>
    <w:p w14:paraId="0B0AA425" w14:textId="77777777" w:rsidR="001521A5" w:rsidRDefault="001521A5" w:rsidP="00193C7E">
      <w:pPr>
        <w:spacing w:line="360" w:lineRule="auto"/>
        <w:rPr>
          <w:rFonts w:ascii="Arial" w:hAnsi="Arial" w:cs="Arial"/>
        </w:rPr>
      </w:pPr>
    </w:p>
    <w:p w14:paraId="0892F1A0" w14:textId="77777777" w:rsidR="001521A5" w:rsidRDefault="001521A5" w:rsidP="00193C7E">
      <w:pPr>
        <w:spacing w:line="360" w:lineRule="auto"/>
        <w:rPr>
          <w:rFonts w:ascii="Arial" w:hAnsi="Arial" w:cs="Arial"/>
        </w:rPr>
      </w:pPr>
    </w:p>
    <w:p w14:paraId="6E54646B" w14:textId="77777777" w:rsidR="001521A5" w:rsidRDefault="001521A5" w:rsidP="00193C7E">
      <w:pPr>
        <w:spacing w:line="360" w:lineRule="auto"/>
        <w:rPr>
          <w:rFonts w:ascii="Arial" w:hAnsi="Arial" w:cs="Arial"/>
        </w:rPr>
      </w:pPr>
    </w:p>
    <w:p w14:paraId="4BDDACAF" w14:textId="77777777" w:rsidR="001521A5" w:rsidRDefault="001521A5" w:rsidP="00193C7E">
      <w:pPr>
        <w:spacing w:line="360" w:lineRule="auto"/>
        <w:rPr>
          <w:rFonts w:ascii="Arial" w:hAnsi="Arial" w:cs="Arial"/>
        </w:rPr>
      </w:pPr>
    </w:p>
    <w:p w14:paraId="52A4419E" w14:textId="77777777" w:rsidR="001521A5" w:rsidRDefault="001521A5" w:rsidP="00193C7E">
      <w:pPr>
        <w:spacing w:line="360" w:lineRule="auto"/>
        <w:rPr>
          <w:rFonts w:ascii="Arial" w:hAnsi="Arial" w:cs="Arial"/>
        </w:rPr>
      </w:pPr>
    </w:p>
    <w:p w14:paraId="0B785165" w14:textId="77777777" w:rsidR="001521A5" w:rsidRDefault="001521A5" w:rsidP="00193C7E">
      <w:pPr>
        <w:spacing w:line="360" w:lineRule="auto"/>
        <w:rPr>
          <w:rFonts w:ascii="Arial" w:hAnsi="Arial" w:cs="Arial"/>
        </w:rPr>
      </w:pPr>
    </w:p>
    <w:p w14:paraId="5869E61B" w14:textId="77777777" w:rsidR="001521A5" w:rsidRDefault="001521A5" w:rsidP="00193C7E">
      <w:pPr>
        <w:spacing w:line="360" w:lineRule="auto"/>
        <w:rPr>
          <w:rFonts w:ascii="Arial" w:hAnsi="Arial" w:cs="Arial"/>
        </w:rPr>
      </w:pPr>
    </w:p>
    <w:p w14:paraId="29F63DF1" w14:textId="77777777" w:rsidR="001521A5" w:rsidRDefault="001521A5" w:rsidP="00193C7E">
      <w:pPr>
        <w:spacing w:line="360" w:lineRule="auto"/>
        <w:rPr>
          <w:rFonts w:ascii="Arial" w:hAnsi="Arial" w:cs="Arial"/>
        </w:rPr>
      </w:pPr>
    </w:p>
    <w:p w14:paraId="0B7306C6" w14:textId="7CE22A1C" w:rsidR="001521A5" w:rsidRDefault="001521A5" w:rsidP="1F2AB047">
      <w:pPr>
        <w:spacing w:line="360" w:lineRule="auto"/>
        <w:rPr>
          <w:rFonts w:ascii="Arial" w:hAnsi="Arial" w:cs="Arial"/>
        </w:rPr>
      </w:pPr>
    </w:p>
    <w:p w14:paraId="7DA22DC5" w14:textId="77777777" w:rsidR="00231FFD" w:rsidRPr="00E62365" w:rsidRDefault="00231FFD" w:rsidP="00231FFD">
      <w:pPr>
        <w:pStyle w:val="Heading1"/>
      </w:pPr>
      <w:bookmarkStart w:id="10" w:name="_Toc216714097"/>
      <w:r>
        <w:lastRenderedPageBreak/>
        <w:t>Critical diameter, density and detonation</w:t>
      </w:r>
      <w:bookmarkEnd w:id="10"/>
      <w:r>
        <w:t xml:space="preserve"> </w:t>
      </w:r>
    </w:p>
    <w:p w14:paraId="5E761DFD" w14:textId="77777777" w:rsidR="006B55E8" w:rsidRDefault="006B55E8" w:rsidP="006B55E8">
      <w:pPr>
        <w:pStyle w:val="Heading2"/>
      </w:pPr>
      <w:bookmarkStart w:id="11" w:name="_Toc216714098"/>
      <w:r>
        <w:t>Critical Density and Theoretical Maximum Density</w:t>
      </w:r>
      <w:bookmarkEnd w:id="11"/>
    </w:p>
    <w:p w14:paraId="35E76DF3" w14:textId="77777777" w:rsidR="001B6490" w:rsidRPr="00353C69" w:rsidRDefault="001B6490" w:rsidP="001B6490">
      <w:pPr>
        <w:spacing w:line="360" w:lineRule="auto"/>
      </w:pPr>
      <w:r w:rsidRPr="00353C69">
        <w:t>The critical density is the value at which a steady detonation and decomposition of an energetic material occur</w:t>
      </w:r>
      <w:sdt>
        <w:sdtPr>
          <w:id w:val="-1164936938"/>
          <w:citation/>
        </w:sdtPr>
        <w:sdtEndPr/>
        <w:sdtContent>
          <w:r w:rsidRPr="00353C69">
            <w:fldChar w:fldCharType="begin"/>
          </w:r>
          <w:r w:rsidRPr="00353C69">
            <w:instrText xml:space="preserve"> CITATION Utk02 \l 2057 </w:instrText>
          </w:r>
          <w:r w:rsidRPr="00353C69">
            <w:fldChar w:fldCharType="separate"/>
          </w:r>
          <w:r>
            <w:rPr>
              <w:noProof/>
            </w:rPr>
            <w:t xml:space="preserve"> </w:t>
          </w:r>
          <w:r w:rsidRPr="0055124B">
            <w:rPr>
              <w:noProof/>
            </w:rPr>
            <w:t>[15]</w:t>
          </w:r>
          <w:r w:rsidRPr="00353C69">
            <w:fldChar w:fldCharType="end"/>
          </w:r>
        </w:sdtContent>
      </w:sdt>
      <w:r w:rsidRPr="00353C69">
        <w:t>. Explosives</w:t>
      </w:r>
      <w:r>
        <w:t xml:space="preserve"> </w:t>
      </w:r>
      <w:r w:rsidRPr="00353C69">
        <w:t>have a theoretical maximum density</w:t>
      </w:r>
      <w:r>
        <w:t xml:space="preserve"> (TMD)</w:t>
      </w:r>
      <w:r w:rsidRPr="00353C69">
        <w:t xml:space="preserve"> which is the “mass per unit volume of a single crystal of the explosive”</w:t>
      </w:r>
      <w:sdt>
        <w:sdtPr>
          <w:id w:val="477894113"/>
          <w:citation/>
        </w:sdtPr>
        <w:sdtEndPr/>
        <w:sdtContent>
          <w:r w:rsidRPr="00353C69">
            <w:fldChar w:fldCharType="begin"/>
          </w:r>
          <w:r w:rsidRPr="00353C69">
            <w:instrText xml:space="preserve">CITATION Rob00 \l 2057 </w:instrText>
          </w:r>
          <w:r w:rsidRPr="00353C69">
            <w:fldChar w:fldCharType="separate"/>
          </w:r>
          <w:r>
            <w:rPr>
              <w:noProof/>
            </w:rPr>
            <w:t xml:space="preserve"> </w:t>
          </w:r>
          <w:r w:rsidRPr="0055124B">
            <w:rPr>
              <w:noProof/>
            </w:rPr>
            <w:t>[16]</w:t>
          </w:r>
          <w:r w:rsidRPr="00353C69">
            <w:fldChar w:fldCharType="end"/>
          </w:r>
        </w:sdtContent>
      </w:sdt>
      <w:r w:rsidRPr="00353C69">
        <w:t xml:space="preserve">. It is not possible to reach </w:t>
      </w:r>
      <w:r>
        <w:t xml:space="preserve">TMD </w:t>
      </w:r>
      <w:r w:rsidRPr="00353C69">
        <w:t xml:space="preserve">and at values above 98% TMD dead pressing can occur </w:t>
      </w:r>
      <w:sdt>
        <w:sdtPr>
          <w:id w:val="1993056332"/>
          <w:citation/>
        </w:sdtPr>
        <w:sdtEndPr/>
        <w:sdtContent>
          <w:r w:rsidRPr="00353C69">
            <w:fldChar w:fldCharType="begin"/>
          </w:r>
          <w:r w:rsidRPr="00353C69">
            <w:instrText xml:space="preserve">CITATION Rob00 \l 2057 </w:instrText>
          </w:r>
          <w:r w:rsidRPr="00353C69">
            <w:fldChar w:fldCharType="separate"/>
          </w:r>
          <w:r w:rsidRPr="0055124B">
            <w:rPr>
              <w:noProof/>
            </w:rPr>
            <w:t>[16]</w:t>
          </w:r>
          <w:r w:rsidRPr="00353C69">
            <w:fldChar w:fldCharType="end"/>
          </w:r>
        </w:sdtContent>
      </w:sdt>
      <w:r w:rsidRPr="00353C69">
        <w:t>.</w:t>
      </w:r>
    </w:p>
    <w:p w14:paraId="1E688DF3" w14:textId="77777777" w:rsidR="007F685F" w:rsidRDefault="007F685F" w:rsidP="007F685F">
      <w:pPr>
        <w:spacing w:line="360" w:lineRule="auto"/>
      </w:pPr>
      <w:r>
        <w:t>Pure TNT in the form of needle shaped crystals has a loose texture and therefore is not at maximum density, additions to the casted TNT can improve the structure and density</w:t>
      </w:r>
      <w:sdt>
        <w:sdtPr>
          <w:id w:val="1569685396"/>
          <w:citation/>
        </w:sdtPr>
        <w:sdtEndPr/>
        <w:sdtContent>
          <w:r>
            <w:fldChar w:fldCharType="begin"/>
          </w:r>
          <w:r>
            <w:instrText xml:space="preserve"> CITATION Mey15 \l 2057 </w:instrText>
          </w:r>
          <w:r>
            <w:fldChar w:fldCharType="separate"/>
          </w:r>
          <w:r>
            <w:rPr>
              <w:noProof/>
            </w:rPr>
            <w:t xml:space="preserve"> </w:t>
          </w:r>
          <w:r w:rsidRPr="0055124B">
            <w:rPr>
              <w:noProof/>
            </w:rPr>
            <w:t>[17]</w:t>
          </w:r>
          <w:r>
            <w:fldChar w:fldCharType="end"/>
          </w:r>
        </w:sdtContent>
      </w:sdt>
      <w:r>
        <w:t>. Higher detonation velocity can be produced using a non-explosive to replace the air in the explosive material. This can be applied to explosives with a density lower that the theoretical max density</w:t>
      </w:r>
      <w:sdt>
        <w:sdtPr>
          <w:id w:val="-1856802176"/>
          <w:citation/>
        </w:sdtPr>
        <w:sdtEndPr/>
        <w:sdtContent>
          <w:r>
            <w:fldChar w:fldCharType="begin"/>
          </w:r>
          <w:r>
            <w:instrText xml:space="preserve"> CITATION Kla21 \l 2057 </w:instrText>
          </w:r>
          <w:r>
            <w:fldChar w:fldCharType="separate"/>
          </w:r>
          <w:r>
            <w:rPr>
              <w:noProof/>
            </w:rPr>
            <w:t xml:space="preserve"> </w:t>
          </w:r>
          <w:r w:rsidRPr="0055124B">
            <w:rPr>
              <w:noProof/>
            </w:rPr>
            <w:t>[18]</w:t>
          </w:r>
          <w:r>
            <w:fldChar w:fldCharType="end"/>
          </w:r>
        </w:sdtContent>
      </w:sdt>
      <w:r>
        <w:t xml:space="preserve">. </w:t>
      </w:r>
    </w:p>
    <w:p w14:paraId="2703A9AF" w14:textId="7F154A88" w:rsidR="00602E8C" w:rsidRDefault="00FC27B1" w:rsidP="00FE6466">
      <w:pPr>
        <w:spacing w:line="360" w:lineRule="auto"/>
      </w:pPr>
      <w:r>
        <w:t xml:space="preserve">TNT has a theoretical maximum </w:t>
      </w:r>
      <w:r w:rsidRPr="0072271A">
        <w:t>density of 1.64</w:t>
      </w:r>
      <m:oMath>
        <m:r>
          <w:rPr>
            <w:rFonts w:ascii="Cambria Math" w:hAnsi="Cambria Math" w:cs="Arial"/>
          </w:rPr>
          <m:t>(gc</m:t>
        </m:r>
        <m:sSup>
          <m:sSupPr>
            <m:ctrlPr>
              <w:rPr>
                <w:rFonts w:ascii="Cambria Math" w:hAnsi="Cambria Math" w:cs="Arial"/>
                <w:i/>
              </w:rPr>
            </m:ctrlPr>
          </m:sSupPr>
          <m:e>
            <m:r>
              <w:rPr>
                <w:rFonts w:ascii="Cambria Math" w:hAnsi="Cambria Math" w:cs="Arial"/>
              </w:rPr>
              <m:t>m</m:t>
            </m:r>
          </m:e>
          <m:sup>
            <m:r>
              <w:rPr>
                <w:rFonts w:ascii="Cambria Math" w:hAnsi="Cambria Math" w:cs="Arial"/>
              </w:rPr>
              <m:t>-3</m:t>
            </m:r>
          </m:sup>
        </m:sSup>
        <m:r>
          <w:rPr>
            <w:rFonts w:ascii="Cambria Math" w:eastAsiaTheme="minorEastAsia" w:hAnsi="Cambria Math" w:cs="Arial"/>
          </w:rPr>
          <m:t>)</m:t>
        </m:r>
      </m:oMath>
      <w:r w:rsidRPr="0072271A">
        <w:t xml:space="preserve"> with </w:t>
      </w:r>
      <w:r>
        <w:t>a factor of insensitiveness of 150 from the Rotter Test</w:t>
      </w:r>
      <w:sdt>
        <w:sdtPr>
          <w:id w:val="720718256"/>
          <w:citation/>
        </w:sdtPr>
        <w:sdtEndPr/>
        <w:sdtContent>
          <w:r>
            <w:fldChar w:fldCharType="begin"/>
          </w:r>
          <w:r>
            <w:instrText xml:space="preserve"> CITATION MOD20 \l 2057 </w:instrText>
          </w:r>
          <w:r>
            <w:fldChar w:fldCharType="separate"/>
          </w:r>
          <w:r>
            <w:rPr>
              <w:noProof/>
            </w:rPr>
            <w:t xml:space="preserve"> </w:t>
          </w:r>
          <w:r w:rsidRPr="0055124B">
            <w:rPr>
              <w:noProof/>
            </w:rPr>
            <w:t>[1]</w:t>
          </w:r>
          <w:r>
            <w:fldChar w:fldCharType="end"/>
          </w:r>
        </w:sdtContent>
      </w:sdt>
      <w:r>
        <w:t>.  Appendix A and B show the comparison of charge diameters of poured and creamed TNT in both confined and unconfined environments. In unconfined creamed TNT there is no detonation at density’s below 1.605</w:t>
      </w:r>
      <m:oMath>
        <m:r>
          <w:rPr>
            <w:rFonts w:ascii="Cambria Math" w:hAnsi="Cambria Math" w:cs="Arial"/>
          </w:rPr>
          <m:t>(gc</m:t>
        </m:r>
        <m:sSup>
          <m:sSupPr>
            <m:ctrlPr>
              <w:rPr>
                <w:rFonts w:ascii="Cambria Math" w:hAnsi="Cambria Math" w:cs="Arial"/>
                <w:i/>
              </w:rPr>
            </m:ctrlPr>
          </m:sSupPr>
          <m:e>
            <m:r>
              <w:rPr>
                <w:rFonts w:ascii="Cambria Math" w:hAnsi="Cambria Math" w:cs="Arial"/>
              </w:rPr>
              <m:t>m</m:t>
            </m:r>
          </m:e>
          <m:sup>
            <m:r>
              <w:rPr>
                <w:rFonts w:ascii="Cambria Math" w:hAnsi="Cambria Math" w:cs="Arial"/>
              </w:rPr>
              <m:t>-3</m:t>
            </m:r>
          </m:sup>
        </m:sSup>
        <m:r>
          <w:rPr>
            <w:rFonts w:ascii="Cambria Math" w:eastAsiaTheme="minorEastAsia" w:hAnsi="Cambria Math" w:cs="Arial"/>
          </w:rPr>
          <m:t>)</m:t>
        </m:r>
      </m:oMath>
      <w:r>
        <w:t xml:space="preserve"> with a charge diameter of 1.66cm,</w:t>
      </w:r>
      <w:r w:rsidR="005252C0">
        <w:t xml:space="preserve"> </w:t>
      </w:r>
      <w:r w:rsidR="00931E58">
        <w:t>however when confined in a steel tube, densities of 1.600</w:t>
      </w:r>
      <m:oMath>
        <m:r>
          <w:rPr>
            <w:rFonts w:ascii="Cambria Math" w:hAnsi="Cambria Math" w:cs="Arial"/>
          </w:rPr>
          <m:t>(gc</m:t>
        </m:r>
        <m:sSup>
          <m:sSupPr>
            <m:ctrlPr>
              <w:rPr>
                <w:rFonts w:ascii="Cambria Math" w:hAnsi="Cambria Math" w:cs="Arial"/>
                <w:i/>
              </w:rPr>
            </m:ctrlPr>
          </m:sSupPr>
          <m:e>
            <m:r>
              <w:rPr>
                <w:rFonts w:ascii="Cambria Math" w:hAnsi="Cambria Math" w:cs="Arial"/>
              </w:rPr>
              <m:t>m</m:t>
            </m:r>
          </m:e>
          <m:sup>
            <m:r>
              <w:rPr>
                <w:rFonts w:ascii="Cambria Math" w:hAnsi="Cambria Math" w:cs="Arial"/>
              </w:rPr>
              <m:t>-3</m:t>
            </m:r>
          </m:sup>
        </m:sSup>
        <m:r>
          <w:rPr>
            <w:rFonts w:ascii="Cambria Math" w:eastAsiaTheme="minorEastAsia" w:hAnsi="Cambria Math" w:cs="Arial"/>
          </w:rPr>
          <m:t>)</m:t>
        </m:r>
      </m:oMath>
      <w:r w:rsidR="00931E58">
        <w:t xml:space="preserve">  and 1.605</w:t>
      </w:r>
      <m:oMath>
        <m:r>
          <w:rPr>
            <w:rFonts w:ascii="Cambria Math" w:hAnsi="Cambria Math" w:cs="Arial"/>
          </w:rPr>
          <m:t>(gc</m:t>
        </m:r>
        <m:sSup>
          <m:sSupPr>
            <m:ctrlPr>
              <w:rPr>
                <w:rFonts w:ascii="Cambria Math" w:hAnsi="Cambria Math" w:cs="Arial"/>
                <w:i/>
              </w:rPr>
            </m:ctrlPr>
          </m:sSupPr>
          <m:e>
            <m:r>
              <w:rPr>
                <w:rFonts w:ascii="Cambria Math" w:hAnsi="Cambria Math" w:cs="Arial"/>
              </w:rPr>
              <m:t>m</m:t>
            </m:r>
          </m:e>
          <m:sup>
            <m:r>
              <w:rPr>
                <w:rFonts w:ascii="Cambria Math" w:hAnsi="Cambria Math" w:cs="Arial"/>
              </w:rPr>
              <m:t>-3</m:t>
            </m:r>
          </m:sup>
        </m:sSup>
        <m:r>
          <w:rPr>
            <w:rFonts w:ascii="Cambria Math" w:eastAsiaTheme="minorEastAsia" w:hAnsi="Cambria Math" w:cs="Arial"/>
          </w:rPr>
          <m:t>)</m:t>
        </m:r>
      </m:oMath>
      <w:r w:rsidR="00931E58">
        <w:t xml:space="preserve"> detonated with velocity 6630m/s and 6770m/s. It can also be seen that increasing the density in the confined creamed TNT increased the mean velocity. Increasing the density of the unconfined creamed TNT also increased the mean velocity. These tests shown that increasing</w:t>
      </w:r>
      <w:r w:rsidR="00020F55" w:rsidRPr="00020F55">
        <w:t xml:space="preserve"> </w:t>
      </w:r>
      <w:r w:rsidR="00020F55">
        <w:t xml:space="preserve">up to TMD leads to an increase in the detonation velocity </w:t>
      </w:r>
      <w:sdt>
        <w:sdtPr>
          <w:id w:val="-1059010721"/>
          <w:citation/>
        </w:sdtPr>
        <w:sdtEndPr/>
        <w:sdtContent>
          <w:r w:rsidR="00020F55">
            <w:fldChar w:fldCharType="begin"/>
          </w:r>
          <w:r w:rsidR="00020F55">
            <w:instrText xml:space="preserve"> CITATION Cyb49 \l 2057 </w:instrText>
          </w:r>
          <w:r w:rsidR="00020F55">
            <w:fldChar w:fldCharType="separate"/>
          </w:r>
          <w:r w:rsidR="00020F55" w:rsidRPr="0055124B">
            <w:rPr>
              <w:noProof/>
            </w:rPr>
            <w:t>[19]</w:t>
          </w:r>
          <w:r w:rsidR="00020F55">
            <w:fldChar w:fldCharType="end"/>
          </w:r>
        </w:sdtContent>
      </w:sdt>
      <w:r w:rsidR="00020F55">
        <w:t>. Appendix C also shows the boundaries and limits for the maximum velocity of detonation and diameters of a cast TNT. The</w:t>
      </w:r>
      <w:r w:rsidR="007C4C05">
        <w:t xml:space="preserve"> </w:t>
      </w:r>
      <w:r w:rsidR="008C3366">
        <w:t>limiting value of velocity of detonation</w:t>
      </w:r>
      <w:r w:rsidR="004E57B3">
        <w:t xml:space="preserve"> is 6950m/s</w:t>
      </w:r>
      <w:r w:rsidR="008C3366">
        <w:t xml:space="preserve"> obtained with pure TNT at density </w:t>
      </w:r>
      <w:r w:rsidR="001F3609">
        <w:t>1.6</w:t>
      </w:r>
      <w:r w:rsidR="00C00535">
        <w:t>25(</w:t>
      </w:r>
      <m:oMath>
        <m:r>
          <w:rPr>
            <w:rFonts w:ascii="Cambria Math" w:hAnsi="Cambria Math"/>
          </w:rPr>
          <m:t>g/c</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m:t>
        </m:r>
      </m:oMath>
      <w:r w:rsidR="0077306E">
        <w:rPr>
          <w:rFonts w:eastAsiaTheme="minorEastAsia"/>
        </w:rPr>
        <w:t xml:space="preserve"> [20].</w:t>
      </w:r>
    </w:p>
    <w:p w14:paraId="60035BB7" w14:textId="6D724A68" w:rsidR="00FE6466" w:rsidRDefault="00602E8C" w:rsidP="00FE6466">
      <w:pPr>
        <w:spacing w:line="360" w:lineRule="auto"/>
      </w:pPr>
      <w:r>
        <w:br w:type="page"/>
      </w:r>
    </w:p>
    <w:p w14:paraId="1A97EC3F" w14:textId="77777777" w:rsidR="00890F59" w:rsidRDefault="00890F59" w:rsidP="00890F59">
      <w:pPr>
        <w:pStyle w:val="Heading2"/>
      </w:pPr>
      <w:bookmarkStart w:id="12" w:name="_Toc216714099"/>
      <w:r>
        <w:lastRenderedPageBreak/>
        <w:t>Critical Diameter</w:t>
      </w:r>
      <w:bookmarkEnd w:id="12"/>
    </w:p>
    <w:p w14:paraId="514EFC3C" w14:textId="77777777" w:rsidR="00890F59" w:rsidRPr="001B69FA" w:rsidRDefault="00890F59" w:rsidP="00890F59">
      <w:pPr>
        <w:spacing w:line="360" w:lineRule="auto"/>
      </w:pPr>
      <w:r>
        <w:t>Critical diameter is “diameter of a cylindrical charge below which stable detonation cannot propagate, no matter how high the velocity of the initiating shock wave”</w:t>
      </w:r>
      <w:sdt>
        <w:sdtPr>
          <w:id w:val="736908244"/>
          <w:citation/>
        </w:sdtPr>
        <w:sdtEndPr/>
        <w:sdtContent>
          <w:r>
            <w:fldChar w:fldCharType="begin"/>
          </w:r>
          <w:r>
            <w:instrText xml:space="preserve"> CITATION Jaf62 \l 2057 </w:instrText>
          </w:r>
          <w:r>
            <w:fldChar w:fldCharType="separate"/>
          </w:r>
          <w:r>
            <w:rPr>
              <w:noProof/>
            </w:rPr>
            <w:t xml:space="preserve"> </w:t>
          </w:r>
          <w:r w:rsidRPr="006E5850">
            <w:rPr>
              <w:noProof/>
            </w:rPr>
            <w:t>[21]</w:t>
          </w:r>
          <w:r>
            <w:fldChar w:fldCharType="end"/>
          </w:r>
        </w:sdtContent>
      </w:sdt>
      <w:r>
        <w:t>. The critical diameter can vary for the same type of explosive depending on particle size, confinement and temperature</w:t>
      </w:r>
      <w:sdt>
        <w:sdtPr>
          <w:id w:val="-903829636"/>
          <w:citation/>
        </w:sdtPr>
        <w:sdtEndPr/>
        <w:sdtContent>
          <w:r>
            <w:fldChar w:fldCharType="begin"/>
          </w:r>
          <w:r>
            <w:instrText xml:space="preserve"> CITATION Zon16 \l 2057 </w:instrText>
          </w:r>
          <w:r>
            <w:fldChar w:fldCharType="separate"/>
          </w:r>
          <w:r>
            <w:rPr>
              <w:noProof/>
            </w:rPr>
            <w:t xml:space="preserve"> </w:t>
          </w:r>
          <w:r w:rsidRPr="006E5850">
            <w:rPr>
              <w:noProof/>
            </w:rPr>
            <w:t>[22]</w:t>
          </w:r>
          <w:r>
            <w:fldChar w:fldCharType="end"/>
          </w:r>
        </w:sdtContent>
      </w:sdt>
      <w:r>
        <w:t xml:space="preserve">. </w:t>
      </w:r>
      <w:r w:rsidRPr="00BC65DA">
        <w:t xml:space="preserve">Primary explosives have a small critical diameter compared to secondary explosives as they are much more sensitive. </w:t>
      </w:r>
    </w:p>
    <w:p w14:paraId="5E2F7159" w14:textId="77777777" w:rsidR="00890F59" w:rsidRDefault="00890F59" w:rsidP="00890F59">
      <w:pPr>
        <w:spacing w:line="360" w:lineRule="auto"/>
      </w:pPr>
      <w:r>
        <w:t xml:space="preserve">TNT requires a high critical diameter when unconfined and has shown failure to detonate from deflagration when in the moulded unconfined state  </w:t>
      </w:r>
      <w:sdt>
        <w:sdtPr>
          <w:id w:val="1341038770"/>
          <w:citation/>
        </w:sdtPr>
        <w:sdtEndPr/>
        <w:sdtContent>
          <w:r>
            <w:fldChar w:fldCharType="begin"/>
          </w:r>
          <w:r>
            <w:instrText xml:space="preserve"> CITATION Gal25 \l 2057 </w:instrText>
          </w:r>
          <w:r>
            <w:fldChar w:fldCharType="separate"/>
          </w:r>
          <w:r w:rsidRPr="006E5850">
            <w:rPr>
              <w:noProof/>
            </w:rPr>
            <w:t>[23]</w:t>
          </w:r>
          <w:r>
            <w:fldChar w:fldCharType="end"/>
          </w:r>
        </w:sdtContent>
      </w:sdt>
      <w:r>
        <w:t xml:space="preserve">.  There </w:t>
      </w:r>
      <w:proofErr w:type="gramStart"/>
      <w:r>
        <w:t>has</w:t>
      </w:r>
      <w:proofErr w:type="gramEnd"/>
      <w:r>
        <w:t xml:space="preserve"> been successes of detonation high amounts of unconfined TNT such as one-million-pound TNT detonation completed in Canada in 1964</w:t>
      </w:r>
      <w:sdt>
        <w:sdtPr>
          <w:id w:val="814913227"/>
          <w:citation/>
        </w:sdtPr>
        <w:sdtEndPr/>
        <w:sdtContent>
          <w:r>
            <w:fldChar w:fldCharType="begin"/>
          </w:r>
          <w:r>
            <w:instrText xml:space="preserve"> CITATION The64 \l 2057 </w:instrText>
          </w:r>
          <w:r>
            <w:fldChar w:fldCharType="separate"/>
          </w:r>
          <w:r>
            <w:rPr>
              <w:noProof/>
            </w:rPr>
            <w:t xml:space="preserve"> </w:t>
          </w:r>
          <w:r w:rsidRPr="006E5850">
            <w:rPr>
              <w:noProof/>
            </w:rPr>
            <w:t>[24]</w:t>
          </w:r>
          <w:r>
            <w:fldChar w:fldCharType="end"/>
          </w:r>
        </w:sdtContent>
      </w:sdt>
      <w:r>
        <w:t>. The UK uses TNT/RDX mixtures with 39.5% TNT and 59.5% RDX for the filling of ammunition to cause effects such as blast and fragmentation</w:t>
      </w:r>
      <w:sdt>
        <w:sdtPr>
          <w:id w:val="-1405909110"/>
          <w:citation/>
        </w:sdtPr>
        <w:sdtEndPr/>
        <w:sdtContent>
          <w:r>
            <w:fldChar w:fldCharType="begin"/>
          </w:r>
          <w:r>
            <w:instrText xml:space="preserve"> CITATION MOD20 \l 2057 </w:instrText>
          </w:r>
          <w:r>
            <w:fldChar w:fldCharType="separate"/>
          </w:r>
          <w:r>
            <w:rPr>
              <w:noProof/>
            </w:rPr>
            <w:t xml:space="preserve"> </w:t>
          </w:r>
          <w:r w:rsidRPr="006E5850">
            <w:rPr>
              <w:noProof/>
            </w:rPr>
            <w:t>[1]</w:t>
          </w:r>
          <w:r>
            <w:fldChar w:fldCharType="end"/>
          </w:r>
        </w:sdtContent>
      </w:sdt>
      <w:r>
        <w:t xml:space="preserve">. The filling is confined within a casing therefore the critical diameter is reduced and is much easier to detonate using a primary explosive in the </w:t>
      </w:r>
      <w:proofErr w:type="spellStart"/>
      <w:r>
        <w:t>fuze</w:t>
      </w:r>
      <w:proofErr w:type="spellEnd"/>
      <w:r>
        <w:t xml:space="preserve"> of the shell. </w:t>
      </w:r>
    </w:p>
    <w:p w14:paraId="5D1C3E38" w14:textId="77777777" w:rsidR="00890F59" w:rsidRDefault="00890F59" w:rsidP="00890F59">
      <w:pPr>
        <w:spacing w:line="360" w:lineRule="auto"/>
      </w:pPr>
      <w:r>
        <w:t>Increasing the diameter of an explosive beyond critical diameter and below failure diameter will increase the velocity of detonation and produce greater effects. Failing to reach critical diameter of an explosive can cause unsuccessful detonation or remaining unexploded materials.</w:t>
      </w:r>
    </w:p>
    <w:p w14:paraId="69E85C5B" w14:textId="77777777" w:rsidR="00C6291F" w:rsidRDefault="00C6291F">
      <w:pPr>
        <w:spacing w:line="278" w:lineRule="auto"/>
      </w:pPr>
    </w:p>
    <w:p w14:paraId="3ADD225B" w14:textId="77777777" w:rsidR="00C6291F" w:rsidRDefault="00C6291F">
      <w:pPr>
        <w:spacing w:line="278" w:lineRule="auto"/>
      </w:pPr>
      <w:r>
        <w:br w:type="page"/>
      </w:r>
    </w:p>
    <w:p w14:paraId="699DABE5" w14:textId="77777777" w:rsidR="00F72BB0" w:rsidRDefault="00F72BB0" w:rsidP="00F72BB0">
      <w:pPr>
        <w:pStyle w:val="Heading2"/>
      </w:pPr>
      <w:bookmarkStart w:id="13" w:name="_Toc216714100"/>
      <w:r>
        <w:lastRenderedPageBreak/>
        <w:t>Detonation</w:t>
      </w:r>
      <w:bookmarkEnd w:id="13"/>
    </w:p>
    <w:p w14:paraId="6FE8D51F" w14:textId="5F0A5EC5" w:rsidR="003F721C" w:rsidRDefault="00F72BB0" w:rsidP="00F72BB0">
      <w:pPr>
        <w:spacing w:line="360" w:lineRule="auto"/>
      </w:pPr>
      <w:r>
        <w:t>Detonation is a type of combustion and occurs when the flame front through an explosive reaches the speed of sound through that material</w:t>
      </w:r>
      <w:sdt>
        <w:sdtPr>
          <w:id w:val="1889377024"/>
          <w:citation/>
        </w:sdtPr>
        <w:sdtEndPr/>
        <w:sdtContent>
          <w:r>
            <w:fldChar w:fldCharType="begin"/>
          </w:r>
          <w:r>
            <w:instrText xml:space="preserve"> CITATION MOD20 \l 2057 </w:instrText>
          </w:r>
          <w:r>
            <w:fldChar w:fldCharType="separate"/>
          </w:r>
          <w:r>
            <w:rPr>
              <w:noProof/>
            </w:rPr>
            <w:t xml:space="preserve"> </w:t>
          </w:r>
          <w:r w:rsidRPr="006E5850">
            <w:rPr>
              <w:noProof/>
            </w:rPr>
            <w:t>[1]</w:t>
          </w:r>
          <w:r>
            <w:fldChar w:fldCharType="end"/>
          </w:r>
        </w:sdtContent>
      </w:sdt>
      <w:r>
        <w:t xml:space="preserve">. High explosives detonate producing shockwaves </w:t>
      </w:r>
      <w:r w:rsidR="00023F88">
        <w:t>to</w:t>
      </w:r>
      <w:r>
        <w:t xml:space="preserve"> produce detonations in other explosive materials or blast effects</w:t>
      </w:r>
      <w:sdt>
        <w:sdtPr>
          <w:id w:val="-1439833025"/>
          <w:citation/>
        </w:sdtPr>
        <w:sdtEndPr/>
        <w:sdtContent>
          <w:r>
            <w:fldChar w:fldCharType="begin"/>
          </w:r>
          <w:r>
            <w:instrText xml:space="preserve"> CITATION MOD20 \l 2057 </w:instrText>
          </w:r>
          <w:r>
            <w:fldChar w:fldCharType="separate"/>
          </w:r>
          <w:r>
            <w:rPr>
              <w:noProof/>
            </w:rPr>
            <w:t xml:space="preserve"> </w:t>
          </w:r>
          <w:r w:rsidRPr="006E5850">
            <w:rPr>
              <w:noProof/>
            </w:rPr>
            <w:t>[1]</w:t>
          </w:r>
          <w:r>
            <w:fldChar w:fldCharType="end"/>
          </w:r>
        </w:sdtContent>
      </w:sdt>
      <w:r>
        <w:t xml:space="preserve">. Whereas low explosives such as pyrotechnics burn to produce explosions. </w:t>
      </w:r>
    </w:p>
    <w:p w14:paraId="68A1F847" w14:textId="77777777" w:rsidR="00F72BB0" w:rsidRDefault="00F72BB0" w:rsidP="00F72BB0">
      <w:pPr>
        <w:spacing w:line="360" w:lineRule="auto"/>
      </w:pPr>
      <w:r w:rsidRPr="00E94122">
        <w:t xml:space="preserve">Detonation occurs through many methods including hot spots, areas where the temperature in the material exceeded the initiation temperature of the material. In lead </w:t>
      </w:r>
      <w:proofErr w:type="spellStart"/>
      <w:r w:rsidRPr="00E94122">
        <w:t>azide</w:t>
      </w:r>
      <w:proofErr w:type="spellEnd"/>
      <w:r w:rsidRPr="00E94122">
        <w:t xml:space="preserve"> this was determined to be caused by methods </w:t>
      </w:r>
      <w:r>
        <w:t>such as</w:t>
      </w:r>
      <w:r w:rsidRPr="00E94122">
        <w:t xml:space="preserve"> adiabatic compression and friction with hotspots between 0.1-10 µm in diameter</w:t>
      </w:r>
      <w:sdt>
        <w:sdtPr>
          <w:id w:val="160982730"/>
          <w:citation/>
        </w:sdtPr>
        <w:sdtEndPr/>
        <w:sdtContent>
          <w:r w:rsidRPr="00E94122">
            <w:fldChar w:fldCharType="begin"/>
          </w:r>
          <w:r w:rsidRPr="00E94122">
            <w:instrText xml:space="preserve"> CITATION Pet06 \l 2057 </w:instrText>
          </w:r>
          <w:r w:rsidRPr="00E94122">
            <w:fldChar w:fldCharType="separate"/>
          </w:r>
          <w:r>
            <w:rPr>
              <w:noProof/>
            </w:rPr>
            <w:t xml:space="preserve"> </w:t>
          </w:r>
          <w:r w:rsidRPr="006E5850">
            <w:rPr>
              <w:noProof/>
            </w:rPr>
            <w:t>[5]</w:t>
          </w:r>
          <w:r w:rsidRPr="00E94122">
            <w:fldChar w:fldCharType="end"/>
          </w:r>
        </w:sdtContent>
      </w:sdt>
      <w:r w:rsidRPr="00E94122">
        <w:t xml:space="preserve">. </w:t>
      </w:r>
      <w:r>
        <w:t xml:space="preserve">These hot spots occur when pockets of air are compressed then grow within the material often through compression and heating </w:t>
      </w:r>
      <w:sdt>
        <w:sdtPr>
          <w:id w:val="1379675084"/>
          <w:citation/>
        </w:sdtPr>
        <w:sdtEndPr/>
        <w:sdtContent>
          <w:r>
            <w:fldChar w:fldCharType="begin"/>
          </w:r>
          <w:r>
            <w:instrText xml:space="preserve"> CITATION MOD20 \l 2057 </w:instrText>
          </w:r>
          <w:r>
            <w:fldChar w:fldCharType="separate"/>
          </w:r>
          <w:r w:rsidRPr="006E5850">
            <w:rPr>
              <w:noProof/>
            </w:rPr>
            <w:t>[1]</w:t>
          </w:r>
          <w:r>
            <w:fldChar w:fldCharType="end"/>
          </w:r>
        </w:sdtContent>
      </w:sdt>
      <w:r>
        <w:t xml:space="preserve">.  </w:t>
      </w:r>
    </w:p>
    <w:p w14:paraId="21D706C4" w14:textId="77777777" w:rsidR="00BD5C24" w:rsidRDefault="00BD5C24" w:rsidP="00BD5C24">
      <w:pPr>
        <w:pStyle w:val="Heading2"/>
      </w:pPr>
      <w:bookmarkStart w:id="14" w:name="_Toc216714101"/>
      <w:r>
        <w:t>Detonation path of lead azide to TNT</w:t>
      </w:r>
      <w:bookmarkEnd w:id="14"/>
    </w:p>
    <w:p w14:paraId="512B5655" w14:textId="4A5EB0EC" w:rsidR="00BD5C24" w:rsidRPr="006E5850" w:rsidRDefault="00BD5C24" w:rsidP="00BD5C24">
      <w:pPr>
        <w:spacing w:line="360" w:lineRule="auto"/>
        <w:rPr>
          <w:lang w:val="en-US"/>
        </w:rPr>
      </w:pPr>
      <w:r w:rsidRPr="00472795">
        <w:t>When detonation occurs in a primary explosive the shock waves produced are transferred to the secondary explosive providing the energy for detonation to occur as discussed in the explosive train</w:t>
      </w:r>
      <w:r w:rsidR="002718D1">
        <w:t xml:space="preserve"> (Appendix D)</w:t>
      </w:r>
      <w:r w:rsidRPr="00472795">
        <w:t xml:space="preserve">. Given standard unconfined lead </w:t>
      </w:r>
      <w:proofErr w:type="spellStart"/>
      <w:r w:rsidRPr="00472795">
        <w:t>azide</w:t>
      </w:r>
      <w:proofErr w:type="spellEnd"/>
      <w:r w:rsidRPr="00472795">
        <w:t xml:space="preserve"> has a very small critical diameter this can be detonated in amounts as small as milligrams</w:t>
      </w:r>
      <w:sdt>
        <w:sdtPr>
          <w:id w:val="-458728145"/>
          <w:citation/>
        </w:sdtPr>
        <w:sdtEndPr/>
        <w:sdtContent>
          <w:r w:rsidRPr="00472795">
            <w:fldChar w:fldCharType="begin"/>
          </w:r>
          <w:r w:rsidRPr="00472795">
            <w:instrText xml:space="preserve"> CITATION MOD20 \l 2057 </w:instrText>
          </w:r>
          <w:r w:rsidRPr="00472795">
            <w:fldChar w:fldCharType="separate"/>
          </w:r>
          <w:r>
            <w:rPr>
              <w:noProof/>
            </w:rPr>
            <w:t xml:space="preserve"> </w:t>
          </w:r>
          <w:r w:rsidRPr="006E5850">
            <w:rPr>
              <w:noProof/>
            </w:rPr>
            <w:t>[1]</w:t>
          </w:r>
          <w:r w:rsidRPr="00472795">
            <w:fldChar w:fldCharType="end"/>
          </w:r>
        </w:sdtContent>
      </w:sdt>
      <w:r w:rsidRPr="00472795">
        <w:t xml:space="preserve">. Lead </w:t>
      </w:r>
      <w:proofErr w:type="spellStart"/>
      <w:r>
        <w:t>a</w:t>
      </w:r>
      <w:r w:rsidRPr="00472795">
        <w:t>zide</w:t>
      </w:r>
      <w:proofErr w:type="spellEnd"/>
      <w:r w:rsidRPr="00472795">
        <w:t xml:space="preserve"> has an activation energy of 105kJ/mol whereas TNT has a much higher activation energy of 222kJ/mol </w:t>
      </w:r>
      <w:sdt>
        <w:sdtPr>
          <w:id w:val="-1357877704"/>
          <w:citation/>
        </w:sdtPr>
        <w:sdtEndPr/>
        <w:sdtContent>
          <w:r w:rsidRPr="00472795">
            <w:fldChar w:fldCharType="begin"/>
          </w:r>
          <w:r w:rsidRPr="00472795">
            <w:instrText xml:space="preserve"> CITATION MOD20 \l 2057 </w:instrText>
          </w:r>
          <w:r w:rsidRPr="00472795">
            <w:fldChar w:fldCharType="separate"/>
          </w:r>
          <w:r w:rsidRPr="006E5850">
            <w:rPr>
              <w:noProof/>
            </w:rPr>
            <w:t>[1]</w:t>
          </w:r>
          <w:r w:rsidRPr="00472795">
            <w:fldChar w:fldCharType="end"/>
          </w:r>
        </w:sdtContent>
      </w:sdt>
      <w:r w:rsidRPr="00472795">
        <w:t>. The detonation o</w:t>
      </w:r>
      <w:r>
        <w:t>f</w:t>
      </w:r>
      <w:r w:rsidRPr="00472795">
        <w:t xml:space="preserve"> Lead </w:t>
      </w:r>
      <w:proofErr w:type="spellStart"/>
      <w:r w:rsidRPr="00472795">
        <w:t>azide</w:t>
      </w:r>
      <w:proofErr w:type="spellEnd"/>
      <w:r w:rsidRPr="00472795">
        <w:t xml:space="preserve"> does not require a high energy stimulation </w:t>
      </w:r>
      <w:r>
        <w:t>therefore</w:t>
      </w:r>
      <w:r w:rsidRPr="00472795">
        <w:t xml:space="preserve"> sufficient heat or electrostatic discharge to produce a stable supersonic shock wave through the material</w:t>
      </w:r>
      <w:sdt>
        <w:sdtPr>
          <w:id w:val="-1333515532"/>
          <w:citation/>
        </w:sdtPr>
        <w:sdtEndPr/>
        <w:sdtContent>
          <w:r w:rsidRPr="00472795">
            <w:fldChar w:fldCharType="begin"/>
          </w:r>
          <w:r w:rsidRPr="00472795">
            <w:instrText xml:space="preserve"> CITATION MOD20 \l 2057 </w:instrText>
          </w:r>
          <w:r w:rsidRPr="00472795">
            <w:fldChar w:fldCharType="separate"/>
          </w:r>
          <w:r>
            <w:rPr>
              <w:noProof/>
            </w:rPr>
            <w:t xml:space="preserve"> </w:t>
          </w:r>
          <w:r w:rsidRPr="006E5850">
            <w:rPr>
              <w:noProof/>
            </w:rPr>
            <w:t>[1]</w:t>
          </w:r>
          <w:r w:rsidRPr="00472795">
            <w:fldChar w:fldCharType="end"/>
          </w:r>
        </w:sdtContent>
      </w:sdt>
      <w:r w:rsidRPr="00472795">
        <w:t xml:space="preserve">. The high energy shock wave then proceeds to detonate the booster, producing a greater shock wave to detonate the secondary explosive such as TNT. Successful detonation occurs given the critical diameter and density are over the threshold value and under the failure values noted in table 1. The shock wave of high energy is transferred to the secondary explosive. Given the transfer of energy from unconfined lead </w:t>
      </w:r>
      <w:proofErr w:type="spellStart"/>
      <w:r w:rsidRPr="00472795">
        <w:t>azide</w:t>
      </w:r>
      <w:proofErr w:type="spellEnd"/>
      <w:r w:rsidRPr="00472795">
        <w:t xml:space="preserve"> to unconfined TNT the Chapman-</w:t>
      </w:r>
      <w:proofErr w:type="spellStart"/>
      <w:r w:rsidRPr="00472795">
        <w:t>Jouget</w:t>
      </w:r>
      <w:proofErr w:type="spellEnd"/>
      <w:r w:rsidRPr="00472795">
        <w:t xml:space="preserve"> pressures must be met to sustain a steady detonation</w:t>
      </w:r>
      <w:sdt>
        <w:sdtPr>
          <w:id w:val="1078482567"/>
          <w:citation/>
        </w:sdtPr>
        <w:sdtEndPr/>
        <w:sdtContent>
          <w:r w:rsidRPr="00472795">
            <w:fldChar w:fldCharType="begin"/>
          </w:r>
          <w:r w:rsidRPr="00472795">
            <w:instrText xml:space="preserve"> CITATION MOD20 \l 2057 </w:instrText>
          </w:r>
          <w:r w:rsidRPr="00472795">
            <w:fldChar w:fldCharType="separate"/>
          </w:r>
          <w:r>
            <w:rPr>
              <w:noProof/>
            </w:rPr>
            <w:t xml:space="preserve"> </w:t>
          </w:r>
          <w:r w:rsidRPr="006E5850">
            <w:rPr>
              <w:noProof/>
            </w:rPr>
            <w:t>[1]</w:t>
          </w:r>
          <w:r w:rsidRPr="00472795">
            <w:fldChar w:fldCharType="end"/>
          </w:r>
        </w:sdtContent>
      </w:sdt>
      <w:r w:rsidRPr="00472795">
        <w:t>. Failure to detonate can be caused by dead pressing where the density of the material is too high and if the diameter or density of the energetic material being</w:t>
      </w:r>
      <w:r w:rsidRPr="006E5850">
        <w:rPr>
          <w:rFonts w:ascii="Aptos" w:eastAsia="Times New Roman" w:hAnsi="Aptos" w:cs="Segoe UI"/>
          <w:lang w:val="en-US" w:eastAsia="en-GB"/>
        </w:rPr>
        <w:t xml:space="preserve"> </w:t>
      </w:r>
      <w:r w:rsidRPr="006E5850">
        <w:rPr>
          <w:lang w:val="en-US"/>
        </w:rPr>
        <w:t>lower than the critical values.   </w:t>
      </w:r>
    </w:p>
    <w:p w14:paraId="644B99D2" w14:textId="77777777" w:rsidR="00220F54" w:rsidRDefault="00220F54">
      <w:pPr>
        <w:spacing w:line="278" w:lineRule="auto"/>
      </w:pPr>
    </w:p>
    <w:p w14:paraId="49399A06" w14:textId="77777777" w:rsidR="00220F54" w:rsidRDefault="00220F54">
      <w:pPr>
        <w:spacing w:line="278" w:lineRule="auto"/>
      </w:pPr>
      <w:r>
        <w:br w:type="page"/>
      </w:r>
    </w:p>
    <w:p w14:paraId="35CC2628" w14:textId="77777777" w:rsidR="00E26DFC" w:rsidRPr="004C4097" w:rsidRDefault="00E26DFC" w:rsidP="00E26DFC">
      <w:pPr>
        <w:pStyle w:val="Heading2"/>
        <w:rPr>
          <w:color w:val="156082" w:themeColor="accent1"/>
        </w:rPr>
      </w:pPr>
      <w:bookmarkStart w:id="15" w:name="_Toc216714102"/>
      <w:r w:rsidRPr="1F2AB047">
        <w:rPr>
          <w:color w:val="156082" w:themeColor="accent1"/>
        </w:rPr>
        <w:lastRenderedPageBreak/>
        <w:t>How confinement would alter critical diameters</w:t>
      </w:r>
      <w:bookmarkEnd w:id="15"/>
    </w:p>
    <w:p w14:paraId="73E08D0B" w14:textId="77777777" w:rsidR="00E26DFC" w:rsidRDefault="00E26DFC" w:rsidP="00E26DFC">
      <w:pPr>
        <w:spacing w:line="360" w:lineRule="auto"/>
      </w:pPr>
      <w:r>
        <w:t>Confinement of an explosive, including pyrotechnics, is the encasement of the energetic material within another material. This is used in artillery shells, warheads and fireworks to increase the pressure within a casing. Materials for confinement are carefully selected to ensure reactions between the explosive compound and casings do not cause additional hazards.</w:t>
      </w:r>
    </w:p>
    <w:p w14:paraId="088FC7E6" w14:textId="29B4EDF7" w:rsidR="00E26DFC" w:rsidRDefault="00E26DFC" w:rsidP="00E26DFC">
      <w:pPr>
        <w:spacing w:line="360" w:lineRule="auto"/>
      </w:pPr>
      <w:r>
        <w:t xml:space="preserve">The confinement of lead </w:t>
      </w:r>
      <w:proofErr w:type="spellStart"/>
      <w:r>
        <w:t>azide</w:t>
      </w:r>
      <w:proofErr w:type="spellEnd"/>
      <w:r>
        <w:t xml:space="preserve"> in materials including aluminium and brass has shown that the weight of the lead </w:t>
      </w:r>
      <w:proofErr w:type="spellStart"/>
      <w:r>
        <w:t>azide</w:t>
      </w:r>
      <w:proofErr w:type="spellEnd"/>
      <w:r>
        <w:t xml:space="preserve"> required for initiation efficiency is not hugely decreased compared to alternate primary explosives including Mercury Fulminate</w:t>
      </w:r>
      <w:sdt>
        <w:sdtPr>
          <w:id w:val="-290435072"/>
          <w:citation/>
        </w:sdtPr>
        <w:sdtEndPr/>
        <w:sdtContent>
          <w:r>
            <w:fldChar w:fldCharType="begin"/>
          </w:r>
          <w:r>
            <w:instrText xml:space="preserve"> CITATION Mat13 \l 2057 </w:instrText>
          </w:r>
          <w:r>
            <w:fldChar w:fldCharType="separate"/>
          </w:r>
          <w:r>
            <w:rPr>
              <w:noProof/>
            </w:rPr>
            <w:t xml:space="preserve"> </w:t>
          </w:r>
          <w:r w:rsidRPr="006E5850">
            <w:rPr>
              <w:noProof/>
            </w:rPr>
            <w:t>[8]</w:t>
          </w:r>
          <w:r>
            <w:fldChar w:fldCharType="end"/>
          </w:r>
        </w:sdtContent>
      </w:sdt>
      <w:r>
        <w:t>.  Appendix A and B show the confinement of TNT can lead to successful detonations at lower densities and smaller charge diameters compared to unconfined TNT. Confining TNT within an artillery shell ensures full detonation of the material</w:t>
      </w:r>
      <w:r w:rsidR="00A651CA">
        <w:t xml:space="preserve"> to </w:t>
      </w:r>
      <w:r w:rsidR="00562D82">
        <w:t>produce blast/fragmentation.</w:t>
      </w:r>
    </w:p>
    <w:p w14:paraId="0EF4816C" w14:textId="77777777" w:rsidR="00E26DFC" w:rsidRDefault="00E26DFC" w:rsidP="00E26DFC">
      <w:pPr>
        <w:spacing w:line="360" w:lineRule="auto"/>
      </w:pPr>
      <w:r>
        <w:t xml:space="preserve">The critical diameter of the explosives is reduced when confined as there are less energy losses to surroundings and energy is maintained within the material and detonation reaction. </w:t>
      </w:r>
    </w:p>
    <w:p w14:paraId="1D39241D" w14:textId="77777777" w:rsidR="00304C8A" w:rsidRDefault="00304C8A">
      <w:pPr>
        <w:spacing w:line="278" w:lineRule="auto"/>
      </w:pPr>
    </w:p>
    <w:p w14:paraId="7566A589" w14:textId="77777777" w:rsidR="00304C8A" w:rsidRDefault="00304C8A">
      <w:pPr>
        <w:spacing w:line="278" w:lineRule="auto"/>
      </w:pPr>
      <w:r>
        <w:br w:type="page"/>
      </w:r>
    </w:p>
    <w:p w14:paraId="2EDB2B19" w14:textId="77777777" w:rsidR="007D7747" w:rsidRPr="00B83B31" w:rsidRDefault="007D7747" w:rsidP="007D7747">
      <w:pPr>
        <w:pStyle w:val="Heading2"/>
        <w:rPr>
          <w:color w:val="156082" w:themeColor="accent1"/>
        </w:rPr>
      </w:pPr>
      <w:bookmarkStart w:id="16" w:name="_Toc216714103"/>
      <w:r w:rsidRPr="1F2AB047">
        <w:rPr>
          <w:color w:val="156082" w:themeColor="accent1"/>
        </w:rPr>
        <w:lastRenderedPageBreak/>
        <w:t>How confinement benefits OME professionals</w:t>
      </w:r>
      <w:bookmarkEnd w:id="16"/>
    </w:p>
    <w:p w14:paraId="29111C0D" w14:textId="1D6AB0B3" w:rsidR="007D7747" w:rsidRDefault="007D7747" w:rsidP="00376B23">
      <w:pPr>
        <w:spacing w:line="360" w:lineRule="auto"/>
      </w:pPr>
      <w:r>
        <w:t>The effects of a confined explosion can differ to those of an unconfined explosion due to the pressures produced detonation shock forces within the containment material</w:t>
      </w:r>
      <w:sdt>
        <w:sdtPr>
          <w:id w:val="-162394872"/>
          <w:citation/>
        </w:sdtPr>
        <w:sdtEndPr/>
        <w:sdtContent>
          <w:r>
            <w:fldChar w:fldCharType="begin"/>
          </w:r>
          <w:r>
            <w:instrText xml:space="preserve"> CITATION Sho21 \l 2057 </w:instrText>
          </w:r>
          <w:r>
            <w:fldChar w:fldCharType="separate"/>
          </w:r>
          <w:r>
            <w:rPr>
              <w:noProof/>
            </w:rPr>
            <w:t xml:space="preserve"> </w:t>
          </w:r>
          <w:r w:rsidRPr="006E5850">
            <w:rPr>
              <w:noProof/>
            </w:rPr>
            <w:t>[25]</w:t>
          </w:r>
          <w:r>
            <w:fldChar w:fldCharType="end"/>
          </w:r>
        </w:sdtContent>
      </w:sdt>
      <w:r>
        <w:t>. A smaller critical diameter allows the same effect to be produced by a smaller quantity of the same material</w:t>
      </w:r>
      <w:r w:rsidR="00D42850">
        <w:t xml:space="preserve"> at a higher density</w:t>
      </w:r>
      <w:r>
        <w:t xml:space="preserve">. </w:t>
      </w:r>
    </w:p>
    <w:p w14:paraId="02A17CC1" w14:textId="7329A7C4" w:rsidR="008228DB" w:rsidRDefault="007D7747" w:rsidP="008228DB">
      <w:pPr>
        <w:spacing w:line="360" w:lineRule="auto"/>
      </w:pPr>
      <w:r>
        <w:t>Reducing the charge diameter therefore means a lower amount of explosive is required to produce the desired effect of the explosive</w:t>
      </w:r>
      <w:r w:rsidR="008228DB">
        <w:t xml:space="preserve">. </w:t>
      </w:r>
      <w:r w:rsidR="00BC0C2C">
        <w:t xml:space="preserve">Lower quantities of explosive can also </w:t>
      </w:r>
      <w:r w:rsidR="00655925">
        <w:t>lead to the overall size of munitions decreasin</w:t>
      </w:r>
      <w:r w:rsidR="003F721C">
        <w:t>g</w:t>
      </w:r>
      <w:r w:rsidR="00655925">
        <w:t xml:space="preserve">, therefore easier to handle and store. </w:t>
      </w:r>
      <w:r w:rsidR="008228DB">
        <w:t>A higher detonation velocity can also be produced by using a non-explosive to replace the air in the explosive material. This can be applied to explosive</w:t>
      </w:r>
      <w:r w:rsidR="00AE4884">
        <w:t>s</w:t>
      </w:r>
      <w:r w:rsidR="008228DB">
        <w:t xml:space="preserve"> with a density lower that the theoretical max density</w:t>
      </w:r>
      <w:sdt>
        <w:sdtPr>
          <w:id w:val="1999226132"/>
          <w:citation/>
        </w:sdtPr>
        <w:sdtEndPr/>
        <w:sdtContent>
          <w:r w:rsidR="008228DB">
            <w:fldChar w:fldCharType="begin"/>
          </w:r>
          <w:r w:rsidR="008228DB">
            <w:instrText xml:space="preserve"> CITATION Kla21 \l 2057 </w:instrText>
          </w:r>
          <w:r w:rsidR="008228DB">
            <w:fldChar w:fldCharType="separate"/>
          </w:r>
          <w:r w:rsidR="008228DB">
            <w:rPr>
              <w:noProof/>
            </w:rPr>
            <w:t xml:space="preserve"> </w:t>
          </w:r>
          <w:r w:rsidR="008228DB" w:rsidRPr="006E5850">
            <w:rPr>
              <w:noProof/>
            </w:rPr>
            <w:t>[18]</w:t>
          </w:r>
          <w:r w:rsidR="008228DB">
            <w:fldChar w:fldCharType="end"/>
          </w:r>
        </w:sdtContent>
      </w:sdt>
      <w:r w:rsidR="008228DB">
        <w:t xml:space="preserve">. </w:t>
      </w:r>
      <w:r w:rsidR="00332EC9">
        <w:t xml:space="preserve">Using </w:t>
      </w:r>
      <w:r w:rsidR="009254CB">
        <w:t>a non-explosive material reduces the costs of manufacture</w:t>
      </w:r>
      <w:r w:rsidR="00AE4884">
        <w:t xml:space="preserve"> as the </w:t>
      </w:r>
      <w:r w:rsidR="00110319">
        <w:t>non-explosive</w:t>
      </w:r>
      <w:r w:rsidR="00AE4884">
        <w:t xml:space="preserve"> comp</w:t>
      </w:r>
      <w:r w:rsidR="00110319">
        <w:t>ound is more accessible and lower manufacture costs</w:t>
      </w:r>
      <w:r w:rsidR="007C1D65">
        <w:t xml:space="preserve">. </w:t>
      </w:r>
    </w:p>
    <w:p w14:paraId="51AD4FA9" w14:textId="48321D7F" w:rsidR="008228DB" w:rsidRDefault="008228DB" w:rsidP="008228DB">
      <w:pPr>
        <w:spacing w:line="360" w:lineRule="auto"/>
      </w:pPr>
      <w:r>
        <w:t xml:space="preserve">The confinement of explosives within a material also allows the </w:t>
      </w:r>
      <w:r w:rsidR="00ED7B39">
        <w:t>path of the explosive train to be more efficient and prec</w:t>
      </w:r>
      <w:r w:rsidR="00332EC9">
        <w:t xml:space="preserve">ise due to the </w:t>
      </w:r>
      <w:r w:rsidR="00954047">
        <w:t>alignment</w:t>
      </w:r>
      <w:r w:rsidR="00332EC9">
        <w:t xml:space="preserve"> of the materials. </w:t>
      </w:r>
      <w:r w:rsidR="00EF4FB3">
        <w:t xml:space="preserve">For example, within an artillery shell the primary explosive can be aligned to transfer the maximum energy to the </w:t>
      </w:r>
      <w:r w:rsidR="00BC0C2C">
        <w:t>main charge.</w:t>
      </w:r>
      <w:r w:rsidR="009254CB">
        <w:t xml:space="preserve"> This can also improve the safety of explosives </w:t>
      </w:r>
      <w:r w:rsidR="00E83D4E">
        <w:t xml:space="preserve">as they become less sensitive </w:t>
      </w:r>
      <w:r w:rsidR="00BC0C2C">
        <w:t xml:space="preserve">and less accidental detonations. </w:t>
      </w:r>
    </w:p>
    <w:p w14:paraId="21BD2F9A" w14:textId="2B006D49" w:rsidR="00DE489B" w:rsidRDefault="00DE489B" w:rsidP="1F2AB047">
      <w:pPr>
        <w:spacing w:line="360" w:lineRule="auto"/>
      </w:pPr>
    </w:p>
    <w:p w14:paraId="4A6D5D37" w14:textId="77777777" w:rsidR="00DE489B" w:rsidRDefault="00DE489B">
      <w:pPr>
        <w:spacing w:line="278" w:lineRule="auto"/>
      </w:pPr>
      <w:r>
        <w:br w:type="page"/>
      </w:r>
    </w:p>
    <w:p w14:paraId="7371C624" w14:textId="77777777" w:rsidR="00DC06D7" w:rsidRDefault="00DC06D7" w:rsidP="1F2AB047">
      <w:pPr>
        <w:spacing w:line="360" w:lineRule="auto"/>
        <w:sectPr w:rsidR="00DC06D7">
          <w:headerReference w:type="default" r:id="rId16"/>
          <w:footerReference w:type="default" r:id="rId17"/>
          <w:pgSz w:w="11906" w:h="16838"/>
          <w:pgMar w:top="1440" w:right="1440" w:bottom="1440" w:left="1440" w:header="708" w:footer="708" w:gutter="0"/>
          <w:cols w:space="708"/>
          <w:docGrid w:linePitch="360"/>
        </w:sectPr>
      </w:pPr>
    </w:p>
    <w:p w14:paraId="4D03EF4E" w14:textId="3564F88D" w:rsidR="1F2AB047" w:rsidRDefault="00B9608C" w:rsidP="00B9608C">
      <w:pPr>
        <w:pStyle w:val="Heading1"/>
      </w:pPr>
      <w:bookmarkStart w:id="17" w:name="_Toc216714104"/>
      <w:r>
        <w:rPr>
          <w:noProof/>
          <w14:ligatures w14:val="standardContextual"/>
        </w:rPr>
        <w:lastRenderedPageBreak/>
        <w:drawing>
          <wp:anchor distT="0" distB="0" distL="114300" distR="114300" simplePos="0" relativeHeight="251665920" behindDoc="0" locked="0" layoutInCell="1" allowOverlap="1" wp14:anchorId="68610AD3" wp14:editId="51B2004A">
            <wp:simplePos x="0" y="0"/>
            <wp:positionH relativeFrom="margin">
              <wp:align>left</wp:align>
            </wp:positionH>
            <wp:positionV relativeFrom="paragraph">
              <wp:posOffset>438150</wp:posOffset>
            </wp:positionV>
            <wp:extent cx="9334500" cy="5250483"/>
            <wp:effectExtent l="0" t="0" r="0" b="7620"/>
            <wp:wrapNone/>
            <wp:docPr id="13920669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066903"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9334500" cy="5250483"/>
                    </a:xfrm>
                    <a:prstGeom prst="rect">
                      <a:avLst/>
                    </a:prstGeom>
                  </pic:spPr>
                </pic:pic>
              </a:graphicData>
            </a:graphic>
            <wp14:sizeRelH relativeFrom="margin">
              <wp14:pctWidth>0</wp14:pctWidth>
            </wp14:sizeRelH>
            <wp14:sizeRelV relativeFrom="margin">
              <wp14:pctHeight>0</wp14:pctHeight>
            </wp14:sizeRelV>
          </wp:anchor>
        </w:drawing>
      </w:r>
      <w:r>
        <w:t xml:space="preserve">Explosive Train – Lead </w:t>
      </w:r>
      <w:proofErr w:type="spellStart"/>
      <w:r>
        <w:t>Azide</w:t>
      </w:r>
      <w:proofErr w:type="spellEnd"/>
      <w:r>
        <w:t xml:space="preserve"> and TNT</w:t>
      </w:r>
      <w:bookmarkEnd w:id="17"/>
    </w:p>
    <w:p w14:paraId="5362EF91" w14:textId="3D632C18" w:rsidR="00DE489B" w:rsidRDefault="00DE489B" w:rsidP="1F2AB047">
      <w:pPr>
        <w:spacing w:line="360" w:lineRule="auto"/>
      </w:pPr>
    </w:p>
    <w:p w14:paraId="10623F0C" w14:textId="524F44E8" w:rsidR="00DE489B" w:rsidRDefault="0017540F" w:rsidP="1F2AB047">
      <w:pPr>
        <w:spacing w:line="360" w:lineRule="auto"/>
      </w:pPr>
      <w:r>
        <w:rPr>
          <w:noProof/>
          <w14:ligatures w14:val="standardContextual"/>
        </w:rPr>
        <mc:AlternateContent>
          <mc:Choice Requires="wps">
            <w:drawing>
              <wp:anchor distT="0" distB="0" distL="114300" distR="114300" simplePos="0" relativeHeight="251671040" behindDoc="0" locked="0" layoutInCell="1" allowOverlap="1" wp14:anchorId="461349F4" wp14:editId="5B069BCD">
                <wp:simplePos x="0" y="0"/>
                <wp:positionH relativeFrom="column">
                  <wp:posOffset>-457200</wp:posOffset>
                </wp:positionH>
                <wp:positionV relativeFrom="paragraph">
                  <wp:posOffset>5340350</wp:posOffset>
                </wp:positionV>
                <wp:extent cx="3657600" cy="393700"/>
                <wp:effectExtent l="0" t="0" r="0" b="6350"/>
                <wp:wrapNone/>
                <wp:docPr id="503993832" name="Text Box 3"/>
                <wp:cNvGraphicFramePr/>
                <a:graphic xmlns:a="http://schemas.openxmlformats.org/drawingml/2006/main">
                  <a:graphicData uri="http://schemas.microsoft.com/office/word/2010/wordprocessingShape">
                    <wps:wsp>
                      <wps:cNvSpPr txBox="1"/>
                      <wps:spPr>
                        <a:xfrm>
                          <a:off x="0" y="0"/>
                          <a:ext cx="3657600" cy="393700"/>
                        </a:xfrm>
                        <a:prstGeom prst="rect">
                          <a:avLst/>
                        </a:prstGeom>
                        <a:solidFill>
                          <a:schemeClr val="lt1"/>
                        </a:solidFill>
                        <a:ln w="6350">
                          <a:noFill/>
                        </a:ln>
                      </wps:spPr>
                      <wps:txbx>
                        <w:txbxContent>
                          <w:p w14:paraId="08C4E81C" w14:textId="3E6FCBCD" w:rsidR="0017540F" w:rsidRDefault="00A527FC">
                            <w:r>
                              <w:t>Sketch</w:t>
                            </w:r>
                            <w:r w:rsidR="0017540F">
                              <w:t xml:space="preserve"> of artillery round </w:t>
                            </w:r>
                            <w:r>
                              <w:t>[26]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349F4" id="Text Box 3" o:spid="_x0000_s1028" type="#_x0000_t202" style="position:absolute;margin-left:-36pt;margin-top:420.5pt;width:4in;height:3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" fillcolor="white [3201]" stroked="f" strokeweight=".5pt">
                <v:textbox>
                  <w:txbxContent>
                    <w:p w14:paraId="08C4E81C" w14:textId="3E6FCBCD" w:rsidR="0017540F" w:rsidRDefault="00A527FC">
                      <w:r>
                        <w:t>Sketch</w:t>
                      </w:r>
                      <w:r w:rsidR="0017540F">
                        <w:t xml:space="preserve"> of artillery round </w:t>
                      </w:r>
                      <w:r>
                        <w:t>[26]</w:t>
                      </w:r>
                    </w:p>
                  </w:txbxContent>
                </v:textbox>
              </v:shape>
            </w:pict>
          </mc:Fallback>
        </mc:AlternateContent>
      </w:r>
      <w:r w:rsidR="00C01267">
        <w:rPr>
          <w:noProof/>
        </w:rPr>
        <mc:AlternateContent>
          <mc:Choice Requires="wps">
            <w:drawing>
              <wp:anchor distT="0" distB="0" distL="114300" distR="114300" simplePos="0" relativeHeight="251670016" behindDoc="0" locked="0" layoutInCell="1" allowOverlap="1" wp14:anchorId="2384F420" wp14:editId="5F33139E">
                <wp:simplePos x="0" y="0"/>
                <wp:positionH relativeFrom="margin">
                  <wp:align>center</wp:align>
                </wp:positionH>
                <wp:positionV relativeFrom="paragraph">
                  <wp:posOffset>4844778</wp:posOffset>
                </wp:positionV>
                <wp:extent cx="4757057" cy="174172"/>
                <wp:effectExtent l="0" t="0" r="5715" b="0"/>
                <wp:wrapNone/>
                <wp:docPr id="382541579" name="Text Box 1"/>
                <wp:cNvGraphicFramePr/>
                <a:graphic xmlns:a="http://schemas.openxmlformats.org/drawingml/2006/main">
                  <a:graphicData uri="http://schemas.microsoft.com/office/word/2010/wordprocessingShape">
                    <wps:wsp>
                      <wps:cNvSpPr txBox="1"/>
                      <wps:spPr>
                        <a:xfrm>
                          <a:off x="0" y="0"/>
                          <a:ext cx="4757057" cy="174172"/>
                        </a:xfrm>
                        <a:prstGeom prst="rect">
                          <a:avLst/>
                        </a:prstGeom>
                        <a:solidFill>
                          <a:prstClr val="white"/>
                        </a:solidFill>
                        <a:ln>
                          <a:noFill/>
                        </a:ln>
                      </wps:spPr>
                      <wps:txbx>
                        <w:txbxContent>
                          <w:p w14:paraId="04AC94E3" w14:textId="406C1E67" w:rsidR="00C01267" w:rsidRPr="00146ED3" w:rsidRDefault="00C01267" w:rsidP="00C01267">
                            <w:pPr>
                              <w:pStyle w:val="Caption"/>
                              <w:rPr>
                                <w:noProof/>
                              </w:rPr>
                            </w:pPr>
                            <w:r>
                              <w:t xml:space="preserve">Figure </w:t>
                            </w:r>
                            <w:fldSimple w:instr=" SEQ Figure \* ARABIC ">
                              <w:r>
                                <w:rPr>
                                  <w:noProof/>
                                </w:rPr>
                                <w:t>7</w:t>
                              </w:r>
                            </w:fldSimple>
                            <w:r>
                              <w:t xml:space="preserve"> - Explosive train of confined Lead </w:t>
                            </w:r>
                            <w:proofErr w:type="spellStart"/>
                            <w:r>
                              <w:t>Azide</w:t>
                            </w:r>
                            <w:proofErr w:type="spellEnd"/>
                            <w:r>
                              <w:t xml:space="preserve"> and TNT using values from Table 1 and Figure 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84F420" id="_x0000_s1029" type="#_x0000_t202" style="position:absolute;margin-left:0;margin-top:381.5pt;width:374.55pt;height:13.7pt;z-index:2516700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" stroked="f">
                <v:textbox inset="0,0,0,0">
                  <w:txbxContent>
                    <w:p w14:paraId="04AC94E3" w14:textId="406C1E67" w:rsidR="00C01267" w:rsidRPr="00146ED3" w:rsidRDefault="00C01267" w:rsidP="00C01267">
                      <w:pPr>
                        <w:pStyle w:val="Caption"/>
                        <w:rPr>
                          <w:noProof/>
                        </w:rPr>
                      </w:pPr>
                      <w:r>
                        <w:t xml:space="preserve">Figure </w:t>
                      </w:r>
                      <w:fldSimple w:instr=" SEQ Figure \* ARABIC ">
                        <w:r>
                          <w:rPr>
                            <w:noProof/>
                          </w:rPr>
                          <w:t>7</w:t>
                        </w:r>
                      </w:fldSimple>
                      <w:r>
                        <w:t xml:space="preserve"> - Explosive train of confined Lead </w:t>
                      </w:r>
                      <w:proofErr w:type="spellStart"/>
                      <w:r>
                        <w:t>Azide</w:t>
                      </w:r>
                      <w:proofErr w:type="spellEnd"/>
                      <w:r>
                        <w:t xml:space="preserve"> and TNT using values from Table 1 and Figure 5</w:t>
                      </w:r>
                    </w:p>
                  </w:txbxContent>
                </v:textbox>
                <w10:wrap anchorx="margin"/>
              </v:shape>
            </w:pict>
          </mc:Fallback>
        </mc:AlternateContent>
      </w:r>
    </w:p>
    <w:p w14:paraId="15F25C26" w14:textId="77777777" w:rsidR="00DC06D7" w:rsidRDefault="00DC06D7" w:rsidP="1F2AB047">
      <w:pPr>
        <w:spacing w:line="360" w:lineRule="auto"/>
        <w:sectPr w:rsidR="00DC06D7" w:rsidSect="00DC06D7">
          <w:pgSz w:w="16838" w:h="11906" w:orient="landscape"/>
          <w:pgMar w:top="1440" w:right="1440" w:bottom="1440" w:left="1440" w:header="709" w:footer="709" w:gutter="0"/>
          <w:cols w:space="708"/>
          <w:docGrid w:linePitch="360"/>
        </w:sectPr>
      </w:pPr>
    </w:p>
    <w:p w14:paraId="622E3A6E" w14:textId="7A83ABD9" w:rsidR="00763DF0" w:rsidRDefault="00763DF0" w:rsidP="00763DF0">
      <w:pPr>
        <w:pStyle w:val="Heading1"/>
      </w:pPr>
      <w:bookmarkStart w:id="18" w:name="_Toc216714105"/>
      <w:r>
        <w:lastRenderedPageBreak/>
        <w:t>Conclusion</w:t>
      </w:r>
      <w:bookmarkEnd w:id="18"/>
    </w:p>
    <w:p w14:paraId="2284858C" w14:textId="6DE4B184" w:rsidR="00763DF0" w:rsidRPr="00D0086E" w:rsidRDefault="00763DF0" w:rsidP="006C155A">
      <w:pPr>
        <w:spacing w:line="360" w:lineRule="auto"/>
      </w:pPr>
      <w:r>
        <w:t xml:space="preserve">In conclusion the confinement of primary and secondary explosives can produce </w:t>
      </w:r>
      <w:r w:rsidR="00B83B31">
        <w:t xml:space="preserve">more efficient detonations </w:t>
      </w:r>
      <w:r w:rsidR="008815FB">
        <w:t xml:space="preserve">producing greater pressures and effects. </w:t>
      </w:r>
      <w:r w:rsidR="0063502A">
        <w:t xml:space="preserve">The critical diameter and density are two key factors in the function of an explosive and if these are not abided to </w:t>
      </w:r>
      <w:r w:rsidR="006C155A">
        <w:t>an explosive compound will not function to maximum ability.</w:t>
      </w:r>
    </w:p>
    <w:p w14:paraId="02967007" w14:textId="7CF90481" w:rsidR="1F2AB047" w:rsidRDefault="1F2AB047" w:rsidP="1F2AB047">
      <w:pPr>
        <w:ind w:left="720"/>
        <w:rPr>
          <w:rFonts w:ascii="Arial" w:hAnsi="Arial" w:cs="Arial"/>
          <w:sz w:val="24"/>
          <w:szCs w:val="24"/>
        </w:rPr>
      </w:pPr>
    </w:p>
    <w:p w14:paraId="49A96131" w14:textId="4117E74F" w:rsidR="1F2AB047" w:rsidRDefault="1F2AB047" w:rsidP="1F2AB047">
      <w:pPr>
        <w:ind w:left="720"/>
        <w:rPr>
          <w:rFonts w:ascii="Arial" w:hAnsi="Arial" w:cs="Arial"/>
          <w:sz w:val="24"/>
          <w:szCs w:val="24"/>
        </w:rPr>
      </w:pPr>
    </w:p>
    <w:p w14:paraId="22679596" w14:textId="256A9EB3" w:rsidR="1F2AB047" w:rsidRDefault="1F2AB047" w:rsidP="00DE489B">
      <w:pPr>
        <w:rPr>
          <w:rFonts w:ascii="Arial" w:hAnsi="Arial" w:cs="Arial"/>
          <w:sz w:val="24"/>
          <w:szCs w:val="24"/>
        </w:rPr>
      </w:pPr>
    </w:p>
    <w:p w14:paraId="5CD381FB" w14:textId="77777777" w:rsidR="00DE489B" w:rsidRDefault="00DE489B" w:rsidP="00DE489B">
      <w:pPr>
        <w:rPr>
          <w:rFonts w:ascii="Arial" w:hAnsi="Arial" w:cs="Arial"/>
          <w:sz w:val="24"/>
          <w:szCs w:val="24"/>
        </w:rPr>
      </w:pPr>
    </w:p>
    <w:p w14:paraId="5A6A9641" w14:textId="38C04F5C" w:rsidR="1F2AB047" w:rsidRDefault="1F2AB047" w:rsidP="1F2AB047">
      <w:pPr>
        <w:ind w:left="720"/>
        <w:rPr>
          <w:rFonts w:ascii="Arial" w:hAnsi="Arial" w:cs="Arial"/>
          <w:sz w:val="24"/>
          <w:szCs w:val="24"/>
        </w:rPr>
      </w:pPr>
    </w:p>
    <w:p w14:paraId="5BB55EB0" w14:textId="122DAE1E" w:rsidR="1F2AB047" w:rsidRDefault="1F2AB047" w:rsidP="1F2AB047">
      <w:pPr>
        <w:ind w:left="720"/>
        <w:rPr>
          <w:rFonts w:ascii="Arial" w:hAnsi="Arial" w:cs="Arial"/>
          <w:sz w:val="24"/>
          <w:szCs w:val="24"/>
        </w:rPr>
      </w:pPr>
    </w:p>
    <w:p w14:paraId="53022481" w14:textId="59617FF2" w:rsidR="1F2AB047" w:rsidRDefault="1F2AB047" w:rsidP="1F2AB047">
      <w:pPr>
        <w:ind w:left="720"/>
        <w:rPr>
          <w:rFonts w:ascii="Arial" w:hAnsi="Arial" w:cs="Arial"/>
          <w:sz w:val="24"/>
          <w:szCs w:val="24"/>
        </w:rPr>
      </w:pPr>
    </w:p>
    <w:p w14:paraId="50D0FE28" w14:textId="1554DA49" w:rsidR="1F2AB047" w:rsidRDefault="1F2AB047" w:rsidP="1F2AB047">
      <w:pPr>
        <w:ind w:left="720"/>
        <w:rPr>
          <w:rFonts w:ascii="Arial" w:hAnsi="Arial" w:cs="Arial"/>
          <w:sz w:val="24"/>
          <w:szCs w:val="24"/>
        </w:rPr>
      </w:pPr>
    </w:p>
    <w:p w14:paraId="369F564E" w14:textId="76FA6FCA" w:rsidR="1F2AB047" w:rsidRDefault="1F2AB047" w:rsidP="1F2AB047">
      <w:pPr>
        <w:ind w:left="720"/>
        <w:rPr>
          <w:rFonts w:ascii="Arial" w:hAnsi="Arial" w:cs="Arial"/>
          <w:sz w:val="24"/>
          <w:szCs w:val="24"/>
        </w:rPr>
      </w:pPr>
    </w:p>
    <w:p w14:paraId="4864AF37" w14:textId="109A5A2B" w:rsidR="1F2AB047" w:rsidRDefault="1F2AB047" w:rsidP="1F2AB047">
      <w:pPr>
        <w:ind w:left="720"/>
        <w:rPr>
          <w:rFonts w:ascii="Arial" w:hAnsi="Arial" w:cs="Arial"/>
          <w:sz w:val="24"/>
          <w:szCs w:val="24"/>
        </w:rPr>
      </w:pPr>
    </w:p>
    <w:p w14:paraId="3561DC05" w14:textId="4D2A4C08" w:rsidR="1F2AB047" w:rsidRDefault="1F2AB047" w:rsidP="1F2AB047">
      <w:pPr>
        <w:ind w:left="720"/>
        <w:rPr>
          <w:rFonts w:ascii="Arial" w:hAnsi="Arial" w:cs="Arial"/>
          <w:sz w:val="24"/>
          <w:szCs w:val="24"/>
        </w:rPr>
      </w:pPr>
    </w:p>
    <w:p w14:paraId="4B7D30E2" w14:textId="42F34A39" w:rsidR="1F2AB047" w:rsidRDefault="1F2AB047" w:rsidP="1F2AB047">
      <w:pPr>
        <w:ind w:left="720"/>
        <w:rPr>
          <w:rFonts w:ascii="Arial" w:hAnsi="Arial" w:cs="Arial"/>
          <w:sz w:val="24"/>
          <w:szCs w:val="24"/>
        </w:rPr>
      </w:pPr>
    </w:p>
    <w:p w14:paraId="190C746C" w14:textId="3436E081" w:rsidR="1F2AB047" w:rsidRDefault="1F2AB047" w:rsidP="1F2AB047">
      <w:pPr>
        <w:ind w:left="720"/>
        <w:rPr>
          <w:rFonts w:ascii="Arial" w:hAnsi="Arial" w:cs="Arial"/>
          <w:sz w:val="24"/>
          <w:szCs w:val="24"/>
        </w:rPr>
      </w:pPr>
    </w:p>
    <w:p w14:paraId="1FE8DC79" w14:textId="13F4E0D0" w:rsidR="1F2AB047" w:rsidRDefault="1F2AB047" w:rsidP="1F2AB047">
      <w:pPr>
        <w:ind w:left="720"/>
        <w:rPr>
          <w:rFonts w:ascii="Arial" w:hAnsi="Arial" w:cs="Arial"/>
          <w:sz w:val="24"/>
          <w:szCs w:val="24"/>
        </w:rPr>
      </w:pPr>
    </w:p>
    <w:p w14:paraId="200A7DE0" w14:textId="1F6580DA" w:rsidR="1F2AB047" w:rsidRDefault="1F2AB047" w:rsidP="1F2AB047">
      <w:pPr>
        <w:ind w:left="720"/>
        <w:rPr>
          <w:rFonts w:ascii="Arial" w:hAnsi="Arial" w:cs="Arial"/>
          <w:sz w:val="24"/>
          <w:szCs w:val="24"/>
        </w:rPr>
      </w:pPr>
    </w:p>
    <w:p w14:paraId="58279A0C" w14:textId="30669EC9" w:rsidR="1F2AB047" w:rsidRDefault="1F2AB047" w:rsidP="1F2AB047">
      <w:pPr>
        <w:ind w:left="720"/>
        <w:rPr>
          <w:rFonts w:ascii="Arial" w:hAnsi="Arial" w:cs="Arial"/>
          <w:sz w:val="24"/>
          <w:szCs w:val="24"/>
        </w:rPr>
      </w:pPr>
    </w:p>
    <w:p w14:paraId="499604D7" w14:textId="77864035" w:rsidR="1F2AB047" w:rsidRDefault="1F2AB047" w:rsidP="1F2AB047">
      <w:pPr>
        <w:ind w:left="720"/>
        <w:rPr>
          <w:rFonts w:ascii="Arial" w:hAnsi="Arial" w:cs="Arial"/>
          <w:sz w:val="24"/>
          <w:szCs w:val="24"/>
        </w:rPr>
      </w:pPr>
    </w:p>
    <w:p w14:paraId="6F6F17FD" w14:textId="38B24372" w:rsidR="1F2AB047" w:rsidRDefault="1F2AB047" w:rsidP="1F2AB047">
      <w:pPr>
        <w:ind w:left="720"/>
        <w:rPr>
          <w:rFonts w:ascii="Arial" w:hAnsi="Arial" w:cs="Arial"/>
          <w:sz w:val="24"/>
          <w:szCs w:val="24"/>
        </w:rPr>
      </w:pPr>
    </w:p>
    <w:p w14:paraId="0F9B18B1" w14:textId="59511995" w:rsidR="1F2AB047" w:rsidRDefault="1F2AB047" w:rsidP="1F2AB047">
      <w:pPr>
        <w:ind w:left="720"/>
        <w:rPr>
          <w:rFonts w:ascii="Arial" w:hAnsi="Arial" w:cs="Arial"/>
          <w:sz w:val="24"/>
          <w:szCs w:val="24"/>
        </w:rPr>
      </w:pPr>
    </w:p>
    <w:p w14:paraId="2510A65D" w14:textId="6A6EA862" w:rsidR="1F2AB047" w:rsidRDefault="1F2AB047" w:rsidP="1F2AB047">
      <w:pPr>
        <w:ind w:left="720"/>
        <w:rPr>
          <w:rFonts w:ascii="Arial" w:hAnsi="Arial" w:cs="Arial"/>
          <w:sz w:val="24"/>
          <w:szCs w:val="24"/>
        </w:rPr>
      </w:pPr>
    </w:p>
    <w:p w14:paraId="04FC9569" w14:textId="02B64927" w:rsidR="1F2AB047" w:rsidRDefault="1F2AB047" w:rsidP="1F2AB047">
      <w:pPr>
        <w:ind w:left="720"/>
        <w:rPr>
          <w:rFonts w:ascii="Arial" w:hAnsi="Arial" w:cs="Arial"/>
          <w:sz w:val="24"/>
          <w:szCs w:val="24"/>
        </w:rPr>
      </w:pPr>
    </w:p>
    <w:p w14:paraId="6E95F362" w14:textId="77777777" w:rsidR="00DE489B" w:rsidRDefault="00DE489B" w:rsidP="1F2AB047">
      <w:pPr>
        <w:ind w:left="720"/>
        <w:rPr>
          <w:rFonts w:ascii="Arial" w:hAnsi="Arial" w:cs="Arial"/>
          <w:sz w:val="24"/>
          <w:szCs w:val="24"/>
        </w:rPr>
      </w:pPr>
    </w:p>
    <w:sdt>
      <w:sdtPr>
        <w:rPr>
          <w:rFonts w:asciiTheme="minorHAnsi" w:eastAsiaTheme="minorEastAsia" w:hAnsiTheme="minorHAnsi" w:cstheme="minorBidi"/>
          <w:color w:val="auto"/>
          <w:sz w:val="22"/>
          <w:szCs w:val="22"/>
        </w:rPr>
        <w:id w:val="-507912614"/>
        <w:docPartObj>
          <w:docPartGallery w:val="Bibliographies"/>
          <w:docPartUnique/>
        </w:docPartObj>
      </w:sdtPr>
      <w:sdtEndPr/>
      <w:sdtContent>
        <w:p w14:paraId="51B05F10" w14:textId="77777777" w:rsidR="00DC06D7" w:rsidRDefault="00DC06D7" w:rsidP="00DC06D7">
          <w:pPr>
            <w:pStyle w:val="Heading1"/>
            <w:spacing w:line="278" w:lineRule="auto"/>
            <w:rPr>
              <w:rFonts w:ascii="Arial" w:hAnsi="Arial" w:cs="Arial"/>
            </w:rPr>
          </w:pPr>
        </w:p>
        <w:p w14:paraId="2E81AD94" w14:textId="17812D37" w:rsidR="00CB7B27" w:rsidRPr="00DC06D7" w:rsidRDefault="00CB7B27" w:rsidP="00DC06D7">
          <w:pPr>
            <w:pStyle w:val="Heading1"/>
            <w:spacing w:line="278" w:lineRule="auto"/>
            <w:rPr>
              <w:rFonts w:ascii="Arial" w:hAnsi="Arial" w:cs="Arial"/>
            </w:rPr>
          </w:pPr>
          <w:bookmarkStart w:id="19" w:name="_Toc216714106"/>
          <w:r>
            <w:t>Bibliography</w:t>
          </w:r>
          <w:bookmarkEnd w:id="19"/>
        </w:p>
        <w:sdt>
          <w:sdtPr>
            <w:id w:val="111145805"/>
            <w:bibliography/>
          </w:sdtPr>
          <w:sdtEndPr/>
          <w:sdtContent>
            <w:p w14:paraId="3FECD9C9" w14:textId="77777777" w:rsidR="00CB7B27" w:rsidRDefault="00CB7B27" w:rsidP="00CB7B27">
              <w:pPr>
                <w:rPr>
                  <w:noProof/>
                  <w:kern w:val="2"/>
                  <w:sz w:val="24"/>
                  <w:szCs w:val="24"/>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9"/>
                <w:gridCol w:w="8587"/>
              </w:tblGrid>
              <w:tr w:rsidR="00CB7B27" w14:paraId="5CE73453" w14:textId="77777777" w:rsidTr="001F3DA2">
                <w:trPr>
                  <w:tblCellSpacing w:w="15" w:type="dxa"/>
                </w:trPr>
                <w:tc>
                  <w:tcPr>
                    <w:tcW w:w="50" w:type="pct"/>
                    <w:hideMark/>
                  </w:tcPr>
                  <w:p w14:paraId="7C6BD7BF" w14:textId="77777777" w:rsidR="00CB7B27" w:rsidRDefault="00CB7B27" w:rsidP="001F3DA2">
                    <w:pPr>
                      <w:pStyle w:val="Bibliography"/>
                      <w:rPr>
                        <w:noProof/>
                        <w:sz w:val="24"/>
                        <w:szCs w:val="24"/>
                      </w:rPr>
                    </w:pPr>
                    <w:r>
                      <w:rPr>
                        <w:noProof/>
                      </w:rPr>
                      <w:t xml:space="preserve">[1] </w:t>
                    </w:r>
                  </w:p>
                </w:tc>
                <w:tc>
                  <w:tcPr>
                    <w:tcW w:w="0" w:type="auto"/>
                    <w:hideMark/>
                  </w:tcPr>
                  <w:p w14:paraId="5040B186" w14:textId="77777777" w:rsidR="00CB7B27" w:rsidRDefault="00CB7B27" w:rsidP="001F3DA2">
                    <w:pPr>
                      <w:pStyle w:val="Bibliography"/>
                      <w:rPr>
                        <w:noProof/>
                      </w:rPr>
                    </w:pPr>
                    <w:r>
                      <w:rPr>
                        <w:noProof/>
                      </w:rPr>
                      <w:t xml:space="preserve">MOD UK National Authority for Qualification of Explosives, Services Textbook of Explosives, London: Ministry of Defence, 2020. </w:t>
                    </w:r>
                  </w:p>
                </w:tc>
              </w:tr>
              <w:tr w:rsidR="00CB7B27" w14:paraId="5B3239BB" w14:textId="77777777" w:rsidTr="001F3DA2">
                <w:trPr>
                  <w:tblCellSpacing w:w="15" w:type="dxa"/>
                </w:trPr>
                <w:tc>
                  <w:tcPr>
                    <w:tcW w:w="50" w:type="pct"/>
                    <w:hideMark/>
                  </w:tcPr>
                  <w:p w14:paraId="2CCF3B68" w14:textId="77777777" w:rsidR="00CB7B27" w:rsidRDefault="00CB7B27" w:rsidP="001F3DA2">
                    <w:pPr>
                      <w:pStyle w:val="Bibliography"/>
                      <w:rPr>
                        <w:noProof/>
                      </w:rPr>
                    </w:pPr>
                    <w:r>
                      <w:rPr>
                        <w:noProof/>
                      </w:rPr>
                      <w:t xml:space="preserve">[2] </w:t>
                    </w:r>
                  </w:p>
                </w:tc>
                <w:tc>
                  <w:tcPr>
                    <w:tcW w:w="0" w:type="auto"/>
                    <w:hideMark/>
                  </w:tcPr>
                  <w:p w14:paraId="2526C3CC" w14:textId="77777777" w:rsidR="00CB7B27" w:rsidRDefault="00CB7B27" w:rsidP="001F3DA2">
                    <w:pPr>
                      <w:pStyle w:val="Bibliography"/>
                      <w:rPr>
                        <w:noProof/>
                      </w:rPr>
                    </w:pPr>
                    <w:r>
                      <w:rPr>
                        <w:noProof/>
                      </w:rPr>
                      <w:t>UN (United Nations), “https://unece.org/sites/default/files/2023-07/GHS%20Rev10e.pdf,” 2023. [Online]. Available: https://unece.org/sites/default/files/2023-07/GHS%20Rev10e.pdf. [Accessed 1 December 2025].</w:t>
                    </w:r>
                  </w:p>
                </w:tc>
              </w:tr>
              <w:tr w:rsidR="00CB7B27" w14:paraId="5F14D968" w14:textId="77777777" w:rsidTr="001F3DA2">
                <w:trPr>
                  <w:tblCellSpacing w:w="15" w:type="dxa"/>
                </w:trPr>
                <w:tc>
                  <w:tcPr>
                    <w:tcW w:w="50" w:type="pct"/>
                    <w:hideMark/>
                  </w:tcPr>
                  <w:p w14:paraId="30DDA5DC" w14:textId="77777777" w:rsidR="00CB7B27" w:rsidRDefault="00CB7B27" w:rsidP="001F3DA2">
                    <w:pPr>
                      <w:pStyle w:val="Bibliography"/>
                      <w:rPr>
                        <w:noProof/>
                      </w:rPr>
                    </w:pPr>
                    <w:r>
                      <w:rPr>
                        <w:noProof/>
                      </w:rPr>
                      <w:t xml:space="preserve">[3] </w:t>
                    </w:r>
                  </w:p>
                </w:tc>
                <w:tc>
                  <w:tcPr>
                    <w:tcW w:w="0" w:type="auto"/>
                    <w:hideMark/>
                  </w:tcPr>
                  <w:p w14:paraId="4230A41E" w14:textId="77777777" w:rsidR="00CB7B27" w:rsidRDefault="00CB7B27" w:rsidP="001F3DA2">
                    <w:pPr>
                      <w:pStyle w:val="Bibliography"/>
                      <w:rPr>
                        <w:noProof/>
                      </w:rPr>
                    </w:pPr>
                    <w:r>
                      <w:rPr>
                        <w:noProof/>
                      </w:rPr>
                      <w:t xml:space="preserve">J. P. Agrawal, High Energy Materials, Great Britain: Wiley-VCH, 2010. </w:t>
                    </w:r>
                  </w:p>
                </w:tc>
              </w:tr>
              <w:tr w:rsidR="00CB7B27" w14:paraId="3367AEFB" w14:textId="77777777" w:rsidTr="001F3DA2">
                <w:trPr>
                  <w:tblCellSpacing w:w="15" w:type="dxa"/>
                </w:trPr>
                <w:tc>
                  <w:tcPr>
                    <w:tcW w:w="50" w:type="pct"/>
                    <w:hideMark/>
                  </w:tcPr>
                  <w:p w14:paraId="3DE541B3" w14:textId="77777777" w:rsidR="00CB7B27" w:rsidRDefault="00CB7B27" w:rsidP="001F3DA2">
                    <w:pPr>
                      <w:pStyle w:val="Bibliography"/>
                      <w:rPr>
                        <w:noProof/>
                      </w:rPr>
                    </w:pPr>
                    <w:r>
                      <w:rPr>
                        <w:noProof/>
                      </w:rPr>
                      <w:t xml:space="preserve">[4] </w:t>
                    </w:r>
                  </w:p>
                </w:tc>
                <w:tc>
                  <w:tcPr>
                    <w:tcW w:w="0" w:type="auto"/>
                    <w:hideMark/>
                  </w:tcPr>
                  <w:p w14:paraId="1F163E7B" w14:textId="77777777" w:rsidR="00CB7B27" w:rsidRDefault="00CB7B27" w:rsidP="001F3DA2">
                    <w:pPr>
                      <w:pStyle w:val="Bibliography"/>
                      <w:rPr>
                        <w:noProof/>
                      </w:rPr>
                    </w:pPr>
                    <w:r>
                      <w:rPr>
                        <w:noProof/>
                      </w:rPr>
                      <w:t xml:space="preserve">E. G. Mahadevan, Ammonium Nitrate Explosives for Civil Applications, Weinheim: Wiley-VCH, 2014. </w:t>
                    </w:r>
                  </w:p>
                </w:tc>
              </w:tr>
              <w:tr w:rsidR="00CB7B27" w14:paraId="047F0EDB" w14:textId="77777777" w:rsidTr="001F3DA2">
                <w:trPr>
                  <w:tblCellSpacing w:w="15" w:type="dxa"/>
                </w:trPr>
                <w:tc>
                  <w:tcPr>
                    <w:tcW w:w="50" w:type="pct"/>
                    <w:hideMark/>
                  </w:tcPr>
                  <w:p w14:paraId="2BB092CD" w14:textId="77777777" w:rsidR="00CB7B27" w:rsidRDefault="00CB7B27" w:rsidP="001F3DA2">
                    <w:pPr>
                      <w:pStyle w:val="Bibliography"/>
                      <w:rPr>
                        <w:noProof/>
                      </w:rPr>
                    </w:pPr>
                    <w:r>
                      <w:rPr>
                        <w:noProof/>
                      </w:rPr>
                      <w:t xml:space="preserve">[5] </w:t>
                    </w:r>
                  </w:p>
                </w:tc>
                <w:tc>
                  <w:tcPr>
                    <w:tcW w:w="0" w:type="auto"/>
                    <w:hideMark/>
                  </w:tcPr>
                  <w:p w14:paraId="2FFC7E1E" w14:textId="77777777" w:rsidR="00CB7B27" w:rsidRDefault="00CB7B27" w:rsidP="001F3DA2">
                    <w:pPr>
                      <w:pStyle w:val="Bibliography"/>
                      <w:rPr>
                        <w:noProof/>
                      </w:rPr>
                    </w:pPr>
                    <w:r>
                      <w:rPr>
                        <w:noProof/>
                      </w:rPr>
                      <w:t>P. C. Jung, “Initiation and Detonation in Lead Azide,” Texas Tech University, Texas, 2006.</w:t>
                    </w:r>
                  </w:p>
                </w:tc>
              </w:tr>
              <w:tr w:rsidR="00CB7B27" w14:paraId="3341124E" w14:textId="77777777" w:rsidTr="001F3DA2">
                <w:trPr>
                  <w:tblCellSpacing w:w="15" w:type="dxa"/>
                </w:trPr>
                <w:tc>
                  <w:tcPr>
                    <w:tcW w:w="50" w:type="pct"/>
                    <w:hideMark/>
                  </w:tcPr>
                  <w:p w14:paraId="1969A5C0" w14:textId="77777777" w:rsidR="00CB7B27" w:rsidRDefault="00CB7B27" w:rsidP="001F3DA2">
                    <w:pPr>
                      <w:pStyle w:val="Bibliography"/>
                      <w:rPr>
                        <w:noProof/>
                      </w:rPr>
                    </w:pPr>
                    <w:r>
                      <w:rPr>
                        <w:noProof/>
                      </w:rPr>
                      <w:t xml:space="preserve">[6] </w:t>
                    </w:r>
                  </w:p>
                </w:tc>
                <w:tc>
                  <w:tcPr>
                    <w:tcW w:w="0" w:type="auto"/>
                    <w:hideMark/>
                  </w:tcPr>
                  <w:p w14:paraId="05088774" w14:textId="77777777" w:rsidR="00CB7B27" w:rsidRDefault="00CB7B27" w:rsidP="001F3DA2">
                    <w:pPr>
                      <w:pStyle w:val="Bibliography"/>
                      <w:rPr>
                        <w:noProof/>
                      </w:rPr>
                    </w:pPr>
                    <w:r>
                      <w:rPr>
                        <w:noProof/>
                      </w:rPr>
                      <w:t>A. R. Mahmud, “Risk Assessment,” Universiti Putra Malaysia, Malaysia, 2018.</w:t>
                    </w:r>
                  </w:p>
                </w:tc>
              </w:tr>
              <w:tr w:rsidR="00CB7B27" w14:paraId="0C3877F6" w14:textId="77777777" w:rsidTr="001F3DA2">
                <w:trPr>
                  <w:tblCellSpacing w:w="15" w:type="dxa"/>
                </w:trPr>
                <w:tc>
                  <w:tcPr>
                    <w:tcW w:w="50" w:type="pct"/>
                    <w:hideMark/>
                  </w:tcPr>
                  <w:p w14:paraId="626817C5" w14:textId="77777777" w:rsidR="00CB7B27" w:rsidRDefault="00CB7B27" w:rsidP="001F3DA2">
                    <w:pPr>
                      <w:pStyle w:val="Bibliography"/>
                      <w:rPr>
                        <w:noProof/>
                      </w:rPr>
                    </w:pPr>
                    <w:r>
                      <w:rPr>
                        <w:noProof/>
                      </w:rPr>
                      <w:t xml:space="preserve">[7] </w:t>
                    </w:r>
                  </w:p>
                </w:tc>
                <w:tc>
                  <w:tcPr>
                    <w:tcW w:w="0" w:type="auto"/>
                    <w:hideMark/>
                  </w:tcPr>
                  <w:p w14:paraId="4E64CDD0" w14:textId="77777777" w:rsidR="00CB7B27" w:rsidRDefault="00CB7B27" w:rsidP="001F3DA2">
                    <w:pPr>
                      <w:pStyle w:val="Bibliography"/>
                      <w:rPr>
                        <w:noProof/>
                      </w:rPr>
                    </w:pPr>
                    <w:r>
                      <w:rPr>
                        <w:noProof/>
                      </w:rPr>
                      <w:t xml:space="preserve">Ministry os Defence, Services Textbook Of Explosives Procurement Executive, Ministry of Defence: London, 1972. </w:t>
                    </w:r>
                  </w:p>
                </w:tc>
              </w:tr>
              <w:tr w:rsidR="00CB7B27" w14:paraId="1D4A3A40" w14:textId="77777777" w:rsidTr="001F3DA2">
                <w:trPr>
                  <w:tblCellSpacing w:w="15" w:type="dxa"/>
                </w:trPr>
                <w:tc>
                  <w:tcPr>
                    <w:tcW w:w="50" w:type="pct"/>
                    <w:hideMark/>
                  </w:tcPr>
                  <w:p w14:paraId="6D5ED236" w14:textId="77777777" w:rsidR="00CB7B27" w:rsidRDefault="00CB7B27" w:rsidP="001F3DA2">
                    <w:pPr>
                      <w:pStyle w:val="Bibliography"/>
                      <w:rPr>
                        <w:noProof/>
                      </w:rPr>
                    </w:pPr>
                    <w:r>
                      <w:rPr>
                        <w:noProof/>
                      </w:rPr>
                      <w:t xml:space="preserve">[8] </w:t>
                    </w:r>
                  </w:p>
                </w:tc>
                <w:tc>
                  <w:tcPr>
                    <w:tcW w:w="0" w:type="auto"/>
                    <w:hideMark/>
                  </w:tcPr>
                  <w:p w14:paraId="69B34425" w14:textId="77777777" w:rsidR="00CB7B27" w:rsidRDefault="00CB7B27" w:rsidP="001F3DA2">
                    <w:pPr>
                      <w:pStyle w:val="Bibliography"/>
                      <w:rPr>
                        <w:noProof/>
                      </w:rPr>
                    </w:pPr>
                    <w:r>
                      <w:rPr>
                        <w:noProof/>
                      </w:rPr>
                      <w:t xml:space="preserve">R. Matyas, Primary Explosives, Springer, 2013. </w:t>
                    </w:r>
                  </w:p>
                </w:tc>
              </w:tr>
              <w:tr w:rsidR="00CB7B27" w14:paraId="2DE1D33A" w14:textId="77777777" w:rsidTr="001F3DA2">
                <w:trPr>
                  <w:tblCellSpacing w:w="15" w:type="dxa"/>
                </w:trPr>
                <w:tc>
                  <w:tcPr>
                    <w:tcW w:w="50" w:type="pct"/>
                    <w:hideMark/>
                  </w:tcPr>
                  <w:p w14:paraId="43A977ED" w14:textId="77777777" w:rsidR="00CB7B27" w:rsidRDefault="00CB7B27" w:rsidP="001F3DA2">
                    <w:pPr>
                      <w:pStyle w:val="Bibliography"/>
                      <w:rPr>
                        <w:noProof/>
                      </w:rPr>
                    </w:pPr>
                    <w:r>
                      <w:rPr>
                        <w:noProof/>
                      </w:rPr>
                      <w:t xml:space="preserve">[9] </w:t>
                    </w:r>
                  </w:p>
                </w:tc>
                <w:tc>
                  <w:tcPr>
                    <w:tcW w:w="0" w:type="auto"/>
                    <w:hideMark/>
                  </w:tcPr>
                  <w:p w14:paraId="576A8E4C" w14:textId="77777777" w:rsidR="00CB7B27" w:rsidRDefault="00CB7B27" w:rsidP="001F3DA2">
                    <w:pPr>
                      <w:pStyle w:val="Bibliography"/>
                      <w:rPr>
                        <w:noProof/>
                      </w:rPr>
                    </w:pPr>
                    <w:r>
                      <w:rPr>
                        <w:noProof/>
                      </w:rPr>
                      <w:t xml:space="preserve">N. K. Bourne, “On the critical threshold for detonation,” </w:t>
                    </w:r>
                    <w:r>
                      <w:rPr>
                        <w:i/>
                        <w:iCs/>
                        <w:noProof/>
                      </w:rPr>
                      <w:t xml:space="preserve">Combustion and Flame, </w:t>
                    </w:r>
                    <w:r>
                      <w:rPr>
                        <w:noProof/>
                      </w:rPr>
                      <w:t xml:space="preserve">vol. 244, 2022. </w:t>
                    </w:r>
                  </w:p>
                </w:tc>
              </w:tr>
              <w:tr w:rsidR="00CB7B27" w14:paraId="4AAC443D" w14:textId="77777777" w:rsidTr="001F3DA2">
                <w:trPr>
                  <w:tblCellSpacing w:w="15" w:type="dxa"/>
                </w:trPr>
                <w:tc>
                  <w:tcPr>
                    <w:tcW w:w="50" w:type="pct"/>
                    <w:hideMark/>
                  </w:tcPr>
                  <w:p w14:paraId="4B7114D6" w14:textId="77777777" w:rsidR="00CB7B27" w:rsidRDefault="00CB7B27" w:rsidP="001F3DA2">
                    <w:pPr>
                      <w:pStyle w:val="Bibliography"/>
                      <w:rPr>
                        <w:noProof/>
                      </w:rPr>
                    </w:pPr>
                    <w:r>
                      <w:rPr>
                        <w:noProof/>
                      </w:rPr>
                      <w:t xml:space="preserve">[10] </w:t>
                    </w:r>
                  </w:p>
                </w:tc>
                <w:tc>
                  <w:tcPr>
                    <w:tcW w:w="0" w:type="auto"/>
                    <w:hideMark/>
                  </w:tcPr>
                  <w:p w14:paraId="4C393B7F" w14:textId="77777777" w:rsidR="00CB7B27" w:rsidRDefault="00CB7B27" w:rsidP="001F3DA2">
                    <w:pPr>
                      <w:pStyle w:val="Bibliography"/>
                      <w:rPr>
                        <w:noProof/>
                      </w:rPr>
                    </w:pPr>
                    <w:r>
                      <w:rPr>
                        <w:noProof/>
                      </w:rPr>
                      <w:t xml:space="preserve">Y. Mu, W. Zhang, R. Shen and Y. Ye, “Observations on Detonation Grwoth of Lead Azide at Microscale,” </w:t>
                    </w:r>
                    <w:r>
                      <w:rPr>
                        <w:i/>
                        <w:iCs/>
                        <w:noProof/>
                      </w:rPr>
                      <w:t xml:space="preserve">Micromachines, </w:t>
                    </w:r>
                    <w:r>
                      <w:rPr>
                        <w:noProof/>
                      </w:rPr>
                      <w:t xml:space="preserve">vol. 13, no. 451, 2022. </w:t>
                    </w:r>
                  </w:p>
                </w:tc>
              </w:tr>
              <w:tr w:rsidR="00CB7B27" w14:paraId="302EDE04" w14:textId="77777777" w:rsidTr="001F3DA2">
                <w:trPr>
                  <w:tblCellSpacing w:w="15" w:type="dxa"/>
                </w:trPr>
                <w:tc>
                  <w:tcPr>
                    <w:tcW w:w="50" w:type="pct"/>
                    <w:hideMark/>
                  </w:tcPr>
                  <w:p w14:paraId="4DC2AE7A" w14:textId="77777777" w:rsidR="00CB7B27" w:rsidRDefault="00CB7B27" w:rsidP="001F3DA2">
                    <w:pPr>
                      <w:pStyle w:val="Bibliography"/>
                      <w:rPr>
                        <w:noProof/>
                      </w:rPr>
                    </w:pPr>
                    <w:r>
                      <w:rPr>
                        <w:noProof/>
                      </w:rPr>
                      <w:t xml:space="preserve">[11] </w:t>
                    </w:r>
                  </w:p>
                </w:tc>
                <w:tc>
                  <w:tcPr>
                    <w:tcW w:w="0" w:type="auto"/>
                    <w:hideMark/>
                  </w:tcPr>
                  <w:p w14:paraId="40AC61C0" w14:textId="7A83386F" w:rsidR="00CB7B27" w:rsidRDefault="00CB7B27" w:rsidP="001F3DA2">
                    <w:pPr>
                      <w:pStyle w:val="Bibliography"/>
                      <w:rPr>
                        <w:noProof/>
                      </w:rPr>
                    </w:pPr>
                    <w:r>
                      <w:rPr>
                        <w:noProof/>
                      </w:rPr>
                      <w:t>M. Hill, P. Alto, W. E. Tolberg, G. J. McDonald and M. Park, “United States Patent , PROCESS FOR THE MANUFACTURE OF</w:t>
                    </w:r>
                    <w:r w:rsidR="007F128A">
                      <w:rPr>
                        <w:noProof/>
                      </w:rPr>
                      <w:t xml:space="preserve"> TNT</w:t>
                    </w:r>
                    <w:r>
                      <w:rPr>
                        <w:noProof/>
                      </w:rPr>
                      <w:t>,” United States Department of the Army, 25 August 1972. [Online]. Available: https://patentimages.storage.googleapis.com/27/a9/79/ef49d0665bd7f1/US3799993.pdf. [Accessed 6 December 2025].</w:t>
                    </w:r>
                  </w:p>
                </w:tc>
              </w:tr>
              <w:tr w:rsidR="00CB7B27" w14:paraId="068C7668" w14:textId="77777777" w:rsidTr="001F3DA2">
                <w:trPr>
                  <w:tblCellSpacing w:w="15" w:type="dxa"/>
                </w:trPr>
                <w:tc>
                  <w:tcPr>
                    <w:tcW w:w="50" w:type="pct"/>
                    <w:hideMark/>
                  </w:tcPr>
                  <w:p w14:paraId="1107FC13" w14:textId="77777777" w:rsidR="00CB7B27" w:rsidRDefault="00CB7B27" w:rsidP="001F3DA2">
                    <w:pPr>
                      <w:pStyle w:val="Bibliography"/>
                      <w:rPr>
                        <w:noProof/>
                      </w:rPr>
                    </w:pPr>
                    <w:r>
                      <w:rPr>
                        <w:noProof/>
                      </w:rPr>
                      <w:t xml:space="preserve">[12] </w:t>
                    </w:r>
                  </w:p>
                </w:tc>
                <w:tc>
                  <w:tcPr>
                    <w:tcW w:w="0" w:type="auto"/>
                    <w:hideMark/>
                  </w:tcPr>
                  <w:p w14:paraId="7A5E165A" w14:textId="77777777" w:rsidR="00CB7B27" w:rsidRDefault="00CB7B27" w:rsidP="001F3DA2">
                    <w:pPr>
                      <w:pStyle w:val="Bibliography"/>
                      <w:rPr>
                        <w:noProof/>
                      </w:rPr>
                    </w:pPr>
                    <w:r>
                      <w:rPr>
                        <w:noProof/>
                      </w:rPr>
                      <w:t xml:space="preserve">A. Talaat, A. Elbeith, H. Tantawy and A. K. Hussein, “Thermal behavior and explosive properties of TNT/RGO,” </w:t>
                    </w:r>
                    <w:r>
                      <w:rPr>
                        <w:i/>
                        <w:iCs/>
                        <w:noProof/>
                      </w:rPr>
                      <w:t xml:space="preserve">Journal of Physics:, </w:t>
                    </w:r>
                    <w:r>
                      <w:rPr>
                        <w:noProof/>
                      </w:rPr>
                      <w:t xml:space="preserve">vol. 2305, no. 1, 2022. </w:t>
                    </w:r>
                  </w:p>
                </w:tc>
              </w:tr>
              <w:tr w:rsidR="00CB7B27" w14:paraId="72E4EFD0" w14:textId="77777777" w:rsidTr="001F3DA2">
                <w:trPr>
                  <w:tblCellSpacing w:w="15" w:type="dxa"/>
                </w:trPr>
                <w:tc>
                  <w:tcPr>
                    <w:tcW w:w="50" w:type="pct"/>
                    <w:hideMark/>
                  </w:tcPr>
                  <w:p w14:paraId="55A7230F" w14:textId="77777777" w:rsidR="00CB7B27" w:rsidRDefault="00CB7B27" w:rsidP="001F3DA2">
                    <w:pPr>
                      <w:pStyle w:val="Bibliography"/>
                      <w:rPr>
                        <w:noProof/>
                      </w:rPr>
                    </w:pPr>
                    <w:r>
                      <w:rPr>
                        <w:noProof/>
                      </w:rPr>
                      <w:t xml:space="preserve">[13] </w:t>
                    </w:r>
                  </w:p>
                </w:tc>
                <w:tc>
                  <w:tcPr>
                    <w:tcW w:w="0" w:type="auto"/>
                    <w:hideMark/>
                  </w:tcPr>
                  <w:p w14:paraId="07F8E7E5" w14:textId="77777777" w:rsidR="00CB7B27" w:rsidRDefault="00CB7B27" w:rsidP="001F3DA2">
                    <w:pPr>
                      <w:pStyle w:val="Bibliography"/>
                      <w:rPr>
                        <w:noProof/>
                      </w:rPr>
                    </w:pPr>
                    <w:r>
                      <w:rPr>
                        <w:noProof/>
                      </w:rPr>
                      <w:t xml:space="preserve">T. R. Gibbs and A. Popolato, LASL Explosive Property Data, Berkeley &amp; Los Angeles: University of California Press, 2023. </w:t>
                    </w:r>
                  </w:p>
                </w:tc>
              </w:tr>
              <w:tr w:rsidR="00CB7B27" w14:paraId="046D2259" w14:textId="77777777" w:rsidTr="001F3DA2">
                <w:trPr>
                  <w:tblCellSpacing w:w="15" w:type="dxa"/>
                </w:trPr>
                <w:tc>
                  <w:tcPr>
                    <w:tcW w:w="50" w:type="pct"/>
                    <w:hideMark/>
                  </w:tcPr>
                  <w:p w14:paraId="53D10489" w14:textId="77777777" w:rsidR="00CB7B27" w:rsidRDefault="00CB7B27" w:rsidP="001F3DA2">
                    <w:pPr>
                      <w:pStyle w:val="Bibliography"/>
                      <w:rPr>
                        <w:noProof/>
                      </w:rPr>
                    </w:pPr>
                    <w:r>
                      <w:rPr>
                        <w:noProof/>
                      </w:rPr>
                      <w:t xml:space="preserve">[14] </w:t>
                    </w:r>
                  </w:p>
                </w:tc>
                <w:tc>
                  <w:tcPr>
                    <w:tcW w:w="0" w:type="auto"/>
                    <w:hideMark/>
                  </w:tcPr>
                  <w:p w14:paraId="14A7CCEB" w14:textId="77777777" w:rsidR="00CB7B27" w:rsidRDefault="00CB7B27" w:rsidP="001F3DA2">
                    <w:pPr>
                      <w:pStyle w:val="Bibliography"/>
                      <w:rPr>
                        <w:noProof/>
                      </w:rPr>
                    </w:pPr>
                    <w:r>
                      <w:rPr>
                        <w:noProof/>
                      </w:rPr>
                      <w:t xml:space="preserve">A. S. Tappan, P. C. Jung, R. Knepper, R. R. Wixom, B. R. Melvin, M. Marquez, J. Ball, J. C. Miller and E. J. Welle, “Lead Azide and PETN Reactions at,” Sandia National Laboratories, April 2011. [Online]. Available: </w:t>
                    </w:r>
                    <w:r>
                      <w:rPr>
                        <w:noProof/>
                      </w:rPr>
                      <w:lastRenderedPageBreak/>
                      <w:t>http://www.cecdarchive.umd.edu/documents/presentations/synthesis-workshop-tappan.pdf. [Accessed 5 December 2025].</w:t>
                    </w:r>
                  </w:p>
                </w:tc>
              </w:tr>
              <w:tr w:rsidR="00CB7B27" w14:paraId="24E9E041" w14:textId="77777777" w:rsidTr="001F3DA2">
                <w:trPr>
                  <w:tblCellSpacing w:w="15" w:type="dxa"/>
                </w:trPr>
                <w:tc>
                  <w:tcPr>
                    <w:tcW w:w="50" w:type="pct"/>
                    <w:hideMark/>
                  </w:tcPr>
                  <w:p w14:paraId="69CB750A" w14:textId="77777777" w:rsidR="00CB7B27" w:rsidRDefault="00CB7B27" w:rsidP="001F3DA2">
                    <w:pPr>
                      <w:pStyle w:val="Bibliography"/>
                      <w:rPr>
                        <w:noProof/>
                      </w:rPr>
                    </w:pPr>
                    <w:r>
                      <w:rPr>
                        <w:noProof/>
                      </w:rPr>
                      <w:lastRenderedPageBreak/>
                      <w:t xml:space="preserve">[15] </w:t>
                    </w:r>
                  </w:p>
                </w:tc>
                <w:tc>
                  <w:tcPr>
                    <w:tcW w:w="0" w:type="auto"/>
                    <w:hideMark/>
                  </w:tcPr>
                  <w:p w14:paraId="3D55F020" w14:textId="77777777" w:rsidR="00CB7B27" w:rsidRDefault="00CB7B27" w:rsidP="001F3DA2">
                    <w:pPr>
                      <w:pStyle w:val="Bibliography"/>
                      <w:rPr>
                        <w:noProof/>
                      </w:rPr>
                    </w:pPr>
                    <w:r>
                      <w:rPr>
                        <w:noProof/>
                      </w:rPr>
                      <w:t xml:space="preserve">A. V. Utkin, S. A. Kolesnikov and A. V. Pershin, “Effect of the Initial Density in the structure of Detonation Waves in Heterogeneous Explosives,” </w:t>
                    </w:r>
                    <w:r>
                      <w:rPr>
                        <w:i/>
                        <w:iCs/>
                        <w:noProof/>
                      </w:rPr>
                      <w:t xml:space="preserve">Combustion, Explosion and Shock Waves, </w:t>
                    </w:r>
                    <w:r>
                      <w:rPr>
                        <w:noProof/>
                      </w:rPr>
                      <w:t xml:space="preserve">vol. 38, pp. 590-597, 2002. </w:t>
                    </w:r>
                  </w:p>
                </w:tc>
              </w:tr>
              <w:tr w:rsidR="00CB7B27" w14:paraId="1D857C20" w14:textId="77777777" w:rsidTr="001F3DA2">
                <w:trPr>
                  <w:tblCellSpacing w:w="15" w:type="dxa"/>
                </w:trPr>
                <w:tc>
                  <w:tcPr>
                    <w:tcW w:w="50" w:type="pct"/>
                    <w:hideMark/>
                  </w:tcPr>
                  <w:p w14:paraId="3B4CF548" w14:textId="77777777" w:rsidR="00CB7B27" w:rsidRDefault="00CB7B27" w:rsidP="001F3DA2">
                    <w:pPr>
                      <w:pStyle w:val="Bibliography"/>
                      <w:rPr>
                        <w:noProof/>
                      </w:rPr>
                    </w:pPr>
                    <w:r>
                      <w:rPr>
                        <w:noProof/>
                      </w:rPr>
                      <w:t xml:space="preserve">[16] </w:t>
                    </w:r>
                  </w:p>
                </w:tc>
                <w:tc>
                  <w:tcPr>
                    <w:tcW w:w="0" w:type="auto"/>
                    <w:hideMark/>
                  </w:tcPr>
                  <w:p w14:paraId="126A9291" w14:textId="77777777" w:rsidR="00CB7B27" w:rsidRDefault="00CB7B27" w:rsidP="001F3DA2">
                    <w:pPr>
                      <w:pStyle w:val="Bibliography"/>
                      <w:rPr>
                        <w:noProof/>
                      </w:rPr>
                    </w:pPr>
                    <w:r>
                      <w:rPr>
                        <w:noProof/>
                      </w:rPr>
                      <w:t>R. Weinheimer, “Properties of Selected High Explosives,” PACSCI EMC, July 2000. [Online]. Available: https://psemc.com/resources/pyrotechnic-white-papers/properties-of-selected-high-explosives-rev/. [Accessed 7 December 2025].</w:t>
                    </w:r>
                  </w:p>
                </w:tc>
              </w:tr>
              <w:tr w:rsidR="00CB7B27" w14:paraId="3A98A71C" w14:textId="77777777" w:rsidTr="001F3DA2">
                <w:trPr>
                  <w:tblCellSpacing w:w="15" w:type="dxa"/>
                </w:trPr>
                <w:tc>
                  <w:tcPr>
                    <w:tcW w:w="50" w:type="pct"/>
                    <w:hideMark/>
                  </w:tcPr>
                  <w:p w14:paraId="24F79AFD" w14:textId="77777777" w:rsidR="00CB7B27" w:rsidRDefault="00CB7B27" w:rsidP="001F3DA2">
                    <w:pPr>
                      <w:pStyle w:val="Bibliography"/>
                      <w:rPr>
                        <w:noProof/>
                      </w:rPr>
                    </w:pPr>
                    <w:r>
                      <w:rPr>
                        <w:noProof/>
                      </w:rPr>
                      <w:t xml:space="preserve">[17] </w:t>
                    </w:r>
                  </w:p>
                </w:tc>
                <w:tc>
                  <w:tcPr>
                    <w:tcW w:w="0" w:type="auto"/>
                    <w:hideMark/>
                  </w:tcPr>
                  <w:p w14:paraId="4A019AB3" w14:textId="77777777" w:rsidR="00CB7B27" w:rsidRDefault="00CB7B27" w:rsidP="001F3DA2">
                    <w:pPr>
                      <w:pStyle w:val="Bibliography"/>
                      <w:rPr>
                        <w:noProof/>
                      </w:rPr>
                    </w:pPr>
                    <w:r>
                      <w:rPr>
                        <w:noProof/>
                      </w:rPr>
                      <w:t xml:space="preserve">R. Meyer, J. Kohler and A. Homburg, “Casting of Explosives,” in </w:t>
                    </w:r>
                    <w:r>
                      <w:rPr>
                        <w:i/>
                        <w:iCs/>
                        <w:noProof/>
                      </w:rPr>
                      <w:t>Explosives</w:t>
                    </w:r>
                    <w:r>
                      <w:rPr>
                        <w:noProof/>
                      </w:rPr>
                      <w:t>, Wiley-VCH Verlag GmbH &amp; Company KGaA, 2015, p. 55.</w:t>
                    </w:r>
                  </w:p>
                </w:tc>
              </w:tr>
              <w:tr w:rsidR="00CB7B27" w14:paraId="7B0A3C3D" w14:textId="77777777" w:rsidTr="001F3DA2">
                <w:trPr>
                  <w:tblCellSpacing w:w="15" w:type="dxa"/>
                </w:trPr>
                <w:tc>
                  <w:tcPr>
                    <w:tcW w:w="50" w:type="pct"/>
                    <w:hideMark/>
                  </w:tcPr>
                  <w:p w14:paraId="0D4FAE19" w14:textId="77777777" w:rsidR="00CB7B27" w:rsidRDefault="00CB7B27" w:rsidP="001F3DA2">
                    <w:pPr>
                      <w:pStyle w:val="Bibliography"/>
                      <w:rPr>
                        <w:noProof/>
                      </w:rPr>
                    </w:pPr>
                    <w:r>
                      <w:rPr>
                        <w:noProof/>
                      </w:rPr>
                      <w:t xml:space="preserve">[18] </w:t>
                    </w:r>
                  </w:p>
                </w:tc>
                <w:tc>
                  <w:tcPr>
                    <w:tcW w:w="0" w:type="auto"/>
                    <w:hideMark/>
                  </w:tcPr>
                  <w:p w14:paraId="44D6AF27" w14:textId="77777777" w:rsidR="00CB7B27" w:rsidRDefault="00CB7B27" w:rsidP="001F3DA2">
                    <w:pPr>
                      <w:pStyle w:val="Bibliography"/>
                      <w:rPr>
                        <w:noProof/>
                      </w:rPr>
                    </w:pPr>
                    <w:r>
                      <w:rPr>
                        <w:noProof/>
                      </w:rPr>
                      <w:t xml:space="preserve">T. M. Klapotke and M. Suceska, “A computational Study on the Detonation Velocity of Mixtures of Solid Explosives with Non-Explosive Liquids,” </w:t>
                    </w:r>
                    <w:r>
                      <w:rPr>
                        <w:i/>
                        <w:iCs/>
                        <w:noProof/>
                      </w:rPr>
                      <w:t xml:space="preserve">Propellants, EXplosives, Pyrotechnics, </w:t>
                    </w:r>
                    <w:r>
                      <w:rPr>
                        <w:noProof/>
                      </w:rPr>
                      <w:t xml:space="preserve">vol. 46, no. 3, pp. 352-355, 2021. </w:t>
                    </w:r>
                  </w:p>
                </w:tc>
              </w:tr>
              <w:tr w:rsidR="00CB7B27" w14:paraId="3A125CC9" w14:textId="77777777" w:rsidTr="001F3DA2">
                <w:trPr>
                  <w:tblCellSpacing w:w="15" w:type="dxa"/>
                </w:trPr>
                <w:tc>
                  <w:tcPr>
                    <w:tcW w:w="50" w:type="pct"/>
                    <w:hideMark/>
                  </w:tcPr>
                  <w:p w14:paraId="52B5DE87" w14:textId="77777777" w:rsidR="00CB7B27" w:rsidRDefault="00CB7B27" w:rsidP="001F3DA2">
                    <w:pPr>
                      <w:pStyle w:val="Bibliography"/>
                      <w:rPr>
                        <w:noProof/>
                      </w:rPr>
                    </w:pPr>
                    <w:r>
                      <w:rPr>
                        <w:noProof/>
                      </w:rPr>
                      <w:t xml:space="preserve">[19] </w:t>
                    </w:r>
                  </w:p>
                </w:tc>
                <w:tc>
                  <w:tcPr>
                    <w:tcW w:w="0" w:type="auto"/>
                    <w:hideMark/>
                  </w:tcPr>
                  <w:p w14:paraId="2626D050" w14:textId="77777777" w:rsidR="00CB7B27" w:rsidRDefault="00CB7B27" w:rsidP="001F3DA2">
                    <w:pPr>
                      <w:pStyle w:val="Bibliography"/>
                      <w:rPr>
                        <w:noProof/>
                      </w:rPr>
                    </w:pPr>
                    <w:r>
                      <w:rPr>
                        <w:noProof/>
                      </w:rPr>
                      <w:t xml:space="preserve">W. B. Cybulski, W. Payman and D. W. Woodhead, “Explosion waves and shock waves. VII.The velocity of detonation in cast T.N.T,” </w:t>
                    </w:r>
                    <w:r>
                      <w:rPr>
                        <w:i/>
                        <w:iCs/>
                        <w:noProof/>
                      </w:rPr>
                      <w:t xml:space="preserve">Mathematical And Physical Sciences, </w:t>
                    </w:r>
                    <w:r>
                      <w:rPr>
                        <w:noProof/>
                      </w:rPr>
                      <w:t xml:space="preserve">vol. 197, no. 1048, pp. 51-72, 1949. </w:t>
                    </w:r>
                  </w:p>
                </w:tc>
              </w:tr>
              <w:tr w:rsidR="00CB7B27" w14:paraId="40146AE3" w14:textId="77777777" w:rsidTr="001F3DA2">
                <w:trPr>
                  <w:tblCellSpacing w:w="15" w:type="dxa"/>
                </w:trPr>
                <w:tc>
                  <w:tcPr>
                    <w:tcW w:w="50" w:type="pct"/>
                    <w:hideMark/>
                  </w:tcPr>
                  <w:p w14:paraId="6D7E6F0C" w14:textId="77777777" w:rsidR="00CB7B27" w:rsidRDefault="00CB7B27" w:rsidP="001F3DA2">
                    <w:pPr>
                      <w:pStyle w:val="Bibliography"/>
                      <w:rPr>
                        <w:noProof/>
                      </w:rPr>
                    </w:pPr>
                    <w:r>
                      <w:rPr>
                        <w:noProof/>
                      </w:rPr>
                      <w:t xml:space="preserve">[20] </w:t>
                    </w:r>
                  </w:p>
                </w:tc>
                <w:tc>
                  <w:tcPr>
                    <w:tcW w:w="0" w:type="auto"/>
                    <w:hideMark/>
                  </w:tcPr>
                  <w:p w14:paraId="26770C02" w14:textId="77777777" w:rsidR="00CB7B27" w:rsidRDefault="00CB7B27" w:rsidP="001F3DA2">
                    <w:pPr>
                      <w:pStyle w:val="Bibliography"/>
                      <w:rPr>
                        <w:noProof/>
                      </w:rPr>
                    </w:pPr>
                    <w:r>
                      <w:rPr>
                        <w:noProof/>
                      </w:rPr>
                      <w:t xml:space="preserve">W. B. Cybulski, W. Payman and D. W. Woodhead, “Explosion Waves and Shock Waves.VII, The detonation velocity of detonation in Cast TNT,” </w:t>
                    </w:r>
                    <w:r>
                      <w:rPr>
                        <w:i/>
                        <w:iCs/>
                        <w:noProof/>
                      </w:rPr>
                      <w:t xml:space="preserve">Proceedings of the Royal Society of London. Series A, Mathematical and Physical Sciences, </w:t>
                    </w:r>
                    <w:r>
                      <w:rPr>
                        <w:noProof/>
                      </w:rPr>
                      <w:t xml:space="preserve">vol. 197, no. 1048, pp. 51-72, 1949. </w:t>
                    </w:r>
                  </w:p>
                </w:tc>
              </w:tr>
              <w:tr w:rsidR="00CB7B27" w14:paraId="73E5105B" w14:textId="77777777" w:rsidTr="001F3DA2">
                <w:trPr>
                  <w:tblCellSpacing w:w="15" w:type="dxa"/>
                </w:trPr>
                <w:tc>
                  <w:tcPr>
                    <w:tcW w:w="50" w:type="pct"/>
                    <w:hideMark/>
                  </w:tcPr>
                  <w:p w14:paraId="6A556F36" w14:textId="77777777" w:rsidR="00CB7B27" w:rsidRDefault="00CB7B27" w:rsidP="001F3DA2">
                    <w:pPr>
                      <w:pStyle w:val="Bibliography"/>
                      <w:rPr>
                        <w:noProof/>
                      </w:rPr>
                    </w:pPr>
                    <w:r>
                      <w:rPr>
                        <w:noProof/>
                      </w:rPr>
                      <w:t xml:space="preserve">[21] </w:t>
                    </w:r>
                  </w:p>
                </w:tc>
                <w:tc>
                  <w:tcPr>
                    <w:tcW w:w="0" w:type="auto"/>
                    <w:hideMark/>
                  </w:tcPr>
                  <w:p w14:paraId="6A986845" w14:textId="77777777" w:rsidR="00CB7B27" w:rsidRDefault="00CB7B27" w:rsidP="001F3DA2">
                    <w:pPr>
                      <w:pStyle w:val="Bibliography"/>
                      <w:rPr>
                        <w:noProof/>
                      </w:rPr>
                    </w:pPr>
                    <w:r>
                      <w:rPr>
                        <w:noProof/>
                      </w:rPr>
                      <w:t xml:space="preserve">I. Jaffe and D. Orice, “Determination of the Critical Diameter of Explosive Materials,” </w:t>
                    </w:r>
                    <w:r>
                      <w:rPr>
                        <w:i/>
                        <w:iCs/>
                        <w:noProof/>
                      </w:rPr>
                      <w:t xml:space="preserve">ARS Journal, </w:t>
                    </w:r>
                    <w:r>
                      <w:rPr>
                        <w:noProof/>
                      </w:rPr>
                      <w:t xml:space="preserve">vol. 32, no. 7, pp. 1060-1065, 1962. </w:t>
                    </w:r>
                  </w:p>
                </w:tc>
              </w:tr>
              <w:tr w:rsidR="00CB7B27" w14:paraId="0BA44779" w14:textId="77777777" w:rsidTr="001F3DA2">
                <w:trPr>
                  <w:tblCellSpacing w:w="15" w:type="dxa"/>
                </w:trPr>
                <w:tc>
                  <w:tcPr>
                    <w:tcW w:w="50" w:type="pct"/>
                    <w:hideMark/>
                  </w:tcPr>
                  <w:p w14:paraId="35B1657A" w14:textId="77777777" w:rsidR="00CB7B27" w:rsidRDefault="00CB7B27" w:rsidP="001F3DA2">
                    <w:pPr>
                      <w:pStyle w:val="Bibliography"/>
                      <w:rPr>
                        <w:noProof/>
                      </w:rPr>
                    </w:pPr>
                    <w:r>
                      <w:rPr>
                        <w:noProof/>
                      </w:rPr>
                      <w:t xml:space="preserve">[22] </w:t>
                    </w:r>
                  </w:p>
                </w:tc>
                <w:tc>
                  <w:tcPr>
                    <w:tcW w:w="0" w:type="auto"/>
                    <w:hideMark/>
                  </w:tcPr>
                  <w:p w14:paraId="718EBAE1" w14:textId="77777777" w:rsidR="00CB7B27" w:rsidRDefault="00CB7B27" w:rsidP="001F3DA2">
                    <w:pPr>
                      <w:pStyle w:val="Bibliography"/>
                      <w:rPr>
                        <w:noProof/>
                      </w:rPr>
                    </w:pPr>
                    <w:r>
                      <w:rPr>
                        <w:noProof/>
                      </w:rPr>
                      <w:t xml:space="preserve">Z.-X. Zhang, “Chapter 8 - Explosives and Detonators,” in </w:t>
                    </w:r>
                    <w:r>
                      <w:rPr>
                        <w:i/>
                        <w:iCs/>
                        <w:noProof/>
                      </w:rPr>
                      <w:t>Rock Fracture and Blasting</w:t>
                    </w:r>
                    <w:r>
                      <w:rPr>
                        <w:noProof/>
                      </w:rPr>
                      <w:t>, Oxford, Butterworth-Heinemann, 2016, pp. 179-195.</w:t>
                    </w:r>
                  </w:p>
                </w:tc>
              </w:tr>
              <w:tr w:rsidR="00CB7B27" w14:paraId="17807266" w14:textId="77777777" w:rsidTr="001F3DA2">
                <w:trPr>
                  <w:tblCellSpacing w:w="15" w:type="dxa"/>
                </w:trPr>
                <w:tc>
                  <w:tcPr>
                    <w:tcW w:w="50" w:type="pct"/>
                    <w:hideMark/>
                  </w:tcPr>
                  <w:p w14:paraId="385698A4" w14:textId="77777777" w:rsidR="00CB7B27" w:rsidRDefault="00CB7B27" w:rsidP="001F3DA2">
                    <w:pPr>
                      <w:pStyle w:val="Bibliography"/>
                      <w:rPr>
                        <w:noProof/>
                      </w:rPr>
                    </w:pPr>
                    <w:r>
                      <w:rPr>
                        <w:noProof/>
                      </w:rPr>
                      <w:t xml:space="preserve">[23] </w:t>
                    </w:r>
                  </w:p>
                </w:tc>
                <w:tc>
                  <w:tcPr>
                    <w:tcW w:w="0" w:type="auto"/>
                    <w:hideMark/>
                  </w:tcPr>
                  <w:p w14:paraId="6D2AA172" w14:textId="77777777" w:rsidR="00CB7B27" w:rsidRDefault="00CB7B27" w:rsidP="001F3DA2">
                    <w:pPr>
                      <w:pStyle w:val="Bibliography"/>
                      <w:rPr>
                        <w:noProof/>
                      </w:rPr>
                    </w:pPr>
                    <w:r>
                      <w:rPr>
                        <w:noProof/>
                      </w:rPr>
                      <w:t xml:space="preserve">N. Galustanian, M. Elshazli, H. Kaur, A. Elsisi and S. Orton, “Experimental Characterization of Cast Explosive Charges Used in Studies of Blast Effects on Structures,” </w:t>
                    </w:r>
                    <w:r>
                      <w:rPr>
                        <w:i/>
                        <w:iCs/>
                        <w:noProof/>
                      </w:rPr>
                      <w:t xml:space="preserve">CivilEng, </w:t>
                    </w:r>
                    <w:r>
                      <w:rPr>
                        <w:noProof/>
                      </w:rPr>
                      <w:t xml:space="preserve">vol. 6, no. 2, 2025. </w:t>
                    </w:r>
                  </w:p>
                </w:tc>
              </w:tr>
              <w:tr w:rsidR="00CB7B27" w14:paraId="628D3B63" w14:textId="77777777" w:rsidTr="001F3DA2">
                <w:trPr>
                  <w:tblCellSpacing w:w="15" w:type="dxa"/>
                </w:trPr>
                <w:tc>
                  <w:tcPr>
                    <w:tcW w:w="50" w:type="pct"/>
                    <w:hideMark/>
                  </w:tcPr>
                  <w:p w14:paraId="35B180C2" w14:textId="77777777" w:rsidR="00CB7B27" w:rsidRDefault="00CB7B27" w:rsidP="001F3DA2">
                    <w:pPr>
                      <w:pStyle w:val="Bibliography"/>
                      <w:rPr>
                        <w:noProof/>
                      </w:rPr>
                    </w:pPr>
                    <w:r>
                      <w:rPr>
                        <w:noProof/>
                      </w:rPr>
                      <w:t xml:space="preserve">[24] </w:t>
                    </w:r>
                  </w:p>
                </w:tc>
                <w:tc>
                  <w:tcPr>
                    <w:tcW w:w="0" w:type="auto"/>
                    <w:hideMark/>
                  </w:tcPr>
                  <w:p w14:paraId="75A553D0" w14:textId="77777777" w:rsidR="00CB7B27" w:rsidRDefault="00CB7B27" w:rsidP="001F3DA2">
                    <w:pPr>
                      <w:pStyle w:val="Bibliography"/>
                      <w:rPr>
                        <w:noProof/>
                      </w:rPr>
                    </w:pPr>
                    <w:r>
                      <w:rPr>
                        <w:noProof/>
                      </w:rPr>
                      <w:t xml:space="preserve">The New York Times, “Million Pounds of TNT set off in Canada Blast,” in </w:t>
                    </w:r>
                    <w:r>
                      <w:rPr>
                        <w:i/>
                        <w:iCs/>
                        <w:noProof/>
                      </w:rPr>
                      <w:t>The New York Times</w:t>
                    </w:r>
                    <w:r>
                      <w:rPr>
                        <w:noProof/>
                      </w:rPr>
                      <w:t>, New York, July 18 1964, p. 4.</w:t>
                    </w:r>
                  </w:p>
                </w:tc>
              </w:tr>
              <w:tr w:rsidR="00CB7B27" w14:paraId="7C69A40D" w14:textId="77777777" w:rsidTr="001F3DA2">
                <w:trPr>
                  <w:tblCellSpacing w:w="15" w:type="dxa"/>
                </w:trPr>
                <w:tc>
                  <w:tcPr>
                    <w:tcW w:w="50" w:type="pct"/>
                    <w:hideMark/>
                  </w:tcPr>
                  <w:p w14:paraId="5F2C234C" w14:textId="60CA0266" w:rsidR="00CB7B27" w:rsidRDefault="00CB7B27" w:rsidP="001F3DA2">
                    <w:pPr>
                      <w:pStyle w:val="Bibliography"/>
                      <w:rPr>
                        <w:noProof/>
                      </w:rPr>
                    </w:pPr>
                    <w:r>
                      <w:rPr>
                        <w:noProof/>
                      </w:rPr>
                      <w:t>[2</w:t>
                    </w:r>
                    <w:r w:rsidR="00D859CB">
                      <w:rPr>
                        <w:noProof/>
                      </w:rPr>
                      <w:t>5</w:t>
                    </w:r>
                    <w:r>
                      <w:rPr>
                        <w:noProof/>
                      </w:rPr>
                      <w:t xml:space="preserve">] </w:t>
                    </w:r>
                  </w:p>
                </w:tc>
                <w:tc>
                  <w:tcPr>
                    <w:tcW w:w="0" w:type="auto"/>
                    <w:hideMark/>
                  </w:tcPr>
                  <w:p w14:paraId="3B530EC0" w14:textId="77777777" w:rsidR="00CB7B27" w:rsidRDefault="00CB7B27" w:rsidP="001F3DA2">
                    <w:pPr>
                      <w:pStyle w:val="Bibliography"/>
                      <w:rPr>
                        <w:noProof/>
                      </w:rPr>
                    </w:pPr>
                    <w:r>
                      <w:rPr>
                        <w:noProof/>
                      </w:rPr>
                      <w:t xml:space="preserve">M. Short, C. Chiquete and J. J. Quirk, “The influence of multi-layer confinement on detonation propagation in condensed-phase explosives,” </w:t>
                    </w:r>
                    <w:r>
                      <w:rPr>
                        <w:i/>
                        <w:iCs/>
                        <w:noProof/>
                      </w:rPr>
                      <w:t xml:space="preserve">Proceedings of the Combustion Institute, </w:t>
                    </w:r>
                    <w:r>
                      <w:rPr>
                        <w:noProof/>
                      </w:rPr>
                      <w:t xml:space="preserve">vol. 38, no. 3, pp. 3595-3603, 2021. </w:t>
                    </w:r>
                  </w:p>
                </w:tc>
              </w:tr>
            </w:tbl>
            <w:p w14:paraId="255C54F2" w14:textId="5E5E70CC" w:rsidR="006D1CB6" w:rsidRPr="00353D93" w:rsidRDefault="00D859CB" w:rsidP="006D1CB6">
              <w:pPr>
                <w:pStyle w:val="Bibliography"/>
                <w:ind w:left="720" w:hanging="720"/>
                <w:rPr>
                  <w:noProof/>
                  <w:sz w:val="24"/>
                  <w:szCs w:val="24"/>
                </w:rPr>
              </w:pPr>
              <w:r w:rsidRPr="00D859CB">
                <w:rPr>
                  <w:rFonts w:eastAsia="Times New Roman"/>
                  <w:noProof/>
                </w:rPr>
                <w:t>[26]</w:t>
              </w:r>
              <w:r>
                <w:rPr>
                  <w:rFonts w:eastAsia="Times New Roman"/>
                  <w:noProof/>
                </w:rPr>
                <w:t xml:space="preserve"> </w:t>
              </w:r>
              <w:r w:rsidR="006D1CB6">
                <w:rPr>
                  <w:rFonts w:eastAsia="Times New Roman"/>
                  <w:noProof/>
                </w:rPr>
                <w:t xml:space="preserve">  </w:t>
              </w:r>
              <w:r w:rsidR="006D1CB6">
                <w:fldChar w:fldCharType="begin"/>
              </w:r>
              <w:r w:rsidR="006D1CB6">
                <w:instrText xml:space="preserve"> BIBLIOGRAPHY  \l 2057 </w:instrText>
              </w:r>
              <w:r w:rsidR="006D1CB6">
                <w:fldChar w:fldCharType="separate"/>
              </w:r>
              <w:r w:rsidR="006D1CB6">
                <w:rPr>
                  <w:noProof/>
                </w:rPr>
                <w:t>K</w:t>
              </w:r>
              <w:r w:rsidR="006D1CB6" w:rsidRPr="00A527FC">
                <w:rPr>
                  <w:noProof/>
                </w:rPr>
                <w:t xml:space="preserve">halil, M., Abdalla, H., &amp; Mahmoud, O. M. </w:t>
              </w:r>
              <w:r w:rsidR="009B1FD7" w:rsidRPr="00A527FC">
                <w:rPr>
                  <w:noProof/>
                </w:rPr>
                <w:t>"</w:t>
              </w:r>
              <w:r w:rsidR="006D1CB6" w:rsidRPr="00A527FC">
                <w:rPr>
                  <w:noProof/>
                </w:rPr>
                <w:t>Dispersion Analysis for Spinning Artillery Projectile</w:t>
              </w:r>
              <w:r w:rsidR="00876DE2" w:rsidRPr="00A527FC">
                <w:rPr>
                  <w:noProof/>
                </w:rPr>
                <w:t xml:space="preserve"> </w:t>
              </w:r>
              <w:r w:rsidR="003B68DA" w:rsidRPr="00A527FC">
                <w:rPr>
                  <w:noProof/>
                </w:rPr>
                <w:t>" May 2009</w:t>
              </w:r>
              <w:r w:rsidR="00876DE2" w:rsidRPr="00A527FC">
                <w:rPr>
                  <w:noProof/>
                </w:rPr>
                <w:t>[Online]</w:t>
              </w:r>
              <w:r w:rsidR="00B06960" w:rsidRPr="00A527FC">
                <w:rPr>
                  <w:noProof/>
                </w:rPr>
                <w:t xml:space="preserve">. </w:t>
              </w:r>
              <w:r w:rsidR="00B06960">
                <w:rPr>
                  <w:noProof/>
                </w:rPr>
                <w:t>Available:</w:t>
              </w:r>
              <w:r w:rsidR="009B1FD7">
                <w:rPr>
                  <w:i/>
                  <w:iCs/>
                  <w:noProof/>
                </w:rPr>
                <w:t>"</w:t>
              </w:r>
              <w:r w:rsidR="00353D93" w:rsidRPr="00353D93">
                <w:rPr>
                  <w:i/>
                  <w:iCs/>
                  <w:noProof/>
                </w:rPr>
                <w:t>https://www.researchgate.net/publication/283055036_Dispersion_Analysis_for_Spinning_Artillery_Projectile</w:t>
              </w:r>
              <w:r w:rsidR="00353D93">
                <w:rPr>
                  <w:i/>
                  <w:iCs/>
                  <w:noProof/>
                </w:rPr>
                <w:t xml:space="preserve">" </w:t>
              </w:r>
              <w:r w:rsidR="00353D93">
                <w:rPr>
                  <w:noProof/>
                </w:rPr>
                <w:t>[Accessed</w:t>
              </w:r>
              <w:r w:rsidR="00A527FC">
                <w:rPr>
                  <w:noProof/>
                </w:rPr>
                <w:t xml:space="preserve"> 15 December 2025]</w:t>
              </w:r>
            </w:p>
            <w:p w14:paraId="7BC791C9" w14:textId="62338EB8" w:rsidR="00CB7B27" w:rsidRDefault="006D1CB6" w:rsidP="006D1CB6">
              <w:pPr>
                <w:rPr>
                  <w:rFonts w:eastAsia="Times New Roman"/>
                  <w:noProof/>
                </w:rPr>
              </w:pPr>
              <w:r>
                <w:fldChar w:fldCharType="end"/>
              </w:r>
            </w:p>
            <w:p w14:paraId="3230D105" w14:textId="77777777" w:rsidR="00CB7B27" w:rsidRDefault="00CB7B27" w:rsidP="00CB7B27">
              <w:r>
                <w:rPr>
                  <w:b/>
                  <w:bCs/>
                  <w:noProof/>
                </w:rPr>
                <w:lastRenderedPageBreak/>
                <w:fldChar w:fldCharType="end"/>
              </w:r>
            </w:p>
          </w:sdtContent>
        </w:sdt>
      </w:sdtContent>
    </w:sdt>
    <w:p w14:paraId="4ACBFF21" w14:textId="67EDCDB2" w:rsidR="00DC5826" w:rsidRDefault="00DC5826">
      <w:pPr>
        <w:rPr>
          <w:rFonts w:ascii="Arial" w:hAnsi="Arial" w:cs="Arial"/>
        </w:rPr>
      </w:pPr>
    </w:p>
    <w:p w14:paraId="28F91370" w14:textId="77777777" w:rsidR="00DC5826" w:rsidRDefault="00DC5826">
      <w:pPr>
        <w:spacing w:line="278" w:lineRule="auto"/>
        <w:rPr>
          <w:rFonts w:ascii="Arial" w:hAnsi="Arial" w:cs="Arial"/>
        </w:rPr>
      </w:pPr>
      <w:r>
        <w:rPr>
          <w:rFonts w:ascii="Arial" w:hAnsi="Arial" w:cs="Arial"/>
        </w:rPr>
        <w:br w:type="page"/>
      </w:r>
    </w:p>
    <w:p w14:paraId="7BA356C5" w14:textId="77777777" w:rsidR="00DC5826" w:rsidRDefault="00DC5826" w:rsidP="00DC5826">
      <w:pPr>
        <w:pStyle w:val="Heading1"/>
      </w:pPr>
      <w:bookmarkStart w:id="20" w:name="_Toc216714107"/>
      <w:r>
        <w:lastRenderedPageBreak/>
        <w:t>Appendices</w:t>
      </w:r>
      <w:bookmarkEnd w:id="20"/>
    </w:p>
    <w:p w14:paraId="4444BF93" w14:textId="177CD848" w:rsidR="00DC5826" w:rsidRPr="00422810" w:rsidRDefault="00DC5826" w:rsidP="00DC5826">
      <w:pPr>
        <w:rPr>
          <w:rFonts w:ascii="Arial" w:hAnsi="Arial" w:cs="Arial"/>
          <w:b/>
          <w:bCs/>
        </w:rPr>
      </w:pPr>
      <w:r w:rsidRPr="00422810">
        <w:rPr>
          <w:rFonts w:ascii="Arial" w:hAnsi="Arial" w:cs="Arial"/>
          <w:b/>
          <w:bCs/>
        </w:rPr>
        <w:t>Appendix A</w:t>
      </w:r>
      <w:r w:rsidR="0051702D">
        <w:rPr>
          <w:rFonts w:ascii="Arial" w:hAnsi="Arial" w:cs="Arial"/>
          <w:b/>
          <w:bCs/>
        </w:rPr>
        <w:t xml:space="preserve"> – </w:t>
      </w:r>
      <w:r w:rsidR="005E61B1">
        <w:rPr>
          <w:rFonts w:ascii="Arial" w:hAnsi="Arial" w:cs="Arial"/>
          <w:b/>
          <w:bCs/>
        </w:rPr>
        <w:t>Detonation density and velocity of unconfined TNT</w:t>
      </w:r>
      <w:sdt>
        <w:sdtPr>
          <w:rPr>
            <w:rFonts w:ascii="Arial" w:hAnsi="Arial" w:cs="Arial"/>
            <w:b/>
            <w:bCs/>
          </w:rPr>
          <w:id w:val="375513793"/>
          <w:citation/>
        </w:sdtPr>
        <w:sdtEndPr/>
        <w:sdtContent>
          <w:r w:rsidR="001C32C5">
            <w:rPr>
              <w:rFonts w:ascii="Arial" w:hAnsi="Arial" w:cs="Arial"/>
              <w:b/>
              <w:bCs/>
            </w:rPr>
            <w:fldChar w:fldCharType="begin"/>
          </w:r>
          <w:r w:rsidR="001C32C5">
            <w:rPr>
              <w:rFonts w:ascii="Arial" w:hAnsi="Arial" w:cs="Arial"/>
              <w:b/>
              <w:bCs/>
            </w:rPr>
            <w:instrText xml:space="preserve"> CITATION Cyb49 \l 2057 </w:instrText>
          </w:r>
          <w:r w:rsidR="001C32C5">
            <w:rPr>
              <w:rFonts w:ascii="Arial" w:hAnsi="Arial" w:cs="Arial"/>
              <w:b/>
              <w:bCs/>
            </w:rPr>
            <w:fldChar w:fldCharType="separate"/>
          </w:r>
          <w:r w:rsidR="001C32C5">
            <w:rPr>
              <w:rFonts w:ascii="Arial" w:hAnsi="Arial" w:cs="Arial"/>
              <w:b/>
              <w:bCs/>
              <w:noProof/>
            </w:rPr>
            <w:t xml:space="preserve"> </w:t>
          </w:r>
          <w:r w:rsidR="001C32C5" w:rsidRPr="001C32C5">
            <w:rPr>
              <w:rFonts w:ascii="Arial" w:hAnsi="Arial" w:cs="Arial"/>
              <w:noProof/>
            </w:rPr>
            <w:t>[19]</w:t>
          </w:r>
          <w:r w:rsidR="001C32C5">
            <w:rPr>
              <w:rFonts w:ascii="Arial" w:hAnsi="Arial" w:cs="Arial"/>
              <w:b/>
              <w:bCs/>
            </w:rPr>
            <w:fldChar w:fldCharType="end"/>
          </w:r>
        </w:sdtContent>
      </w:sdt>
    </w:p>
    <w:p w14:paraId="1C76358F" w14:textId="77777777" w:rsidR="00DC5826" w:rsidRDefault="00DC5826" w:rsidP="00DC5826">
      <w:pPr>
        <w:rPr>
          <w:rFonts w:ascii="Arial" w:hAnsi="Arial" w:cs="Arial"/>
        </w:rPr>
      </w:pPr>
      <w:r>
        <w:rPr>
          <w:noProof/>
          <w14:ligatures w14:val="standardContextual"/>
        </w:rPr>
        <w:drawing>
          <wp:inline distT="0" distB="0" distL="0" distR="0" wp14:anchorId="4A535AEF" wp14:editId="7AD451F2">
            <wp:extent cx="3248851" cy="2527300"/>
            <wp:effectExtent l="0" t="0" r="8890" b="6350"/>
            <wp:docPr id="1838450322" name="Picture 7" descr="A paper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103401" name="Picture 7" descr="A paper with numbers and text&#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63150" cy="2538423"/>
                    </a:xfrm>
                    <a:prstGeom prst="rect">
                      <a:avLst/>
                    </a:prstGeom>
                  </pic:spPr>
                </pic:pic>
              </a:graphicData>
            </a:graphic>
          </wp:inline>
        </w:drawing>
      </w:r>
    </w:p>
    <w:p w14:paraId="7DF1698A" w14:textId="77777777" w:rsidR="00DC5826" w:rsidRDefault="00DC5826" w:rsidP="00DC5826">
      <w:pPr>
        <w:rPr>
          <w:rFonts w:ascii="Arial" w:hAnsi="Arial" w:cs="Arial"/>
        </w:rPr>
      </w:pPr>
    </w:p>
    <w:p w14:paraId="6A799924" w14:textId="6DF5ABD1" w:rsidR="00DC5826" w:rsidRDefault="00DC5826" w:rsidP="00DC5826">
      <w:pPr>
        <w:rPr>
          <w:rFonts w:ascii="Arial" w:hAnsi="Arial" w:cs="Arial"/>
        </w:rPr>
      </w:pPr>
      <w:r w:rsidRPr="00422810">
        <w:rPr>
          <w:rFonts w:ascii="Arial" w:hAnsi="Arial" w:cs="Arial"/>
          <w:b/>
          <w:bCs/>
        </w:rPr>
        <w:t>Appendix B</w:t>
      </w:r>
      <w:r w:rsidR="0051702D">
        <w:rPr>
          <w:rFonts w:ascii="Arial" w:hAnsi="Arial" w:cs="Arial"/>
          <w:b/>
          <w:bCs/>
        </w:rPr>
        <w:t xml:space="preserve"> – </w:t>
      </w:r>
      <w:r w:rsidR="005E61B1">
        <w:rPr>
          <w:rFonts w:ascii="Arial" w:hAnsi="Arial" w:cs="Arial"/>
          <w:b/>
          <w:bCs/>
        </w:rPr>
        <w:t>Detonation density and velocity of confined TNT</w:t>
      </w:r>
      <w:sdt>
        <w:sdtPr>
          <w:rPr>
            <w:rFonts w:ascii="Arial" w:hAnsi="Arial" w:cs="Arial"/>
            <w:b/>
            <w:bCs/>
          </w:rPr>
          <w:id w:val="511118688"/>
          <w:citation/>
        </w:sdtPr>
        <w:sdtEndPr/>
        <w:sdtContent>
          <w:r w:rsidR="001C32C5">
            <w:rPr>
              <w:rFonts w:ascii="Arial" w:hAnsi="Arial" w:cs="Arial"/>
              <w:b/>
              <w:bCs/>
            </w:rPr>
            <w:fldChar w:fldCharType="begin"/>
          </w:r>
          <w:r w:rsidR="001C32C5">
            <w:rPr>
              <w:rFonts w:ascii="Arial" w:hAnsi="Arial" w:cs="Arial"/>
              <w:b/>
              <w:bCs/>
            </w:rPr>
            <w:instrText xml:space="preserve"> CITATION Cyb49 \l 2057 </w:instrText>
          </w:r>
          <w:r w:rsidR="001C32C5">
            <w:rPr>
              <w:rFonts w:ascii="Arial" w:hAnsi="Arial" w:cs="Arial"/>
              <w:b/>
              <w:bCs/>
            </w:rPr>
            <w:fldChar w:fldCharType="separate"/>
          </w:r>
          <w:r w:rsidR="001C32C5">
            <w:rPr>
              <w:rFonts w:ascii="Arial" w:hAnsi="Arial" w:cs="Arial"/>
              <w:b/>
              <w:bCs/>
              <w:noProof/>
            </w:rPr>
            <w:t xml:space="preserve"> </w:t>
          </w:r>
          <w:r w:rsidR="001C32C5" w:rsidRPr="001C32C5">
            <w:rPr>
              <w:rFonts w:ascii="Arial" w:hAnsi="Arial" w:cs="Arial"/>
              <w:noProof/>
            </w:rPr>
            <w:t>[19]</w:t>
          </w:r>
          <w:r w:rsidR="001C32C5">
            <w:rPr>
              <w:rFonts w:ascii="Arial" w:hAnsi="Arial" w:cs="Arial"/>
              <w:b/>
              <w:bCs/>
            </w:rPr>
            <w:fldChar w:fldCharType="end"/>
          </w:r>
        </w:sdtContent>
      </w:sdt>
      <w:r w:rsidR="005E61B1">
        <w:rPr>
          <w:noProof/>
          <w14:ligatures w14:val="standardContextual"/>
        </w:rPr>
        <w:t xml:space="preserve"> </w:t>
      </w:r>
      <w:r>
        <w:rPr>
          <w:noProof/>
          <w14:ligatures w14:val="standardContextual"/>
        </w:rPr>
        <w:drawing>
          <wp:inline distT="0" distB="0" distL="0" distR="0" wp14:anchorId="3E58A9EC" wp14:editId="6A7BAA0F">
            <wp:extent cx="3364782" cy="3029447"/>
            <wp:effectExtent l="0" t="0" r="7620" b="0"/>
            <wp:docPr id="1671078997" name="Picture 8" descr="A table of measurements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233073" name="Picture 8" descr="A table of measurements with number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69258" cy="3033477"/>
                    </a:xfrm>
                    <a:prstGeom prst="rect">
                      <a:avLst/>
                    </a:prstGeom>
                  </pic:spPr>
                </pic:pic>
              </a:graphicData>
            </a:graphic>
          </wp:inline>
        </w:drawing>
      </w:r>
    </w:p>
    <w:p w14:paraId="55F4F2DD" w14:textId="77777777" w:rsidR="00DC5826" w:rsidRDefault="00DC5826" w:rsidP="00DC5826">
      <w:pPr>
        <w:rPr>
          <w:rFonts w:ascii="Arial" w:hAnsi="Arial" w:cs="Arial"/>
        </w:rPr>
      </w:pPr>
    </w:p>
    <w:p w14:paraId="3115DAA2" w14:textId="66675CE3" w:rsidR="00DC5826" w:rsidRPr="00422810" w:rsidRDefault="00DC5826" w:rsidP="00DC5826">
      <w:pPr>
        <w:rPr>
          <w:rFonts w:ascii="Arial" w:hAnsi="Arial" w:cs="Arial"/>
          <w:b/>
          <w:bCs/>
        </w:rPr>
      </w:pPr>
      <w:r w:rsidRPr="00422810">
        <w:rPr>
          <w:rFonts w:ascii="Arial" w:hAnsi="Arial" w:cs="Arial"/>
          <w:b/>
          <w:bCs/>
        </w:rPr>
        <w:t>Appendix C</w:t>
      </w:r>
      <w:r w:rsidR="0051702D">
        <w:rPr>
          <w:rFonts w:ascii="Arial" w:hAnsi="Arial" w:cs="Arial"/>
          <w:b/>
          <w:bCs/>
        </w:rPr>
        <w:t xml:space="preserve"> – Boundary and Limit Diameters and Velocity of TNT</w:t>
      </w:r>
      <w:sdt>
        <w:sdtPr>
          <w:rPr>
            <w:rFonts w:ascii="Arial" w:hAnsi="Arial" w:cs="Arial"/>
            <w:b/>
            <w:bCs/>
          </w:rPr>
          <w:id w:val="-1398510759"/>
          <w:citation/>
        </w:sdtPr>
        <w:sdtEndPr/>
        <w:sdtContent>
          <w:r w:rsidR="001C32C5">
            <w:rPr>
              <w:rFonts w:ascii="Arial" w:hAnsi="Arial" w:cs="Arial"/>
              <w:b/>
              <w:bCs/>
            </w:rPr>
            <w:fldChar w:fldCharType="begin"/>
          </w:r>
          <w:r w:rsidR="001C32C5">
            <w:rPr>
              <w:rFonts w:ascii="Arial" w:hAnsi="Arial" w:cs="Arial"/>
              <w:b/>
              <w:bCs/>
            </w:rPr>
            <w:instrText xml:space="preserve"> CITATION Cyb49 \l 2057 </w:instrText>
          </w:r>
          <w:r w:rsidR="001C32C5">
            <w:rPr>
              <w:rFonts w:ascii="Arial" w:hAnsi="Arial" w:cs="Arial"/>
              <w:b/>
              <w:bCs/>
            </w:rPr>
            <w:fldChar w:fldCharType="separate"/>
          </w:r>
          <w:r w:rsidR="001C32C5">
            <w:rPr>
              <w:rFonts w:ascii="Arial" w:hAnsi="Arial" w:cs="Arial"/>
              <w:b/>
              <w:bCs/>
              <w:noProof/>
            </w:rPr>
            <w:t xml:space="preserve"> </w:t>
          </w:r>
          <w:r w:rsidR="001C32C5" w:rsidRPr="001C32C5">
            <w:rPr>
              <w:rFonts w:ascii="Arial" w:hAnsi="Arial" w:cs="Arial"/>
              <w:noProof/>
            </w:rPr>
            <w:t>[19]</w:t>
          </w:r>
          <w:r w:rsidR="001C32C5">
            <w:rPr>
              <w:rFonts w:ascii="Arial" w:hAnsi="Arial" w:cs="Arial"/>
              <w:b/>
              <w:bCs/>
            </w:rPr>
            <w:fldChar w:fldCharType="end"/>
          </w:r>
        </w:sdtContent>
      </w:sdt>
    </w:p>
    <w:p w14:paraId="1CB85DA9" w14:textId="56EAF89F" w:rsidR="00342F37" w:rsidRDefault="00DC5826">
      <w:pPr>
        <w:rPr>
          <w:rFonts w:ascii="Arial" w:hAnsi="Arial" w:cs="Arial"/>
        </w:rPr>
      </w:pPr>
      <w:r>
        <w:rPr>
          <w:rFonts w:ascii="Arial" w:hAnsi="Arial" w:cs="Arial"/>
          <w:noProof/>
          <w14:ligatures w14:val="standardContextual"/>
        </w:rPr>
        <w:drawing>
          <wp:inline distT="0" distB="0" distL="0" distR="0" wp14:anchorId="2537EDCC" wp14:editId="79B2EE38">
            <wp:extent cx="3331597" cy="1256085"/>
            <wp:effectExtent l="0" t="0" r="2540" b="1270"/>
            <wp:docPr id="1348677561" name="Picture 9" descr="A close 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677561" name="Picture 9" descr="A close up of a pap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351423" cy="1263560"/>
                    </a:xfrm>
                    <a:prstGeom prst="rect">
                      <a:avLst/>
                    </a:prstGeom>
                  </pic:spPr>
                </pic:pic>
              </a:graphicData>
            </a:graphic>
          </wp:inline>
        </w:drawing>
      </w:r>
    </w:p>
    <w:p w14:paraId="0981EE20" w14:textId="37E3F23F" w:rsidR="005E61B1" w:rsidRDefault="005E61B1">
      <w:pPr>
        <w:rPr>
          <w:rFonts w:ascii="Arial" w:hAnsi="Arial" w:cs="Arial"/>
          <w:b/>
          <w:bCs/>
        </w:rPr>
      </w:pPr>
      <w:r w:rsidRPr="005E61B1">
        <w:rPr>
          <w:rFonts w:ascii="Arial" w:hAnsi="Arial" w:cs="Arial"/>
          <w:b/>
          <w:bCs/>
        </w:rPr>
        <w:lastRenderedPageBreak/>
        <w:t xml:space="preserve">Appendix D </w:t>
      </w:r>
      <w:r w:rsidR="00423DCC">
        <w:rPr>
          <w:rFonts w:ascii="Arial" w:hAnsi="Arial" w:cs="Arial"/>
          <w:b/>
          <w:bCs/>
        </w:rPr>
        <w:t>–</w:t>
      </w:r>
      <w:r w:rsidRPr="005E61B1">
        <w:rPr>
          <w:rFonts w:ascii="Arial" w:hAnsi="Arial" w:cs="Arial"/>
          <w:b/>
          <w:bCs/>
        </w:rPr>
        <w:t xml:space="preserve"> </w:t>
      </w:r>
      <w:r w:rsidR="00EC40A4">
        <w:rPr>
          <w:rFonts w:ascii="Arial" w:hAnsi="Arial" w:cs="Arial"/>
          <w:b/>
          <w:bCs/>
        </w:rPr>
        <w:t>Detonation wave from explosive with lower velocity of detonation to explosive with higher velocity of detonation.</w:t>
      </w:r>
      <w:sdt>
        <w:sdtPr>
          <w:rPr>
            <w:rFonts w:ascii="Arial" w:hAnsi="Arial" w:cs="Arial"/>
            <w:b/>
            <w:bCs/>
          </w:rPr>
          <w:id w:val="-1589920501"/>
          <w:citation/>
        </w:sdtPr>
        <w:sdtEndPr/>
        <w:sdtContent>
          <w:r w:rsidR="001C32C5">
            <w:rPr>
              <w:rFonts w:ascii="Arial" w:hAnsi="Arial" w:cs="Arial"/>
              <w:b/>
              <w:bCs/>
            </w:rPr>
            <w:fldChar w:fldCharType="begin"/>
          </w:r>
          <w:r w:rsidR="001C32C5">
            <w:rPr>
              <w:rFonts w:ascii="Arial" w:hAnsi="Arial" w:cs="Arial"/>
              <w:b/>
              <w:bCs/>
            </w:rPr>
            <w:instrText xml:space="preserve"> CITATION MOD20 \l 2057 </w:instrText>
          </w:r>
          <w:r w:rsidR="001C32C5">
            <w:rPr>
              <w:rFonts w:ascii="Arial" w:hAnsi="Arial" w:cs="Arial"/>
              <w:b/>
              <w:bCs/>
            </w:rPr>
            <w:fldChar w:fldCharType="separate"/>
          </w:r>
          <w:r w:rsidR="001C32C5">
            <w:rPr>
              <w:rFonts w:ascii="Arial" w:hAnsi="Arial" w:cs="Arial"/>
              <w:b/>
              <w:bCs/>
              <w:noProof/>
            </w:rPr>
            <w:t xml:space="preserve"> </w:t>
          </w:r>
          <w:r w:rsidR="001C32C5" w:rsidRPr="001C32C5">
            <w:rPr>
              <w:rFonts w:ascii="Arial" w:hAnsi="Arial" w:cs="Arial"/>
              <w:noProof/>
            </w:rPr>
            <w:t>[1]</w:t>
          </w:r>
          <w:r w:rsidR="001C32C5">
            <w:rPr>
              <w:rFonts w:ascii="Arial" w:hAnsi="Arial" w:cs="Arial"/>
              <w:b/>
              <w:bCs/>
            </w:rPr>
            <w:fldChar w:fldCharType="end"/>
          </w:r>
        </w:sdtContent>
      </w:sdt>
    </w:p>
    <w:p w14:paraId="796FF23F" w14:textId="6D16D85E" w:rsidR="00423DCC" w:rsidRPr="005E61B1" w:rsidRDefault="00423DCC">
      <w:pPr>
        <w:rPr>
          <w:rFonts w:ascii="Arial" w:hAnsi="Arial" w:cs="Arial"/>
          <w:b/>
          <w:bCs/>
        </w:rPr>
      </w:pPr>
      <w:r>
        <w:rPr>
          <w:rFonts w:ascii="Calibri" w:eastAsia="Times New Roman" w:hAnsi="Calibri" w:cs="Calibri"/>
          <w:noProof/>
          <w:color w:val="000000"/>
        </w:rPr>
        <w:drawing>
          <wp:inline distT="0" distB="0" distL="0" distR="0" wp14:anchorId="1108E4A1" wp14:editId="46937F6A">
            <wp:extent cx="5731510" cy="4654550"/>
            <wp:effectExtent l="0" t="0" r="2540" b="0"/>
            <wp:docPr id="1336231094" name="Picture 1" descr="A diagram of a wave-front propag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231094" name="Picture 1" descr="A diagram of a wave-front propagate&#10;&#10;AI-generated content may be incorrect."/>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5731510" cy="4654550"/>
                    </a:xfrm>
                    <a:prstGeom prst="rect">
                      <a:avLst/>
                    </a:prstGeom>
                    <a:noFill/>
                    <a:ln>
                      <a:noFill/>
                    </a:ln>
                  </pic:spPr>
                </pic:pic>
              </a:graphicData>
            </a:graphic>
          </wp:inline>
        </w:drawing>
      </w:r>
    </w:p>
    <w:sectPr w:rsidR="00423DCC" w:rsidRPr="005E61B1" w:rsidSect="00DC06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1F344" w14:textId="77777777" w:rsidR="00292CF3" w:rsidRDefault="00292CF3" w:rsidP="004C4097">
      <w:pPr>
        <w:spacing w:after="0" w:line="240" w:lineRule="auto"/>
      </w:pPr>
      <w:r>
        <w:separator/>
      </w:r>
    </w:p>
  </w:endnote>
  <w:endnote w:type="continuationSeparator" w:id="0">
    <w:p w14:paraId="3DC0717D" w14:textId="77777777" w:rsidR="00292CF3" w:rsidRDefault="00292CF3" w:rsidP="004C4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2564090"/>
      <w:docPartObj>
        <w:docPartGallery w:val="Page Numbers (Bottom of Page)"/>
        <w:docPartUnique/>
      </w:docPartObj>
    </w:sdtPr>
    <w:sdtEndPr>
      <w:rPr>
        <w:noProof/>
      </w:rPr>
    </w:sdtEndPr>
    <w:sdtContent>
      <w:p w14:paraId="432AEEE8" w14:textId="0CD53F98" w:rsidR="004C4097" w:rsidRDefault="004C40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FAD113" w14:textId="77777777" w:rsidR="004C4097" w:rsidRDefault="004C40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5A927" w14:textId="77777777" w:rsidR="00292CF3" w:rsidRDefault="00292CF3" w:rsidP="004C4097">
      <w:pPr>
        <w:spacing w:after="0" w:line="240" w:lineRule="auto"/>
      </w:pPr>
      <w:r>
        <w:separator/>
      </w:r>
    </w:p>
  </w:footnote>
  <w:footnote w:type="continuationSeparator" w:id="0">
    <w:p w14:paraId="5F066ADB" w14:textId="77777777" w:rsidR="00292CF3" w:rsidRDefault="00292CF3" w:rsidP="004C40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A2C47" w14:textId="38DDC3C9" w:rsidR="004C4097" w:rsidRDefault="004C4097">
    <w:pPr>
      <w:pStyle w:val="Header"/>
    </w:pPr>
    <w:r>
      <w:t xml:space="preserve">Charlotte McCombe                       </w:t>
    </w:r>
    <w:r w:rsidR="00DC06D7">
      <w:t xml:space="preserve">                                                                                        </w:t>
    </w:r>
    <w:r>
      <w:t>19</w:t>
    </w:r>
    <w:r w:rsidRPr="004C4097">
      <w:rPr>
        <w:vertAlign w:val="superscript"/>
      </w:rPr>
      <w:t>th</w:t>
    </w:r>
    <w:r>
      <w:t xml:space="preserve"> December 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25D"/>
    <w:rsid w:val="00004E96"/>
    <w:rsid w:val="00020F55"/>
    <w:rsid w:val="00023F88"/>
    <w:rsid w:val="000267AC"/>
    <w:rsid w:val="000570B1"/>
    <w:rsid w:val="00073A0B"/>
    <w:rsid w:val="000B1D76"/>
    <w:rsid w:val="000F3945"/>
    <w:rsid w:val="00110319"/>
    <w:rsid w:val="0013025D"/>
    <w:rsid w:val="001521A5"/>
    <w:rsid w:val="0017540F"/>
    <w:rsid w:val="00176ACF"/>
    <w:rsid w:val="00193C7E"/>
    <w:rsid w:val="001B6490"/>
    <w:rsid w:val="001C32C5"/>
    <w:rsid w:val="001F3609"/>
    <w:rsid w:val="001F5542"/>
    <w:rsid w:val="00204EDF"/>
    <w:rsid w:val="00220F54"/>
    <w:rsid w:val="00231FFD"/>
    <w:rsid w:val="00237D7A"/>
    <w:rsid w:val="002469A7"/>
    <w:rsid w:val="00255887"/>
    <w:rsid w:val="00265925"/>
    <w:rsid w:val="002718D1"/>
    <w:rsid w:val="00292CF3"/>
    <w:rsid w:val="00292DA6"/>
    <w:rsid w:val="00296155"/>
    <w:rsid w:val="002B048F"/>
    <w:rsid w:val="002F2B56"/>
    <w:rsid w:val="00304C8A"/>
    <w:rsid w:val="00332EC9"/>
    <w:rsid w:val="00342F37"/>
    <w:rsid w:val="0035388F"/>
    <w:rsid w:val="00353D93"/>
    <w:rsid w:val="00376B23"/>
    <w:rsid w:val="003876D3"/>
    <w:rsid w:val="003B68DA"/>
    <w:rsid w:val="003C2130"/>
    <w:rsid w:val="003C232C"/>
    <w:rsid w:val="003E22CD"/>
    <w:rsid w:val="003F721C"/>
    <w:rsid w:val="00423DCC"/>
    <w:rsid w:val="004436F2"/>
    <w:rsid w:val="004C2BCA"/>
    <w:rsid w:val="004C4097"/>
    <w:rsid w:val="004E57B3"/>
    <w:rsid w:val="00511599"/>
    <w:rsid w:val="00515290"/>
    <w:rsid w:val="005166DF"/>
    <w:rsid w:val="0051702D"/>
    <w:rsid w:val="0052468E"/>
    <w:rsid w:val="005252C0"/>
    <w:rsid w:val="00562D82"/>
    <w:rsid w:val="005765A6"/>
    <w:rsid w:val="005952E7"/>
    <w:rsid w:val="005E61B1"/>
    <w:rsid w:val="00602E8C"/>
    <w:rsid w:val="006311E0"/>
    <w:rsid w:val="0063502A"/>
    <w:rsid w:val="00655925"/>
    <w:rsid w:val="0067013E"/>
    <w:rsid w:val="006B459F"/>
    <w:rsid w:val="006B55E8"/>
    <w:rsid w:val="006C155A"/>
    <w:rsid w:val="006D1CB6"/>
    <w:rsid w:val="006F5353"/>
    <w:rsid w:val="00707745"/>
    <w:rsid w:val="007312AE"/>
    <w:rsid w:val="0073168C"/>
    <w:rsid w:val="00732FD1"/>
    <w:rsid w:val="00763DF0"/>
    <w:rsid w:val="0077306E"/>
    <w:rsid w:val="007C1D65"/>
    <w:rsid w:val="007C4C05"/>
    <w:rsid w:val="007D7747"/>
    <w:rsid w:val="007F128A"/>
    <w:rsid w:val="007F685F"/>
    <w:rsid w:val="0081606D"/>
    <w:rsid w:val="008228DB"/>
    <w:rsid w:val="00851CDE"/>
    <w:rsid w:val="00876DE2"/>
    <w:rsid w:val="00880D14"/>
    <w:rsid w:val="008815FB"/>
    <w:rsid w:val="00890F59"/>
    <w:rsid w:val="008C3366"/>
    <w:rsid w:val="009254CB"/>
    <w:rsid w:val="00931E58"/>
    <w:rsid w:val="0094193A"/>
    <w:rsid w:val="00954047"/>
    <w:rsid w:val="00997A66"/>
    <w:rsid w:val="009B1FD7"/>
    <w:rsid w:val="009B404F"/>
    <w:rsid w:val="00A07B92"/>
    <w:rsid w:val="00A527FC"/>
    <w:rsid w:val="00A63A70"/>
    <w:rsid w:val="00A651CA"/>
    <w:rsid w:val="00AC40B3"/>
    <w:rsid w:val="00AD1A70"/>
    <w:rsid w:val="00AE4884"/>
    <w:rsid w:val="00AF779D"/>
    <w:rsid w:val="00B06960"/>
    <w:rsid w:val="00B81ADE"/>
    <w:rsid w:val="00B83B31"/>
    <w:rsid w:val="00B9608C"/>
    <w:rsid w:val="00BC0C2C"/>
    <w:rsid w:val="00BD355E"/>
    <w:rsid w:val="00BD5C24"/>
    <w:rsid w:val="00BD73C1"/>
    <w:rsid w:val="00C00535"/>
    <w:rsid w:val="00C01267"/>
    <w:rsid w:val="00C12EF4"/>
    <w:rsid w:val="00C16E7C"/>
    <w:rsid w:val="00C25D92"/>
    <w:rsid w:val="00C621B6"/>
    <w:rsid w:val="00C6291F"/>
    <w:rsid w:val="00C85272"/>
    <w:rsid w:val="00CB7B27"/>
    <w:rsid w:val="00D3671C"/>
    <w:rsid w:val="00D42850"/>
    <w:rsid w:val="00D44C91"/>
    <w:rsid w:val="00D859CB"/>
    <w:rsid w:val="00DC06D7"/>
    <w:rsid w:val="00DC3601"/>
    <w:rsid w:val="00DC5826"/>
    <w:rsid w:val="00DE489B"/>
    <w:rsid w:val="00E26DFC"/>
    <w:rsid w:val="00E43197"/>
    <w:rsid w:val="00E615B1"/>
    <w:rsid w:val="00E83D4E"/>
    <w:rsid w:val="00EC40A4"/>
    <w:rsid w:val="00ED7B39"/>
    <w:rsid w:val="00EF4FB3"/>
    <w:rsid w:val="00F02C07"/>
    <w:rsid w:val="00F46C1D"/>
    <w:rsid w:val="00F72BB0"/>
    <w:rsid w:val="00FA5FF7"/>
    <w:rsid w:val="00FC27B1"/>
    <w:rsid w:val="00FE6466"/>
    <w:rsid w:val="0B573473"/>
    <w:rsid w:val="121D8BE0"/>
    <w:rsid w:val="1F2AB047"/>
    <w:rsid w:val="40C9DAFB"/>
    <w:rsid w:val="421C6063"/>
    <w:rsid w:val="551F3BF8"/>
    <w:rsid w:val="5FBBFC6C"/>
    <w:rsid w:val="6F0E6BF1"/>
    <w:rsid w:val="707B6624"/>
    <w:rsid w:val="7466A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3286F"/>
  <w15:chartTrackingRefBased/>
  <w15:docId w15:val="{A512DE64-4044-40E8-8A23-0F20CD289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BCA"/>
    <w:pPr>
      <w:spacing w:line="259" w:lineRule="auto"/>
    </w:pPr>
    <w:rPr>
      <w:kern w:val="0"/>
      <w:sz w:val="22"/>
      <w:szCs w:val="22"/>
      <w14:ligatures w14:val="none"/>
    </w:rPr>
  </w:style>
  <w:style w:type="paragraph" w:styleId="Heading1">
    <w:name w:val="heading 1"/>
    <w:basedOn w:val="Normal"/>
    <w:next w:val="Normal"/>
    <w:link w:val="Heading1Char"/>
    <w:uiPriority w:val="9"/>
    <w:qFormat/>
    <w:rsid w:val="001302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2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02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02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02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02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2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2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2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2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2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02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02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02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02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2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2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25D"/>
    <w:rPr>
      <w:rFonts w:eastAsiaTheme="majorEastAsia" w:cstheme="majorBidi"/>
      <w:color w:val="272727" w:themeColor="text1" w:themeTint="D8"/>
    </w:rPr>
  </w:style>
  <w:style w:type="paragraph" w:styleId="Title">
    <w:name w:val="Title"/>
    <w:basedOn w:val="Normal"/>
    <w:next w:val="Normal"/>
    <w:link w:val="TitleChar"/>
    <w:uiPriority w:val="10"/>
    <w:qFormat/>
    <w:rsid w:val="001302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2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2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2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25D"/>
    <w:pPr>
      <w:spacing w:before="160"/>
      <w:jc w:val="center"/>
    </w:pPr>
    <w:rPr>
      <w:i/>
      <w:iCs/>
      <w:color w:val="404040" w:themeColor="text1" w:themeTint="BF"/>
    </w:rPr>
  </w:style>
  <w:style w:type="character" w:customStyle="1" w:styleId="QuoteChar">
    <w:name w:val="Quote Char"/>
    <w:basedOn w:val="DefaultParagraphFont"/>
    <w:link w:val="Quote"/>
    <w:uiPriority w:val="29"/>
    <w:rsid w:val="0013025D"/>
    <w:rPr>
      <w:i/>
      <w:iCs/>
      <w:color w:val="404040" w:themeColor="text1" w:themeTint="BF"/>
    </w:rPr>
  </w:style>
  <w:style w:type="paragraph" w:styleId="ListParagraph">
    <w:name w:val="List Paragraph"/>
    <w:basedOn w:val="Normal"/>
    <w:uiPriority w:val="34"/>
    <w:qFormat/>
    <w:rsid w:val="0013025D"/>
    <w:pPr>
      <w:ind w:left="720"/>
      <w:contextualSpacing/>
    </w:pPr>
  </w:style>
  <w:style w:type="character" w:styleId="IntenseEmphasis">
    <w:name w:val="Intense Emphasis"/>
    <w:basedOn w:val="DefaultParagraphFont"/>
    <w:uiPriority w:val="21"/>
    <w:qFormat/>
    <w:rsid w:val="0013025D"/>
    <w:rPr>
      <w:i/>
      <w:iCs/>
      <w:color w:val="0F4761" w:themeColor="accent1" w:themeShade="BF"/>
    </w:rPr>
  </w:style>
  <w:style w:type="paragraph" w:styleId="IntenseQuote">
    <w:name w:val="Intense Quote"/>
    <w:basedOn w:val="Normal"/>
    <w:next w:val="Normal"/>
    <w:link w:val="IntenseQuoteChar"/>
    <w:uiPriority w:val="30"/>
    <w:qFormat/>
    <w:rsid w:val="001302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25D"/>
    <w:rPr>
      <w:i/>
      <w:iCs/>
      <w:color w:val="0F4761" w:themeColor="accent1" w:themeShade="BF"/>
    </w:rPr>
  </w:style>
  <w:style w:type="character" w:styleId="IntenseReference">
    <w:name w:val="Intense Reference"/>
    <w:basedOn w:val="DefaultParagraphFont"/>
    <w:uiPriority w:val="32"/>
    <w:qFormat/>
    <w:rsid w:val="0013025D"/>
    <w:rPr>
      <w:b/>
      <w:bCs/>
      <w:smallCaps/>
      <w:color w:val="0F4761" w:themeColor="accent1" w:themeShade="BF"/>
      <w:spacing w:val="5"/>
    </w:rPr>
  </w:style>
  <w:style w:type="character" w:styleId="Hyperlink">
    <w:name w:val="Hyperlink"/>
    <w:basedOn w:val="DefaultParagraphFont"/>
    <w:uiPriority w:val="99"/>
    <w:unhideWhenUsed/>
    <w:rsid w:val="00C85272"/>
    <w:rPr>
      <w:color w:val="467886" w:themeColor="hyperlink"/>
      <w:u w:val="single"/>
    </w:rPr>
  </w:style>
  <w:style w:type="paragraph" w:styleId="TOCHeading">
    <w:name w:val="TOC Heading"/>
    <w:basedOn w:val="Heading1"/>
    <w:next w:val="Normal"/>
    <w:uiPriority w:val="39"/>
    <w:unhideWhenUsed/>
    <w:qFormat/>
    <w:rsid w:val="00C85272"/>
    <w:pPr>
      <w:spacing w:before="240" w:after="0"/>
      <w:outlineLvl w:val="9"/>
    </w:pPr>
    <w:rPr>
      <w:sz w:val="32"/>
      <w:szCs w:val="32"/>
      <w:lang w:val="en-US"/>
    </w:rPr>
  </w:style>
  <w:style w:type="paragraph" w:styleId="TOC1">
    <w:name w:val="toc 1"/>
    <w:basedOn w:val="Normal"/>
    <w:next w:val="Normal"/>
    <w:autoRedefine/>
    <w:uiPriority w:val="39"/>
    <w:unhideWhenUsed/>
    <w:rsid w:val="00C85272"/>
    <w:pPr>
      <w:spacing w:after="100"/>
    </w:pPr>
  </w:style>
  <w:style w:type="paragraph" w:styleId="TOC2">
    <w:name w:val="toc 2"/>
    <w:basedOn w:val="Normal"/>
    <w:next w:val="Normal"/>
    <w:autoRedefine/>
    <w:uiPriority w:val="39"/>
    <w:unhideWhenUsed/>
    <w:rsid w:val="00C85272"/>
    <w:pPr>
      <w:spacing w:after="100"/>
      <w:ind w:left="220"/>
    </w:pPr>
  </w:style>
  <w:style w:type="paragraph" w:styleId="Caption">
    <w:name w:val="caption"/>
    <w:basedOn w:val="Normal"/>
    <w:next w:val="Normal"/>
    <w:uiPriority w:val="35"/>
    <w:unhideWhenUsed/>
    <w:qFormat/>
    <w:rsid w:val="00D44C91"/>
    <w:pPr>
      <w:spacing w:after="200" w:line="240" w:lineRule="auto"/>
    </w:pPr>
    <w:rPr>
      <w:i/>
      <w:iCs/>
      <w:color w:val="0E2841" w:themeColor="text2"/>
      <w:sz w:val="18"/>
      <w:szCs w:val="18"/>
    </w:rPr>
  </w:style>
  <w:style w:type="table" w:styleId="TableGrid">
    <w:name w:val="Table Grid"/>
    <w:basedOn w:val="TableNormal"/>
    <w:uiPriority w:val="39"/>
    <w:rsid w:val="00193C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B7B27"/>
  </w:style>
  <w:style w:type="character" w:styleId="PlaceholderText">
    <w:name w:val="Placeholder Text"/>
    <w:basedOn w:val="DefaultParagraphFont"/>
    <w:uiPriority w:val="99"/>
    <w:semiHidden/>
    <w:rsid w:val="00C00535"/>
    <w:rPr>
      <w:color w:val="666666"/>
    </w:rPr>
  </w:style>
  <w:style w:type="paragraph" w:styleId="Header">
    <w:name w:val="header"/>
    <w:basedOn w:val="Normal"/>
    <w:link w:val="HeaderChar"/>
    <w:uiPriority w:val="99"/>
    <w:unhideWhenUsed/>
    <w:rsid w:val="004C40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097"/>
    <w:rPr>
      <w:kern w:val="0"/>
      <w:sz w:val="22"/>
      <w:szCs w:val="22"/>
      <w14:ligatures w14:val="none"/>
    </w:rPr>
  </w:style>
  <w:style w:type="paragraph" w:styleId="Footer">
    <w:name w:val="footer"/>
    <w:basedOn w:val="Normal"/>
    <w:link w:val="FooterChar"/>
    <w:uiPriority w:val="99"/>
    <w:unhideWhenUsed/>
    <w:rsid w:val="004C40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097"/>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4643">
      <w:bodyDiv w:val="1"/>
      <w:marLeft w:val="0"/>
      <w:marRight w:val="0"/>
      <w:marTop w:val="0"/>
      <w:marBottom w:val="0"/>
      <w:divBdr>
        <w:top w:val="none" w:sz="0" w:space="0" w:color="auto"/>
        <w:left w:val="none" w:sz="0" w:space="0" w:color="auto"/>
        <w:bottom w:val="none" w:sz="0" w:space="0" w:color="auto"/>
        <w:right w:val="none" w:sz="0" w:space="0" w:color="auto"/>
      </w:divBdr>
    </w:div>
    <w:div w:id="25914090">
      <w:bodyDiv w:val="1"/>
      <w:marLeft w:val="0"/>
      <w:marRight w:val="0"/>
      <w:marTop w:val="0"/>
      <w:marBottom w:val="0"/>
      <w:divBdr>
        <w:top w:val="none" w:sz="0" w:space="0" w:color="auto"/>
        <w:left w:val="none" w:sz="0" w:space="0" w:color="auto"/>
        <w:bottom w:val="none" w:sz="0" w:space="0" w:color="auto"/>
        <w:right w:val="none" w:sz="0" w:space="0" w:color="auto"/>
      </w:divBdr>
    </w:div>
    <w:div w:id="31275087">
      <w:bodyDiv w:val="1"/>
      <w:marLeft w:val="0"/>
      <w:marRight w:val="0"/>
      <w:marTop w:val="0"/>
      <w:marBottom w:val="0"/>
      <w:divBdr>
        <w:top w:val="none" w:sz="0" w:space="0" w:color="auto"/>
        <w:left w:val="none" w:sz="0" w:space="0" w:color="auto"/>
        <w:bottom w:val="none" w:sz="0" w:space="0" w:color="auto"/>
        <w:right w:val="none" w:sz="0" w:space="0" w:color="auto"/>
      </w:divBdr>
    </w:div>
    <w:div w:id="34887942">
      <w:bodyDiv w:val="1"/>
      <w:marLeft w:val="0"/>
      <w:marRight w:val="0"/>
      <w:marTop w:val="0"/>
      <w:marBottom w:val="0"/>
      <w:divBdr>
        <w:top w:val="none" w:sz="0" w:space="0" w:color="auto"/>
        <w:left w:val="none" w:sz="0" w:space="0" w:color="auto"/>
        <w:bottom w:val="none" w:sz="0" w:space="0" w:color="auto"/>
        <w:right w:val="none" w:sz="0" w:space="0" w:color="auto"/>
      </w:divBdr>
    </w:div>
    <w:div w:id="35203322">
      <w:bodyDiv w:val="1"/>
      <w:marLeft w:val="0"/>
      <w:marRight w:val="0"/>
      <w:marTop w:val="0"/>
      <w:marBottom w:val="0"/>
      <w:divBdr>
        <w:top w:val="none" w:sz="0" w:space="0" w:color="auto"/>
        <w:left w:val="none" w:sz="0" w:space="0" w:color="auto"/>
        <w:bottom w:val="none" w:sz="0" w:space="0" w:color="auto"/>
        <w:right w:val="none" w:sz="0" w:space="0" w:color="auto"/>
      </w:divBdr>
    </w:div>
    <w:div w:id="40442383">
      <w:bodyDiv w:val="1"/>
      <w:marLeft w:val="0"/>
      <w:marRight w:val="0"/>
      <w:marTop w:val="0"/>
      <w:marBottom w:val="0"/>
      <w:divBdr>
        <w:top w:val="none" w:sz="0" w:space="0" w:color="auto"/>
        <w:left w:val="none" w:sz="0" w:space="0" w:color="auto"/>
        <w:bottom w:val="none" w:sz="0" w:space="0" w:color="auto"/>
        <w:right w:val="none" w:sz="0" w:space="0" w:color="auto"/>
      </w:divBdr>
    </w:div>
    <w:div w:id="61831784">
      <w:bodyDiv w:val="1"/>
      <w:marLeft w:val="0"/>
      <w:marRight w:val="0"/>
      <w:marTop w:val="0"/>
      <w:marBottom w:val="0"/>
      <w:divBdr>
        <w:top w:val="none" w:sz="0" w:space="0" w:color="auto"/>
        <w:left w:val="none" w:sz="0" w:space="0" w:color="auto"/>
        <w:bottom w:val="none" w:sz="0" w:space="0" w:color="auto"/>
        <w:right w:val="none" w:sz="0" w:space="0" w:color="auto"/>
      </w:divBdr>
    </w:div>
    <w:div w:id="63917521">
      <w:bodyDiv w:val="1"/>
      <w:marLeft w:val="0"/>
      <w:marRight w:val="0"/>
      <w:marTop w:val="0"/>
      <w:marBottom w:val="0"/>
      <w:divBdr>
        <w:top w:val="none" w:sz="0" w:space="0" w:color="auto"/>
        <w:left w:val="none" w:sz="0" w:space="0" w:color="auto"/>
        <w:bottom w:val="none" w:sz="0" w:space="0" w:color="auto"/>
        <w:right w:val="none" w:sz="0" w:space="0" w:color="auto"/>
      </w:divBdr>
    </w:div>
    <w:div w:id="69088524">
      <w:bodyDiv w:val="1"/>
      <w:marLeft w:val="0"/>
      <w:marRight w:val="0"/>
      <w:marTop w:val="0"/>
      <w:marBottom w:val="0"/>
      <w:divBdr>
        <w:top w:val="none" w:sz="0" w:space="0" w:color="auto"/>
        <w:left w:val="none" w:sz="0" w:space="0" w:color="auto"/>
        <w:bottom w:val="none" w:sz="0" w:space="0" w:color="auto"/>
        <w:right w:val="none" w:sz="0" w:space="0" w:color="auto"/>
      </w:divBdr>
    </w:div>
    <w:div w:id="69425024">
      <w:bodyDiv w:val="1"/>
      <w:marLeft w:val="0"/>
      <w:marRight w:val="0"/>
      <w:marTop w:val="0"/>
      <w:marBottom w:val="0"/>
      <w:divBdr>
        <w:top w:val="none" w:sz="0" w:space="0" w:color="auto"/>
        <w:left w:val="none" w:sz="0" w:space="0" w:color="auto"/>
        <w:bottom w:val="none" w:sz="0" w:space="0" w:color="auto"/>
        <w:right w:val="none" w:sz="0" w:space="0" w:color="auto"/>
      </w:divBdr>
    </w:div>
    <w:div w:id="70086291">
      <w:bodyDiv w:val="1"/>
      <w:marLeft w:val="0"/>
      <w:marRight w:val="0"/>
      <w:marTop w:val="0"/>
      <w:marBottom w:val="0"/>
      <w:divBdr>
        <w:top w:val="none" w:sz="0" w:space="0" w:color="auto"/>
        <w:left w:val="none" w:sz="0" w:space="0" w:color="auto"/>
        <w:bottom w:val="none" w:sz="0" w:space="0" w:color="auto"/>
        <w:right w:val="none" w:sz="0" w:space="0" w:color="auto"/>
      </w:divBdr>
    </w:div>
    <w:div w:id="76026909">
      <w:bodyDiv w:val="1"/>
      <w:marLeft w:val="0"/>
      <w:marRight w:val="0"/>
      <w:marTop w:val="0"/>
      <w:marBottom w:val="0"/>
      <w:divBdr>
        <w:top w:val="none" w:sz="0" w:space="0" w:color="auto"/>
        <w:left w:val="none" w:sz="0" w:space="0" w:color="auto"/>
        <w:bottom w:val="none" w:sz="0" w:space="0" w:color="auto"/>
        <w:right w:val="none" w:sz="0" w:space="0" w:color="auto"/>
      </w:divBdr>
    </w:div>
    <w:div w:id="79105391">
      <w:bodyDiv w:val="1"/>
      <w:marLeft w:val="0"/>
      <w:marRight w:val="0"/>
      <w:marTop w:val="0"/>
      <w:marBottom w:val="0"/>
      <w:divBdr>
        <w:top w:val="none" w:sz="0" w:space="0" w:color="auto"/>
        <w:left w:val="none" w:sz="0" w:space="0" w:color="auto"/>
        <w:bottom w:val="none" w:sz="0" w:space="0" w:color="auto"/>
        <w:right w:val="none" w:sz="0" w:space="0" w:color="auto"/>
      </w:divBdr>
    </w:div>
    <w:div w:id="87165944">
      <w:bodyDiv w:val="1"/>
      <w:marLeft w:val="0"/>
      <w:marRight w:val="0"/>
      <w:marTop w:val="0"/>
      <w:marBottom w:val="0"/>
      <w:divBdr>
        <w:top w:val="none" w:sz="0" w:space="0" w:color="auto"/>
        <w:left w:val="none" w:sz="0" w:space="0" w:color="auto"/>
        <w:bottom w:val="none" w:sz="0" w:space="0" w:color="auto"/>
        <w:right w:val="none" w:sz="0" w:space="0" w:color="auto"/>
      </w:divBdr>
    </w:div>
    <w:div w:id="93669941">
      <w:bodyDiv w:val="1"/>
      <w:marLeft w:val="0"/>
      <w:marRight w:val="0"/>
      <w:marTop w:val="0"/>
      <w:marBottom w:val="0"/>
      <w:divBdr>
        <w:top w:val="none" w:sz="0" w:space="0" w:color="auto"/>
        <w:left w:val="none" w:sz="0" w:space="0" w:color="auto"/>
        <w:bottom w:val="none" w:sz="0" w:space="0" w:color="auto"/>
        <w:right w:val="none" w:sz="0" w:space="0" w:color="auto"/>
      </w:divBdr>
    </w:div>
    <w:div w:id="126163384">
      <w:bodyDiv w:val="1"/>
      <w:marLeft w:val="0"/>
      <w:marRight w:val="0"/>
      <w:marTop w:val="0"/>
      <w:marBottom w:val="0"/>
      <w:divBdr>
        <w:top w:val="none" w:sz="0" w:space="0" w:color="auto"/>
        <w:left w:val="none" w:sz="0" w:space="0" w:color="auto"/>
        <w:bottom w:val="none" w:sz="0" w:space="0" w:color="auto"/>
        <w:right w:val="none" w:sz="0" w:space="0" w:color="auto"/>
      </w:divBdr>
    </w:div>
    <w:div w:id="132800330">
      <w:bodyDiv w:val="1"/>
      <w:marLeft w:val="0"/>
      <w:marRight w:val="0"/>
      <w:marTop w:val="0"/>
      <w:marBottom w:val="0"/>
      <w:divBdr>
        <w:top w:val="none" w:sz="0" w:space="0" w:color="auto"/>
        <w:left w:val="none" w:sz="0" w:space="0" w:color="auto"/>
        <w:bottom w:val="none" w:sz="0" w:space="0" w:color="auto"/>
        <w:right w:val="none" w:sz="0" w:space="0" w:color="auto"/>
      </w:divBdr>
    </w:div>
    <w:div w:id="149375217">
      <w:bodyDiv w:val="1"/>
      <w:marLeft w:val="0"/>
      <w:marRight w:val="0"/>
      <w:marTop w:val="0"/>
      <w:marBottom w:val="0"/>
      <w:divBdr>
        <w:top w:val="none" w:sz="0" w:space="0" w:color="auto"/>
        <w:left w:val="none" w:sz="0" w:space="0" w:color="auto"/>
        <w:bottom w:val="none" w:sz="0" w:space="0" w:color="auto"/>
        <w:right w:val="none" w:sz="0" w:space="0" w:color="auto"/>
      </w:divBdr>
    </w:div>
    <w:div w:id="156653963">
      <w:bodyDiv w:val="1"/>
      <w:marLeft w:val="0"/>
      <w:marRight w:val="0"/>
      <w:marTop w:val="0"/>
      <w:marBottom w:val="0"/>
      <w:divBdr>
        <w:top w:val="none" w:sz="0" w:space="0" w:color="auto"/>
        <w:left w:val="none" w:sz="0" w:space="0" w:color="auto"/>
        <w:bottom w:val="none" w:sz="0" w:space="0" w:color="auto"/>
        <w:right w:val="none" w:sz="0" w:space="0" w:color="auto"/>
      </w:divBdr>
    </w:div>
    <w:div w:id="166596121">
      <w:bodyDiv w:val="1"/>
      <w:marLeft w:val="0"/>
      <w:marRight w:val="0"/>
      <w:marTop w:val="0"/>
      <w:marBottom w:val="0"/>
      <w:divBdr>
        <w:top w:val="none" w:sz="0" w:space="0" w:color="auto"/>
        <w:left w:val="none" w:sz="0" w:space="0" w:color="auto"/>
        <w:bottom w:val="none" w:sz="0" w:space="0" w:color="auto"/>
        <w:right w:val="none" w:sz="0" w:space="0" w:color="auto"/>
      </w:divBdr>
    </w:div>
    <w:div w:id="189270438">
      <w:bodyDiv w:val="1"/>
      <w:marLeft w:val="0"/>
      <w:marRight w:val="0"/>
      <w:marTop w:val="0"/>
      <w:marBottom w:val="0"/>
      <w:divBdr>
        <w:top w:val="none" w:sz="0" w:space="0" w:color="auto"/>
        <w:left w:val="none" w:sz="0" w:space="0" w:color="auto"/>
        <w:bottom w:val="none" w:sz="0" w:space="0" w:color="auto"/>
        <w:right w:val="none" w:sz="0" w:space="0" w:color="auto"/>
      </w:divBdr>
    </w:div>
    <w:div w:id="196353862">
      <w:bodyDiv w:val="1"/>
      <w:marLeft w:val="0"/>
      <w:marRight w:val="0"/>
      <w:marTop w:val="0"/>
      <w:marBottom w:val="0"/>
      <w:divBdr>
        <w:top w:val="none" w:sz="0" w:space="0" w:color="auto"/>
        <w:left w:val="none" w:sz="0" w:space="0" w:color="auto"/>
        <w:bottom w:val="none" w:sz="0" w:space="0" w:color="auto"/>
        <w:right w:val="none" w:sz="0" w:space="0" w:color="auto"/>
      </w:divBdr>
    </w:div>
    <w:div w:id="199098668">
      <w:bodyDiv w:val="1"/>
      <w:marLeft w:val="0"/>
      <w:marRight w:val="0"/>
      <w:marTop w:val="0"/>
      <w:marBottom w:val="0"/>
      <w:divBdr>
        <w:top w:val="none" w:sz="0" w:space="0" w:color="auto"/>
        <w:left w:val="none" w:sz="0" w:space="0" w:color="auto"/>
        <w:bottom w:val="none" w:sz="0" w:space="0" w:color="auto"/>
        <w:right w:val="none" w:sz="0" w:space="0" w:color="auto"/>
      </w:divBdr>
    </w:div>
    <w:div w:id="202645535">
      <w:bodyDiv w:val="1"/>
      <w:marLeft w:val="0"/>
      <w:marRight w:val="0"/>
      <w:marTop w:val="0"/>
      <w:marBottom w:val="0"/>
      <w:divBdr>
        <w:top w:val="none" w:sz="0" w:space="0" w:color="auto"/>
        <w:left w:val="none" w:sz="0" w:space="0" w:color="auto"/>
        <w:bottom w:val="none" w:sz="0" w:space="0" w:color="auto"/>
        <w:right w:val="none" w:sz="0" w:space="0" w:color="auto"/>
      </w:divBdr>
    </w:div>
    <w:div w:id="202905324">
      <w:bodyDiv w:val="1"/>
      <w:marLeft w:val="0"/>
      <w:marRight w:val="0"/>
      <w:marTop w:val="0"/>
      <w:marBottom w:val="0"/>
      <w:divBdr>
        <w:top w:val="none" w:sz="0" w:space="0" w:color="auto"/>
        <w:left w:val="none" w:sz="0" w:space="0" w:color="auto"/>
        <w:bottom w:val="none" w:sz="0" w:space="0" w:color="auto"/>
        <w:right w:val="none" w:sz="0" w:space="0" w:color="auto"/>
      </w:divBdr>
    </w:div>
    <w:div w:id="223031060">
      <w:bodyDiv w:val="1"/>
      <w:marLeft w:val="0"/>
      <w:marRight w:val="0"/>
      <w:marTop w:val="0"/>
      <w:marBottom w:val="0"/>
      <w:divBdr>
        <w:top w:val="none" w:sz="0" w:space="0" w:color="auto"/>
        <w:left w:val="none" w:sz="0" w:space="0" w:color="auto"/>
        <w:bottom w:val="none" w:sz="0" w:space="0" w:color="auto"/>
        <w:right w:val="none" w:sz="0" w:space="0" w:color="auto"/>
      </w:divBdr>
    </w:div>
    <w:div w:id="235670349">
      <w:bodyDiv w:val="1"/>
      <w:marLeft w:val="0"/>
      <w:marRight w:val="0"/>
      <w:marTop w:val="0"/>
      <w:marBottom w:val="0"/>
      <w:divBdr>
        <w:top w:val="none" w:sz="0" w:space="0" w:color="auto"/>
        <w:left w:val="none" w:sz="0" w:space="0" w:color="auto"/>
        <w:bottom w:val="none" w:sz="0" w:space="0" w:color="auto"/>
        <w:right w:val="none" w:sz="0" w:space="0" w:color="auto"/>
      </w:divBdr>
    </w:div>
    <w:div w:id="260265267">
      <w:bodyDiv w:val="1"/>
      <w:marLeft w:val="0"/>
      <w:marRight w:val="0"/>
      <w:marTop w:val="0"/>
      <w:marBottom w:val="0"/>
      <w:divBdr>
        <w:top w:val="none" w:sz="0" w:space="0" w:color="auto"/>
        <w:left w:val="none" w:sz="0" w:space="0" w:color="auto"/>
        <w:bottom w:val="none" w:sz="0" w:space="0" w:color="auto"/>
        <w:right w:val="none" w:sz="0" w:space="0" w:color="auto"/>
      </w:divBdr>
    </w:div>
    <w:div w:id="268045000">
      <w:bodyDiv w:val="1"/>
      <w:marLeft w:val="0"/>
      <w:marRight w:val="0"/>
      <w:marTop w:val="0"/>
      <w:marBottom w:val="0"/>
      <w:divBdr>
        <w:top w:val="none" w:sz="0" w:space="0" w:color="auto"/>
        <w:left w:val="none" w:sz="0" w:space="0" w:color="auto"/>
        <w:bottom w:val="none" w:sz="0" w:space="0" w:color="auto"/>
        <w:right w:val="none" w:sz="0" w:space="0" w:color="auto"/>
      </w:divBdr>
    </w:div>
    <w:div w:id="274144388">
      <w:bodyDiv w:val="1"/>
      <w:marLeft w:val="0"/>
      <w:marRight w:val="0"/>
      <w:marTop w:val="0"/>
      <w:marBottom w:val="0"/>
      <w:divBdr>
        <w:top w:val="none" w:sz="0" w:space="0" w:color="auto"/>
        <w:left w:val="none" w:sz="0" w:space="0" w:color="auto"/>
        <w:bottom w:val="none" w:sz="0" w:space="0" w:color="auto"/>
        <w:right w:val="none" w:sz="0" w:space="0" w:color="auto"/>
      </w:divBdr>
    </w:div>
    <w:div w:id="283074987">
      <w:bodyDiv w:val="1"/>
      <w:marLeft w:val="0"/>
      <w:marRight w:val="0"/>
      <w:marTop w:val="0"/>
      <w:marBottom w:val="0"/>
      <w:divBdr>
        <w:top w:val="none" w:sz="0" w:space="0" w:color="auto"/>
        <w:left w:val="none" w:sz="0" w:space="0" w:color="auto"/>
        <w:bottom w:val="none" w:sz="0" w:space="0" w:color="auto"/>
        <w:right w:val="none" w:sz="0" w:space="0" w:color="auto"/>
      </w:divBdr>
    </w:div>
    <w:div w:id="291327226">
      <w:bodyDiv w:val="1"/>
      <w:marLeft w:val="0"/>
      <w:marRight w:val="0"/>
      <w:marTop w:val="0"/>
      <w:marBottom w:val="0"/>
      <w:divBdr>
        <w:top w:val="none" w:sz="0" w:space="0" w:color="auto"/>
        <w:left w:val="none" w:sz="0" w:space="0" w:color="auto"/>
        <w:bottom w:val="none" w:sz="0" w:space="0" w:color="auto"/>
        <w:right w:val="none" w:sz="0" w:space="0" w:color="auto"/>
      </w:divBdr>
    </w:div>
    <w:div w:id="299503903">
      <w:bodyDiv w:val="1"/>
      <w:marLeft w:val="0"/>
      <w:marRight w:val="0"/>
      <w:marTop w:val="0"/>
      <w:marBottom w:val="0"/>
      <w:divBdr>
        <w:top w:val="none" w:sz="0" w:space="0" w:color="auto"/>
        <w:left w:val="none" w:sz="0" w:space="0" w:color="auto"/>
        <w:bottom w:val="none" w:sz="0" w:space="0" w:color="auto"/>
        <w:right w:val="none" w:sz="0" w:space="0" w:color="auto"/>
      </w:divBdr>
    </w:div>
    <w:div w:id="304700518">
      <w:bodyDiv w:val="1"/>
      <w:marLeft w:val="0"/>
      <w:marRight w:val="0"/>
      <w:marTop w:val="0"/>
      <w:marBottom w:val="0"/>
      <w:divBdr>
        <w:top w:val="none" w:sz="0" w:space="0" w:color="auto"/>
        <w:left w:val="none" w:sz="0" w:space="0" w:color="auto"/>
        <w:bottom w:val="none" w:sz="0" w:space="0" w:color="auto"/>
        <w:right w:val="none" w:sz="0" w:space="0" w:color="auto"/>
      </w:divBdr>
    </w:div>
    <w:div w:id="315110338">
      <w:bodyDiv w:val="1"/>
      <w:marLeft w:val="0"/>
      <w:marRight w:val="0"/>
      <w:marTop w:val="0"/>
      <w:marBottom w:val="0"/>
      <w:divBdr>
        <w:top w:val="none" w:sz="0" w:space="0" w:color="auto"/>
        <w:left w:val="none" w:sz="0" w:space="0" w:color="auto"/>
        <w:bottom w:val="none" w:sz="0" w:space="0" w:color="auto"/>
        <w:right w:val="none" w:sz="0" w:space="0" w:color="auto"/>
      </w:divBdr>
    </w:div>
    <w:div w:id="329331815">
      <w:bodyDiv w:val="1"/>
      <w:marLeft w:val="0"/>
      <w:marRight w:val="0"/>
      <w:marTop w:val="0"/>
      <w:marBottom w:val="0"/>
      <w:divBdr>
        <w:top w:val="none" w:sz="0" w:space="0" w:color="auto"/>
        <w:left w:val="none" w:sz="0" w:space="0" w:color="auto"/>
        <w:bottom w:val="none" w:sz="0" w:space="0" w:color="auto"/>
        <w:right w:val="none" w:sz="0" w:space="0" w:color="auto"/>
      </w:divBdr>
    </w:div>
    <w:div w:id="341398779">
      <w:bodyDiv w:val="1"/>
      <w:marLeft w:val="0"/>
      <w:marRight w:val="0"/>
      <w:marTop w:val="0"/>
      <w:marBottom w:val="0"/>
      <w:divBdr>
        <w:top w:val="none" w:sz="0" w:space="0" w:color="auto"/>
        <w:left w:val="none" w:sz="0" w:space="0" w:color="auto"/>
        <w:bottom w:val="none" w:sz="0" w:space="0" w:color="auto"/>
        <w:right w:val="none" w:sz="0" w:space="0" w:color="auto"/>
      </w:divBdr>
    </w:div>
    <w:div w:id="354578671">
      <w:bodyDiv w:val="1"/>
      <w:marLeft w:val="0"/>
      <w:marRight w:val="0"/>
      <w:marTop w:val="0"/>
      <w:marBottom w:val="0"/>
      <w:divBdr>
        <w:top w:val="none" w:sz="0" w:space="0" w:color="auto"/>
        <w:left w:val="none" w:sz="0" w:space="0" w:color="auto"/>
        <w:bottom w:val="none" w:sz="0" w:space="0" w:color="auto"/>
        <w:right w:val="none" w:sz="0" w:space="0" w:color="auto"/>
      </w:divBdr>
    </w:div>
    <w:div w:id="357046640">
      <w:bodyDiv w:val="1"/>
      <w:marLeft w:val="0"/>
      <w:marRight w:val="0"/>
      <w:marTop w:val="0"/>
      <w:marBottom w:val="0"/>
      <w:divBdr>
        <w:top w:val="none" w:sz="0" w:space="0" w:color="auto"/>
        <w:left w:val="none" w:sz="0" w:space="0" w:color="auto"/>
        <w:bottom w:val="none" w:sz="0" w:space="0" w:color="auto"/>
        <w:right w:val="none" w:sz="0" w:space="0" w:color="auto"/>
      </w:divBdr>
    </w:div>
    <w:div w:id="361446321">
      <w:bodyDiv w:val="1"/>
      <w:marLeft w:val="0"/>
      <w:marRight w:val="0"/>
      <w:marTop w:val="0"/>
      <w:marBottom w:val="0"/>
      <w:divBdr>
        <w:top w:val="none" w:sz="0" w:space="0" w:color="auto"/>
        <w:left w:val="none" w:sz="0" w:space="0" w:color="auto"/>
        <w:bottom w:val="none" w:sz="0" w:space="0" w:color="auto"/>
        <w:right w:val="none" w:sz="0" w:space="0" w:color="auto"/>
      </w:divBdr>
    </w:div>
    <w:div w:id="375280975">
      <w:bodyDiv w:val="1"/>
      <w:marLeft w:val="0"/>
      <w:marRight w:val="0"/>
      <w:marTop w:val="0"/>
      <w:marBottom w:val="0"/>
      <w:divBdr>
        <w:top w:val="none" w:sz="0" w:space="0" w:color="auto"/>
        <w:left w:val="none" w:sz="0" w:space="0" w:color="auto"/>
        <w:bottom w:val="none" w:sz="0" w:space="0" w:color="auto"/>
        <w:right w:val="none" w:sz="0" w:space="0" w:color="auto"/>
      </w:divBdr>
    </w:div>
    <w:div w:id="378625703">
      <w:bodyDiv w:val="1"/>
      <w:marLeft w:val="0"/>
      <w:marRight w:val="0"/>
      <w:marTop w:val="0"/>
      <w:marBottom w:val="0"/>
      <w:divBdr>
        <w:top w:val="none" w:sz="0" w:space="0" w:color="auto"/>
        <w:left w:val="none" w:sz="0" w:space="0" w:color="auto"/>
        <w:bottom w:val="none" w:sz="0" w:space="0" w:color="auto"/>
        <w:right w:val="none" w:sz="0" w:space="0" w:color="auto"/>
      </w:divBdr>
    </w:div>
    <w:div w:id="379978634">
      <w:bodyDiv w:val="1"/>
      <w:marLeft w:val="0"/>
      <w:marRight w:val="0"/>
      <w:marTop w:val="0"/>
      <w:marBottom w:val="0"/>
      <w:divBdr>
        <w:top w:val="none" w:sz="0" w:space="0" w:color="auto"/>
        <w:left w:val="none" w:sz="0" w:space="0" w:color="auto"/>
        <w:bottom w:val="none" w:sz="0" w:space="0" w:color="auto"/>
        <w:right w:val="none" w:sz="0" w:space="0" w:color="auto"/>
      </w:divBdr>
    </w:div>
    <w:div w:id="402803929">
      <w:bodyDiv w:val="1"/>
      <w:marLeft w:val="0"/>
      <w:marRight w:val="0"/>
      <w:marTop w:val="0"/>
      <w:marBottom w:val="0"/>
      <w:divBdr>
        <w:top w:val="none" w:sz="0" w:space="0" w:color="auto"/>
        <w:left w:val="none" w:sz="0" w:space="0" w:color="auto"/>
        <w:bottom w:val="none" w:sz="0" w:space="0" w:color="auto"/>
        <w:right w:val="none" w:sz="0" w:space="0" w:color="auto"/>
      </w:divBdr>
    </w:div>
    <w:div w:id="421880907">
      <w:bodyDiv w:val="1"/>
      <w:marLeft w:val="0"/>
      <w:marRight w:val="0"/>
      <w:marTop w:val="0"/>
      <w:marBottom w:val="0"/>
      <w:divBdr>
        <w:top w:val="none" w:sz="0" w:space="0" w:color="auto"/>
        <w:left w:val="none" w:sz="0" w:space="0" w:color="auto"/>
        <w:bottom w:val="none" w:sz="0" w:space="0" w:color="auto"/>
        <w:right w:val="none" w:sz="0" w:space="0" w:color="auto"/>
      </w:divBdr>
    </w:div>
    <w:div w:id="427048653">
      <w:bodyDiv w:val="1"/>
      <w:marLeft w:val="0"/>
      <w:marRight w:val="0"/>
      <w:marTop w:val="0"/>
      <w:marBottom w:val="0"/>
      <w:divBdr>
        <w:top w:val="none" w:sz="0" w:space="0" w:color="auto"/>
        <w:left w:val="none" w:sz="0" w:space="0" w:color="auto"/>
        <w:bottom w:val="none" w:sz="0" w:space="0" w:color="auto"/>
        <w:right w:val="none" w:sz="0" w:space="0" w:color="auto"/>
      </w:divBdr>
    </w:div>
    <w:div w:id="437720869">
      <w:bodyDiv w:val="1"/>
      <w:marLeft w:val="0"/>
      <w:marRight w:val="0"/>
      <w:marTop w:val="0"/>
      <w:marBottom w:val="0"/>
      <w:divBdr>
        <w:top w:val="none" w:sz="0" w:space="0" w:color="auto"/>
        <w:left w:val="none" w:sz="0" w:space="0" w:color="auto"/>
        <w:bottom w:val="none" w:sz="0" w:space="0" w:color="auto"/>
        <w:right w:val="none" w:sz="0" w:space="0" w:color="auto"/>
      </w:divBdr>
    </w:div>
    <w:div w:id="448284939">
      <w:bodyDiv w:val="1"/>
      <w:marLeft w:val="0"/>
      <w:marRight w:val="0"/>
      <w:marTop w:val="0"/>
      <w:marBottom w:val="0"/>
      <w:divBdr>
        <w:top w:val="none" w:sz="0" w:space="0" w:color="auto"/>
        <w:left w:val="none" w:sz="0" w:space="0" w:color="auto"/>
        <w:bottom w:val="none" w:sz="0" w:space="0" w:color="auto"/>
        <w:right w:val="none" w:sz="0" w:space="0" w:color="auto"/>
      </w:divBdr>
    </w:div>
    <w:div w:id="456293792">
      <w:bodyDiv w:val="1"/>
      <w:marLeft w:val="0"/>
      <w:marRight w:val="0"/>
      <w:marTop w:val="0"/>
      <w:marBottom w:val="0"/>
      <w:divBdr>
        <w:top w:val="none" w:sz="0" w:space="0" w:color="auto"/>
        <w:left w:val="none" w:sz="0" w:space="0" w:color="auto"/>
        <w:bottom w:val="none" w:sz="0" w:space="0" w:color="auto"/>
        <w:right w:val="none" w:sz="0" w:space="0" w:color="auto"/>
      </w:divBdr>
    </w:div>
    <w:div w:id="462886366">
      <w:bodyDiv w:val="1"/>
      <w:marLeft w:val="0"/>
      <w:marRight w:val="0"/>
      <w:marTop w:val="0"/>
      <w:marBottom w:val="0"/>
      <w:divBdr>
        <w:top w:val="none" w:sz="0" w:space="0" w:color="auto"/>
        <w:left w:val="none" w:sz="0" w:space="0" w:color="auto"/>
        <w:bottom w:val="none" w:sz="0" w:space="0" w:color="auto"/>
        <w:right w:val="none" w:sz="0" w:space="0" w:color="auto"/>
      </w:divBdr>
    </w:div>
    <w:div w:id="469591165">
      <w:bodyDiv w:val="1"/>
      <w:marLeft w:val="0"/>
      <w:marRight w:val="0"/>
      <w:marTop w:val="0"/>
      <w:marBottom w:val="0"/>
      <w:divBdr>
        <w:top w:val="none" w:sz="0" w:space="0" w:color="auto"/>
        <w:left w:val="none" w:sz="0" w:space="0" w:color="auto"/>
        <w:bottom w:val="none" w:sz="0" w:space="0" w:color="auto"/>
        <w:right w:val="none" w:sz="0" w:space="0" w:color="auto"/>
      </w:divBdr>
    </w:div>
    <w:div w:id="478303813">
      <w:bodyDiv w:val="1"/>
      <w:marLeft w:val="0"/>
      <w:marRight w:val="0"/>
      <w:marTop w:val="0"/>
      <w:marBottom w:val="0"/>
      <w:divBdr>
        <w:top w:val="none" w:sz="0" w:space="0" w:color="auto"/>
        <w:left w:val="none" w:sz="0" w:space="0" w:color="auto"/>
        <w:bottom w:val="none" w:sz="0" w:space="0" w:color="auto"/>
        <w:right w:val="none" w:sz="0" w:space="0" w:color="auto"/>
      </w:divBdr>
    </w:div>
    <w:div w:id="478690261">
      <w:bodyDiv w:val="1"/>
      <w:marLeft w:val="0"/>
      <w:marRight w:val="0"/>
      <w:marTop w:val="0"/>
      <w:marBottom w:val="0"/>
      <w:divBdr>
        <w:top w:val="none" w:sz="0" w:space="0" w:color="auto"/>
        <w:left w:val="none" w:sz="0" w:space="0" w:color="auto"/>
        <w:bottom w:val="none" w:sz="0" w:space="0" w:color="auto"/>
        <w:right w:val="none" w:sz="0" w:space="0" w:color="auto"/>
      </w:divBdr>
    </w:div>
    <w:div w:id="495418926">
      <w:bodyDiv w:val="1"/>
      <w:marLeft w:val="0"/>
      <w:marRight w:val="0"/>
      <w:marTop w:val="0"/>
      <w:marBottom w:val="0"/>
      <w:divBdr>
        <w:top w:val="none" w:sz="0" w:space="0" w:color="auto"/>
        <w:left w:val="none" w:sz="0" w:space="0" w:color="auto"/>
        <w:bottom w:val="none" w:sz="0" w:space="0" w:color="auto"/>
        <w:right w:val="none" w:sz="0" w:space="0" w:color="auto"/>
      </w:divBdr>
    </w:div>
    <w:div w:id="501430875">
      <w:bodyDiv w:val="1"/>
      <w:marLeft w:val="0"/>
      <w:marRight w:val="0"/>
      <w:marTop w:val="0"/>
      <w:marBottom w:val="0"/>
      <w:divBdr>
        <w:top w:val="none" w:sz="0" w:space="0" w:color="auto"/>
        <w:left w:val="none" w:sz="0" w:space="0" w:color="auto"/>
        <w:bottom w:val="none" w:sz="0" w:space="0" w:color="auto"/>
        <w:right w:val="none" w:sz="0" w:space="0" w:color="auto"/>
      </w:divBdr>
    </w:div>
    <w:div w:id="569730606">
      <w:bodyDiv w:val="1"/>
      <w:marLeft w:val="0"/>
      <w:marRight w:val="0"/>
      <w:marTop w:val="0"/>
      <w:marBottom w:val="0"/>
      <w:divBdr>
        <w:top w:val="none" w:sz="0" w:space="0" w:color="auto"/>
        <w:left w:val="none" w:sz="0" w:space="0" w:color="auto"/>
        <w:bottom w:val="none" w:sz="0" w:space="0" w:color="auto"/>
        <w:right w:val="none" w:sz="0" w:space="0" w:color="auto"/>
      </w:divBdr>
    </w:div>
    <w:div w:id="606079405">
      <w:bodyDiv w:val="1"/>
      <w:marLeft w:val="0"/>
      <w:marRight w:val="0"/>
      <w:marTop w:val="0"/>
      <w:marBottom w:val="0"/>
      <w:divBdr>
        <w:top w:val="none" w:sz="0" w:space="0" w:color="auto"/>
        <w:left w:val="none" w:sz="0" w:space="0" w:color="auto"/>
        <w:bottom w:val="none" w:sz="0" w:space="0" w:color="auto"/>
        <w:right w:val="none" w:sz="0" w:space="0" w:color="auto"/>
      </w:divBdr>
    </w:div>
    <w:div w:id="606810887">
      <w:bodyDiv w:val="1"/>
      <w:marLeft w:val="0"/>
      <w:marRight w:val="0"/>
      <w:marTop w:val="0"/>
      <w:marBottom w:val="0"/>
      <w:divBdr>
        <w:top w:val="none" w:sz="0" w:space="0" w:color="auto"/>
        <w:left w:val="none" w:sz="0" w:space="0" w:color="auto"/>
        <w:bottom w:val="none" w:sz="0" w:space="0" w:color="auto"/>
        <w:right w:val="none" w:sz="0" w:space="0" w:color="auto"/>
      </w:divBdr>
    </w:div>
    <w:div w:id="623850885">
      <w:bodyDiv w:val="1"/>
      <w:marLeft w:val="0"/>
      <w:marRight w:val="0"/>
      <w:marTop w:val="0"/>
      <w:marBottom w:val="0"/>
      <w:divBdr>
        <w:top w:val="none" w:sz="0" w:space="0" w:color="auto"/>
        <w:left w:val="none" w:sz="0" w:space="0" w:color="auto"/>
        <w:bottom w:val="none" w:sz="0" w:space="0" w:color="auto"/>
        <w:right w:val="none" w:sz="0" w:space="0" w:color="auto"/>
      </w:divBdr>
    </w:div>
    <w:div w:id="627128853">
      <w:bodyDiv w:val="1"/>
      <w:marLeft w:val="0"/>
      <w:marRight w:val="0"/>
      <w:marTop w:val="0"/>
      <w:marBottom w:val="0"/>
      <w:divBdr>
        <w:top w:val="none" w:sz="0" w:space="0" w:color="auto"/>
        <w:left w:val="none" w:sz="0" w:space="0" w:color="auto"/>
        <w:bottom w:val="none" w:sz="0" w:space="0" w:color="auto"/>
        <w:right w:val="none" w:sz="0" w:space="0" w:color="auto"/>
      </w:divBdr>
    </w:div>
    <w:div w:id="644504921">
      <w:bodyDiv w:val="1"/>
      <w:marLeft w:val="0"/>
      <w:marRight w:val="0"/>
      <w:marTop w:val="0"/>
      <w:marBottom w:val="0"/>
      <w:divBdr>
        <w:top w:val="none" w:sz="0" w:space="0" w:color="auto"/>
        <w:left w:val="none" w:sz="0" w:space="0" w:color="auto"/>
        <w:bottom w:val="none" w:sz="0" w:space="0" w:color="auto"/>
        <w:right w:val="none" w:sz="0" w:space="0" w:color="auto"/>
      </w:divBdr>
    </w:div>
    <w:div w:id="649990518">
      <w:bodyDiv w:val="1"/>
      <w:marLeft w:val="0"/>
      <w:marRight w:val="0"/>
      <w:marTop w:val="0"/>
      <w:marBottom w:val="0"/>
      <w:divBdr>
        <w:top w:val="none" w:sz="0" w:space="0" w:color="auto"/>
        <w:left w:val="none" w:sz="0" w:space="0" w:color="auto"/>
        <w:bottom w:val="none" w:sz="0" w:space="0" w:color="auto"/>
        <w:right w:val="none" w:sz="0" w:space="0" w:color="auto"/>
      </w:divBdr>
    </w:div>
    <w:div w:id="652149617">
      <w:bodyDiv w:val="1"/>
      <w:marLeft w:val="0"/>
      <w:marRight w:val="0"/>
      <w:marTop w:val="0"/>
      <w:marBottom w:val="0"/>
      <w:divBdr>
        <w:top w:val="none" w:sz="0" w:space="0" w:color="auto"/>
        <w:left w:val="none" w:sz="0" w:space="0" w:color="auto"/>
        <w:bottom w:val="none" w:sz="0" w:space="0" w:color="auto"/>
        <w:right w:val="none" w:sz="0" w:space="0" w:color="auto"/>
      </w:divBdr>
    </w:div>
    <w:div w:id="666980600">
      <w:bodyDiv w:val="1"/>
      <w:marLeft w:val="0"/>
      <w:marRight w:val="0"/>
      <w:marTop w:val="0"/>
      <w:marBottom w:val="0"/>
      <w:divBdr>
        <w:top w:val="none" w:sz="0" w:space="0" w:color="auto"/>
        <w:left w:val="none" w:sz="0" w:space="0" w:color="auto"/>
        <w:bottom w:val="none" w:sz="0" w:space="0" w:color="auto"/>
        <w:right w:val="none" w:sz="0" w:space="0" w:color="auto"/>
      </w:divBdr>
    </w:div>
    <w:div w:id="671101728">
      <w:bodyDiv w:val="1"/>
      <w:marLeft w:val="0"/>
      <w:marRight w:val="0"/>
      <w:marTop w:val="0"/>
      <w:marBottom w:val="0"/>
      <w:divBdr>
        <w:top w:val="none" w:sz="0" w:space="0" w:color="auto"/>
        <w:left w:val="none" w:sz="0" w:space="0" w:color="auto"/>
        <w:bottom w:val="none" w:sz="0" w:space="0" w:color="auto"/>
        <w:right w:val="none" w:sz="0" w:space="0" w:color="auto"/>
      </w:divBdr>
    </w:div>
    <w:div w:id="701825230">
      <w:bodyDiv w:val="1"/>
      <w:marLeft w:val="0"/>
      <w:marRight w:val="0"/>
      <w:marTop w:val="0"/>
      <w:marBottom w:val="0"/>
      <w:divBdr>
        <w:top w:val="none" w:sz="0" w:space="0" w:color="auto"/>
        <w:left w:val="none" w:sz="0" w:space="0" w:color="auto"/>
        <w:bottom w:val="none" w:sz="0" w:space="0" w:color="auto"/>
        <w:right w:val="none" w:sz="0" w:space="0" w:color="auto"/>
      </w:divBdr>
    </w:div>
    <w:div w:id="710156558">
      <w:bodyDiv w:val="1"/>
      <w:marLeft w:val="0"/>
      <w:marRight w:val="0"/>
      <w:marTop w:val="0"/>
      <w:marBottom w:val="0"/>
      <w:divBdr>
        <w:top w:val="none" w:sz="0" w:space="0" w:color="auto"/>
        <w:left w:val="none" w:sz="0" w:space="0" w:color="auto"/>
        <w:bottom w:val="none" w:sz="0" w:space="0" w:color="auto"/>
        <w:right w:val="none" w:sz="0" w:space="0" w:color="auto"/>
      </w:divBdr>
    </w:div>
    <w:div w:id="712274039">
      <w:bodyDiv w:val="1"/>
      <w:marLeft w:val="0"/>
      <w:marRight w:val="0"/>
      <w:marTop w:val="0"/>
      <w:marBottom w:val="0"/>
      <w:divBdr>
        <w:top w:val="none" w:sz="0" w:space="0" w:color="auto"/>
        <w:left w:val="none" w:sz="0" w:space="0" w:color="auto"/>
        <w:bottom w:val="none" w:sz="0" w:space="0" w:color="auto"/>
        <w:right w:val="none" w:sz="0" w:space="0" w:color="auto"/>
      </w:divBdr>
    </w:div>
    <w:div w:id="737361265">
      <w:bodyDiv w:val="1"/>
      <w:marLeft w:val="0"/>
      <w:marRight w:val="0"/>
      <w:marTop w:val="0"/>
      <w:marBottom w:val="0"/>
      <w:divBdr>
        <w:top w:val="none" w:sz="0" w:space="0" w:color="auto"/>
        <w:left w:val="none" w:sz="0" w:space="0" w:color="auto"/>
        <w:bottom w:val="none" w:sz="0" w:space="0" w:color="auto"/>
        <w:right w:val="none" w:sz="0" w:space="0" w:color="auto"/>
      </w:divBdr>
    </w:div>
    <w:div w:id="740055048">
      <w:bodyDiv w:val="1"/>
      <w:marLeft w:val="0"/>
      <w:marRight w:val="0"/>
      <w:marTop w:val="0"/>
      <w:marBottom w:val="0"/>
      <w:divBdr>
        <w:top w:val="none" w:sz="0" w:space="0" w:color="auto"/>
        <w:left w:val="none" w:sz="0" w:space="0" w:color="auto"/>
        <w:bottom w:val="none" w:sz="0" w:space="0" w:color="auto"/>
        <w:right w:val="none" w:sz="0" w:space="0" w:color="auto"/>
      </w:divBdr>
    </w:div>
    <w:div w:id="748187236">
      <w:bodyDiv w:val="1"/>
      <w:marLeft w:val="0"/>
      <w:marRight w:val="0"/>
      <w:marTop w:val="0"/>
      <w:marBottom w:val="0"/>
      <w:divBdr>
        <w:top w:val="none" w:sz="0" w:space="0" w:color="auto"/>
        <w:left w:val="none" w:sz="0" w:space="0" w:color="auto"/>
        <w:bottom w:val="none" w:sz="0" w:space="0" w:color="auto"/>
        <w:right w:val="none" w:sz="0" w:space="0" w:color="auto"/>
      </w:divBdr>
    </w:div>
    <w:div w:id="768084220">
      <w:bodyDiv w:val="1"/>
      <w:marLeft w:val="0"/>
      <w:marRight w:val="0"/>
      <w:marTop w:val="0"/>
      <w:marBottom w:val="0"/>
      <w:divBdr>
        <w:top w:val="none" w:sz="0" w:space="0" w:color="auto"/>
        <w:left w:val="none" w:sz="0" w:space="0" w:color="auto"/>
        <w:bottom w:val="none" w:sz="0" w:space="0" w:color="auto"/>
        <w:right w:val="none" w:sz="0" w:space="0" w:color="auto"/>
      </w:divBdr>
    </w:div>
    <w:div w:id="790830475">
      <w:bodyDiv w:val="1"/>
      <w:marLeft w:val="0"/>
      <w:marRight w:val="0"/>
      <w:marTop w:val="0"/>
      <w:marBottom w:val="0"/>
      <w:divBdr>
        <w:top w:val="none" w:sz="0" w:space="0" w:color="auto"/>
        <w:left w:val="none" w:sz="0" w:space="0" w:color="auto"/>
        <w:bottom w:val="none" w:sz="0" w:space="0" w:color="auto"/>
        <w:right w:val="none" w:sz="0" w:space="0" w:color="auto"/>
      </w:divBdr>
    </w:div>
    <w:div w:id="802767646">
      <w:bodyDiv w:val="1"/>
      <w:marLeft w:val="0"/>
      <w:marRight w:val="0"/>
      <w:marTop w:val="0"/>
      <w:marBottom w:val="0"/>
      <w:divBdr>
        <w:top w:val="none" w:sz="0" w:space="0" w:color="auto"/>
        <w:left w:val="none" w:sz="0" w:space="0" w:color="auto"/>
        <w:bottom w:val="none" w:sz="0" w:space="0" w:color="auto"/>
        <w:right w:val="none" w:sz="0" w:space="0" w:color="auto"/>
      </w:divBdr>
    </w:div>
    <w:div w:id="804006546">
      <w:bodyDiv w:val="1"/>
      <w:marLeft w:val="0"/>
      <w:marRight w:val="0"/>
      <w:marTop w:val="0"/>
      <w:marBottom w:val="0"/>
      <w:divBdr>
        <w:top w:val="none" w:sz="0" w:space="0" w:color="auto"/>
        <w:left w:val="none" w:sz="0" w:space="0" w:color="auto"/>
        <w:bottom w:val="none" w:sz="0" w:space="0" w:color="auto"/>
        <w:right w:val="none" w:sz="0" w:space="0" w:color="auto"/>
      </w:divBdr>
    </w:div>
    <w:div w:id="811487131">
      <w:bodyDiv w:val="1"/>
      <w:marLeft w:val="0"/>
      <w:marRight w:val="0"/>
      <w:marTop w:val="0"/>
      <w:marBottom w:val="0"/>
      <w:divBdr>
        <w:top w:val="none" w:sz="0" w:space="0" w:color="auto"/>
        <w:left w:val="none" w:sz="0" w:space="0" w:color="auto"/>
        <w:bottom w:val="none" w:sz="0" w:space="0" w:color="auto"/>
        <w:right w:val="none" w:sz="0" w:space="0" w:color="auto"/>
      </w:divBdr>
    </w:div>
    <w:div w:id="824005423">
      <w:bodyDiv w:val="1"/>
      <w:marLeft w:val="0"/>
      <w:marRight w:val="0"/>
      <w:marTop w:val="0"/>
      <w:marBottom w:val="0"/>
      <w:divBdr>
        <w:top w:val="none" w:sz="0" w:space="0" w:color="auto"/>
        <w:left w:val="none" w:sz="0" w:space="0" w:color="auto"/>
        <w:bottom w:val="none" w:sz="0" w:space="0" w:color="auto"/>
        <w:right w:val="none" w:sz="0" w:space="0" w:color="auto"/>
      </w:divBdr>
    </w:div>
    <w:div w:id="824737535">
      <w:bodyDiv w:val="1"/>
      <w:marLeft w:val="0"/>
      <w:marRight w:val="0"/>
      <w:marTop w:val="0"/>
      <w:marBottom w:val="0"/>
      <w:divBdr>
        <w:top w:val="none" w:sz="0" w:space="0" w:color="auto"/>
        <w:left w:val="none" w:sz="0" w:space="0" w:color="auto"/>
        <w:bottom w:val="none" w:sz="0" w:space="0" w:color="auto"/>
        <w:right w:val="none" w:sz="0" w:space="0" w:color="auto"/>
      </w:divBdr>
    </w:div>
    <w:div w:id="837187623">
      <w:bodyDiv w:val="1"/>
      <w:marLeft w:val="0"/>
      <w:marRight w:val="0"/>
      <w:marTop w:val="0"/>
      <w:marBottom w:val="0"/>
      <w:divBdr>
        <w:top w:val="none" w:sz="0" w:space="0" w:color="auto"/>
        <w:left w:val="none" w:sz="0" w:space="0" w:color="auto"/>
        <w:bottom w:val="none" w:sz="0" w:space="0" w:color="auto"/>
        <w:right w:val="none" w:sz="0" w:space="0" w:color="auto"/>
      </w:divBdr>
    </w:div>
    <w:div w:id="847063558">
      <w:bodyDiv w:val="1"/>
      <w:marLeft w:val="0"/>
      <w:marRight w:val="0"/>
      <w:marTop w:val="0"/>
      <w:marBottom w:val="0"/>
      <w:divBdr>
        <w:top w:val="none" w:sz="0" w:space="0" w:color="auto"/>
        <w:left w:val="none" w:sz="0" w:space="0" w:color="auto"/>
        <w:bottom w:val="none" w:sz="0" w:space="0" w:color="auto"/>
        <w:right w:val="none" w:sz="0" w:space="0" w:color="auto"/>
      </w:divBdr>
    </w:div>
    <w:div w:id="856697334">
      <w:bodyDiv w:val="1"/>
      <w:marLeft w:val="0"/>
      <w:marRight w:val="0"/>
      <w:marTop w:val="0"/>
      <w:marBottom w:val="0"/>
      <w:divBdr>
        <w:top w:val="none" w:sz="0" w:space="0" w:color="auto"/>
        <w:left w:val="none" w:sz="0" w:space="0" w:color="auto"/>
        <w:bottom w:val="none" w:sz="0" w:space="0" w:color="auto"/>
        <w:right w:val="none" w:sz="0" w:space="0" w:color="auto"/>
      </w:divBdr>
    </w:div>
    <w:div w:id="864555900">
      <w:bodyDiv w:val="1"/>
      <w:marLeft w:val="0"/>
      <w:marRight w:val="0"/>
      <w:marTop w:val="0"/>
      <w:marBottom w:val="0"/>
      <w:divBdr>
        <w:top w:val="none" w:sz="0" w:space="0" w:color="auto"/>
        <w:left w:val="none" w:sz="0" w:space="0" w:color="auto"/>
        <w:bottom w:val="none" w:sz="0" w:space="0" w:color="auto"/>
        <w:right w:val="none" w:sz="0" w:space="0" w:color="auto"/>
      </w:divBdr>
    </w:div>
    <w:div w:id="868488060">
      <w:bodyDiv w:val="1"/>
      <w:marLeft w:val="0"/>
      <w:marRight w:val="0"/>
      <w:marTop w:val="0"/>
      <w:marBottom w:val="0"/>
      <w:divBdr>
        <w:top w:val="none" w:sz="0" w:space="0" w:color="auto"/>
        <w:left w:val="none" w:sz="0" w:space="0" w:color="auto"/>
        <w:bottom w:val="none" w:sz="0" w:space="0" w:color="auto"/>
        <w:right w:val="none" w:sz="0" w:space="0" w:color="auto"/>
      </w:divBdr>
    </w:div>
    <w:div w:id="872301798">
      <w:bodyDiv w:val="1"/>
      <w:marLeft w:val="0"/>
      <w:marRight w:val="0"/>
      <w:marTop w:val="0"/>
      <w:marBottom w:val="0"/>
      <w:divBdr>
        <w:top w:val="none" w:sz="0" w:space="0" w:color="auto"/>
        <w:left w:val="none" w:sz="0" w:space="0" w:color="auto"/>
        <w:bottom w:val="none" w:sz="0" w:space="0" w:color="auto"/>
        <w:right w:val="none" w:sz="0" w:space="0" w:color="auto"/>
      </w:divBdr>
    </w:div>
    <w:div w:id="874923749">
      <w:bodyDiv w:val="1"/>
      <w:marLeft w:val="0"/>
      <w:marRight w:val="0"/>
      <w:marTop w:val="0"/>
      <w:marBottom w:val="0"/>
      <w:divBdr>
        <w:top w:val="none" w:sz="0" w:space="0" w:color="auto"/>
        <w:left w:val="none" w:sz="0" w:space="0" w:color="auto"/>
        <w:bottom w:val="none" w:sz="0" w:space="0" w:color="auto"/>
        <w:right w:val="none" w:sz="0" w:space="0" w:color="auto"/>
      </w:divBdr>
    </w:div>
    <w:div w:id="882016175">
      <w:bodyDiv w:val="1"/>
      <w:marLeft w:val="0"/>
      <w:marRight w:val="0"/>
      <w:marTop w:val="0"/>
      <w:marBottom w:val="0"/>
      <w:divBdr>
        <w:top w:val="none" w:sz="0" w:space="0" w:color="auto"/>
        <w:left w:val="none" w:sz="0" w:space="0" w:color="auto"/>
        <w:bottom w:val="none" w:sz="0" w:space="0" w:color="auto"/>
        <w:right w:val="none" w:sz="0" w:space="0" w:color="auto"/>
      </w:divBdr>
    </w:div>
    <w:div w:id="892473465">
      <w:bodyDiv w:val="1"/>
      <w:marLeft w:val="0"/>
      <w:marRight w:val="0"/>
      <w:marTop w:val="0"/>
      <w:marBottom w:val="0"/>
      <w:divBdr>
        <w:top w:val="none" w:sz="0" w:space="0" w:color="auto"/>
        <w:left w:val="none" w:sz="0" w:space="0" w:color="auto"/>
        <w:bottom w:val="none" w:sz="0" w:space="0" w:color="auto"/>
        <w:right w:val="none" w:sz="0" w:space="0" w:color="auto"/>
      </w:divBdr>
    </w:div>
    <w:div w:id="894970285">
      <w:bodyDiv w:val="1"/>
      <w:marLeft w:val="0"/>
      <w:marRight w:val="0"/>
      <w:marTop w:val="0"/>
      <w:marBottom w:val="0"/>
      <w:divBdr>
        <w:top w:val="none" w:sz="0" w:space="0" w:color="auto"/>
        <w:left w:val="none" w:sz="0" w:space="0" w:color="auto"/>
        <w:bottom w:val="none" w:sz="0" w:space="0" w:color="auto"/>
        <w:right w:val="none" w:sz="0" w:space="0" w:color="auto"/>
      </w:divBdr>
    </w:div>
    <w:div w:id="895047860">
      <w:bodyDiv w:val="1"/>
      <w:marLeft w:val="0"/>
      <w:marRight w:val="0"/>
      <w:marTop w:val="0"/>
      <w:marBottom w:val="0"/>
      <w:divBdr>
        <w:top w:val="none" w:sz="0" w:space="0" w:color="auto"/>
        <w:left w:val="none" w:sz="0" w:space="0" w:color="auto"/>
        <w:bottom w:val="none" w:sz="0" w:space="0" w:color="auto"/>
        <w:right w:val="none" w:sz="0" w:space="0" w:color="auto"/>
      </w:divBdr>
    </w:div>
    <w:div w:id="921066819">
      <w:bodyDiv w:val="1"/>
      <w:marLeft w:val="0"/>
      <w:marRight w:val="0"/>
      <w:marTop w:val="0"/>
      <w:marBottom w:val="0"/>
      <w:divBdr>
        <w:top w:val="none" w:sz="0" w:space="0" w:color="auto"/>
        <w:left w:val="none" w:sz="0" w:space="0" w:color="auto"/>
        <w:bottom w:val="none" w:sz="0" w:space="0" w:color="auto"/>
        <w:right w:val="none" w:sz="0" w:space="0" w:color="auto"/>
      </w:divBdr>
    </w:div>
    <w:div w:id="930046434">
      <w:bodyDiv w:val="1"/>
      <w:marLeft w:val="0"/>
      <w:marRight w:val="0"/>
      <w:marTop w:val="0"/>
      <w:marBottom w:val="0"/>
      <w:divBdr>
        <w:top w:val="none" w:sz="0" w:space="0" w:color="auto"/>
        <w:left w:val="none" w:sz="0" w:space="0" w:color="auto"/>
        <w:bottom w:val="none" w:sz="0" w:space="0" w:color="auto"/>
        <w:right w:val="none" w:sz="0" w:space="0" w:color="auto"/>
      </w:divBdr>
    </w:div>
    <w:div w:id="937296969">
      <w:bodyDiv w:val="1"/>
      <w:marLeft w:val="0"/>
      <w:marRight w:val="0"/>
      <w:marTop w:val="0"/>
      <w:marBottom w:val="0"/>
      <w:divBdr>
        <w:top w:val="none" w:sz="0" w:space="0" w:color="auto"/>
        <w:left w:val="none" w:sz="0" w:space="0" w:color="auto"/>
        <w:bottom w:val="none" w:sz="0" w:space="0" w:color="auto"/>
        <w:right w:val="none" w:sz="0" w:space="0" w:color="auto"/>
      </w:divBdr>
    </w:div>
    <w:div w:id="966736290">
      <w:bodyDiv w:val="1"/>
      <w:marLeft w:val="0"/>
      <w:marRight w:val="0"/>
      <w:marTop w:val="0"/>
      <w:marBottom w:val="0"/>
      <w:divBdr>
        <w:top w:val="none" w:sz="0" w:space="0" w:color="auto"/>
        <w:left w:val="none" w:sz="0" w:space="0" w:color="auto"/>
        <w:bottom w:val="none" w:sz="0" w:space="0" w:color="auto"/>
        <w:right w:val="none" w:sz="0" w:space="0" w:color="auto"/>
      </w:divBdr>
    </w:div>
    <w:div w:id="975599627">
      <w:bodyDiv w:val="1"/>
      <w:marLeft w:val="0"/>
      <w:marRight w:val="0"/>
      <w:marTop w:val="0"/>
      <w:marBottom w:val="0"/>
      <w:divBdr>
        <w:top w:val="none" w:sz="0" w:space="0" w:color="auto"/>
        <w:left w:val="none" w:sz="0" w:space="0" w:color="auto"/>
        <w:bottom w:val="none" w:sz="0" w:space="0" w:color="auto"/>
        <w:right w:val="none" w:sz="0" w:space="0" w:color="auto"/>
      </w:divBdr>
    </w:div>
    <w:div w:id="991906738">
      <w:bodyDiv w:val="1"/>
      <w:marLeft w:val="0"/>
      <w:marRight w:val="0"/>
      <w:marTop w:val="0"/>
      <w:marBottom w:val="0"/>
      <w:divBdr>
        <w:top w:val="none" w:sz="0" w:space="0" w:color="auto"/>
        <w:left w:val="none" w:sz="0" w:space="0" w:color="auto"/>
        <w:bottom w:val="none" w:sz="0" w:space="0" w:color="auto"/>
        <w:right w:val="none" w:sz="0" w:space="0" w:color="auto"/>
      </w:divBdr>
    </w:div>
    <w:div w:id="1004556437">
      <w:bodyDiv w:val="1"/>
      <w:marLeft w:val="0"/>
      <w:marRight w:val="0"/>
      <w:marTop w:val="0"/>
      <w:marBottom w:val="0"/>
      <w:divBdr>
        <w:top w:val="none" w:sz="0" w:space="0" w:color="auto"/>
        <w:left w:val="none" w:sz="0" w:space="0" w:color="auto"/>
        <w:bottom w:val="none" w:sz="0" w:space="0" w:color="auto"/>
        <w:right w:val="none" w:sz="0" w:space="0" w:color="auto"/>
      </w:divBdr>
    </w:div>
    <w:div w:id="1017729562">
      <w:bodyDiv w:val="1"/>
      <w:marLeft w:val="0"/>
      <w:marRight w:val="0"/>
      <w:marTop w:val="0"/>
      <w:marBottom w:val="0"/>
      <w:divBdr>
        <w:top w:val="none" w:sz="0" w:space="0" w:color="auto"/>
        <w:left w:val="none" w:sz="0" w:space="0" w:color="auto"/>
        <w:bottom w:val="none" w:sz="0" w:space="0" w:color="auto"/>
        <w:right w:val="none" w:sz="0" w:space="0" w:color="auto"/>
      </w:divBdr>
    </w:div>
    <w:div w:id="1019233952">
      <w:bodyDiv w:val="1"/>
      <w:marLeft w:val="0"/>
      <w:marRight w:val="0"/>
      <w:marTop w:val="0"/>
      <w:marBottom w:val="0"/>
      <w:divBdr>
        <w:top w:val="none" w:sz="0" w:space="0" w:color="auto"/>
        <w:left w:val="none" w:sz="0" w:space="0" w:color="auto"/>
        <w:bottom w:val="none" w:sz="0" w:space="0" w:color="auto"/>
        <w:right w:val="none" w:sz="0" w:space="0" w:color="auto"/>
      </w:divBdr>
    </w:div>
    <w:div w:id="1027566083">
      <w:bodyDiv w:val="1"/>
      <w:marLeft w:val="0"/>
      <w:marRight w:val="0"/>
      <w:marTop w:val="0"/>
      <w:marBottom w:val="0"/>
      <w:divBdr>
        <w:top w:val="none" w:sz="0" w:space="0" w:color="auto"/>
        <w:left w:val="none" w:sz="0" w:space="0" w:color="auto"/>
        <w:bottom w:val="none" w:sz="0" w:space="0" w:color="auto"/>
        <w:right w:val="none" w:sz="0" w:space="0" w:color="auto"/>
      </w:divBdr>
    </w:div>
    <w:div w:id="1039280876">
      <w:bodyDiv w:val="1"/>
      <w:marLeft w:val="0"/>
      <w:marRight w:val="0"/>
      <w:marTop w:val="0"/>
      <w:marBottom w:val="0"/>
      <w:divBdr>
        <w:top w:val="none" w:sz="0" w:space="0" w:color="auto"/>
        <w:left w:val="none" w:sz="0" w:space="0" w:color="auto"/>
        <w:bottom w:val="none" w:sz="0" w:space="0" w:color="auto"/>
        <w:right w:val="none" w:sz="0" w:space="0" w:color="auto"/>
      </w:divBdr>
    </w:div>
    <w:div w:id="1053191122">
      <w:bodyDiv w:val="1"/>
      <w:marLeft w:val="0"/>
      <w:marRight w:val="0"/>
      <w:marTop w:val="0"/>
      <w:marBottom w:val="0"/>
      <w:divBdr>
        <w:top w:val="none" w:sz="0" w:space="0" w:color="auto"/>
        <w:left w:val="none" w:sz="0" w:space="0" w:color="auto"/>
        <w:bottom w:val="none" w:sz="0" w:space="0" w:color="auto"/>
        <w:right w:val="none" w:sz="0" w:space="0" w:color="auto"/>
      </w:divBdr>
    </w:div>
    <w:div w:id="1076711701">
      <w:bodyDiv w:val="1"/>
      <w:marLeft w:val="0"/>
      <w:marRight w:val="0"/>
      <w:marTop w:val="0"/>
      <w:marBottom w:val="0"/>
      <w:divBdr>
        <w:top w:val="none" w:sz="0" w:space="0" w:color="auto"/>
        <w:left w:val="none" w:sz="0" w:space="0" w:color="auto"/>
        <w:bottom w:val="none" w:sz="0" w:space="0" w:color="auto"/>
        <w:right w:val="none" w:sz="0" w:space="0" w:color="auto"/>
      </w:divBdr>
    </w:div>
    <w:div w:id="1083602607">
      <w:bodyDiv w:val="1"/>
      <w:marLeft w:val="0"/>
      <w:marRight w:val="0"/>
      <w:marTop w:val="0"/>
      <w:marBottom w:val="0"/>
      <w:divBdr>
        <w:top w:val="none" w:sz="0" w:space="0" w:color="auto"/>
        <w:left w:val="none" w:sz="0" w:space="0" w:color="auto"/>
        <w:bottom w:val="none" w:sz="0" w:space="0" w:color="auto"/>
        <w:right w:val="none" w:sz="0" w:space="0" w:color="auto"/>
      </w:divBdr>
    </w:div>
    <w:div w:id="1086071173">
      <w:bodyDiv w:val="1"/>
      <w:marLeft w:val="0"/>
      <w:marRight w:val="0"/>
      <w:marTop w:val="0"/>
      <w:marBottom w:val="0"/>
      <w:divBdr>
        <w:top w:val="none" w:sz="0" w:space="0" w:color="auto"/>
        <w:left w:val="none" w:sz="0" w:space="0" w:color="auto"/>
        <w:bottom w:val="none" w:sz="0" w:space="0" w:color="auto"/>
        <w:right w:val="none" w:sz="0" w:space="0" w:color="auto"/>
      </w:divBdr>
    </w:div>
    <w:div w:id="1106577005">
      <w:bodyDiv w:val="1"/>
      <w:marLeft w:val="0"/>
      <w:marRight w:val="0"/>
      <w:marTop w:val="0"/>
      <w:marBottom w:val="0"/>
      <w:divBdr>
        <w:top w:val="none" w:sz="0" w:space="0" w:color="auto"/>
        <w:left w:val="none" w:sz="0" w:space="0" w:color="auto"/>
        <w:bottom w:val="none" w:sz="0" w:space="0" w:color="auto"/>
        <w:right w:val="none" w:sz="0" w:space="0" w:color="auto"/>
      </w:divBdr>
    </w:div>
    <w:div w:id="1107119945">
      <w:bodyDiv w:val="1"/>
      <w:marLeft w:val="0"/>
      <w:marRight w:val="0"/>
      <w:marTop w:val="0"/>
      <w:marBottom w:val="0"/>
      <w:divBdr>
        <w:top w:val="none" w:sz="0" w:space="0" w:color="auto"/>
        <w:left w:val="none" w:sz="0" w:space="0" w:color="auto"/>
        <w:bottom w:val="none" w:sz="0" w:space="0" w:color="auto"/>
        <w:right w:val="none" w:sz="0" w:space="0" w:color="auto"/>
      </w:divBdr>
    </w:div>
    <w:div w:id="1121415911">
      <w:bodyDiv w:val="1"/>
      <w:marLeft w:val="0"/>
      <w:marRight w:val="0"/>
      <w:marTop w:val="0"/>
      <w:marBottom w:val="0"/>
      <w:divBdr>
        <w:top w:val="none" w:sz="0" w:space="0" w:color="auto"/>
        <w:left w:val="none" w:sz="0" w:space="0" w:color="auto"/>
        <w:bottom w:val="none" w:sz="0" w:space="0" w:color="auto"/>
        <w:right w:val="none" w:sz="0" w:space="0" w:color="auto"/>
      </w:divBdr>
    </w:div>
    <w:div w:id="1127088705">
      <w:bodyDiv w:val="1"/>
      <w:marLeft w:val="0"/>
      <w:marRight w:val="0"/>
      <w:marTop w:val="0"/>
      <w:marBottom w:val="0"/>
      <w:divBdr>
        <w:top w:val="none" w:sz="0" w:space="0" w:color="auto"/>
        <w:left w:val="none" w:sz="0" w:space="0" w:color="auto"/>
        <w:bottom w:val="none" w:sz="0" w:space="0" w:color="auto"/>
        <w:right w:val="none" w:sz="0" w:space="0" w:color="auto"/>
      </w:divBdr>
    </w:div>
    <w:div w:id="1145969030">
      <w:bodyDiv w:val="1"/>
      <w:marLeft w:val="0"/>
      <w:marRight w:val="0"/>
      <w:marTop w:val="0"/>
      <w:marBottom w:val="0"/>
      <w:divBdr>
        <w:top w:val="none" w:sz="0" w:space="0" w:color="auto"/>
        <w:left w:val="none" w:sz="0" w:space="0" w:color="auto"/>
        <w:bottom w:val="none" w:sz="0" w:space="0" w:color="auto"/>
        <w:right w:val="none" w:sz="0" w:space="0" w:color="auto"/>
      </w:divBdr>
    </w:div>
    <w:div w:id="1152406705">
      <w:bodyDiv w:val="1"/>
      <w:marLeft w:val="0"/>
      <w:marRight w:val="0"/>
      <w:marTop w:val="0"/>
      <w:marBottom w:val="0"/>
      <w:divBdr>
        <w:top w:val="none" w:sz="0" w:space="0" w:color="auto"/>
        <w:left w:val="none" w:sz="0" w:space="0" w:color="auto"/>
        <w:bottom w:val="none" w:sz="0" w:space="0" w:color="auto"/>
        <w:right w:val="none" w:sz="0" w:space="0" w:color="auto"/>
      </w:divBdr>
    </w:div>
    <w:div w:id="1153642230">
      <w:bodyDiv w:val="1"/>
      <w:marLeft w:val="0"/>
      <w:marRight w:val="0"/>
      <w:marTop w:val="0"/>
      <w:marBottom w:val="0"/>
      <w:divBdr>
        <w:top w:val="none" w:sz="0" w:space="0" w:color="auto"/>
        <w:left w:val="none" w:sz="0" w:space="0" w:color="auto"/>
        <w:bottom w:val="none" w:sz="0" w:space="0" w:color="auto"/>
        <w:right w:val="none" w:sz="0" w:space="0" w:color="auto"/>
      </w:divBdr>
    </w:div>
    <w:div w:id="1160654705">
      <w:bodyDiv w:val="1"/>
      <w:marLeft w:val="0"/>
      <w:marRight w:val="0"/>
      <w:marTop w:val="0"/>
      <w:marBottom w:val="0"/>
      <w:divBdr>
        <w:top w:val="none" w:sz="0" w:space="0" w:color="auto"/>
        <w:left w:val="none" w:sz="0" w:space="0" w:color="auto"/>
        <w:bottom w:val="none" w:sz="0" w:space="0" w:color="auto"/>
        <w:right w:val="none" w:sz="0" w:space="0" w:color="auto"/>
      </w:divBdr>
    </w:div>
    <w:div w:id="1168860128">
      <w:bodyDiv w:val="1"/>
      <w:marLeft w:val="0"/>
      <w:marRight w:val="0"/>
      <w:marTop w:val="0"/>
      <w:marBottom w:val="0"/>
      <w:divBdr>
        <w:top w:val="none" w:sz="0" w:space="0" w:color="auto"/>
        <w:left w:val="none" w:sz="0" w:space="0" w:color="auto"/>
        <w:bottom w:val="none" w:sz="0" w:space="0" w:color="auto"/>
        <w:right w:val="none" w:sz="0" w:space="0" w:color="auto"/>
      </w:divBdr>
    </w:div>
    <w:div w:id="1174757074">
      <w:bodyDiv w:val="1"/>
      <w:marLeft w:val="0"/>
      <w:marRight w:val="0"/>
      <w:marTop w:val="0"/>
      <w:marBottom w:val="0"/>
      <w:divBdr>
        <w:top w:val="none" w:sz="0" w:space="0" w:color="auto"/>
        <w:left w:val="none" w:sz="0" w:space="0" w:color="auto"/>
        <w:bottom w:val="none" w:sz="0" w:space="0" w:color="auto"/>
        <w:right w:val="none" w:sz="0" w:space="0" w:color="auto"/>
      </w:divBdr>
    </w:div>
    <w:div w:id="1176843711">
      <w:bodyDiv w:val="1"/>
      <w:marLeft w:val="0"/>
      <w:marRight w:val="0"/>
      <w:marTop w:val="0"/>
      <w:marBottom w:val="0"/>
      <w:divBdr>
        <w:top w:val="none" w:sz="0" w:space="0" w:color="auto"/>
        <w:left w:val="none" w:sz="0" w:space="0" w:color="auto"/>
        <w:bottom w:val="none" w:sz="0" w:space="0" w:color="auto"/>
        <w:right w:val="none" w:sz="0" w:space="0" w:color="auto"/>
      </w:divBdr>
    </w:div>
    <w:div w:id="1178885164">
      <w:bodyDiv w:val="1"/>
      <w:marLeft w:val="0"/>
      <w:marRight w:val="0"/>
      <w:marTop w:val="0"/>
      <w:marBottom w:val="0"/>
      <w:divBdr>
        <w:top w:val="none" w:sz="0" w:space="0" w:color="auto"/>
        <w:left w:val="none" w:sz="0" w:space="0" w:color="auto"/>
        <w:bottom w:val="none" w:sz="0" w:space="0" w:color="auto"/>
        <w:right w:val="none" w:sz="0" w:space="0" w:color="auto"/>
      </w:divBdr>
    </w:div>
    <w:div w:id="1195537949">
      <w:bodyDiv w:val="1"/>
      <w:marLeft w:val="0"/>
      <w:marRight w:val="0"/>
      <w:marTop w:val="0"/>
      <w:marBottom w:val="0"/>
      <w:divBdr>
        <w:top w:val="none" w:sz="0" w:space="0" w:color="auto"/>
        <w:left w:val="none" w:sz="0" w:space="0" w:color="auto"/>
        <w:bottom w:val="none" w:sz="0" w:space="0" w:color="auto"/>
        <w:right w:val="none" w:sz="0" w:space="0" w:color="auto"/>
      </w:divBdr>
    </w:div>
    <w:div w:id="1201169540">
      <w:bodyDiv w:val="1"/>
      <w:marLeft w:val="0"/>
      <w:marRight w:val="0"/>
      <w:marTop w:val="0"/>
      <w:marBottom w:val="0"/>
      <w:divBdr>
        <w:top w:val="none" w:sz="0" w:space="0" w:color="auto"/>
        <w:left w:val="none" w:sz="0" w:space="0" w:color="auto"/>
        <w:bottom w:val="none" w:sz="0" w:space="0" w:color="auto"/>
        <w:right w:val="none" w:sz="0" w:space="0" w:color="auto"/>
      </w:divBdr>
    </w:div>
    <w:div w:id="1204246315">
      <w:bodyDiv w:val="1"/>
      <w:marLeft w:val="0"/>
      <w:marRight w:val="0"/>
      <w:marTop w:val="0"/>
      <w:marBottom w:val="0"/>
      <w:divBdr>
        <w:top w:val="none" w:sz="0" w:space="0" w:color="auto"/>
        <w:left w:val="none" w:sz="0" w:space="0" w:color="auto"/>
        <w:bottom w:val="none" w:sz="0" w:space="0" w:color="auto"/>
        <w:right w:val="none" w:sz="0" w:space="0" w:color="auto"/>
      </w:divBdr>
    </w:div>
    <w:div w:id="1207108796">
      <w:bodyDiv w:val="1"/>
      <w:marLeft w:val="0"/>
      <w:marRight w:val="0"/>
      <w:marTop w:val="0"/>
      <w:marBottom w:val="0"/>
      <w:divBdr>
        <w:top w:val="none" w:sz="0" w:space="0" w:color="auto"/>
        <w:left w:val="none" w:sz="0" w:space="0" w:color="auto"/>
        <w:bottom w:val="none" w:sz="0" w:space="0" w:color="auto"/>
        <w:right w:val="none" w:sz="0" w:space="0" w:color="auto"/>
      </w:divBdr>
    </w:div>
    <w:div w:id="1224409677">
      <w:bodyDiv w:val="1"/>
      <w:marLeft w:val="0"/>
      <w:marRight w:val="0"/>
      <w:marTop w:val="0"/>
      <w:marBottom w:val="0"/>
      <w:divBdr>
        <w:top w:val="none" w:sz="0" w:space="0" w:color="auto"/>
        <w:left w:val="none" w:sz="0" w:space="0" w:color="auto"/>
        <w:bottom w:val="none" w:sz="0" w:space="0" w:color="auto"/>
        <w:right w:val="none" w:sz="0" w:space="0" w:color="auto"/>
      </w:divBdr>
    </w:div>
    <w:div w:id="1224557908">
      <w:bodyDiv w:val="1"/>
      <w:marLeft w:val="0"/>
      <w:marRight w:val="0"/>
      <w:marTop w:val="0"/>
      <w:marBottom w:val="0"/>
      <w:divBdr>
        <w:top w:val="none" w:sz="0" w:space="0" w:color="auto"/>
        <w:left w:val="none" w:sz="0" w:space="0" w:color="auto"/>
        <w:bottom w:val="none" w:sz="0" w:space="0" w:color="auto"/>
        <w:right w:val="none" w:sz="0" w:space="0" w:color="auto"/>
      </w:divBdr>
    </w:div>
    <w:div w:id="1238442527">
      <w:bodyDiv w:val="1"/>
      <w:marLeft w:val="0"/>
      <w:marRight w:val="0"/>
      <w:marTop w:val="0"/>
      <w:marBottom w:val="0"/>
      <w:divBdr>
        <w:top w:val="none" w:sz="0" w:space="0" w:color="auto"/>
        <w:left w:val="none" w:sz="0" w:space="0" w:color="auto"/>
        <w:bottom w:val="none" w:sz="0" w:space="0" w:color="auto"/>
        <w:right w:val="none" w:sz="0" w:space="0" w:color="auto"/>
      </w:divBdr>
    </w:div>
    <w:div w:id="1296519533">
      <w:bodyDiv w:val="1"/>
      <w:marLeft w:val="0"/>
      <w:marRight w:val="0"/>
      <w:marTop w:val="0"/>
      <w:marBottom w:val="0"/>
      <w:divBdr>
        <w:top w:val="none" w:sz="0" w:space="0" w:color="auto"/>
        <w:left w:val="none" w:sz="0" w:space="0" w:color="auto"/>
        <w:bottom w:val="none" w:sz="0" w:space="0" w:color="auto"/>
        <w:right w:val="none" w:sz="0" w:space="0" w:color="auto"/>
      </w:divBdr>
    </w:div>
    <w:div w:id="1297683482">
      <w:bodyDiv w:val="1"/>
      <w:marLeft w:val="0"/>
      <w:marRight w:val="0"/>
      <w:marTop w:val="0"/>
      <w:marBottom w:val="0"/>
      <w:divBdr>
        <w:top w:val="none" w:sz="0" w:space="0" w:color="auto"/>
        <w:left w:val="none" w:sz="0" w:space="0" w:color="auto"/>
        <w:bottom w:val="none" w:sz="0" w:space="0" w:color="auto"/>
        <w:right w:val="none" w:sz="0" w:space="0" w:color="auto"/>
      </w:divBdr>
    </w:div>
    <w:div w:id="1320236169">
      <w:bodyDiv w:val="1"/>
      <w:marLeft w:val="0"/>
      <w:marRight w:val="0"/>
      <w:marTop w:val="0"/>
      <w:marBottom w:val="0"/>
      <w:divBdr>
        <w:top w:val="none" w:sz="0" w:space="0" w:color="auto"/>
        <w:left w:val="none" w:sz="0" w:space="0" w:color="auto"/>
        <w:bottom w:val="none" w:sz="0" w:space="0" w:color="auto"/>
        <w:right w:val="none" w:sz="0" w:space="0" w:color="auto"/>
      </w:divBdr>
    </w:div>
    <w:div w:id="1321032910">
      <w:bodyDiv w:val="1"/>
      <w:marLeft w:val="0"/>
      <w:marRight w:val="0"/>
      <w:marTop w:val="0"/>
      <w:marBottom w:val="0"/>
      <w:divBdr>
        <w:top w:val="none" w:sz="0" w:space="0" w:color="auto"/>
        <w:left w:val="none" w:sz="0" w:space="0" w:color="auto"/>
        <w:bottom w:val="none" w:sz="0" w:space="0" w:color="auto"/>
        <w:right w:val="none" w:sz="0" w:space="0" w:color="auto"/>
      </w:divBdr>
    </w:div>
    <w:div w:id="1325016479">
      <w:bodyDiv w:val="1"/>
      <w:marLeft w:val="0"/>
      <w:marRight w:val="0"/>
      <w:marTop w:val="0"/>
      <w:marBottom w:val="0"/>
      <w:divBdr>
        <w:top w:val="none" w:sz="0" w:space="0" w:color="auto"/>
        <w:left w:val="none" w:sz="0" w:space="0" w:color="auto"/>
        <w:bottom w:val="none" w:sz="0" w:space="0" w:color="auto"/>
        <w:right w:val="none" w:sz="0" w:space="0" w:color="auto"/>
      </w:divBdr>
    </w:div>
    <w:div w:id="1339622322">
      <w:bodyDiv w:val="1"/>
      <w:marLeft w:val="0"/>
      <w:marRight w:val="0"/>
      <w:marTop w:val="0"/>
      <w:marBottom w:val="0"/>
      <w:divBdr>
        <w:top w:val="none" w:sz="0" w:space="0" w:color="auto"/>
        <w:left w:val="none" w:sz="0" w:space="0" w:color="auto"/>
        <w:bottom w:val="none" w:sz="0" w:space="0" w:color="auto"/>
        <w:right w:val="none" w:sz="0" w:space="0" w:color="auto"/>
      </w:divBdr>
    </w:div>
    <w:div w:id="1359545255">
      <w:bodyDiv w:val="1"/>
      <w:marLeft w:val="0"/>
      <w:marRight w:val="0"/>
      <w:marTop w:val="0"/>
      <w:marBottom w:val="0"/>
      <w:divBdr>
        <w:top w:val="none" w:sz="0" w:space="0" w:color="auto"/>
        <w:left w:val="none" w:sz="0" w:space="0" w:color="auto"/>
        <w:bottom w:val="none" w:sz="0" w:space="0" w:color="auto"/>
        <w:right w:val="none" w:sz="0" w:space="0" w:color="auto"/>
      </w:divBdr>
    </w:div>
    <w:div w:id="1363899323">
      <w:bodyDiv w:val="1"/>
      <w:marLeft w:val="0"/>
      <w:marRight w:val="0"/>
      <w:marTop w:val="0"/>
      <w:marBottom w:val="0"/>
      <w:divBdr>
        <w:top w:val="none" w:sz="0" w:space="0" w:color="auto"/>
        <w:left w:val="none" w:sz="0" w:space="0" w:color="auto"/>
        <w:bottom w:val="none" w:sz="0" w:space="0" w:color="auto"/>
        <w:right w:val="none" w:sz="0" w:space="0" w:color="auto"/>
      </w:divBdr>
    </w:div>
    <w:div w:id="1369532029">
      <w:bodyDiv w:val="1"/>
      <w:marLeft w:val="0"/>
      <w:marRight w:val="0"/>
      <w:marTop w:val="0"/>
      <w:marBottom w:val="0"/>
      <w:divBdr>
        <w:top w:val="none" w:sz="0" w:space="0" w:color="auto"/>
        <w:left w:val="none" w:sz="0" w:space="0" w:color="auto"/>
        <w:bottom w:val="none" w:sz="0" w:space="0" w:color="auto"/>
        <w:right w:val="none" w:sz="0" w:space="0" w:color="auto"/>
      </w:divBdr>
    </w:div>
    <w:div w:id="1374429568">
      <w:bodyDiv w:val="1"/>
      <w:marLeft w:val="0"/>
      <w:marRight w:val="0"/>
      <w:marTop w:val="0"/>
      <w:marBottom w:val="0"/>
      <w:divBdr>
        <w:top w:val="none" w:sz="0" w:space="0" w:color="auto"/>
        <w:left w:val="none" w:sz="0" w:space="0" w:color="auto"/>
        <w:bottom w:val="none" w:sz="0" w:space="0" w:color="auto"/>
        <w:right w:val="none" w:sz="0" w:space="0" w:color="auto"/>
      </w:divBdr>
    </w:div>
    <w:div w:id="1374498772">
      <w:bodyDiv w:val="1"/>
      <w:marLeft w:val="0"/>
      <w:marRight w:val="0"/>
      <w:marTop w:val="0"/>
      <w:marBottom w:val="0"/>
      <w:divBdr>
        <w:top w:val="none" w:sz="0" w:space="0" w:color="auto"/>
        <w:left w:val="none" w:sz="0" w:space="0" w:color="auto"/>
        <w:bottom w:val="none" w:sz="0" w:space="0" w:color="auto"/>
        <w:right w:val="none" w:sz="0" w:space="0" w:color="auto"/>
      </w:divBdr>
    </w:div>
    <w:div w:id="1390030835">
      <w:bodyDiv w:val="1"/>
      <w:marLeft w:val="0"/>
      <w:marRight w:val="0"/>
      <w:marTop w:val="0"/>
      <w:marBottom w:val="0"/>
      <w:divBdr>
        <w:top w:val="none" w:sz="0" w:space="0" w:color="auto"/>
        <w:left w:val="none" w:sz="0" w:space="0" w:color="auto"/>
        <w:bottom w:val="none" w:sz="0" w:space="0" w:color="auto"/>
        <w:right w:val="none" w:sz="0" w:space="0" w:color="auto"/>
      </w:divBdr>
    </w:div>
    <w:div w:id="1415280351">
      <w:bodyDiv w:val="1"/>
      <w:marLeft w:val="0"/>
      <w:marRight w:val="0"/>
      <w:marTop w:val="0"/>
      <w:marBottom w:val="0"/>
      <w:divBdr>
        <w:top w:val="none" w:sz="0" w:space="0" w:color="auto"/>
        <w:left w:val="none" w:sz="0" w:space="0" w:color="auto"/>
        <w:bottom w:val="none" w:sz="0" w:space="0" w:color="auto"/>
        <w:right w:val="none" w:sz="0" w:space="0" w:color="auto"/>
      </w:divBdr>
    </w:div>
    <w:div w:id="1415395119">
      <w:bodyDiv w:val="1"/>
      <w:marLeft w:val="0"/>
      <w:marRight w:val="0"/>
      <w:marTop w:val="0"/>
      <w:marBottom w:val="0"/>
      <w:divBdr>
        <w:top w:val="none" w:sz="0" w:space="0" w:color="auto"/>
        <w:left w:val="none" w:sz="0" w:space="0" w:color="auto"/>
        <w:bottom w:val="none" w:sz="0" w:space="0" w:color="auto"/>
        <w:right w:val="none" w:sz="0" w:space="0" w:color="auto"/>
      </w:divBdr>
    </w:div>
    <w:div w:id="1427655502">
      <w:bodyDiv w:val="1"/>
      <w:marLeft w:val="0"/>
      <w:marRight w:val="0"/>
      <w:marTop w:val="0"/>
      <w:marBottom w:val="0"/>
      <w:divBdr>
        <w:top w:val="none" w:sz="0" w:space="0" w:color="auto"/>
        <w:left w:val="none" w:sz="0" w:space="0" w:color="auto"/>
        <w:bottom w:val="none" w:sz="0" w:space="0" w:color="auto"/>
        <w:right w:val="none" w:sz="0" w:space="0" w:color="auto"/>
      </w:divBdr>
    </w:div>
    <w:div w:id="1440181132">
      <w:bodyDiv w:val="1"/>
      <w:marLeft w:val="0"/>
      <w:marRight w:val="0"/>
      <w:marTop w:val="0"/>
      <w:marBottom w:val="0"/>
      <w:divBdr>
        <w:top w:val="none" w:sz="0" w:space="0" w:color="auto"/>
        <w:left w:val="none" w:sz="0" w:space="0" w:color="auto"/>
        <w:bottom w:val="none" w:sz="0" w:space="0" w:color="auto"/>
        <w:right w:val="none" w:sz="0" w:space="0" w:color="auto"/>
      </w:divBdr>
    </w:div>
    <w:div w:id="1443190174">
      <w:bodyDiv w:val="1"/>
      <w:marLeft w:val="0"/>
      <w:marRight w:val="0"/>
      <w:marTop w:val="0"/>
      <w:marBottom w:val="0"/>
      <w:divBdr>
        <w:top w:val="none" w:sz="0" w:space="0" w:color="auto"/>
        <w:left w:val="none" w:sz="0" w:space="0" w:color="auto"/>
        <w:bottom w:val="none" w:sz="0" w:space="0" w:color="auto"/>
        <w:right w:val="none" w:sz="0" w:space="0" w:color="auto"/>
      </w:divBdr>
    </w:div>
    <w:div w:id="1443458874">
      <w:bodyDiv w:val="1"/>
      <w:marLeft w:val="0"/>
      <w:marRight w:val="0"/>
      <w:marTop w:val="0"/>
      <w:marBottom w:val="0"/>
      <w:divBdr>
        <w:top w:val="none" w:sz="0" w:space="0" w:color="auto"/>
        <w:left w:val="none" w:sz="0" w:space="0" w:color="auto"/>
        <w:bottom w:val="none" w:sz="0" w:space="0" w:color="auto"/>
        <w:right w:val="none" w:sz="0" w:space="0" w:color="auto"/>
      </w:divBdr>
    </w:div>
    <w:div w:id="1456800226">
      <w:bodyDiv w:val="1"/>
      <w:marLeft w:val="0"/>
      <w:marRight w:val="0"/>
      <w:marTop w:val="0"/>
      <w:marBottom w:val="0"/>
      <w:divBdr>
        <w:top w:val="none" w:sz="0" w:space="0" w:color="auto"/>
        <w:left w:val="none" w:sz="0" w:space="0" w:color="auto"/>
        <w:bottom w:val="none" w:sz="0" w:space="0" w:color="auto"/>
        <w:right w:val="none" w:sz="0" w:space="0" w:color="auto"/>
      </w:divBdr>
    </w:div>
    <w:div w:id="1458839091">
      <w:bodyDiv w:val="1"/>
      <w:marLeft w:val="0"/>
      <w:marRight w:val="0"/>
      <w:marTop w:val="0"/>
      <w:marBottom w:val="0"/>
      <w:divBdr>
        <w:top w:val="none" w:sz="0" w:space="0" w:color="auto"/>
        <w:left w:val="none" w:sz="0" w:space="0" w:color="auto"/>
        <w:bottom w:val="none" w:sz="0" w:space="0" w:color="auto"/>
        <w:right w:val="none" w:sz="0" w:space="0" w:color="auto"/>
      </w:divBdr>
    </w:div>
    <w:div w:id="1478301988">
      <w:bodyDiv w:val="1"/>
      <w:marLeft w:val="0"/>
      <w:marRight w:val="0"/>
      <w:marTop w:val="0"/>
      <w:marBottom w:val="0"/>
      <w:divBdr>
        <w:top w:val="none" w:sz="0" w:space="0" w:color="auto"/>
        <w:left w:val="none" w:sz="0" w:space="0" w:color="auto"/>
        <w:bottom w:val="none" w:sz="0" w:space="0" w:color="auto"/>
        <w:right w:val="none" w:sz="0" w:space="0" w:color="auto"/>
      </w:divBdr>
    </w:div>
    <w:div w:id="1507791551">
      <w:bodyDiv w:val="1"/>
      <w:marLeft w:val="0"/>
      <w:marRight w:val="0"/>
      <w:marTop w:val="0"/>
      <w:marBottom w:val="0"/>
      <w:divBdr>
        <w:top w:val="none" w:sz="0" w:space="0" w:color="auto"/>
        <w:left w:val="none" w:sz="0" w:space="0" w:color="auto"/>
        <w:bottom w:val="none" w:sz="0" w:space="0" w:color="auto"/>
        <w:right w:val="none" w:sz="0" w:space="0" w:color="auto"/>
      </w:divBdr>
    </w:div>
    <w:div w:id="1508864255">
      <w:bodyDiv w:val="1"/>
      <w:marLeft w:val="0"/>
      <w:marRight w:val="0"/>
      <w:marTop w:val="0"/>
      <w:marBottom w:val="0"/>
      <w:divBdr>
        <w:top w:val="none" w:sz="0" w:space="0" w:color="auto"/>
        <w:left w:val="none" w:sz="0" w:space="0" w:color="auto"/>
        <w:bottom w:val="none" w:sz="0" w:space="0" w:color="auto"/>
        <w:right w:val="none" w:sz="0" w:space="0" w:color="auto"/>
      </w:divBdr>
    </w:div>
    <w:div w:id="1509245842">
      <w:bodyDiv w:val="1"/>
      <w:marLeft w:val="0"/>
      <w:marRight w:val="0"/>
      <w:marTop w:val="0"/>
      <w:marBottom w:val="0"/>
      <w:divBdr>
        <w:top w:val="none" w:sz="0" w:space="0" w:color="auto"/>
        <w:left w:val="none" w:sz="0" w:space="0" w:color="auto"/>
        <w:bottom w:val="none" w:sz="0" w:space="0" w:color="auto"/>
        <w:right w:val="none" w:sz="0" w:space="0" w:color="auto"/>
      </w:divBdr>
    </w:div>
    <w:div w:id="1522091611">
      <w:bodyDiv w:val="1"/>
      <w:marLeft w:val="0"/>
      <w:marRight w:val="0"/>
      <w:marTop w:val="0"/>
      <w:marBottom w:val="0"/>
      <w:divBdr>
        <w:top w:val="none" w:sz="0" w:space="0" w:color="auto"/>
        <w:left w:val="none" w:sz="0" w:space="0" w:color="auto"/>
        <w:bottom w:val="none" w:sz="0" w:space="0" w:color="auto"/>
        <w:right w:val="none" w:sz="0" w:space="0" w:color="auto"/>
      </w:divBdr>
    </w:div>
    <w:div w:id="1530069782">
      <w:bodyDiv w:val="1"/>
      <w:marLeft w:val="0"/>
      <w:marRight w:val="0"/>
      <w:marTop w:val="0"/>
      <w:marBottom w:val="0"/>
      <w:divBdr>
        <w:top w:val="none" w:sz="0" w:space="0" w:color="auto"/>
        <w:left w:val="none" w:sz="0" w:space="0" w:color="auto"/>
        <w:bottom w:val="none" w:sz="0" w:space="0" w:color="auto"/>
        <w:right w:val="none" w:sz="0" w:space="0" w:color="auto"/>
      </w:divBdr>
    </w:div>
    <w:div w:id="1544950191">
      <w:bodyDiv w:val="1"/>
      <w:marLeft w:val="0"/>
      <w:marRight w:val="0"/>
      <w:marTop w:val="0"/>
      <w:marBottom w:val="0"/>
      <w:divBdr>
        <w:top w:val="none" w:sz="0" w:space="0" w:color="auto"/>
        <w:left w:val="none" w:sz="0" w:space="0" w:color="auto"/>
        <w:bottom w:val="none" w:sz="0" w:space="0" w:color="auto"/>
        <w:right w:val="none" w:sz="0" w:space="0" w:color="auto"/>
      </w:divBdr>
    </w:div>
    <w:div w:id="1549489304">
      <w:bodyDiv w:val="1"/>
      <w:marLeft w:val="0"/>
      <w:marRight w:val="0"/>
      <w:marTop w:val="0"/>
      <w:marBottom w:val="0"/>
      <w:divBdr>
        <w:top w:val="none" w:sz="0" w:space="0" w:color="auto"/>
        <w:left w:val="none" w:sz="0" w:space="0" w:color="auto"/>
        <w:bottom w:val="none" w:sz="0" w:space="0" w:color="auto"/>
        <w:right w:val="none" w:sz="0" w:space="0" w:color="auto"/>
      </w:divBdr>
    </w:div>
    <w:div w:id="1555578511">
      <w:bodyDiv w:val="1"/>
      <w:marLeft w:val="0"/>
      <w:marRight w:val="0"/>
      <w:marTop w:val="0"/>
      <w:marBottom w:val="0"/>
      <w:divBdr>
        <w:top w:val="none" w:sz="0" w:space="0" w:color="auto"/>
        <w:left w:val="none" w:sz="0" w:space="0" w:color="auto"/>
        <w:bottom w:val="none" w:sz="0" w:space="0" w:color="auto"/>
        <w:right w:val="none" w:sz="0" w:space="0" w:color="auto"/>
      </w:divBdr>
    </w:div>
    <w:div w:id="1560093188">
      <w:bodyDiv w:val="1"/>
      <w:marLeft w:val="0"/>
      <w:marRight w:val="0"/>
      <w:marTop w:val="0"/>
      <w:marBottom w:val="0"/>
      <w:divBdr>
        <w:top w:val="none" w:sz="0" w:space="0" w:color="auto"/>
        <w:left w:val="none" w:sz="0" w:space="0" w:color="auto"/>
        <w:bottom w:val="none" w:sz="0" w:space="0" w:color="auto"/>
        <w:right w:val="none" w:sz="0" w:space="0" w:color="auto"/>
      </w:divBdr>
    </w:div>
    <w:div w:id="1564948690">
      <w:bodyDiv w:val="1"/>
      <w:marLeft w:val="0"/>
      <w:marRight w:val="0"/>
      <w:marTop w:val="0"/>
      <w:marBottom w:val="0"/>
      <w:divBdr>
        <w:top w:val="none" w:sz="0" w:space="0" w:color="auto"/>
        <w:left w:val="none" w:sz="0" w:space="0" w:color="auto"/>
        <w:bottom w:val="none" w:sz="0" w:space="0" w:color="auto"/>
        <w:right w:val="none" w:sz="0" w:space="0" w:color="auto"/>
      </w:divBdr>
    </w:div>
    <w:div w:id="1578593364">
      <w:bodyDiv w:val="1"/>
      <w:marLeft w:val="0"/>
      <w:marRight w:val="0"/>
      <w:marTop w:val="0"/>
      <w:marBottom w:val="0"/>
      <w:divBdr>
        <w:top w:val="none" w:sz="0" w:space="0" w:color="auto"/>
        <w:left w:val="none" w:sz="0" w:space="0" w:color="auto"/>
        <w:bottom w:val="none" w:sz="0" w:space="0" w:color="auto"/>
        <w:right w:val="none" w:sz="0" w:space="0" w:color="auto"/>
      </w:divBdr>
    </w:div>
    <w:div w:id="1591045586">
      <w:bodyDiv w:val="1"/>
      <w:marLeft w:val="0"/>
      <w:marRight w:val="0"/>
      <w:marTop w:val="0"/>
      <w:marBottom w:val="0"/>
      <w:divBdr>
        <w:top w:val="none" w:sz="0" w:space="0" w:color="auto"/>
        <w:left w:val="none" w:sz="0" w:space="0" w:color="auto"/>
        <w:bottom w:val="none" w:sz="0" w:space="0" w:color="auto"/>
        <w:right w:val="none" w:sz="0" w:space="0" w:color="auto"/>
      </w:divBdr>
    </w:div>
    <w:div w:id="1615208932">
      <w:bodyDiv w:val="1"/>
      <w:marLeft w:val="0"/>
      <w:marRight w:val="0"/>
      <w:marTop w:val="0"/>
      <w:marBottom w:val="0"/>
      <w:divBdr>
        <w:top w:val="none" w:sz="0" w:space="0" w:color="auto"/>
        <w:left w:val="none" w:sz="0" w:space="0" w:color="auto"/>
        <w:bottom w:val="none" w:sz="0" w:space="0" w:color="auto"/>
        <w:right w:val="none" w:sz="0" w:space="0" w:color="auto"/>
      </w:divBdr>
    </w:div>
    <w:div w:id="1649363832">
      <w:bodyDiv w:val="1"/>
      <w:marLeft w:val="0"/>
      <w:marRight w:val="0"/>
      <w:marTop w:val="0"/>
      <w:marBottom w:val="0"/>
      <w:divBdr>
        <w:top w:val="none" w:sz="0" w:space="0" w:color="auto"/>
        <w:left w:val="none" w:sz="0" w:space="0" w:color="auto"/>
        <w:bottom w:val="none" w:sz="0" w:space="0" w:color="auto"/>
        <w:right w:val="none" w:sz="0" w:space="0" w:color="auto"/>
      </w:divBdr>
    </w:div>
    <w:div w:id="1656451332">
      <w:bodyDiv w:val="1"/>
      <w:marLeft w:val="0"/>
      <w:marRight w:val="0"/>
      <w:marTop w:val="0"/>
      <w:marBottom w:val="0"/>
      <w:divBdr>
        <w:top w:val="none" w:sz="0" w:space="0" w:color="auto"/>
        <w:left w:val="none" w:sz="0" w:space="0" w:color="auto"/>
        <w:bottom w:val="none" w:sz="0" w:space="0" w:color="auto"/>
        <w:right w:val="none" w:sz="0" w:space="0" w:color="auto"/>
      </w:divBdr>
    </w:div>
    <w:div w:id="1661619988">
      <w:bodyDiv w:val="1"/>
      <w:marLeft w:val="0"/>
      <w:marRight w:val="0"/>
      <w:marTop w:val="0"/>
      <w:marBottom w:val="0"/>
      <w:divBdr>
        <w:top w:val="none" w:sz="0" w:space="0" w:color="auto"/>
        <w:left w:val="none" w:sz="0" w:space="0" w:color="auto"/>
        <w:bottom w:val="none" w:sz="0" w:space="0" w:color="auto"/>
        <w:right w:val="none" w:sz="0" w:space="0" w:color="auto"/>
      </w:divBdr>
    </w:div>
    <w:div w:id="1669988446">
      <w:bodyDiv w:val="1"/>
      <w:marLeft w:val="0"/>
      <w:marRight w:val="0"/>
      <w:marTop w:val="0"/>
      <w:marBottom w:val="0"/>
      <w:divBdr>
        <w:top w:val="none" w:sz="0" w:space="0" w:color="auto"/>
        <w:left w:val="none" w:sz="0" w:space="0" w:color="auto"/>
        <w:bottom w:val="none" w:sz="0" w:space="0" w:color="auto"/>
        <w:right w:val="none" w:sz="0" w:space="0" w:color="auto"/>
      </w:divBdr>
    </w:div>
    <w:div w:id="1676611137">
      <w:bodyDiv w:val="1"/>
      <w:marLeft w:val="0"/>
      <w:marRight w:val="0"/>
      <w:marTop w:val="0"/>
      <w:marBottom w:val="0"/>
      <w:divBdr>
        <w:top w:val="none" w:sz="0" w:space="0" w:color="auto"/>
        <w:left w:val="none" w:sz="0" w:space="0" w:color="auto"/>
        <w:bottom w:val="none" w:sz="0" w:space="0" w:color="auto"/>
        <w:right w:val="none" w:sz="0" w:space="0" w:color="auto"/>
      </w:divBdr>
    </w:div>
    <w:div w:id="1681202991">
      <w:bodyDiv w:val="1"/>
      <w:marLeft w:val="0"/>
      <w:marRight w:val="0"/>
      <w:marTop w:val="0"/>
      <w:marBottom w:val="0"/>
      <w:divBdr>
        <w:top w:val="none" w:sz="0" w:space="0" w:color="auto"/>
        <w:left w:val="none" w:sz="0" w:space="0" w:color="auto"/>
        <w:bottom w:val="none" w:sz="0" w:space="0" w:color="auto"/>
        <w:right w:val="none" w:sz="0" w:space="0" w:color="auto"/>
      </w:divBdr>
    </w:div>
    <w:div w:id="1686860784">
      <w:bodyDiv w:val="1"/>
      <w:marLeft w:val="0"/>
      <w:marRight w:val="0"/>
      <w:marTop w:val="0"/>
      <w:marBottom w:val="0"/>
      <w:divBdr>
        <w:top w:val="none" w:sz="0" w:space="0" w:color="auto"/>
        <w:left w:val="none" w:sz="0" w:space="0" w:color="auto"/>
        <w:bottom w:val="none" w:sz="0" w:space="0" w:color="auto"/>
        <w:right w:val="none" w:sz="0" w:space="0" w:color="auto"/>
      </w:divBdr>
    </w:div>
    <w:div w:id="1746224040">
      <w:bodyDiv w:val="1"/>
      <w:marLeft w:val="0"/>
      <w:marRight w:val="0"/>
      <w:marTop w:val="0"/>
      <w:marBottom w:val="0"/>
      <w:divBdr>
        <w:top w:val="none" w:sz="0" w:space="0" w:color="auto"/>
        <w:left w:val="none" w:sz="0" w:space="0" w:color="auto"/>
        <w:bottom w:val="none" w:sz="0" w:space="0" w:color="auto"/>
        <w:right w:val="none" w:sz="0" w:space="0" w:color="auto"/>
      </w:divBdr>
    </w:div>
    <w:div w:id="1750536929">
      <w:bodyDiv w:val="1"/>
      <w:marLeft w:val="0"/>
      <w:marRight w:val="0"/>
      <w:marTop w:val="0"/>
      <w:marBottom w:val="0"/>
      <w:divBdr>
        <w:top w:val="none" w:sz="0" w:space="0" w:color="auto"/>
        <w:left w:val="none" w:sz="0" w:space="0" w:color="auto"/>
        <w:bottom w:val="none" w:sz="0" w:space="0" w:color="auto"/>
        <w:right w:val="none" w:sz="0" w:space="0" w:color="auto"/>
      </w:divBdr>
    </w:div>
    <w:div w:id="1791780632">
      <w:bodyDiv w:val="1"/>
      <w:marLeft w:val="0"/>
      <w:marRight w:val="0"/>
      <w:marTop w:val="0"/>
      <w:marBottom w:val="0"/>
      <w:divBdr>
        <w:top w:val="none" w:sz="0" w:space="0" w:color="auto"/>
        <w:left w:val="none" w:sz="0" w:space="0" w:color="auto"/>
        <w:bottom w:val="none" w:sz="0" w:space="0" w:color="auto"/>
        <w:right w:val="none" w:sz="0" w:space="0" w:color="auto"/>
      </w:divBdr>
    </w:div>
    <w:div w:id="1791820766">
      <w:bodyDiv w:val="1"/>
      <w:marLeft w:val="0"/>
      <w:marRight w:val="0"/>
      <w:marTop w:val="0"/>
      <w:marBottom w:val="0"/>
      <w:divBdr>
        <w:top w:val="none" w:sz="0" w:space="0" w:color="auto"/>
        <w:left w:val="none" w:sz="0" w:space="0" w:color="auto"/>
        <w:bottom w:val="none" w:sz="0" w:space="0" w:color="auto"/>
        <w:right w:val="none" w:sz="0" w:space="0" w:color="auto"/>
      </w:divBdr>
    </w:div>
    <w:div w:id="1798645651">
      <w:bodyDiv w:val="1"/>
      <w:marLeft w:val="0"/>
      <w:marRight w:val="0"/>
      <w:marTop w:val="0"/>
      <w:marBottom w:val="0"/>
      <w:divBdr>
        <w:top w:val="none" w:sz="0" w:space="0" w:color="auto"/>
        <w:left w:val="none" w:sz="0" w:space="0" w:color="auto"/>
        <w:bottom w:val="none" w:sz="0" w:space="0" w:color="auto"/>
        <w:right w:val="none" w:sz="0" w:space="0" w:color="auto"/>
      </w:divBdr>
    </w:div>
    <w:div w:id="1802266109">
      <w:bodyDiv w:val="1"/>
      <w:marLeft w:val="0"/>
      <w:marRight w:val="0"/>
      <w:marTop w:val="0"/>
      <w:marBottom w:val="0"/>
      <w:divBdr>
        <w:top w:val="none" w:sz="0" w:space="0" w:color="auto"/>
        <w:left w:val="none" w:sz="0" w:space="0" w:color="auto"/>
        <w:bottom w:val="none" w:sz="0" w:space="0" w:color="auto"/>
        <w:right w:val="none" w:sz="0" w:space="0" w:color="auto"/>
      </w:divBdr>
    </w:div>
    <w:div w:id="1805582777">
      <w:bodyDiv w:val="1"/>
      <w:marLeft w:val="0"/>
      <w:marRight w:val="0"/>
      <w:marTop w:val="0"/>
      <w:marBottom w:val="0"/>
      <w:divBdr>
        <w:top w:val="none" w:sz="0" w:space="0" w:color="auto"/>
        <w:left w:val="none" w:sz="0" w:space="0" w:color="auto"/>
        <w:bottom w:val="none" w:sz="0" w:space="0" w:color="auto"/>
        <w:right w:val="none" w:sz="0" w:space="0" w:color="auto"/>
      </w:divBdr>
    </w:div>
    <w:div w:id="1810397865">
      <w:bodyDiv w:val="1"/>
      <w:marLeft w:val="0"/>
      <w:marRight w:val="0"/>
      <w:marTop w:val="0"/>
      <w:marBottom w:val="0"/>
      <w:divBdr>
        <w:top w:val="none" w:sz="0" w:space="0" w:color="auto"/>
        <w:left w:val="none" w:sz="0" w:space="0" w:color="auto"/>
        <w:bottom w:val="none" w:sz="0" w:space="0" w:color="auto"/>
        <w:right w:val="none" w:sz="0" w:space="0" w:color="auto"/>
      </w:divBdr>
    </w:div>
    <w:div w:id="1814828249">
      <w:bodyDiv w:val="1"/>
      <w:marLeft w:val="0"/>
      <w:marRight w:val="0"/>
      <w:marTop w:val="0"/>
      <w:marBottom w:val="0"/>
      <w:divBdr>
        <w:top w:val="none" w:sz="0" w:space="0" w:color="auto"/>
        <w:left w:val="none" w:sz="0" w:space="0" w:color="auto"/>
        <w:bottom w:val="none" w:sz="0" w:space="0" w:color="auto"/>
        <w:right w:val="none" w:sz="0" w:space="0" w:color="auto"/>
      </w:divBdr>
    </w:div>
    <w:div w:id="1818183975">
      <w:bodyDiv w:val="1"/>
      <w:marLeft w:val="0"/>
      <w:marRight w:val="0"/>
      <w:marTop w:val="0"/>
      <w:marBottom w:val="0"/>
      <w:divBdr>
        <w:top w:val="none" w:sz="0" w:space="0" w:color="auto"/>
        <w:left w:val="none" w:sz="0" w:space="0" w:color="auto"/>
        <w:bottom w:val="none" w:sz="0" w:space="0" w:color="auto"/>
        <w:right w:val="none" w:sz="0" w:space="0" w:color="auto"/>
      </w:divBdr>
    </w:div>
    <w:div w:id="1818644098">
      <w:bodyDiv w:val="1"/>
      <w:marLeft w:val="0"/>
      <w:marRight w:val="0"/>
      <w:marTop w:val="0"/>
      <w:marBottom w:val="0"/>
      <w:divBdr>
        <w:top w:val="none" w:sz="0" w:space="0" w:color="auto"/>
        <w:left w:val="none" w:sz="0" w:space="0" w:color="auto"/>
        <w:bottom w:val="none" w:sz="0" w:space="0" w:color="auto"/>
        <w:right w:val="none" w:sz="0" w:space="0" w:color="auto"/>
      </w:divBdr>
    </w:div>
    <w:div w:id="1835876813">
      <w:bodyDiv w:val="1"/>
      <w:marLeft w:val="0"/>
      <w:marRight w:val="0"/>
      <w:marTop w:val="0"/>
      <w:marBottom w:val="0"/>
      <w:divBdr>
        <w:top w:val="none" w:sz="0" w:space="0" w:color="auto"/>
        <w:left w:val="none" w:sz="0" w:space="0" w:color="auto"/>
        <w:bottom w:val="none" w:sz="0" w:space="0" w:color="auto"/>
        <w:right w:val="none" w:sz="0" w:space="0" w:color="auto"/>
      </w:divBdr>
    </w:div>
    <w:div w:id="1847398100">
      <w:bodyDiv w:val="1"/>
      <w:marLeft w:val="0"/>
      <w:marRight w:val="0"/>
      <w:marTop w:val="0"/>
      <w:marBottom w:val="0"/>
      <w:divBdr>
        <w:top w:val="none" w:sz="0" w:space="0" w:color="auto"/>
        <w:left w:val="none" w:sz="0" w:space="0" w:color="auto"/>
        <w:bottom w:val="none" w:sz="0" w:space="0" w:color="auto"/>
        <w:right w:val="none" w:sz="0" w:space="0" w:color="auto"/>
      </w:divBdr>
    </w:div>
    <w:div w:id="1855605283">
      <w:bodyDiv w:val="1"/>
      <w:marLeft w:val="0"/>
      <w:marRight w:val="0"/>
      <w:marTop w:val="0"/>
      <w:marBottom w:val="0"/>
      <w:divBdr>
        <w:top w:val="none" w:sz="0" w:space="0" w:color="auto"/>
        <w:left w:val="none" w:sz="0" w:space="0" w:color="auto"/>
        <w:bottom w:val="none" w:sz="0" w:space="0" w:color="auto"/>
        <w:right w:val="none" w:sz="0" w:space="0" w:color="auto"/>
      </w:divBdr>
    </w:div>
    <w:div w:id="1870142181">
      <w:bodyDiv w:val="1"/>
      <w:marLeft w:val="0"/>
      <w:marRight w:val="0"/>
      <w:marTop w:val="0"/>
      <w:marBottom w:val="0"/>
      <w:divBdr>
        <w:top w:val="none" w:sz="0" w:space="0" w:color="auto"/>
        <w:left w:val="none" w:sz="0" w:space="0" w:color="auto"/>
        <w:bottom w:val="none" w:sz="0" w:space="0" w:color="auto"/>
        <w:right w:val="none" w:sz="0" w:space="0" w:color="auto"/>
      </w:divBdr>
    </w:div>
    <w:div w:id="1887181426">
      <w:bodyDiv w:val="1"/>
      <w:marLeft w:val="0"/>
      <w:marRight w:val="0"/>
      <w:marTop w:val="0"/>
      <w:marBottom w:val="0"/>
      <w:divBdr>
        <w:top w:val="none" w:sz="0" w:space="0" w:color="auto"/>
        <w:left w:val="none" w:sz="0" w:space="0" w:color="auto"/>
        <w:bottom w:val="none" w:sz="0" w:space="0" w:color="auto"/>
        <w:right w:val="none" w:sz="0" w:space="0" w:color="auto"/>
      </w:divBdr>
    </w:div>
    <w:div w:id="1889222739">
      <w:bodyDiv w:val="1"/>
      <w:marLeft w:val="0"/>
      <w:marRight w:val="0"/>
      <w:marTop w:val="0"/>
      <w:marBottom w:val="0"/>
      <w:divBdr>
        <w:top w:val="none" w:sz="0" w:space="0" w:color="auto"/>
        <w:left w:val="none" w:sz="0" w:space="0" w:color="auto"/>
        <w:bottom w:val="none" w:sz="0" w:space="0" w:color="auto"/>
        <w:right w:val="none" w:sz="0" w:space="0" w:color="auto"/>
      </w:divBdr>
    </w:div>
    <w:div w:id="1912081924">
      <w:bodyDiv w:val="1"/>
      <w:marLeft w:val="0"/>
      <w:marRight w:val="0"/>
      <w:marTop w:val="0"/>
      <w:marBottom w:val="0"/>
      <w:divBdr>
        <w:top w:val="none" w:sz="0" w:space="0" w:color="auto"/>
        <w:left w:val="none" w:sz="0" w:space="0" w:color="auto"/>
        <w:bottom w:val="none" w:sz="0" w:space="0" w:color="auto"/>
        <w:right w:val="none" w:sz="0" w:space="0" w:color="auto"/>
      </w:divBdr>
    </w:div>
    <w:div w:id="1956519883">
      <w:bodyDiv w:val="1"/>
      <w:marLeft w:val="0"/>
      <w:marRight w:val="0"/>
      <w:marTop w:val="0"/>
      <w:marBottom w:val="0"/>
      <w:divBdr>
        <w:top w:val="none" w:sz="0" w:space="0" w:color="auto"/>
        <w:left w:val="none" w:sz="0" w:space="0" w:color="auto"/>
        <w:bottom w:val="none" w:sz="0" w:space="0" w:color="auto"/>
        <w:right w:val="none" w:sz="0" w:space="0" w:color="auto"/>
      </w:divBdr>
    </w:div>
    <w:div w:id="1959989797">
      <w:bodyDiv w:val="1"/>
      <w:marLeft w:val="0"/>
      <w:marRight w:val="0"/>
      <w:marTop w:val="0"/>
      <w:marBottom w:val="0"/>
      <w:divBdr>
        <w:top w:val="none" w:sz="0" w:space="0" w:color="auto"/>
        <w:left w:val="none" w:sz="0" w:space="0" w:color="auto"/>
        <w:bottom w:val="none" w:sz="0" w:space="0" w:color="auto"/>
        <w:right w:val="none" w:sz="0" w:space="0" w:color="auto"/>
      </w:divBdr>
    </w:div>
    <w:div w:id="1968588659">
      <w:bodyDiv w:val="1"/>
      <w:marLeft w:val="0"/>
      <w:marRight w:val="0"/>
      <w:marTop w:val="0"/>
      <w:marBottom w:val="0"/>
      <w:divBdr>
        <w:top w:val="none" w:sz="0" w:space="0" w:color="auto"/>
        <w:left w:val="none" w:sz="0" w:space="0" w:color="auto"/>
        <w:bottom w:val="none" w:sz="0" w:space="0" w:color="auto"/>
        <w:right w:val="none" w:sz="0" w:space="0" w:color="auto"/>
      </w:divBdr>
    </w:div>
    <w:div w:id="1987197535">
      <w:bodyDiv w:val="1"/>
      <w:marLeft w:val="0"/>
      <w:marRight w:val="0"/>
      <w:marTop w:val="0"/>
      <w:marBottom w:val="0"/>
      <w:divBdr>
        <w:top w:val="none" w:sz="0" w:space="0" w:color="auto"/>
        <w:left w:val="none" w:sz="0" w:space="0" w:color="auto"/>
        <w:bottom w:val="none" w:sz="0" w:space="0" w:color="auto"/>
        <w:right w:val="none" w:sz="0" w:space="0" w:color="auto"/>
      </w:divBdr>
    </w:div>
    <w:div w:id="1990208750">
      <w:bodyDiv w:val="1"/>
      <w:marLeft w:val="0"/>
      <w:marRight w:val="0"/>
      <w:marTop w:val="0"/>
      <w:marBottom w:val="0"/>
      <w:divBdr>
        <w:top w:val="none" w:sz="0" w:space="0" w:color="auto"/>
        <w:left w:val="none" w:sz="0" w:space="0" w:color="auto"/>
        <w:bottom w:val="none" w:sz="0" w:space="0" w:color="auto"/>
        <w:right w:val="none" w:sz="0" w:space="0" w:color="auto"/>
      </w:divBdr>
    </w:div>
    <w:div w:id="2005813905">
      <w:bodyDiv w:val="1"/>
      <w:marLeft w:val="0"/>
      <w:marRight w:val="0"/>
      <w:marTop w:val="0"/>
      <w:marBottom w:val="0"/>
      <w:divBdr>
        <w:top w:val="none" w:sz="0" w:space="0" w:color="auto"/>
        <w:left w:val="none" w:sz="0" w:space="0" w:color="auto"/>
        <w:bottom w:val="none" w:sz="0" w:space="0" w:color="auto"/>
        <w:right w:val="none" w:sz="0" w:space="0" w:color="auto"/>
      </w:divBdr>
    </w:div>
    <w:div w:id="2033340596">
      <w:bodyDiv w:val="1"/>
      <w:marLeft w:val="0"/>
      <w:marRight w:val="0"/>
      <w:marTop w:val="0"/>
      <w:marBottom w:val="0"/>
      <w:divBdr>
        <w:top w:val="none" w:sz="0" w:space="0" w:color="auto"/>
        <w:left w:val="none" w:sz="0" w:space="0" w:color="auto"/>
        <w:bottom w:val="none" w:sz="0" w:space="0" w:color="auto"/>
        <w:right w:val="none" w:sz="0" w:space="0" w:color="auto"/>
      </w:divBdr>
    </w:div>
    <w:div w:id="2064866116">
      <w:bodyDiv w:val="1"/>
      <w:marLeft w:val="0"/>
      <w:marRight w:val="0"/>
      <w:marTop w:val="0"/>
      <w:marBottom w:val="0"/>
      <w:divBdr>
        <w:top w:val="none" w:sz="0" w:space="0" w:color="auto"/>
        <w:left w:val="none" w:sz="0" w:space="0" w:color="auto"/>
        <w:bottom w:val="none" w:sz="0" w:space="0" w:color="auto"/>
        <w:right w:val="none" w:sz="0" w:space="0" w:color="auto"/>
      </w:divBdr>
    </w:div>
    <w:div w:id="2066565950">
      <w:bodyDiv w:val="1"/>
      <w:marLeft w:val="0"/>
      <w:marRight w:val="0"/>
      <w:marTop w:val="0"/>
      <w:marBottom w:val="0"/>
      <w:divBdr>
        <w:top w:val="none" w:sz="0" w:space="0" w:color="auto"/>
        <w:left w:val="none" w:sz="0" w:space="0" w:color="auto"/>
        <w:bottom w:val="none" w:sz="0" w:space="0" w:color="auto"/>
        <w:right w:val="none" w:sz="0" w:space="0" w:color="auto"/>
      </w:divBdr>
    </w:div>
    <w:div w:id="2068604868">
      <w:bodyDiv w:val="1"/>
      <w:marLeft w:val="0"/>
      <w:marRight w:val="0"/>
      <w:marTop w:val="0"/>
      <w:marBottom w:val="0"/>
      <w:divBdr>
        <w:top w:val="none" w:sz="0" w:space="0" w:color="auto"/>
        <w:left w:val="none" w:sz="0" w:space="0" w:color="auto"/>
        <w:bottom w:val="none" w:sz="0" w:space="0" w:color="auto"/>
        <w:right w:val="none" w:sz="0" w:space="0" w:color="auto"/>
      </w:divBdr>
    </w:div>
    <w:div w:id="2070379815">
      <w:bodyDiv w:val="1"/>
      <w:marLeft w:val="0"/>
      <w:marRight w:val="0"/>
      <w:marTop w:val="0"/>
      <w:marBottom w:val="0"/>
      <w:divBdr>
        <w:top w:val="none" w:sz="0" w:space="0" w:color="auto"/>
        <w:left w:val="none" w:sz="0" w:space="0" w:color="auto"/>
        <w:bottom w:val="none" w:sz="0" w:space="0" w:color="auto"/>
        <w:right w:val="none" w:sz="0" w:space="0" w:color="auto"/>
      </w:divBdr>
    </w:div>
    <w:div w:id="2076856489">
      <w:bodyDiv w:val="1"/>
      <w:marLeft w:val="0"/>
      <w:marRight w:val="0"/>
      <w:marTop w:val="0"/>
      <w:marBottom w:val="0"/>
      <w:divBdr>
        <w:top w:val="none" w:sz="0" w:space="0" w:color="auto"/>
        <w:left w:val="none" w:sz="0" w:space="0" w:color="auto"/>
        <w:bottom w:val="none" w:sz="0" w:space="0" w:color="auto"/>
        <w:right w:val="none" w:sz="0" w:space="0" w:color="auto"/>
      </w:divBdr>
    </w:div>
    <w:div w:id="2088309832">
      <w:bodyDiv w:val="1"/>
      <w:marLeft w:val="0"/>
      <w:marRight w:val="0"/>
      <w:marTop w:val="0"/>
      <w:marBottom w:val="0"/>
      <w:divBdr>
        <w:top w:val="none" w:sz="0" w:space="0" w:color="auto"/>
        <w:left w:val="none" w:sz="0" w:space="0" w:color="auto"/>
        <w:bottom w:val="none" w:sz="0" w:space="0" w:color="auto"/>
        <w:right w:val="none" w:sz="0" w:space="0" w:color="auto"/>
      </w:divBdr>
    </w:div>
    <w:div w:id="2089879986">
      <w:bodyDiv w:val="1"/>
      <w:marLeft w:val="0"/>
      <w:marRight w:val="0"/>
      <w:marTop w:val="0"/>
      <w:marBottom w:val="0"/>
      <w:divBdr>
        <w:top w:val="none" w:sz="0" w:space="0" w:color="auto"/>
        <w:left w:val="none" w:sz="0" w:space="0" w:color="auto"/>
        <w:bottom w:val="none" w:sz="0" w:space="0" w:color="auto"/>
        <w:right w:val="none" w:sz="0" w:space="0" w:color="auto"/>
      </w:divBdr>
    </w:div>
    <w:div w:id="2097284015">
      <w:bodyDiv w:val="1"/>
      <w:marLeft w:val="0"/>
      <w:marRight w:val="0"/>
      <w:marTop w:val="0"/>
      <w:marBottom w:val="0"/>
      <w:divBdr>
        <w:top w:val="none" w:sz="0" w:space="0" w:color="auto"/>
        <w:left w:val="none" w:sz="0" w:space="0" w:color="auto"/>
        <w:bottom w:val="none" w:sz="0" w:space="0" w:color="auto"/>
        <w:right w:val="none" w:sz="0" w:space="0" w:color="auto"/>
      </w:divBdr>
    </w:div>
    <w:div w:id="2104833851">
      <w:bodyDiv w:val="1"/>
      <w:marLeft w:val="0"/>
      <w:marRight w:val="0"/>
      <w:marTop w:val="0"/>
      <w:marBottom w:val="0"/>
      <w:divBdr>
        <w:top w:val="none" w:sz="0" w:space="0" w:color="auto"/>
        <w:left w:val="none" w:sz="0" w:space="0" w:color="auto"/>
        <w:bottom w:val="none" w:sz="0" w:space="0" w:color="auto"/>
        <w:right w:val="none" w:sz="0" w:space="0" w:color="auto"/>
      </w:divBdr>
    </w:div>
    <w:div w:id="2108503018">
      <w:bodyDiv w:val="1"/>
      <w:marLeft w:val="0"/>
      <w:marRight w:val="0"/>
      <w:marTop w:val="0"/>
      <w:marBottom w:val="0"/>
      <w:divBdr>
        <w:top w:val="none" w:sz="0" w:space="0" w:color="auto"/>
        <w:left w:val="none" w:sz="0" w:space="0" w:color="auto"/>
        <w:bottom w:val="none" w:sz="0" w:space="0" w:color="auto"/>
        <w:right w:val="none" w:sz="0" w:space="0" w:color="auto"/>
      </w:divBdr>
    </w:div>
    <w:div w:id="2110735094">
      <w:bodyDiv w:val="1"/>
      <w:marLeft w:val="0"/>
      <w:marRight w:val="0"/>
      <w:marTop w:val="0"/>
      <w:marBottom w:val="0"/>
      <w:divBdr>
        <w:top w:val="none" w:sz="0" w:space="0" w:color="auto"/>
        <w:left w:val="none" w:sz="0" w:space="0" w:color="auto"/>
        <w:bottom w:val="none" w:sz="0" w:space="0" w:color="auto"/>
        <w:right w:val="none" w:sz="0" w:space="0" w:color="auto"/>
      </w:divBdr>
    </w:div>
    <w:div w:id="2128766643">
      <w:bodyDiv w:val="1"/>
      <w:marLeft w:val="0"/>
      <w:marRight w:val="0"/>
      <w:marTop w:val="0"/>
      <w:marBottom w:val="0"/>
      <w:divBdr>
        <w:top w:val="none" w:sz="0" w:space="0" w:color="auto"/>
        <w:left w:val="none" w:sz="0" w:space="0" w:color="auto"/>
        <w:bottom w:val="none" w:sz="0" w:space="0" w:color="auto"/>
        <w:right w:val="none" w:sz="0" w:space="0" w:color="auto"/>
      </w:divBdr>
    </w:div>
    <w:div w:id="2134975591">
      <w:bodyDiv w:val="1"/>
      <w:marLeft w:val="0"/>
      <w:marRight w:val="0"/>
      <w:marTop w:val="0"/>
      <w:marBottom w:val="0"/>
      <w:divBdr>
        <w:top w:val="none" w:sz="0" w:space="0" w:color="auto"/>
        <w:left w:val="none" w:sz="0" w:space="0" w:color="auto"/>
        <w:bottom w:val="none" w:sz="0" w:space="0" w:color="auto"/>
        <w:right w:val="none" w:sz="0" w:space="0" w:color="auto"/>
      </w:divBdr>
    </w:div>
    <w:div w:id="214122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6.tmp"/><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5.tmp"/><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cid:f5eba2e4-4d6f-45b2-bf4d-49f435e5ddc9" TargetMode="External"/><Relationship Id="rId24" Type="http://schemas.openxmlformats.org/officeDocument/2006/relationships/image" Target="cid:1a6fabae-7470-40a5-af3d-4a517a03482c" TargetMode="External"/><Relationship Id="rId5" Type="http://schemas.openxmlformats.org/officeDocument/2006/relationships/footnotes" Target="footnotes.xml"/><Relationship Id="rId15" Type="http://schemas.openxmlformats.org/officeDocument/2006/relationships/image" Target="cid:fc669778-b4fc-4b69-99a8-9dfdfd5f924a" TargetMode="External"/><Relationship Id="rId23" Type="http://schemas.openxmlformats.org/officeDocument/2006/relationships/image" Target="media/image13.png"/><Relationship Id="rId10" Type="http://schemas.openxmlformats.org/officeDocument/2006/relationships/image" Target="media/image4.png"/><Relationship Id="rId19" Type="http://schemas.openxmlformats.org/officeDocument/2006/relationships/image" Target="media/image9.sv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APA" Version="2006">
  <b:Source>
    <b:Tag>MOD20</b:Tag>
    <b:SourceType>Book</b:SourceType>
    <b:Guid>{5BADA8CB-6B4A-4072-950F-60599D79AEE3}</b:Guid>
    <b:Title>Services Textbook of Explosives</b:Title>
    <b:Year>2020</b:Year>
    <b:Author>
      <b:Author>
        <b:Corporate>MOD UK National Authority for Qualification of Explosives</b:Corporate>
      </b:Author>
    </b:Author>
    <b:City>London</b:City>
    <b:Publisher>Ministry of Defence</b:Publisher>
    <b:RefOrder>1</b:RefOrder>
  </b:Source>
  <b:Source>
    <b:Tag>UNU23</b:Tag>
    <b:SourceType>DocumentFromInternetSite</b:SourceType>
    <b:Guid>{662EE013-DC89-4EA0-9A9B-157970242DC5}</b:Guid>
    <b:Author>
      <b:Author>
        <b:Corporate>UN (United Nations)</b:Corporate>
      </b:Author>
    </b:Author>
    <b:Title>https://unece.org/sites/default/files/2023-07/GHS%20Rev10e.pdf</b:Title>
    <b:Year>2023</b:Year>
    <b:City>New York and Geneva</b:City>
    <b:YearAccessed>2025</b:YearAccessed>
    <b:MonthAccessed>December</b:MonthAccessed>
    <b:DayAccessed>1</b:DayAccessed>
    <b:URL>https://unece.org/sites/default/files/2023-07/GHS%20Rev10e.pdf</b:URL>
    <b:RefOrder>2</b:RefOrder>
  </b:Source>
  <b:Source>
    <b:Tag>Jai10</b:Tag>
    <b:SourceType>Book</b:SourceType>
    <b:Guid>{41FA8CAF-0599-455E-80EA-4F53FE32FCE7}</b:Guid>
    <b:Author>
      <b:Author>
        <b:NameList>
          <b:Person>
            <b:Last>Agrawal</b:Last>
            <b:First>Jai</b:First>
            <b:Middle>Prakash</b:Middle>
          </b:Person>
        </b:NameList>
      </b:Author>
    </b:Author>
    <b:Title>High Energy Materials</b:Title>
    <b:Year>2010</b:Year>
    <b:City>Great Britain</b:City>
    <b:Publisher>Wiley-VCH</b:Publisher>
    <b:RefOrder>3</b:RefOrder>
  </b:Source>
  <b:Source>
    <b:Tag>Mah14</b:Tag>
    <b:SourceType>Book</b:SourceType>
    <b:Guid>{AE76AC01-7586-48A7-AF85-8E4AC63C8B0E}</b:Guid>
    <b:Title>Ammonium Nitrate Explosives for Civil Applications</b:Title>
    <b:Year>2014</b:Year>
    <b:Publisher>Wiley-VCH</b:Publisher>
    <b:City>Weinheim</b:City>
    <b:Author>
      <b:Author>
        <b:NameList>
          <b:Person>
            <b:Last>Mahadevan</b:Last>
            <b:First>Erode</b:First>
            <b:Middle>G</b:Middle>
          </b:Person>
        </b:NameList>
      </b:Author>
    </b:Author>
    <b:RefOrder>4</b:RefOrder>
  </b:Source>
  <b:Source>
    <b:Tag>Pet06</b:Tag>
    <b:SourceType>Report</b:SourceType>
    <b:Guid>{70C2A1D1-ABED-454A-B392-9A28CDB3465F}</b:Guid>
    <b:Title>Initiation and Detonation in Lead Azide</b:Title>
    <b:Year>2006</b:Year>
    <b:City>Texas</b:City>
    <b:Publisher>Texas Tech University</b:Publisher>
    <b:Author>
      <b:Author>
        <b:NameList>
          <b:Person>
            <b:Last>Jung</b:Last>
            <b:First>Peter</b:First>
            <b:Middle>C</b:Middle>
          </b:Person>
        </b:NameList>
      </b:Author>
    </b:Author>
    <b:RefOrder>5</b:RefOrder>
  </b:Source>
  <b:Source>
    <b:Tag>Abd18</b:Tag>
    <b:SourceType>Report</b:SourceType>
    <b:Guid>{C380E466-6F48-49B5-A401-991DB29935CB}</b:Guid>
    <b:Title>Risk Assessment</b:Title>
    <b:Year>2018</b:Year>
    <b:City>Malaysia</b:City>
    <b:Publisher>Universiti Putra Malaysia</b:Publisher>
    <b:Author>
      <b:Author>
        <b:NameList>
          <b:Person>
            <b:Last>Mahmud</b:Last>
            <b:First>Abdul</b:First>
            <b:Middle>Rahman</b:Middle>
          </b:Person>
        </b:NameList>
      </b:Author>
    </b:Author>
    <b:RefOrder>6</b:RefOrder>
  </b:Source>
  <b:Source>
    <b:Tag>Min72</b:Tag>
    <b:SourceType>Book</b:SourceType>
    <b:Guid>{22F75673-B304-4DEF-9219-5F5C372C9D99}</b:Guid>
    <b:Title>Services Textbook Of Explosives Procurement Executive</b:Title>
    <b:Year>1972</b:Year>
    <b:Author>
      <b:Author>
        <b:Corporate>Ministry os Defence</b:Corporate>
      </b:Author>
    </b:Author>
    <b:City>Ministry of Defence</b:City>
    <b:Publisher>London</b:Publisher>
    <b:RefOrder>7</b:RefOrder>
  </b:Source>
  <b:Source>
    <b:Tag>Mat13</b:Tag>
    <b:SourceType>Book</b:SourceType>
    <b:Guid>{B829FF06-661C-4392-8E67-E9E5E6080813}</b:Guid>
    <b:Author>
      <b:Author>
        <b:NameList>
          <b:Person>
            <b:Last>Matyas</b:Last>
            <b:First>Robert</b:First>
          </b:Person>
        </b:NameList>
      </b:Author>
    </b:Author>
    <b:Title>Primary Explosives</b:Title>
    <b:BookTitle>Primary Explosives</b:BookTitle>
    <b:Year>2013</b:Year>
    <b:Publisher>Springer</b:Publisher>
    <b:RefOrder>8</b:RefOrder>
  </b:Source>
  <b:Source>
    <b:Tag>Nei22</b:Tag>
    <b:SourceType>JournalArticle</b:SourceType>
    <b:Guid>{20350E68-52A4-4BD9-9156-8320FAC4CB6E}</b:Guid>
    <b:Title>On the critical threshold for detonation</b:Title>
    <b:Year>2022</b:Year>
    <b:Author>
      <b:Author>
        <b:NameList>
          <b:Person>
            <b:Last>Bourne</b:Last>
            <b:First>Neil</b:First>
            <b:Middle>K</b:Middle>
          </b:Person>
        </b:NameList>
      </b:Author>
    </b:Author>
    <b:JournalName>Combustion and Flame</b:JournalName>
    <b:Volume>244</b:Volume>
    <b:RefOrder>9</b:RefOrder>
  </b:Source>
  <b:Source>
    <b:Tag>MuY22</b:Tag>
    <b:SourceType>JournalArticle</b:SourceType>
    <b:Guid>{C0249DDA-0B68-4F82-BE3E-9623CBCAD3EF}</b:Guid>
    <b:Title>Observations on Detonation Grwoth of Lead Azide at Microscale</b:Title>
    <b:JournalName>Micromachines</b:JournalName>
    <b:Year>2022</b:Year>
    <b:Volume>13</b:Volume>
    <b:Issue>451</b:Issue>
    <b:Author>
      <b:Author>
        <b:NameList>
          <b:Person>
            <b:Last>Mu</b:Last>
            <b:First>Yunfei</b:First>
          </b:Person>
          <b:Person>
            <b:Last>Zhang</b:Last>
            <b:First>Wei</b:First>
          </b:Person>
          <b:Person>
            <b:Last>Shen</b:Last>
            <b:First>Ruiqi</b:First>
          </b:Person>
          <b:Person>
            <b:Last>Ye</b:Last>
            <b:First>Yinghua</b:First>
          </b:Person>
        </b:NameList>
      </b:Author>
    </b:Author>
    <b:RefOrder>10</b:RefOrder>
  </b:Source>
  <b:Source>
    <b:Tag>Hil72</b:Tag>
    <b:SourceType>DocumentFromInternetSite</b:SourceType>
    <b:Guid>{BBB432D0-10DD-4249-BE84-1F9995989E08}</b:Guid>
    <b:Title>United States Patent , PROCESS FOR THE MANUFACTURE OF</b:Title>
    <b:Year>1972</b:Year>
    <b:ProductionCompany>United States Department of the Army</b:ProductionCompany>
    <b:Month>August</b:Month>
    <b:Day>25</b:Day>
    <b:YearAccessed>2025</b:YearAccessed>
    <b:MonthAccessed>December</b:MonthAccessed>
    <b:DayAccessed>6</b:DayAccessed>
    <b:URL>https://patentimages.storage.googleapis.com/27/a9/79/ef49d0665bd7f1/US3799993.pdf</b:URL>
    <b:Author>
      <b:Author>
        <b:NameList>
          <b:Person>
            <b:Last>Hill</b:Last>
            <b:First>Marion</b:First>
          </b:Person>
          <b:Person>
            <b:Last>Alto</b:Last>
            <b:First>Palo</b:First>
          </b:Person>
          <b:Person>
            <b:Last>Tolberg</b:Last>
            <b:Middle>E</b:Middle>
            <b:First>Wesley</b:First>
          </b:Person>
          <b:Person>
            <b:Last>McDonald</b:Last>
            <b:Middle>J</b:Middle>
            <b:First>Gerald</b:First>
          </b:Person>
          <b:Person>
            <b:Last>Park</b:Last>
            <b:First>Menlo</b:First>
          </b:Person>
        </b:NameList>
      </b:Author>
    </b:Author>
    <b:RefOrder>11</b:RefOrder>
  </b:Source>
  <b:Source>
    <b:Tag>Tal22</b:Tag>
    <b:SourceType>JournalArticle</b:SourceType>
    <b:Guid>{2EB54825-684E-49AF-B345-6DA85C13E37D}</b:Guid>
    <b:Title>Thermal behavior and explosive properties of TNT/RGO</b:Title>
    <b:Year>2022</b:Year>
    <b:JournalName>Journal of Physics:</b:JournalName>
    <b:Volume>2305</b:Volume>
    <b:Issue>1</b:Issue>
    <b:Author>
      <b:Author>
        <b:NameList>
          <b:Person>
            <b:Last>Talaat</b:Last>
            <b:First>Ahmed</b:First>
          </b:Person>
          <b:Person>
            <b:Last>Elbeith</b:Last>
            <b:First>Ahmed</b:First>
          </b:Person>
          <b:Person>
            <b:Last>Tantawy</b:Last>
            <b:First>Hesham</b:First>
          </b:Person>
          <b:Person>
            <b:Last>Hussein</b:Last>
            <b:Middle>K</b:Middle>
            <b:First>Ahmed</b:First>
          </b:Person>
        </b:NameList>
      </b:Author>
    </b:Author>
    <b:RefOrder>12</b:RefOrder>
  </b:Source>
  <b:Source>
    <b:Tag>Gib23</b:Tag>
    <b:SourceType>Book</b:SourceType>
    <b:Guid>{573BD70F-9123-40C5-A794-0D468362943D}</b:Guid>
    <b:Title>LASL Explosive Property Data</b:Title>
    <b:Year>2023</b:Year>
    <b:Publisher>University of California Press</b:Publisher>
    <b:City>Berkeley &amp; Los Angeles</b:City>
    <b:Author>
      <b:Author>
        <b:NameList>
          <b:Person>
            <b:Last>Gibbs</b:Last>
            <b:Middle>R</b:Middle>
            <b:First>Terry</b:First>
          </b:Person>
          <b:Person>
            <b:Last>Popolato</b:Last>
            <b:First>Alphonse</b:First>
          </b:Person>
        </b:NameList>
      </b:Author>
    </b:Author>
    <b:RefOrder>13</b:RefOrder>
  </b:Source>
  <b:Source>
    <b:Tag>Tap11</b:Tag>
    <b:SourceType>InternetSite</b:SourceType>
    <b:Guid>{8AEA880C-DDF4-4E76-B5B4-91D7602AF00D}</b:Guid>
    <b:Title>Lead Azide and PETN Reactions at</b:Title>
    <b:ProductionCompany>Sandia National Laboratories</b:ProductionCompany>
    <b:Year>2011</b:Year>
    <b:Month>April</b:Month>
    <b:YearAccessed>2025</b:YearAccessed>
    <b:MonthAccessed>December</b:MonthAccessed>
    <b:DayAccessed>5</b:DayAccessed>
    <b:URL>http://www.cecdarchive.umd.edu/documents/presentations/synthesis-workshop-tappan.pdf</b:URL>
    <b:Author>
      <b:Author>
        <b:NameList>
          <b:Person>
            <b:Last>Tappan</b:Last>
            <b:Middle>S</b:Middle>
            <b:First>Alexander</b:First>
          </b:Person>
          <b:Person>
            <b:Last>Jung</b:Last>
            <b:Middle>C</b:Middle>
            <b:First>Peter</b:First>
          </b:Person>
          <b:Person>
            <b:Last>Knepper</b:Last>
            <b:First>Robert</b:First>
          </b:Person>
          <b:Person>
            <b:Last>Wixom</b:Last>
            <b:Middle>R</b:Middle>
            <b:First>Ryan</b:First>
          </b:Person>
          <b:Person>
            <b:Last>Melvin</b:Last>
            <b:Middle>R</b:Middle>
            <b:First>Baer</b:First>
          </b:Person>
          <b:Person>
            <b:Last>Marquez</b:Last>
            <b:First>Micheal</b:First>
          </b:Person>
          <b:Person>
            <b:Last>Ball</b:Last>
            <b:First>J.Patrick</b:First>
          </b:Person>
          <b:Person>
            <b:Last>Miller</b:Last>
            <b:Middle>C</b:Middle>
            <b:First>Jill</b:First>
          </b:Person>
          <b:Person>
            <b:Last>Welle</b:Last>
            <b:Middle>J</b:Middle>
            <b:First>Eric</b:First>
          </b:Person>
        </b:NameList>
      </b:Author>
    </b:Author>
    <b:RefOrder>14</b:RefOrder>
  </b:Source>
  <b:Source>
    <b:Tag>Utk02</b:Tag>
    <b:SourceType>JournalArticle</b:SourceType>
    <b:Guid>{A24AF162-837B-4B55-AAD3-3AC75A2EAA29}</b:Guid>
    <b:Title>Effect of the Initial Density in the structure of Detonation Waves in Heterogeneous Explosives</b:Title>
    <b:Year>2002</b:Year>
    <b:Pages>590-597</b:Pages>
    <b:JournalName>Combustion, Explosion and Shock Waves</b:JournalName>
    <b:Volume>38</b:Volume>
    <b:Author>
      <b:Author>
        <b:NameList>
          <b:Person>
            <b:Last>Utkin</b:Last>
            <b:Middle>V</b:Middle>
            <b:First>A</b:First>
          </b:Person>
          <b:Person>
            <b:Last>Kolesnikov</b:Last>
            <b:Middle>A</b:Middle>
            <b:First>S</b:First>
          </b:Person>
          <b:Person>
            <b:Last>Pershin</b:Last>
            <b:Middle>V</b:Middle>
            <b:First>A</b:First>
          </b:Person>
        </b:NameList>
      </b:Author>
    </b:Author>
    <b:RefOrder>15</b:RefOrder>
  </b:Source>
  <b:Source>
    <b:Tag>Rob00</b:Tag>
    <b:SourceType>InternetSite</b:SourceType>
    <b:Guid>{23A246A4-AFFC-4CB7-B683-04273409A57B}</b:Guid>
    <b:Title>Properties of Selected High Explosives</b:Title>
    <b:Year>2000</b:Year>
    <b:ProductionCompany>PACSCI EMC</b:ProductionCompany>
    <b:Month>July</b:Month>
    <b:YearAccessed>2025</b:YearAccessed>
    <b:MonthAccessed>December</b:MonthAccessed>
    <b:DayAccessed>7</b:DayAccessed>
    <b:URL>https://psemc.com/resources/pyrotechnic-white-papers/properties-of-selected-high-explosives-rev/</b:URL>
    <b:Author>
      <b:Author>
        <b:NameList>
          <b:Person>
            <b:Last>Weinheimer</b:Last>
            <b:First>Robert</b:First>
          </b:Person>
        </b:NameList>
      </b:Author>
    </b:Author>
    <b:RefOrder>16</b:RefOrder>
  </b:Source>
  <b:Source>
    <b:Tag>Mey15</b:Tag>
    <b:SourceType>BookSection</b:SourceType>
    <b:Guid>{D7BF25E3-58AF-4B62-8671-886328EAEB68}</b:Guid>
    <b:Title>Casting of Explosives</b:Title>
    <b:Year>2015</b:Year>
    <b:Publisher>Wiley-VCH Verlag GmbH &amp; Company KGaA</b:Publisher>
    <b:BookTitle>Explosives</b:BookTitle>
    <b:Pages>55</b:Pages>
    <b:Author>
      <b:Author>
        <b:NameList>
          <b:Person>
            <b:Last>Meyer</b:Last>
            <b:First>Rudolf</b:First>
          </b:Person>
          <b:Person>
            <b:Last>Kohler</b:Last>
            <b:First>Josef</b:First>
          </b:Person>
          <b:Person>
            <b:Last>Homburg</b:Last>
            <b:First>Axel</b:First>
          </b:Person>
        </b:NameList>
      </b:Author>
    </b:Author>
    <b:RefOrder>17</b:RefOrder>
  </b:Source>
  <b:Source>
    <b:Tag>Kla21</b:Tag>
    <b:SourceType>JournalArticle</b:SourceType>
    <b:Guid>{CC624A4A-A339-48FD-836D-D3C24F7802A8}</b:Guid>
    <b:Title>A computational Study on the Detonation Velocity of Mixtures of Solid Explosives with Non-Explosive Liquids</b:Title>
    <b:JournalName>Propellants, EXplosives, Pyrotechnics</b:JournalName>
    <b:Year>2021</b:Year>
    <b:Pages>352-355</b:Pages>
    <b:Volume>46</b:Volume>
    <b:Issue>3</b:Issue>
    <b:Author>
      <b:Author>
        <b:NameList>
          <b:Person>
            <b:Last>Klapotke</b:Last>
            <b:Middle>M</b:Middle>
            <b:First>Thomas</b:First>
          </b:Person>
          <b:Person>
            <b:Last>Suceska</b:Last>
            <b:First>Muhamed</b:First>
          </b:Person>
        </b:NameList>
      </b:Author>
    </b:Author>
    <b:RefOrder>18</b:RefOrder>
  </b:Source>
  <b:Source>
    <b:Tag>Cyb49</b:Tag>
    <b:SourceType>JournalArticle</b:SourceType>
    <b:Guid>{424DBF40-9888-4E31-AD0D-51DED382DB8D}</b:Guid>
    <b:Title>Explosion waves and shock waves. VII.The velocity of detonation in cast T.N.T</b:Title>
    <b:JournalName>Mathematical And Physical Sciences</b:JournalName>
    <b:Year>1949</b:Year>
    <b:Pages>51-72</b:Pages>
    <b:Volume>197</b:Volume>
    <b:Issue>1048</b:Issue>
    <b:Author>
      <b:Author>
        <b:NameList>
          <b:Person>
            <b:Last>Cybulski</b:Last>
            <b:Middle>B</b:Middle>
            <b:First>W</b:First>
          </b:Person>
          <b:Person>
            <b:Last>Payman</b:Last>
            <b:First>W</b:First>
          </b:Person>
          <b:Person>
            <b:Last>Woodhead</b:Last>
            <b:Middle>W</b:Middle>
            <b:First>D</b:First>
          </b:Person>
        </b:NameList>
      </b:Author>
    </b:Author>
    <b:RefOrder>19</b:RefOrder>
  </b:Source>
  <b:Source>
    <b:Tag>Cyb491</b:Tag>
    <b:SourceType>JournalArticle</b:SourceType>
    <b:Guid>{841454B4-6F6E-4F07-9991-217CAC18EE7D}</b:Guid>
    <b:Title>Explosion Waves and Shock Waves.VII, The detonation velocity of detonation in Cast TNT</b:Title>
    <b:JournalName>Proceedings of the Royal Society of London. Series A, Mathematical and Physical Sciences</b:JournalName>
    <b:Year>1949</b:Year>
    <b:Pages>51-72</b:Pages>
    <b:Volume>197</b:Volume>
    <b:Issue>1048</b:Issue>
    <b:Author>
      <b:Author>
        <b:NameList>
          <b:Person>
            <b:Last>Cybulski</b:Last>
            <b:Middle>B</b:Middle>
            <b:First>W</b:First>
          </b:Person>
          <b:Person>
            <b:Last>Payman</b:Last>
            <b:First>W</b:First>
          </b:Person>
          <b:Person>
            <b:Last>Woodhead</b:Last>
            <b:Middle>W</b:Middle>
            <b:First>D</b:First>
          </b:Person>
        </b:NameList>
      </b:Author>
    </b:Author>
    <b:RefOrder>25</b:RefOrder>
  </b:Source>
  <b:Source>
    <b:Tag>Gal25</b:Tag>
    <b:SourceType>JournalArticle</b:SourceType>
    <b:Guid>{E6E726A3-D642-4E11-B55E-22F9ECECFA9E}</b:Guid>
    <b:Title>Experimental Characterization of Cast Explosive Charges Used in Studies of Blast Effects on Structures</b:Title>
    <b:Year>2025</b:Year>
    <b:JournalName>CivilEng</b:JournalName>
    <b:Volume>6</b:Volume>
    <b:Issue>2</b:Issue>
    <b:Author>
      <b:Author>
        <b:NameList>
          <b:Person>
            <b:Last>Galustanian</b:Last>
            <b:First>Narek</b:First>
          </b:Person>
          <b:Person>
            <b:Last>Elshazli</b:Last>
            <b:First>Mohamed</b:First>
          </b:Person>
          <b:Person>
            <b:Last>Kaur</b:Last>
            <b:First>Harpreet</b:First>
          </b:Person>
          <b:Person>
            <b:Last>Elsisi</b:Last>
            <b:First>Alaa</b:First>
          </b:Person>
          <b:Person>
            <b:Last>Orton</b:Last>
            <b:First>Sarah</b:First>
          </b:Person>
        </b:NameList>
      </b:Author>
    </b:Author>
    <b:RefOrder>22</b:RefOrder>
  </b:Source>
  <b:Source>
    <b:Tag>The64</b:Tag>
    <b:SourceType>BookSection</b:SourceType>
    <b:Guid>{8AD08B2E-BC38-4D3E-A269-4F96004C4F22}</b:Guid>
    <b:Title>Million Pounds of TNT set off in Canada Blast</b:Title>
    <b:Year>July 18 1964</b:Year>
    <b:Pages>4</b:Pages>
    <b:City>New York</b:City>
    <b:Author>
      <b:Author>
        <b:Corporate>The New York Times</b:Corporate>
      </b:Author>
    </b:Author>
    <b:BookTitle>The New York Times</b:BookTitle>
    <b:RefOrder>23</b:RefOrder>
  </b:Source>
  <b:Source>
    <b:Tag>Jaf62</b:Tag>
    <b:SourceType>JournalArticle</b:SourceType>
    <b:Guid>{2A62DC02-49EF-433E-A8E1-26469DDDE3CE}</b:Guid>
    <b:Title>Determination of the Critical Diameter of Explosive Materials</b:Title>
    <b:Year>1962</b:Year>
    <b:Pages>1060-1065</b:Pages>
    <b:JournalName>ARS Journal</b:JournalName>
    <b:Volume>32</b:Volume>
    <b:Issue>7</b:Issue>
    <b:Author>
      <b:Author>
        <b:NameList>
          <b:Person>
            <b:Last>Jaffe</b:Last>
            <b:First>Irving</b:First>
          </b:Person>
          <b:Person>
            <b:Last>Orice</b:Last>
            <b:First>Donna</b:First>
          </b:Person>
        </b:NameList>
      </b:Author>
    </b:Author>
    <b:RefOrder>20</b:RefOrder>
  </b:Source>
  <b:Source>
    <b:Tag>Sho21</b:Tag>
    <b:SourceType>JournalArticle</b:SourceType>
    <b:Guid>{0DE46C9B-1F13-4B51-B1C7-7ED273C1129A}</b:Guid>
    <b:Title>The influence of multi-layer confinement on detonation propagation in condensed-phase explosives</b:Title>
    <b:Year>2021</b:Year>
    <b:Pages>3595-3603</b:Pages>
    <b:JournalName>Proceedings of the Combustion Institute</b:JournalName>
    <b:Volume>38</b:Volume>
    <b:Issue>3</b:Issue>
    <b:Author>
      <b:Author>
        <b:NameList>
          <b:Person>
            <b:Last>Short</b:Last>
            <b:First>Mark</b:First>
          </b:Person>
          <b:Person>
            <b:Last>Chiquete</b:Last>
            <b:First>Carlos</b:First>
          </b:Person>
          <b:Person>
            <b:Last>Quirk</b:Last>
            <b:Middle>J</b:Middle>
            <b:First>James</b:First>
          </b:Person>
        </b:NameList>
      </b:Author>
    </b:Author>
    <b:RefOrder>24</b:RefOrder>
  </b:Source>
  <b:Source>
    <b:Tag>Zon16</b:Tag>
    <b:SourceType>BookSection</b:SourceType>
    <b:Guid>{BE23C91D-859C-4289-BF73-57A8913B8044}</b:Guid>
    <b:Title>Chapter 8 - Explosives and Detonators</b:Title>
    <b:Year>2016</b:Year>
    <b:Pages>179-195</b:Pages>
    <b:City>Oxford</b:City>
    <b:Publisher>Butterworth-Heinemann</b:Publisher>
    <b:Author>
      <b:Author>
        <b:NameList>
          <b:Person>
            <b:Last>Zhang</b:Last>
            <b:First>Zong-Xian</b:First>
          </b:Person>
        </b:NameList>
      </b:Author>
    </b:Author>
    <b:BookTitle>Rock Fracture and Blasting</b:BookTitle>
    <b:RefOrder>21</b:RefOrder>
  </b:Source>
  <b:Source>
    <b:Tag>Kha09</b:Tag>
    <b:SourceType>DocumentFromInternetSite</b:SourceType>
    <b:Guid>{F553846E-D655-49C4-B63A-2514F25A746F}</b:Guid>
    <b:Title>Dispersion Analysis for Spinning Artillery Projectile</b:Title>
    <b:Year>2009</b:Year>
    <b:InternetSiteTitle>Research Gate</b:InternetSiteTitle>
    <b:Month>May</b:Month>
    <b:URL>https://www.researchgate.net/profile/Osama-Mahmoud-13</b:URL>
    <b:Author>
      <b:Author>
        <b:NameList>
          <b:Person>
            <b:Last>Khalil</b:Last>
            <b:First>Mostafa </b:First>
          </b:Person>
          <b:Person>
            <b:Last>Abdalla</b:Last>
            <b:First>Hamed</b:First>
          </b:Person>
          <b:Person>
            <b:Last>Mahmoud</b:Last>
            <b:Middle>Mohamed Kamal Mohamed</b:Middle>
            <b:First>Osama</b:First>
          </b:Person>
        </b:NameList>
      </b:Author>
    </b:Author>
    <b:RefOrder>1</b:RefOrder>
  </b:Source>
</b:Sources>
</file>

<file path=customXml/itemProps1.xml><?xml version="1.0" encoding="utf-8"?>
<ds:datastoreItem xmlns:ds="http://schemas.openxmlformats.org/officeDocument/2006/customXml" ds:itemID="{A8296F55-B202-42AE-A64E-350BBD6A99E2}">
  <ds:schemaRefs>
    <ds:schemaRef ds:uri="http://schemas.openxmlformats.org/officeDocument/2006/bibliography"/>
  </ds:schemaRefs>
</ds:datastoreItem>
</file>

<file path=docMetadata/LabelInfo.xml><?xml version="1.0" encoding="utf-8"?>
<clbl:labelList xmlns:clbl="http://schemas.microsoft.com/office/2020/mipLabelMetadata">
  <clbl:label id="{0685cde0-1612-4589-899c-6313cf88cfb3}" enabled="1" method="Privileged" siteId="{3b3b5e66-62b2-4f04-8848-ac445bc41444}" removed="0"/>
</clbl:labelList>
</file>

<file path=docProps/app.xml><?xml version="1.0" encoding="utf-8"?>
<Properties xmlns="http://schemas.openxmlformats.org/officeDocument/2006/extended-properties" xmlns:vt="http://schemas.openxmlformats.org/officeDocument/2006/docPropsVTypes">
  <Template>Normal</Template>
  <TotalTime>2</TotalTime>
  <Pages>21</Pages>
  <Words>3702</Words>
  <Characters>21108</Characters>
  <Application>Microsoft Office Word</Application>
  <DocSecurity>0</DocSecurity>
  <Lines>175</Lines>
  <Paragraphs>49</Paragraphs>
  <ScaleCrop>false</ScaleCrop>
  <Company/>
  <LinksUpToDate>false</LinksUpToDate>
  <CharactersWithSpaces>24761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McCombe</dc:creator>
  <cp:keywords/>
  <dc:description/>
  <cp:lastModifiedBy>Charlotte McCombe</cp:lastModifiedBy>
  <cp:revision>2</cp:revision>
  <dcterms:created xsi:type="dcterms:W3CDTF">2025-12-15T18:03:00Z</dcterms:created>
  <dcterms:modified xsi:type="dcterms:W3CDTF">2025-12-15T18:03:00Z</dcterms:modified>
</cp:coreProperties>
</file>