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277A" w:rsidRDefault="00742DE6" w:rsidP="00742DE6">
      <w:pPr>
        <w:jc w:val="center"/>
        <w:rPr>
          <w:b/>
          <w:sz w:val="24"/>
          <w:szCs w:val="24"/>
          <w:u w:val="single"/>
        </w:rPr>
      </w:pPr>
      <w:r>
        <w:rPr>
          <w:b/>
          <w:sz w:val="24"/>
          <w:szCs w:val="24"/>
          <w:u w:val="single"/>
        </w:rPr>
        <w:t>ECGE4001 – Portfolio of Study Skills</w:t>
      </w:r>
    </w:p>
    <w:p w:rsidR="00742DE6" w:rsidRDefault="00742DE6" w:rsidP="00742DE6">
      <w:pPr>
        <w:jc w:val="center"/>
        <w:rPr>
          <w:b/>
          <w:sz w:val="24"/>
          <w:szCs w:val="24"/>
          <w:u w:val="single"/>
        </w:rPr>
      </w:pPr>
    </w:p>
    <w:p w:rsidR="00742DE6" w:rsidRDefault="00742DE6" w:rsidP="00742DE6">
      <w:pPr>
        <w:rPr>
          <w:b/>
          <w:sz w:val="24"/>
          <w:szCs w:val="24"/>
          <w:u w:val="single"/>
        </w:rPr>
      </w:pPr>
      <w:r>
        <w:rPr>
          <w:b/>
          <w:sz w:val="24"/>
          <w:szCs w:val="24"/>
          <w:u w:val="single"/>
        </w:rPr>
        <w:t>Part 1</w:t>
      </w:r>
    </w:p>
    <w:p w:rsidR="00742DE6" w:rsidRDefault="00742DE6" w:rsidP="00742DE6">
      <w:pPr>
        <w:rPr>
          <w:b/>
          <w:sz w:val="24"/>
          <w:szCs w:val="24"/>
          <w:u w:val="single"/>
        </w:rPr>
      </w:pPr>
    </w:p>
    <w:p w:rsidR="00742DE6" w:rsidRDefault="00742DE6" w:rsidP="00742DE6">
      <w:pPr>
        <w:rPr>
          <w:sz w:val="24"/>
          <w:szCs w:val="24"/>
        </w:rPr>
      </w:pPr>
      <w:r>
        <w:rPr>
          <w:sz w:val="24"/>
          <w:szCs w:val="24"/>
        </w:rPr>
        <w:t xml:space="preserve">In Iceland and other Scandinavian countries, it is widely believed that spending time outside as often as possible is of the utmost importance for children and young people.  The government has set curriculum guidelines that include the outdoors as a learning environment as a means of promoting positive behaviour with regards to our natural world.  </w:t>
      </w:r>
      <w:proofErr w:type="spellStart"/>
      <w:r w:rsidR="00F06356">
        <w:rPr>
          <w:sz w:val="24"/>
          <w:szCs w:val="24"/>
        </w:rPr>
        <w:t>Noradahl</w:t>
      </w:r>
      <w:proofErr w:type="spellEnd"/>
      <w:r w:rsidR="00F06356">
        <w:rPr>
          <w:sz w:val="24"/>
          <w:szCs w:val="24"/>
        </w:rPr>
        <w:t xml:space="preserve"> and </w:t>
      </w:r>
      <w:proofErr w:type="spellStart"/>
      <w:r w:rsidR="00F06356">
        <w:rPr>
          <w:sz w:val="24"/>
          <w:szCs w:val="24"/>
        </w:rPr>
        <w:t>Johannesson</w:t>
      </w:r>
      <w:proofErr w:type="spellEnd"/>
      <w:r w:rsidR="00F06356">
        <w:rPr>
          <w:sz w:val="24"/>
          <w:szCs w:val="24"/>
        </w:rPr>
        <w:t xml:space="preserve"> (201</w:t>
      </w:r>
      <w:r w:rsidR="00127304">
        <w:rPr>
          <w:sz w:val="24"/>
          <w:szCs w:val="24"/>
        </w:rPr>
        <w:t>3</w:t>
      </w:r>
      <w:r w:rsidR="00F06356">
        <w:rPr>
          <w:sz w:val="24"/>
          <w:szCs w:val="24"/>
        </w:rPr>
        <w:t>) agree with this notion.  They believe that healthy living and enjoyable exercise is greatly enhanced by being outside.</w:t>
      </w:r>
    </w:p>
    <w:p w:rsidR="00F06356" w:rsidRDefault="00F06356" w:rsidP="00742DE6">
      <w:pPr>
        <w:rPr>
          <w:sz w:val="24"/>
          <w:szCs w:val="24"/>
        </w:rPr>
      </w:pPr>
    </w:p>
    <w:p w:rsidR="00F06356" w:rsidRDefault="00F06356" w:rsidP="00742DE6">
      <w:pPr>
        <w:rPr>
          <w:sz w:val="24"/>
          <w:szCs w:val="24"/>
        </w:rPr>
      </w:pPr>
      <w:r>
        <w:rPr>
          <w:sz w:val="24"/>
          <w:szCs w:val="24"/>
        </w:rPr>
        <w:t xml:space="preserve">This emphasis on being outside has been standard practice for quite some time in Iceland.  Children between the ages 1 to 16 spend time outside every day during school hours, where they </w:t>
      </w:r>
      <w:proofErr w:type="gramStart"/>
      <w:r>
        <w:rPr>
          <w:sz w:val="24"/>
          <w:szCs w:val="24"/>
        </w:rPr>
        <w:t>are able to</w:t>
      </w:r>
      <w:proofErr w:type="gramEnd"/>
      <w:r>
        <w:rPr>
          <w:sz w:val="24"/>
          <w:szCs w:val="24"/>
        </w:rPr>
        <w:t xml:space="preserve"> run, play, develop social friendship groups and enjoy the freedom of space and fresh air that the outdoors offers.  We have little information with regards to what learning takes place during lesson time, but this will vary depending on the school, teachers and age group of the children.  Initial signs are good, as more teachers are using the outdoors as a learning environment than were pre</w:t>
      </w:r>
      <w:r w:rsidR="00127304">
        <w:rPr>
          <w:sz w:val="24"/>
          <w:szCs w:val="24"/>
        </w:rPr>
        <w:t>v</w:t>
      </w:r>
      <w:r>
        <w:rPr>
          <w:sz w:val="24"/>
          <w:szCs w:val="24"/>
        </w:rPr>
        <w:t>i</w:t>
      </w:r>
      <w:r w:rsidR="00127304">
        <w:rPr>
          <w:sz w:val="24"/>
          <w:szCs w:val="24"/>
        </w:rPr>
        <w:t>o</w:t>
      </w:r>
      <w:r>
        <w:rPr>
          <w:sz w:val="24"/>
          <w:szCs w:val="24"/>
        </w:rPr>
        <w:t>usly</w:t>
      </w:r>
      <w:r w:rsidR="00127304">
        <w:rPr>
          <w:sz w:val="24"/>
          <w:szCs w:val="24"/>
        </w:rPr>
        <w:t>.  In Reykjavik, the countries capital, 70% of schools say that they have improved their outdoor learning (</w:t>
      </w:r>
      <w:proofErr w:type="spellStart"/>
      <w:r w:rsidR="00127304">
        <w:rPr>
          <w:sz w:val="24"/>
          <w:szCs w:val="24"/>
        </w:rPr>
        <w:t>Oladottir</w:t>
      </w:r>
      <w:proofErr w:type="spellEnd"/>
      <w:r w:rsidR="00127304">
        <w:rPr>
          <w:sz w:val="24"/>
          <w:szCs w:val="24"/>
        </w:rPr>
        <w:t>, 2008).</w:t>
      </w:r>
    </w:p>
    <w:p w:rsidR="00127304" w:rsidRDefault="00127304" w:rsidP="00742DE6">
      <w:pPr>
        <w:rPr>
          <w:sz w:val="24"/>
          <w:szCs w:val="24"/>
        </w:rPr>
      </w:pPr>
      <w:r>
        <w:rPr>
          <w:sz w:val="24"/>
          <w:szCs w:val="24"/>
        </w:rPr>
        <w:t>Reference list</w:t>
      </w:r>
      <w:r w:rsidR="005C7465">
        <w:rPr>
          <w:sz w:val="24"/>
          <w:szCs w:val="24"/>
        </w:rPr>
        <w:t>:</w:t>
      </w:r>
    </w:p>
    <w:p w:rsidR="005C7465" w:rsidRDefault="005C7465" w:rsidP="00742DE6">
      <w:pPr>
        <w:rPr>
          <w:sz w:val="24"/>
          <w:szCs w:val="24"/>
        </w:rPr>
      </w:pPr>
      <w:proofErr w:type="spellStart"/>
      <w:r>
        <w:rPr>
          <w:sz w:val="24"/>
          <w:szCs w:val="24"/>
        </w:rPr>
        <w:t>Noradahl</w:t>
      </w:r>
      <w:proofErr w:type="spellEnd"/>
      <w:r>
        <w:rPr>
          <w:sz w:val="24"/>
          <w:szCs w:val="24"/>
        </w:rPr>
        <w:t xml:space="preserve">, K. and </w:t>
      </w:r>
      <w:proofErr w:type="spellStart"/>
      <w:r>
        <w:rPr>
          <w:sz w:val="24"/>
          <w:szCs w:val="24"/>
        </w:rPr>
        <w:t>Johannesson</w:t>
      </w:r>
      <w:proofErr w:type="spellEnd"/>
      <w:r>
        <w:rPr>
          <w:sz w:val="24"/>
          <w:szCs w:val="24"/>
        </w:rPr>
        <w:t>, I.  (2014) ‘Icelandic Teachers Views of Using the Outdoors</w:t>
      </w:r>
      <w:proofErr w:type="gramStart"/>
      <w:r>
        <w:rPr>
          <w:sz w:val="24"/>
          <w:szCs w:val="24"/>
        </w:rPr>
        <w:t>’  Education</w:t>
      </w:r>
      <w:proofErr w:type="gramEnd"/>
      <w:r>
        <w:rPr>
          <w:sz w:val="24"/>
          <w:szCs w:val="24"/>
        </w:rPr>
        <w:t xml:space="preserve"> 3-13:  International Journal of Primary, Elementary and Early Years Education Vol 44, No. 4, September 2014, 391-406</w:t>
      </w:r>
    </w:p>
    <w:p w:rsidR="00742DE6" w:rsidRDefault="00162CF0" w:rsidP="00742DE6">
      <w:pPr>
        <w:rPr>
          <w:sz w:val="24"/>
          <w:szCs w:val="24"/>
        </w:rPr>
      </w:pPr>
      <w:proofErr w:type="spellStart"/>
      <w:r>
        <w:rPr>
          <w:sz w:val="24"/>
          <w:szCs w:val="24"/>
        </w:rPr>
        <w:t>Oladottir</w:t>
      </w:r>
      <w:proofErr w:type="spellEnd"/>
      <w:r>
        <w:rPr>
          <w:sz w:val="24"/>
          <w:szCs w:val="24"/>
        </w:rPr>
        <w:t>, H. 2008.  Annual Report 2008 Reykjavik.</w:t>
      </w:r>
    </w:p>
    <w:p w:rsidR="00162CF0" w:rsidRDefault="00162CF0" w:rsidP="00742DE6">
      <w:pPr>
        <w:rPr>
          <w:sz w:val="24"/>
          <w:szCs w:val="24"/>
        </w:rPr>
      </w:pPr>
    </w:p>
    <w:p w:rsidR="00162CF0" w:rsidRDefault="00162CF0" w:rsidP="00742DE6">
      <w:pPr>
        <w:rPr>
          <w:b/>
          <w:sz w:val="24"/>
          <w:szCs w:val="24"/>
          <w:u w:val="single"/>
        </w:rPr>
      </w:pPr>
    </w:p>
    <w:p w:rsidR="00162CF0" w:rsidRDefault="00162CF0" w:rsidP="00742DE6">
      <w:pPr>
        <w:rPr>
          <w:b/>
          <w:sz w:val="24"/>
          <w:szCs w:val="24"/>
          <w:u w:val="single"/>
        </w:rPr>
      </w:pPr>
    </w:p>
    <w:p w:rsidR="00162CF0" w:rsidRDefault="00162CF0" w:rsidP="00742DE6">
      <w:pPr>
        <w:rPr>
          <w:b/>
          <w:sz w:val="24"/>
          <w:szCs w:val="24"/>
          <w:u w:val="single"/>
        </w:rPr>
      </w:pPr>
    </w:p>
    <w:p w:rsidR="00162CF0" w:rsidRDefault="00162CF0" w:rsidP="00742DE6">
      <w:pPr>
        <w:rPr>
          <w:b/>
          <w:sz w:val="24"/>
          <w:szCs w:val="24"/>
          <w:u w:val="single"/>
        </w:rPr>
      </w:pPr>
    </w:p>
    <w:p w:rsidR="00162CF0" w:rsidRDefault="00162CF0" w:rsidP="00742DE6">
      <w:pPr>
        <w:rPr>
          <w:b/>
          <w:sz w:val="24"/>
          <w:szCs w:val="24"/>
          <w:u w:val="single"/>
        </w:rPr>
      </w:pPr>
    </w:p>
    <w:p w:rsidR="00162CF0" w:rsidRDefault="00162CF0" w:rsidP="00742DE6">
      <w:pPr>
        <w:rPr>
          <w:b/>
          <w:sz w:val="24"/>
          <w:szCs w:val="24"/>
          <w:u w:val="single"/>
        </w:rPr>
      </w:pPr>
    </w:p>
    <w:p w:rsidR="00162CF0" w:rsidRDefault="00162CF0" w:rsidP="00742DE6">
      <w:pPr>
        <w:rPr>
          <w:b/>
          <w:sz w:val="24"/>
          <w:szCs w:val="24"/>
          <w:u w:val="single"/>
        </w:rPr>
      </w:pPr>
      <w:r>
        <w:rPr>
          <w:b/>
          <w:sz w:val="24"/>
          <w:szCs w:val="24"/>
          <w:u w:val="single"/>
        </w:rPr>
        <w:lastRenderedPageBreak/>
        <w:t>Part 2a</w:t>
      </w:r>
    </w:p>
    <w:p w:rsidR="00162CF0" w:rsidRDefault="00162CF0" w:rsidP="00742DE6">
      <w:pPr>
        <w:rPr>
          <w:b/>
          <w:sz w:val="24"/>
          <w:szCs w:val="24"/>
          <w:u w:val="single"/>
        </w:rPr>
      </w:pPr>
    </w:p>
    <w:p w:rsidR="00162CF0" w:rsidRDefault="00162CF0" w:rsidP="00742DE6">
      <w:pPr>
        <w:rPr>
          <w:sz w:val="24"/>
          <w:szCs w:val="24"/>
        </w:rPr>
      </w:pPr>
      <w:r>
        <w:rPr>
          <w:sz w:val="24"/>
          <w:szCs w:val="24"/>
        </w:rPr>
        <w:t xml:space="preserve">A definition of a forest school has been made by the Forest School Network.  It says that </w:t>
      </w:r>
      <w:proofErr w:type="gramStart"/>
      <w:r>
        <w:rPr>
          <w:sz w:val="24"/>
          <w:szCs w:val="24"/>
        </w:rPr>
        <w:t>‘ it</w:t>
      </w:r>
      <w:proofErr w:type="gramEnd"/>
      <w:r>
        <w:rPr>
          <w:sz w:val="24"/>
          <w:szCs w:val="24"/>
        </w:rPr>
        <w:t xml:space="preserve"> is an inspirational process that offers children, young people and adults regular opportunities to achieve and develop confidence and self-esteem, through hands-on learning experiences in a woodland environment</w:t>
      </w:r>
      <w:r w:rsidR="00B61342">
        <w:rPr>
          <w:sz w:val="24"/>
          <w:szCs w:val="24"/>
        </w:rPr>
        <w:t>’</w:t>
      </w:r>
      <w:r>
        <w:rPr>
          <w:sz w:val="24"/>
          <w:szCs w:val="24"/>
        </w:rPr>
        <w:t xml:space="preserve"> (O’Brien and Murray 2006).  It is a general concern with the public that children no longer get to visit woodland and green areas as their parents and grandparents used to, as there is an underlying fear for their children’s safety and well-being.  Children are now more able to entertain themselves indoors with the latest technology on offer to them</w:t>
      </w:r>
      <w:r w:rsidR="00B61342">
        <w:rPr>
          <w:sz w:val="24"/>
          <w:szCs w:val="24"/>
        </w:rPr>
        <w:t xml:space="preserve">, which in turn make them less enthusiastic about going outdoors at all.  Research tells us that children who don’t go out when they are young are then less likely to enjoy the outdoors as an adult, thus missing out of all the physical and emotional benefits of access to nature (Ward Thompson, Aspinall, Bell, Findlay, </w:t>
      </w:r>
      <w:proofErr w:type="spellStart"/>
      <w:r w:rsidR="00B61342">
        <w:rPr>
          <w:sz w:val="24"/>
          <w:szCs w:val="24"/>
        </w:rPr>
        <w:t>Wherrett</w:t>
      </w:r>
      <w:proofErr w:type="spellEnd"/>
      <w:r w:rsidR="00B61342">
        <w:rPr>
          <w:sz w:val="24"/>
          <w:szCs w:val="24"/>
        </w:rPr>
        <w:t xml:space="preserve"> and </w:t>
      </w:r>
      <w:proofErr w:type="spellStart"/>
      <w:r w:rsidR="00B61342">
        <w:rPr>
          <w:sz w:val="24"/>
          <w:szCs w:val="24"/>
        </w:rPr>
        <w:t>Travlou</w:t>
      </w:r>
      <w:proofErr w:type="spellEnd"/>
      <w:r w:rsidR="00B61342">
        <w:rPr>
          <w:sz w:val="24"/>
          <w:szCs w:val="24"/>
        </w:rPr>
        <w:t xml:space="preserve"> 2004).</w:t>
      </w:r>
      <w:r w:rsidR="00945773">
        <w:rPr>
          <w:sz w:val="24"/>
          <w:szCs w:val="24"/>
        </w:rPr>
        <w:t xml:space="preserve">  Learning outdoors is very different to learning in a classroom environment, so the Welsh Government are encouraging teachers to use Forest Schools in their own setting, especially in the Foundation Phase.</w:t>
      </w:r>
    </w:p>
    <w:p w:rsidR="00B61342" w:rsidRDefault="00B61342" w:rsidP="00742DE6">
      <w:pPr>
        <w:rPr>
          <w:sz w:val="24"/>
          <w:szCs w:val="24"/>
        </w:rPr>
      </w:pPr>
    </w:p>
    <w:p w:rsidR="00B61342" w:rsidRDefault="00B61342" w:rsidP="00B61342">
      <w:pPr>
        <w:rPr>
          <w:sz w:val="24"/>
          <w:szCs w:val="24"/>
        </w:rPr>
      </w:pPr>
      <w:r>
        <w:rPr>
          <w:sz w:val="24"/>
          <w:szCs w:val="24"/>
        </w:rPr>
        <w:t>Reference list:</w:t>
      </w:r>
    </w:p>
    <w:p w:rsidR="00B61342" w:rsidRDefault="00945773" w:rsidP="00B61342">
      <w:pPr>
        <w:rPr>
          <w:sz w:val="24"/>
          <w:szCs w:val="24"/>
        </w:rPr>
      </w:pPr>
      <w:r>
        <w:rPr>
          <w:sz w:val="24"/>
          <w:szCs w:val="24"/>
        </w:rPr>
        <w:t>O’Brien, E.  and Murray, R.  2006.  A Marvellous Opportunity for Children to Learn:  A Participatory Evaluation of Forest Schools in England and Wales.  Farnham:  Forest Research.</w:t>
      </w:r>
    </w:p>
    <w:p w:rsidR="00B61342" w:rsidRDefault="00B61342" w:rsidP="00742DE6">
      <w:pPr>
        <w:rPr>
          <w:sz w:val="24"/>
          <w:szCs w:val="24"/>
        </w:rPr>
      </w:pPr>
      <w:r>
        <w:rPr>
          <w:sz w:val="24"/>
          <w:szCs w:val="24"/>
        </w:rPr>
        <w:t xml:space="preserve">Ward Thompson, C.  Aspinall, P.  Bell, S.  Findlay, C.  </w:t>
      </w:r>
      <w:proofErr w:type="spellStart"/>
      <w:r>
        <w:rPr>
          <w:sz w:val="24"/>
          <w:szCs w:val="24"/>
        </w:rPr>
        <w:t>Wherrett</w:t>
      </w:r>
      <w:proofErr w:type="spellEnd"/>
      <w:r>
        <w:rPr>
          <w:sz w:val="24"/>
          <w:szCs w:val="24"/>
        </w:rPr>
        <w:t xml:space="preserve">, J and </w:t>
      </w:r>
      <w:proofErr w:type="spellStart"/>
      <w:r>
        <w:rPr>
          <w:sz w:val="24"/>
          <w:szCs w:val="24"/>
        </w:rPr>
        <w:t>Travlou</w:t>
      </w:r>
      <w:proofErr w:type="spellEnd"/>
      <w:r>
        <w:rPr>
          <w:sz w:val="24"/>
          <w:szCs w:val="24"/>
        </w:rPr>
        <w:t>, P.  2004.  Open Space and Social Inclusion:  Local Woodland Use in Central Scotland.  Repost to the Forestry Commission, Edinburgh.</w:t>
      </w:r>
    </w:p>
    <w:p w:rsidR="00945773" w:rsidRDefault="00945773" w:rsidP="00742DE6">
      <w:pPr>
        <w:rPr>
          <w:sz w:val="24"/>
          <w:szCs w:val="24"/>
        </w:rPr>
      </w:pPr>
    </w:p>
    <w:p w:rsidR="00EF5BA4" w:rsidRDefault="00EF5BA4" w:rsidP="00742DE6">
      <w:pPr>
        <w:rPr>
          <w:b/>
          <w:sz w:val="24"/>
          <w:szCs w:val="24"/>
          <w:u w:val="single"/>
        </w:rPr>
      </w:pPr>
    </w:p>
    <w:p w:rsidR="00EF5BA4" w:rsidRDefault="00EF5BA4" w:rsidP="00742DE6">
      <w:pPr>
        <w:rPr>
          <w:b/>
          <w:sz w:val="24"/>
          <w:szCs w:val="24"/>
          <w:u w:val="single"/>
        </w:rPr>
      </w:pPr>
    </w:p>
    <w:p w:rsidR="00EF5BA4" w:rsidRDefault="00EF5BA4" w:rsidP="00742DE6">
      <w:pPr>
        <w:rPr>
          <w:b/>
          <w:sz w:val="24"/>
          <w:szCs w:val="24"/>
          <w:u w:val="single"/>
        </w:rPr>
      </w:pPr>
    </w:p>
    <w:p w:rsidR="00EF5BA4" w:rsidRDefault="00EF5BA4" w:rsidP="00742DE6">
      <w:pPr>
        <w:rPr>
          <w:b/>
          <w:sz w:val="24"/>
          <w:szCs w:val="24"/>
          <w:u w:val="single"/>
        </w:rPr>
      </w:pPr>
    </w:p>
    <w:p w:rsidR="00EF5BA4" w:rsidRDefault="00EF5BA4" w:rsidP="00742DE6">
      <w:pPr>
        <w:rPr>
          <w:b/>
          <w:sz w:val="24"/>
          <w:szCs w:val="24"/>
          <w:u w:val="single"/>
        </w:rPr>
      </w:pPr>
    </w:p>
    <w:p w:rsidR="00EF5BA4" w:rsidRDefault="00EF5BA4" w:rsidP="00742DE6">
      <w:pPr>
        <w:rPr>
          <w:b/>
          <w:sz w:val="24"/>
          <w:szCs w:val="24"/>
          <w:u w:val="single"/>
        </w:rPr>
      </w:pPr>
    </w:p>
    <w:p w:rsidR="00EF5BA4" w:rsidRDefault="00EF5BA4" w:rsidP="00742DE6">
      <w:pPr>
        <w:rPr>
          <w:b/>
          <w:sz w:val="24"/>
          <w:szCs w:val="24"/>
          <w:u w:val="single"/>
        </w:rPr>
      </w:pPr>
    </w:p>
    <w:p w:rsidR="00EF5BA4" w:rsidRDefault="00EF5BA4" w:rsidP="00742DE6">
      <w:pPr>
        <w:rPr>
          <w:b/>
          <w:sz w:val="24"/>
          <w:szCs w:val="24"/>
          <w:u w:val="single"/>
        </w:rPr>
      </w:pPr>
    </w:p>
    <w:p w:rsidR="00945773" w:rsidRDefault="00945773" w:rsidP="00742DE6">
      <w:pPr>
        <w:rPr>
          <w:b/>
          <w:sz w:val="24"/>
          <w:szCs w:val="24"/>
          <w:u w:val="single"/>
        </w:rPr>
      </w:pPr>
      <w:r>
        <w:rPr>
          <w:b/>
          <w:sz w:val="24"/>
          <w:szCs w:val="24"/>
          <w:u w:val="single"/>
        </w:rPr>
        <w:lastRenderedPageBreak/>
        <w:t>Part 2b</w:t>
      </w:r>
    </w:p>
    <w:p w:rsidR="00945773" w:rsidRPr="00EF5BA4" w:rsidRDefault="00945773" w:rsidP="00EF5BA4">
      <w:pPr>
        <w:pStyle w:val="ListParagraph"/>
        <w:numPr>
          <w:ilvl w:val="0"/>
          <w:numId w:val="2"/>
        </w:numPr>
        <w:rPr>
          <w:sz w:val="24"/>
          <w:szCs w:val="24"/>
        </w:rPr>
      </w:pPr>
      <w:r w:rsidRPr="00EF5BA4">
        <w:rPr>
          <w:sz w:val="24"/>
          <w:szCs w:val="24"/>
        </w:rPr>
        <w:t>Any quote or piece of text taken from another source must be referenced.  If you fail to acknowledge the source of your information in your academic writing, you could be accused of plagiarism.</w:t>
      </w:r>
      <w:r w:rsidR="00943DDD">
        <w:rPr>
          <w:sz w:val="24"/>
          <w:szCs w:val="24"/>
        </w:rPr>
        <w:t xml:space="preserve">  This is the passing </w:t>
      </w:r>
      <w:proofErr w:type="gramStart"/>
      <w:r w:rsidR="00943DDD">
        <w:rPr>
          <w:sz w:val="24"/>
          <w:szCs w:val="24"/>
        </w:rPr>
        <w:t>off of</w:t>
      </w:r>
      <w:proofErr w:type="gramEnd"/>
      <w:r w:rsidR="00943DDD">
        <w:rPr>
          <w:sz w:val="24"/>
          <w:szCs w:val="24"/>
        </w:rPr>
        <w:t xml:space="preserve"> someone else’s work as your own.  Plagiarism can be deliberate or accidental.  Without accurate referencing it is possible to accidently plagiarise someone else’s work.</w:t>
      </w:r>
    </w:p>
    <w:p w:rsidR="00945773" w:rsidRPr="00EF5BA4" w:rsidRDefault="00945773" w:rsidP="00EF5BA4">
      <w:pPr>
        <w:pStyle w:val="ListParagraph"/>
        <w:numPr>
          <w:ilvl w:val="0"/>
          <w:numId w:val="2"/>
        </w:numPr>
        <w:rPr>
          <w:sz w:val="24"/>
          <w:szCs w:val="24"/>
        </w:rPr>
      </w:pPr>
      <w:r w:rsidRPr="00EF5BA4">
        <w:rPr>
          <w:sz w:val="24"/>
          <w:szCs w:val="24"/>
        </w:rPr>
        <w:t>As above, any quote or piece of text taken from another source must be referenced.</w:t>
      </w:r>
    </w:p>
    <w:p w:rsidR="00945773" w:rsidRPr="00EF5BA4" w:rsidRDefault="00945773" w:rsidP="00EF5BA4">
      <w:pPr>
        <w:pStyle w:val="ListParagraph"/>
        <w:numPr>
          <w:ilvl w:val="0"/>
          <w:numId w:val="2"/>
        </w:numPr>
        <w:rPr>
          <w:sz w:val="24"/>
          <w:szCs w:val="24"/>
        </w:rPr>
      </w:pPr>
      <w:r w:rsidRPr="00EF5BA4">
        <w:rPr>
          <w:sz w:val="24"/>
          <w:szCs w:val="24"/>
        </w:rPr>
        <w:t xml:space="preserve">Wikipedia is a good place to start your </w:t>
      </w:r>
      <w:r w:rsidR="00EF5BA4" w:rsidRPr="00EF5BA4">
        <w:rPr>
          <w:sz w:val="24"/>
          <w:szCs w:val="24"/>
        </w:rPr>
        <w:t>search for information, but it would be better to use the reference guide links that the search gives you for your information rather than to quote Wikipedia directly.</w:t>
      </w:r>
    </w:p>
    <w:p w:rsidR="00EF5BA4" w:rsidRPr="00EF5BA4" w:rsidRDefault="00EF5BA4" w:rsidP="00EF5BA4">
      <w:pPr>
        <w:pStyle w:val="ListParagraph"/>
        <w:numPr>
          <w:ilvl w:val="0"/>
          <w:numId w:val="2"/>
        </w:numPr>
        <w:rPr>
          <w:sz w:val="24"/>
          <w:szCs w:val="24"/>
        </w:rPr>
      </w:pPr>
      <w:r w:rsidRPr="00EF5BA4">
        <w:rPr>
          <w:sz w:val="24"/>
          <w:szCs w:val="24"/>
        </w:rPr>
        <w:t>Format:</w:t>
      </w:r>
    </w:p>
    <w:p w:rsidR="00EF5BA4" w:rsidRPr="00EF5BA4" w:rsidRDefault="00EF5BA4" w:rsidP="00EF5BA4">
      <w:pPr>
        <w:ind w:firstLine="720"/>
        <w:rPr>
          <w:sz w:val="24"/>
          <w:szCs w:val="24"/>
        </w:rPr>
      </w:pPr>
      <w:r w:rsidRPr="00EF5BA4">
        <w:rPr>
          <w:sz w:val="24"/>
          <w:szCs w:val="24"/>
        </w:rPr>
        <w:t>Enter as a separate paragraph</w:t>
      </w:r>
    </w:p>
    <w:p w:rsidR="00EF5BA4" w:rsidRDefault="00EF5BA4" w:rsidP="00EF5BA4">
      <w:pPr>
        <w:ind w:left="720"/>
        <w:rPr>
          <w:sz w:val="24"/>
          <w:szCs w:val="24"/>
        </w:rPr>
      </w:pPr>
      <w:r w:rsidRPr="00EF5BA4">
        <w:rPr>
          <w:sz w:val="24"/>
          <w:szCs w:val="24"/>
        </w:rPr>
        <w:t>Indent the paragraph</w:t>
      </w:r>
    </w:p>
    <w:p w:rsidR="00EF5BA4" w:rsidRDefault="00EF5BA4" w:rsidP="00EF5BA4">
      <w:pPr>
        <w:ind w:left="720"/>
        <w:rPr>
          <w:sz w:val="24"/>
          <w:szCs w:val="24"/>
        </w:rPr>
      </w:pPr>
      <w:r>
        <w:rPr>
          <w:sz w:val="24"/>
          <w:szCs w:val="24"/>
        </w:rPr>
        <w:t>Quotation marks are not required</w:t>
      </w:r>
    </w:p>
    <w:p w:rsidR="00EF5BA4" w:rsidRDefault="00EF5BA4" w:rsidP="00EF5BA4">
      <w:pPr>
        <w:ind w:left="720"/>
        <w:rPr>
          <w:sz w:val="24"/>
          <w:szCs w:val="24"/>
        </w:rPr>
      </w:pPr>
      <w:r>
        <w:rPr>
          <w:sz w:val="24"/>
          <w:szCs w:val="24"/>
        </w:rPr>
        <w:t>Follow with the in-text citation.</w:t>
      </w:r>
    </w:p>
    <w:p w:rsidR="00EF5BA4" w:rsidRPr="00EF5BA4" w:rsidRDefault="00EF5BA4" w:rsidP="00EF5BA4">
      <w:pPr>
        <w:pStyle w:val="ListParagraph"/>
        <w:numPr>
          <w:ilvl w:val="0"/>
          <w:numId w:val="4"/>
        </w:numPr>
        <w:rPr>
          <w:sz w:val="24"/>
          <w:szCs w:val="24"/>
        </w:rPr>
      </w:pPr>
      <w:r>
        <w:rPr>
          <w:sz w:val="24"/>
          <w:szCs w:val="24"/>
        </w:rPr>
        <w:t>Online Library, Google, Wikipedia, Textbooks, Newspapers.</w:t>
      </w:r>
    </w:p>
    <w:p w:rsidR="00EF5BA4" w:rsidRDefault="00EF5BA4" w:rsidP="00EF5BA4">
      <w:pPr>
        <w:rPr>
          <w:sz w:val="24"/>
          <w:szCs w:val="24"/>
        </w:rPr>
      </w:pPr>
    </w:p>
    <w:p w:rsidR="00EF5BA4" w:rsidRDefault="00EF5BA4" w:rsidP="00EF5BA4">
      <w:pPr>
        <w:rPr>
          <w:sz w:val="24"/>
          <w:szCs w:val="24"/>
        </w:rPr>
      </w:pPr>
    </w:p>
    <w:p w:rsidR="00EF5BA4" w:rsidRDefault="00EF5BA4" w:rsidP="00EF5BA4">
      <w:pPr>
        <w:rPr>
          <w:sz w:val="24"/>
          <w:szCs w:val="24"/>
        </w:rPr>
      </w:pPr>
    </w:p>
    <w:p w:rsidR="00EF5BA4" w:rsidRDefault="00EF5BA4" w:rsidP="00EF5BA4">
      <w:pPr>
        <w:rPr>
          <w:sz w:val="24"/>
          <w:szCs w:val="24"/>
        </w:rPr>
      </w:pPr>
    </w:p>
    <w:p w:rsidR="00EF5BA4" w:rsidRDefault="00EF5BA4" w:rsidP="00EF5BA4">
      <w:pPr>
        <w:rPr>
          <w:sz w:val="24"/>
          <w:szCs w:val="24"/>
        </w:rPr>
      </w:pPr>
    </w:p>
    <w:p w:rsidR="00EF5BA4" w:rsidRDefault="00EF5BA4" w:rsidP="00EF5BA4">
      <w:pPr>
        <w:rPr>
          <w:sz w:val="24"/>
          <w:szCs w:val="24"/>
        </w:rPr>
      </w:pPr>
    </w:p>
    <w:p w:rsidR="00EF5BA4" w:rsidRDefault="00EF5BA4" w:rsidP="00EF5BA4">
      <w:pPr>
        <w:rPr>
          <w:sz w:val="24"/>
          <w:szCs w:val="24"/>
        </w:rPr>
      </w:pPr>
    </w:p>
    <w:p w:rsidR="00EF5BA4" w:rsidRDefault="00EF5BA4" w:rsidP="00EF5BA4">
      <w:pPr>
        <w:rPr>
          <w:sz w:val="24"/>
          <w:szCs w:val="24"/>
        </w:rPr>
      </w:pPr>
    </w:p>
    <w:p w:rsidR="00EF5BA4" w:rsidRDefault="00EF5BA4" w:rsidP="00EF5BA4">
      <w:pPr>
        <w:rPr>
          <w:sz w:val="24"/>
          <w:szCs w:val="24"/>
        </w:rPr>
      </w:pPr>
    </w:p>
    <w:p w:rsidR="00EF5BA4" w:rsidRDefault="00EF5BA4" w:rsidP="00EF5BA4">
      <w:pPr>
        <w:rPr>
          <w:sz w:val="24"/>
          <w:szCs w:val="24"/>
        </w:rPr>
      </w:pPr>
    </w:p>
    <w:p w:rsidR="00EF5BA4" w:rsidRDefault="00EF5BA4" w:rsidP="00EF5BA4">
      <w:pPr>
        <w:rPr>
          <w:sz w:val="24"/>
          <w:szCs w:val="24"/>
        </w:rPr>
      </w:pPr>
    </w:p>
    <w:p w:rsidR="00EF5BA4" w:rsidRDefault="00EF5BA4" w:rsidP="00EF5BA4">
      <w:pPr>
        <w:rPr>
          <w:sz w:val="24"/>
          <w:szCs w:val="24"/>
        </w:rPr>
      </w:pPr>
    </w:p>
    <w:p w:rsidR="00EF5BA4" w:rsidRDefault="00EF5BA4" w:rsidP="00EF5BA4">
      <w:pPr>
        <w:rPr>
          <w:sz w:val="24"/>
          <w:szCs w:val="24"/>
        </w:rPr>
      </w:pPr>
    </w:p>
    <w:p w:rsidR="00EF5BA4" w:rsidRDefault="00EF5BA4" w:rsidP="00EF5BA4">
      <w:pPr>
        <w:rPr>
          <w:sz w:val="24"/>
          <w:szCs w:val="24"/>
        </w:rPr>
      </w:pPr>
    </w:p>
    <w:p w:rsidR="00EF5BA4" w:rsidRDefault="00EF5BA4" w:rsidP="00EF5BA4">
      <w:pPr>
        <w:rPr>
          <w:b/>
          <w:sz w:val="24"/>
          <w:szCs w:val="24"/>
          <w:u w:val="single"/>
        </w:rPr>
      </w:pPr>
      <w:r>
        <w:rPr>
          <w:b/>
          <w:sz w:val="24"/>
          <w:szCs w:val="24"/>
          <w:u w:val="single"/>
        </w:rPr>
        <w:t>Part 3</w:t>
      </w:r>
    </w:p>
    <w:p w:rsidR="00EF5BA4" w:rsidRDefault="00EF5BA4" w:rsidP="00EF5BA4">
      <w:pPr>
        <w:rPr>
          <w:b/>
          <w:sz w:val="24"/>
          <w:szCs w:val="24"/>
          <w:u w:val="single"/>
        </w:rPr>
      </w:pPr>
    </w:p>
    <w:p w:rsidR="00EF5BA4" w:rsidRDefault="00EF5BA4" w:rsidP="00EF5BA4">
      <w:pPr>
        <w:rPr>
          <w:sz w:val="24"/>
          <w:szCs w:val="24"/>
        </w:rPr>
      </w:pPr>
      <w:r>
        <w:rPr>
          <w:sz w:val="24"/>
          <w:szCs w:val="24"/>
        </w:rPr>
        <w:t>This article is in response to the paper written by Suzanne Mackenzie entitled ‘Yes, but…’:  rhetoric and resistance in teaching assistants’ experiences of inclusive education</w:t>
      </w:r>
      <w:r w:rsidR="007C2A04">
        <w:rPr>
          <w:sz w:val="24"/>
          <w:szCs w:val="24"/>
        </w:rPr>
        <w:t>.  The paper includes a qualitative study on the experiences of TA’s who are currently working in inclusive education and focuses on their feelings</w:t>
      </w:r>
      <w:r w:rsidR="00EE572A">
        <w:rPr>
          <w:sz w:val="24"/>
          <w:szCs w:val="24"/>
        </w:rPr>
        <w:t>, opinions</w:t>
      </w:r>
      <w:r w:rsidR="007C2A04">
        <w:rPr>
          <w:sz w:val="24"/>
          <w:szCs w:val="24"/>
        </w:rPr>
        <w:t xml:space="preserve"> and backgrounds.</w:t>
      </w:r>
    </w:p>
    <w:p w:rsidR="009B7815" w:rsidRPr="009B7815" w:rsidRDefault="009B7815" w:rsidP="00EF5BA4">
      <w:pPr>
        <w:rPr>
          <w:i/>
          <w:sz w:val="24"/>
          <w:szCs w:val="24"/>
        </w:rPr>
      </w:pPr>
      <w:r>
        <w:rPr>
          <w:i/>
          <w:sz w:val="24"/>
          <w:szCs w:val="24"/>
        </w:rPr>
        <w:t>‘</w:t>
      </w:r>
      <w:r w:rsidRPr="009B7815">
        <w:rPr>
          <w:i/>
          <w:sz w:val="24"/>
          <w:szCs w:val="24"/>
        </w:rPr>
        <w:t>Academic language should be clear, unambiguous and objective. “Objective” does not mean that you avoid taking a position; rather, it means to expose its foundations (reasons, evidence)</w:t>
      </w:r>
      <w:r>
        <w:rPr>
          <w:i/>
          <w:sz w:val="24"/>
          <w:szCs w:val="24"/>
        </w:rPr>
        <w:t xml:space="preserve">’.  </w:t>
      </w:r>
      <w:proofErr w:type="spellStart"/>
      <w:r>
        <w:rPr>
          <w:i/>
          <w:sz w:val="24"/>
          <w:szCs w:val="24"/>
        </w:rPr>
        <w:t>Sok</w:t>
      </w:r>
      <w:proofErr w:type="spellEnd"/>
      <w:r>
        <w:rPr>
          <w:i/>
          <w:sz w:val="24"/>
          <w:szCs w:val="24"/>
        </w:rPr>
        <w:t xml:space="preserve"> and </w:t>
      </w:r>
      <w:proofErr w:type="spellStart"/>
      <w:r>
        <w:rPr>
          <w:i/>
          <w:sz w:val="24"/>
          <w:szCs w:val="24"/>
        </w:rPr>
        <w:t>Skriv</w:t>
      </w:r>
      <w:proofErr w:type="spellEnd"/>
      <w:r>
        <w:rPr>
          <w:i/>
          <w:sz w:val="24"/>
          <w:szCs w:val="24"/>
        </w:rPr>
        <w:t xml:space="preserve"> (2017)</w:t>
      </w:r>
    </w:p>
    <w:p w:rsidR="007C2A04" w:rsidRPr="001401B8" w:rsidRDefault="007C2A04" w:rsidP="00EF5BA4">
      <w:pPr>
        <w:rPr>
          <w:i/>
          <w:sz w:val="24"/>
          <w:szCs w:val="24"/>
        </w:rPr>
      </w:pPr>
      <w:r>
        <w:rPr>
          <w:sz w:val="24"/>
          <w:szCs w:val="24"/>
        </w:rPr>
        <w:t>It would seem, that the aim of this study is to analyse the tensions between the TA’s and the institutional frameworks of inclusion</w:t>
      </w:r>
      <w:r w:rsidR="00943DDD">
        <w:rPr>
          <w:sz w:val="24"/>
          <w:szCs w:val="24"/>
        </w:rPr>
        <w:t xml:space="preserve">.  </w:t>
      </w:r>
      <w:r w:rsidR="00943DDD">
        <w:rPr>
          <w:i/>
          <w:sz w:val="24"/>
          <w:szCs w:val="24"/>
        </w:rPr>
        <w:t>Mackenzie (2011).</w:t>
      </w:r>
      <w:r w:rsidR="001401B8">
        <w:rPr>
          <w:i/>
          <w:sz w:val="24"/>
          <w:szCs w:val="24"/>
        </w:rPr>
        <w:t xml:space="preserve">  </w:t>
      </w:r>
      <w:bookmarkStart w:id="0" w:name="_GoBack"/>
      <w:bookmarkEnd w:id="0"/>
      <w:r w:rsidR="00427D30">
        <w:rPr>
          <w:sz w:val="24"/>
          <w:szCs w:val="24"/>
        </w:rPr>
        <w:t>The overall tone of the paper is quite negative</w:t>
      </w:r>
      <w:r w:rsidR="00EE572A">
        <w:rPr>
          <w:sz w:val="24"/>
          <w:szCs w:val="24"/>
        </w:rPr>
        <w:t xml:space="preserve"> with regards to inclusion as t</w:t>
      </w:r>
      <w:r w:rsidR="00427D30">
        <w:rPr>
          <w:sz w:val="24"/>
          <w:szCs w:val="24"/>
        </w:rPr>
        <w:t xml:space="preserve">he five people interviewed for this research were all experiencing </w:t>
      </w:r>
      <w:r w:rsidR="00EE572A">
        <w:rPr>
          <w:sz w:val="24"/>
          <w:szCs w:val="24"/>
        </w:rPr>
        <w:t xml:space="preserve">various </w:t>
      </w:r>
      <w:r w:rsidR="00427D30">
        <w:rPr>
          <w:sz w:val="24"/>
          <w:szCs w:val="24"/>
        </w:rPr>
        <w:t>problems with their role.</w:t>
      </w:r>
      <w:r w:rsidR="00EE572A">
        <w:rPr>
          <w:sz w:val="24"/>
          <w:szCs w:val="24"/>
        </w:rPr>
        <w:t xml:space="preserve">  </w:t>
      </w:r>
    </w:p>
    <w:p w:rsidR="00ED2B28" w:rsidRDefault="00ED2B28" w:rsidP="00EF5BA4">
      <w:pPr>
        <w:rPr>
          <w:i/>
          <w:sz w:val="24"/>
          <w:szCs w:val="24"/>
        </w:rPr>
      </w:pPr>
      <w:r>
        <w:rPr>
          <w:sz w:val="24"/>
          <w:szCs w:val="24"/>
        </w:rPr>
        <w:t xml:space="preserve">It is important that the author understands their audience, and I believe Suzanne Mackenzie does just that.  We use language differently depending on whom we are talking to, for example we do not speak to our grandparents in the same way we speak to our friends.  Talking formally to our boss is very different from the way we talk to our children.  In an academic environment, a written piece of work does not simply need to communicate, but it </w:t>
      </w:r>
      <w:proofErr w:type="gramStart"/>
      <w:r>
        <w:rPr>
          <w:sz w:val="24"/>
          <w:szCs w:val="24"/>
        </w:rPr>
        <w:t>has to</w:t>
      </w:r>
      <w:proofErr w:type="gramEnd"/>
      <w:r>
        <w:rPr>
          <w:sz w:val="24"/>
          <w:szCs w:val="24"/>
        </w:rPr>
        <w:t xml:space="preserve"> communicate in a certain way if it is to be taken seriously.  </w:t>
      </w:r>
      <w:r>
        <w:rPr>
          <w:i/>
          <w:sz w:val="24"/>
          <w:szCs w:val="24"/>
        </w:rPr>
        <w:t>University of Greenwich (no date)</w:t>
      </w:r>
    </w:p>
    <w:p w:rsidR="00CE163A" w:rsidRDefault="00CE163A" w:rsidP="00CE163A">
      <w:pPr>
        <w:rPr>
          <w:sz w:val="24"/>
          <w:szCs w:val="24"/>
        </w:rPr>
      </w:pPr>
      <w:r>
        <w:rPr>
          <w:sz w:val="24"/>
          <w:szCs w:val="24"/>
        </w:rPr>
        <w:t xml:space="preserve">The paper is written using language that is easy to read and understand, making it most likely to be read by non-experts/academics.  This is most likely the intention of the author.  Many TA’s who read this paper will have an opinion on its content, either to agree with the findings or to disagree with them.  This will, of course depend on the readers own experiences of inclusion, for example, someone who works in a school where inclusion is managed well, where the staff feel supported is more likely to disagree with the findings of this study.  </w:t>
      </w:r>
    </w:p>
    <w:p w:rsidR="00BE1767" w:rsidRDefault="00BE1767" w:rsidP="00EF5BA4">
      <w:pPr>
        <w:rPr>
          <w:sz w:val="24"/>
          <w:szCs w:val="24"/>
        </w:rPr>
      </w:pPr>
      <w:r>
        <w:rPr>
          <w:sz w:val="24"/>
          <w:szCs w:val="24"/>
        </w:rPr>
        <w:t xml:space="preserve">The author introduces the paper by </w:t>
      </w:r>
      <w:r w:rsidR="008B12B7">
        <w:rPr>
          <w:sz w:val="24"/>
          <w:szCs w:val="24"/>
        </w:rPr>
        <w:t xml:space="preserve">affirming the importance of TA’s within the inclusive education system, but also states that the aim is to analyse the tensions between the policy of inclusion and the actual experiences of the people carrying out that role.  </w:t>
      </w:r>
      <w:r w:rsidR="00C3373F">
        <w:rPr>
          <w:sz w:val="24"/>
          <w:szCs w:val="24"/>
        </w:rPr>
        <w:t>The paper is made up of short paragraphs that are easy to read and follow.  Each paragraph is headed for the reader, to enable them to find the information that they are looking for easily without having to read through the whole paper.  The author has backed up her statements by using many references throughout.</w:t>
      </w:r>
    </w:p>
    <w:p w:rsidR="005E66CC" w:rsidRPr="00943DDD" w:rsidRDefault="005E66CC" w:rsidP="00EF5BA4">
      <w:pPr>
        <w:rPr>
          <w:i/>
          <w:sz w:val="24"/>
          <w:szCs w:val="24"/>
        </w:rPr>
      </w:pPr>
      <w:r>
        <w:rPr>
          <w:sz w:val="24"/>
          <w:szCs w:val="24"/>
        </w:rPr>
        <w:lastRenderedPageBreak/>
        <w:t xml:space="preserve">The author </w:t>
      </w:r>
      <w:r w:rsidR="00446A76">
        <w:rPr>
          <w:sz w:val="24"/>
          <w:szCs w:val="24"/>
        </w:rPr>
        <w:t>comments on how the role of the TA has shifted from being a general support of children with SEN, to carrying out work that would previously only have been expected of teachers.  TA’s now are teaching, assessing and covering classes but are poorly paid for the work that they do</w:t>
      </w:r>
      <w:r w:rsidR="004A086E">
        <w:rPr>
          <w:sz w:val="24"/>
          <w:szCs w:val="24"/>
        </w:rPr>
        <w:t xml:space="preserve"> and have no clear career structure.  </w:t>
      </w:r>
      <w:r w:rsidR="00943DDD">
        <w:rPr>
          <w:i/>
          <w:sz w:val="24"/>
          <w:szCs w:val="24"/>
        </w:rPr>
        <w:t>Mackenzie (2011).</w:t>
      </w:r>
    </w:p>
    <w:p w:rsidR="00CD71EA" w:rsidRDefault="004A086E" w:rsidP="00CD71EA">
      <w:pPr>
        <w:rPr>
          <w:sz w:val="24"/>
          <w:szCs w:val="24"/>
        </w:rPr>
      </w:pPr>
      <w:r>
        <w:rPr>
          <w:sz w:val="24"/>
          <w:szCs w:val="24"/>
        </w:rPr>
        <w:t xml:space="preserve">The five individual case studies appear to have been selected </w:t>
      </w:r>
      <w:r w:rsidR="00754E13">
        <w:rPr>
          <w:sz w:val="24"/>
          <w:szCs w:val="24"/>
        </w:rPr>
        <w:t>because of</w:t>
      </w:r>
      <w:r>
        <w:rPr>
          <w:sz w:val="24"/>
          <w:szCs w:val="24"/>
        </w:rPr>
        <w:t xml:space="preserve"> their negative experiences.  The paper </w:t>
      </w:r>
      <w:r w:rsidR="00CD71EA">
        <w:rPr>
          <w:sz w:val="24"/>
          <w:szCs w:val="24"/>
        </w:rPr>
        <w:t>generally</w:t>
      </w:r>
      <w:r>
        <w:rPr>
          <w:sz w:val="24"/>
          <w:szCs w:val="24"/>
        </w:rPr>
        <w:t xml:space="preserve"> seems to have been written with the intention of highlighting the problems </w:t>
      </w:r>
      <w:r w:rsidR="00CD71EA">
        <w:rPr>
          <w:sz w:val="24"/>
          <w:szCs w:val="24"/>
        </w:rPr>
        <w:t>with the day-to-day implementation of inclusion.</w:t>
      </w:r>
      <w:r w:rsidR="00CD71EA" w:rsidRPr="00CD71EA">
        <w:rPr>
          <w:sz w:val="24"/>
          <w:szCs w:val="24"/>
        </w:rPr>
        <w:t xml:space="preserve"> </w:t>
      </w:r>
      <w:r w:rsidR="00CD71EA">
        <w:rPr>
          <w:sz w:val="24"/>
          <w:szCs w:val="24"/>
        </w:rPr>
        <w:t xml:space="preserve">Two of the interviewees (Jill and Moira) believed that there is a lack of training for TA’s on how to deal with SEN children and felt that they were put in a position that they were uncomfortable with.  Both are supportive of inclusion but feel that it is not working under the current guidelines.  Jill, Jane and Angela all agreed that the profession tended to be an all-female environment, which they felt impacted on the effectiveness of inclusion, especially with young boys who need a male influence and guide.  </w:t>
      </w:r>
      <w:r w:rsidR="00754E13">
        <w:rPr>
          <w:sz w:val="24"/>
          <w:szCs w:val="24"/>
        </w:rPr>
        <w:t>They feel that w</w:t>
      </w:r>
      <w:r w:rsidR="00CD71EA">
        <w:rPr>
          <w:sz w:val="24"/>
          <w:szCs w:val="24"/>
        </w:rPr>
        <w:t>hile women ten</w:t>
      </w:r>
      <w:r w:rsidR="00754E13">
        <w:rPr>
          <w:sz w:val="24"/>
          <w:szCs w:val="24"/>
        </w:rPr>
        <w:t>d</w:t>
      </w:r>
      <w:r w:rsidR="00CD71EA">
        <w:rPr>
          <w:sz w:val="24"/>
          <w:szCs w:val="24"/>
        </w:rPr>
        <w:t xml:space="preserve"> to be the more nurturing, men would be most likely to effectively discipline and set bound</w:t>
      </w:r>
      <w:r w:rsidR="0097427B">
        <w:rPr>
          <w:sz w:val="24"/>
          <w:szCs w:val="24"/>
        </w:rPr>
        <w:t>a</w:t>
      </w:r>
      <w:r w:rsidR="00CD71EA">
        <w:rPr>
          <w:sz w:val="24"/>
          <w:szCs w:val="24"/>
        </w:rPr>
        <w:t>ries.</w:t>
      </w:r>
    </w:p>
    <w:p w:rsidR="0097427B" w:rsidRDefault="0097427B" w:rsidP="00CD71EA">
      <w:pPr>
        <w:rPr>
          <w:sz w:val="24"/>
          <w:szCs w:val="24"/>
        </w:rPr>
      </w:pPr>
      <w:r>
        <w:rPr>
          <w:sz w:val="24"/>
          <w:szCs w:val="24"/>
        </w:rPr>
        <w:t xml:space="preserve">All five of the TA’s interviewed agreed that in principle, inclusion is a good idea, but in practice, it isn’t working effectively.  Training, expectations of the children and the staff, support for both children and staff were all criticised, however not one interview has mentioned the subject of pay.  It appears that all the TA’s interviewed are in their job with one intention and that is to help children with special needs.  The politics surrounding their role may cause concern, stress and frustration but they all agree that working with children with SEN is rewarding enough to </w:t>
      </w:r>
      <w:r w:rsidR="002E4179">
        <w:rPr>
          <w:sz w:val="24"/>
          <w:szCs w:val="24"/>
        </w:rPr>
        <w:t>encourage</w:t>
      </w:r>
      <w:r>
        <w:rPr>
          <w:sz w:val="24"/>
          <w:szCs w:val="24"/>
        </w:rPr>
        <w:t xml:space="preserve"> them </w:t>
      </w:r>
      <w:r w:rsidR="002E4179">
        <w:rPr>
          <w:sz w:val="24"/>
          <w:szCs w:val="24"/>
        </w:rPr>
        <w:t xml:space="preserve">to </w:t>
      </w:r>
      <w:r>
        <w:rPr>
          <w:sz w:val="24"/>
          <w:szCs w:val="24"/>
        </w:rPr>
        <w:t>want to continue with their role.</w:t>
      </w:r>
    </w:p>
    <w:p w:rsidR="002E4179" w:rsidRDefault="002E4179" w:rsidP="00CD71EA">
      <w:pPr>
        <w:rPr>
          <w:sz w:val="24"/>
          <w:szCs w:val="24"/>
        </w:rPr>
      </w:pPr>
      <w:r>
        <w:rPr>
          <w:sz w:val="24"/>
          <w:szCs w:val="24"/>
        </w:rPr>
        <w:t xml:space="preserve">The evidence within this paper is valid for the TA’s interviewed and any other TA’s reading the article who can empathise with the statements.  There will, however be TA’s who read this article and will wholeheartedly disagree with the findings.  Not all TA’s will have experienced negative aspects of their role.  They may have a good relationship with the school </w:t>
      </w:r>
      <w:proofErr w:type="spellStart"/>
      <w:r>
        <w:rPr>
          <w:sz w:val="24"/>
          <w:szCs w:val="24"/>
        </w:rPr>
        <w:t>SENCo</w:t>
      </w:r>
      <w:proofErr w:type="spellEnd"/>
      <w:r>
        <w:rPr>
          <w:sz w:val="24"/>
          <w:szCs w:val="24"/>
        </w:rPr>
        <w:t>, who listens to concerns and acts upon them.  They may have enough funding in their setting for the SEN children</w:t>
      </w:r>
      <w:r w:rsidR="00754E13">
        <w:rPr>
          <w:sz w:val="24"/>
          <w:szCs w:val="24"/>
        </w:rPr>
        <w:t>,</w:t>
      </w:r>
      <w:r>
        <w:rPr>
          <w:sz w:val="24"/>
          <w:szCs w:val="24"/>
        </w:rPr>
        <w:t xml:space="preserve"> so they are able to have one-to-one support or placements in LRC’s (learning resource centres).  </w:t>
      </w:r>
      <w:r w:rsidR="00754E13">
        <w:rPr>
          <w:sz w:val="24"/>
          <w:szCs w:val="24"/>
        </w:rPr>
        <w:t>T</w:t>
      </w:r>
      <w:r>
        <w:rPr>
          <w:sz w:val="24"/>
          <w:szCs w:val="24"/>
        </w:rPr>
        <w:t>hey may have a good working relationship with their class teacher where they are given lesson plans etc. so that they can have time to prepare.  They may not have the responsibility of covering classes as some schools will arrange temporary cover for this purpose.  Small village schools</w:t>
      </w:r>
      <w:r w:rsidR="00A5598E">
        <w:rPr>
          <w:sz w:val="24"/>
          <w:szCs w:val="24"/>
        </w:rPr>
        <w:t xml:space="preserve"> may be less likely to experience issues with inclusion, where larger town/city schools are more likely as they will have a higher number of </w:t>
      </w:r>
      <w:r w:rsidR="00754E13">
        <w:rPr>
          <w:sz w:val="24"/>
          <w:szCs w:val="24"/>
        </w:rPr>
        <w:t xml:space="preserve">children with </w:t>
      </w:r>
      <w:r w:rsidR="00A5598E">
        <w:rPr>
          <w:sz w:val="24"/>
          <w:szCs w:val="24"/>
        </w:rPr>
        <w:t>SEN.</w:t>
      </w:r>
    </w:p>
    <w:p w:rsidR="00A5598E" w:rsidRPr="00943DDD" w:rsidRDefault="00A5598E" w:rsidP="00CD71EA">
      <w:pPr>
        <w:rPr>
          <w:i/>
          <w:sz w:val="24"/>
          <w:szCs w:val="24"/>
        </w:rPr>
      </w:pPr>
      <w:r>
        <w:rPr>
          <w:sz w:val="24"/>
          <w:szCs w:val="24"/>
        </w:rPr>
        <w:t xml:space="preserve">The conclusions drawn from this paper were that there are tensions between TA’s, teachers, </w:t>
      </w:r>
      <w:proofErr w:type="spellStart"/>
      <w:r>
        <w:rPr>
          <w:sz w:val="24"/>
          <w:szCs w:val="24"/>
        </w:rPr>
        <w:t>SENCo’s</w:t>
      </w:r>
      <w:proofErr w:type="spellEnd"/>
      <w:r>
        <w:rPr>
          <w:sz w:val="24"/>
          <w:szCs w:val="24"/>
        </w:rPr>
        <w:t xml:space="preserve"> and the day-to-day implementation of inclusion in a mainstream setting.  It shows that TA’s are unhappy with the way that inclusion is being drawn out and that they felt unsupported by the inclusion team.  They all felt that their role was both stressful and rewarding and agreed that inclusion, in principle is a good thing</w:t>
      </w:r>
      <w:r w:rsidR="00D652BF">
        <w:rPr>
          <w:sz w:val="24"/>
          <w:szCs w:val="24"/>
        </w:rPr>
        <w:t xml:space="preserve">, however have doubts about how it currently operates within schools and local authorities.  The study also </w:t>
      </w:r>
      <w:r w:rsidR="00D652BF">
        <w:rPr>
          <w:sz w:val="24"/>
          <w:szCs w:val="24"/>
        </w:rPr>
        <w:lastRenderedPageBreak/>
        <w:t xml:space="preserve">concluded that schools need to value the role of the TA more highly and perhaps need to revisit the training (pg.70, conclusion, paragraph 2).  The author believes that the </w:t>
      </w:r>
      <w:r w:rsidR="001F40B0">
        <w:rPr>
          <w:sz w:val="24"/>
          <w:szCs w:val="24"/>
        </w:rPr>
        <w:t>impact of the inclusive policy should not just be measured solely on the policy outcomes, but also on the way that it impacts on the TA’s.  For inclusion to be successful, any concerns that the TA’s have regarding the policy needs to be addressed.</w:t>
      </w:r>
      <w:r w:rsidR="00943DDD">
        <w:rPr>
          <w:sz w:val="24"/>
          <w:szCs w:val="24"/>
        </w:rPr>
        <w:t xml:space="preserve">  </w:t>
      </w:r>
      <w:r w:rsidR="00943DDD">
        <w:rPr>
          <w:i/>
          <w:sz w:val="24"/>
          <w:szCs w:val="24"/>
        </w:rPr>
        <w:t>Mackenzie (2011).</w:t>
      </w:r>
    </w:p>
    <w:p w:rsidR="002776B9" w:rsidRDefault="002776B9" w:rsidP="00CD71EA">
      <w:pPr>
        <w:rPr>
          <w:sz w:val="24"/>
          <w:szCs w:val="24"/>
        </w:rPr>
      </w:pPr>
    </w:p>
    <w:p w:rsidR="000A23BA" w:rsidRDefault="000A23BA" w:rsidP="00CD71EA">
      <w:pPr>
        <w:rPr>
          <w:b/>
          <w:sz w:val="24"/>
          <w:szCs w:val="24"/>
          <w:u w:val="single"/>
        </w:rPr>
      </w:pPr>
    </w:p>
    <w:p w:rsidR="000A23BA" w:rsidRDefault="000A23BA" w:rsidP="00CD71EA">
      <w:pPr>
        <w:rPr>
          <w:b/>
          <w:sz w:val="24"/>
          <w:szCs w:val="24"/>
          <w:u w:val="single"/>
        </w:rPr>
      </w:pPr>
    </w:p>
    <w:p w:rsidR="000A23BA" w:rsidRDefault="000A23BA" w:rsidP="00CD71EA">
      <w:pPr>
        <w:rPr>
          <w:b/>
          <w:sz w:val="24"/>
          <w:szCs w:val="24"/>
          <w:u w:val="single"/>
        </w:rPr>
      </w:pPr>
    </w:p>
    <w:p w:rsidR="002776B9" w:rsidRDefault="000A23BA" w:rsidP="00CD71EA">
      <w:pPr>
        <w:rPr>
          <w:b/>
          <w:sz w:val="24"/>
          <w:szCs w:val="24"/>
          <w:u w:val="single"/>
        </w:rPr>
      </w:pPr>
      <w:r>
        <w:rPr>
          <w:b/>
          <w:sz w:val="24"/>
          <w:szCs w:val="24"/>
          <w:u w:val="single"/>
        </w:rPr>
        <w:t>Conclusion</w:t>
      </w:r>
    </w:p>
    <w:p w:rsidR="000A23BA" w:rsidRDefault="000A23BA" w:rsidP="00CD71EA">
      <w:pPr>
        <w:rPr>
          <w:sz w:val="24"/>
          <w:szCs w:val="24"/>
        </w:rPr>
      </w:pPr>
      <w:r>
        <w:rPr>
          <w:sz w:val="24"/>
          <w:szCs w:val="24"/>
        </w:rPr>
        <w:t xml:space="preserve">The impression I get from this article is that the author may be of the </w:t>
      </w:r>
      <w:r w:rsidR="00103E36">
        <w:rPr>
          <w:sz w:val="24"/>
          <w:szCs w:val="24"/>
        </w:rPr>
        <w:t>belief</w:t>
      </w:r>
      <w:r>
        <w:rPr>
          <w:sz w:val="24"/>
          <w:szCs w:val="24"/>
        </w:rPr>
        <w:t xml:space="preserve"> that inclusive education is not working as it should, therefore is on a mission to support her opinion with this case study approach to her paper.  By using five TA’s who are currently experiencing various difficulties within their role, Suzanne Mackenzie (author) </w:t>
      </w:r>
      <w:proofErr w:type="gramStart"/>
      <w:r>
        <w:rPr>
          <w:sz w:val="24"/>
          <w:szCs w:val="24"/>
        </w:rPr>
        <w:t>is able to</w:t>
      </w:r>
      <w:proofErr w:type="gramEnd"/>
      <w:r>
        <w:rPr>
          <w:sz w:val="24"/>
          <w:szCs w:val="24"/>
        </w:rPr>
        <w:t xml:space="preserve"> prove her theory to some small degree, that there are problems within the inclusive education system.</w:t>
      </w:r>
      <w:r w:rsidR="00103E36">
        <w:rPr>
          <w:sz w:val="24"/>
          <w:szCs w:val="24"/>
        </w:rPr>
        <w:t xml:space="preserve">  The article has a rather negative feel to it for this reason.</w:t>
      </w:r>
    </w:p>
    <w:p w:rsidR="001376F9" w:rsidRDefault="00103E36" w:rsidP="00CD71EA">
      <w:pPr>
        <w:rPr>
          <w:sz w:val="24"/>
          <w:szCs w:val="24"/>
        </w:rPr>
      </w:pPr>
      <w:r>
        <w:rPr>
          <w:sz w:val="24"/>
          <w:szCs w:val="24"/>
        </w:rPr>
        <w:t>I believe the author is stating feelings and beliefs that many people working in this profession will agree with, however there will be others reading this article who would argue that inclusion is essential for SEN children to have the same opportunities as mainstream children and for us to teach our children how to grow and live in an inclusive environment.  I do feel that the opposing opinions will come from the staff on the front line of inclusive education and those who set the guidelines in the first place.</w:t>
      </w:r>
      <w:r w:rsidR="001376F9">
        <w:rPr>
          <w:sz w:val="24"/>
          <w:szCs w:val="24"/>
        </w:rPr>
        <w:t xml:space="preserve">  Unfortunately, for many schools there are hurdles to overcome before inclusion can be implemented successfully.  Issues of funding, staffing, training, targets etc. will all </w:t>
      </w:r>
      <w:proofErr w:type="gramStart"/>
      <w:r w:rsidR="001376F9">
        <w:rPr>
          <w:sz w:val="24"/>
          <w:szCs w:val="24"/>
        </w:rPr>
        <w:t>have an effect on</w:t>
      </w:r>
      <w:proofErr w:type="gramEnd"/>
      <w:r w:rsidR="001376F9">
        <w:rPr>
          <w:sz w:val="24"/>
          <w:szCs w:val="24"/>
        </w:rPr>
        <w:t xml:space="preserve"> the overall standard of inclusion.</w:t>
      </w:r>
    </w:p>
    <w:p w:rsidR="00103E36" w:rsidRDefault="00C92BC9" w:rsidP="00CD71EA">
      <w:pPr>
        <w:rPr>
          <w:sz w:val="24"/>
          <w:szCs w:val="24"/>
        </w:rPr>
      </w:pPr>
      <w:r>
        <w:rPr>
          <w:sz w:val="24"/>
          <w:szCs w:val="24"/>
        </w:rPr>
        <w:t>Garry Hornby (2011) wrote a paper for the International Journal of Disability, Development and Education.  He stated that an Australian scholar (</w:t>
      </w:r>
      <w:r w:rsidRPr="00CE163A">
        <w:rPr>
          <w:i/>
          <w:sz w:val="24"/>
          <w:szCs w:val="24"/>
        </w:rPr>
        <w:t xml:space="preserve">Jenkinson </w:t>
      </w:r>
      <w:r w:rsidR="00CE163A">
        <w:rPr>
          <w:i/>
          <w:sz w:val="24"/>
          <w:szCs w:val="24"/>
        </w:rPr>
        <w:t>(</w:t>
      </w:r>
      <w:r w:rsidRPr="00CE163A">
        <w:rPr>
          <w:i/>
          <w:sz w:val="24"/>
          <w:szCs w:val="24"/>
        </w:rPr>
        <w:t>1997</w:t>
      </w:r>
      <w:r w:rsidR="00CE163A">
        <w:rPr>
          <w:i/>
          <w:sz w:val="24"/>
          <w:szCs w:val="24"/>
        </w:rPr>
        <w:t>)</w:t>
      </w:r>
      <w:r>
        <w:rPr>
          <w:sz w:val="24"/>
          <w:szCs w:val="24"/>
        </w:rPr>
        <w:t>) had researched SEN in both mainstream and special school settings in Australia, Canada and The United Kingdom.  Jenkinson reported that during the 1990’s, a number of schools in Australia that were looking to phase out special schools, abandoned the idea and reinstated these schools to protect the interests and meet the needs of children with SEN, believing that inclusion across the board is not</w:t>
      </w:r>
      <w:r w:rsidR="00AB1FAA">
        <w:rPr>
          <w:sz w:val="24"/>
          <w:szCs w:val="24"/>
        </w:rPr>
        <w:t xml:space="preserve"> practicable.</w:t>
      </w:r>
    </w:p>
    <w:p w:rsidR="00AB1FAA" w:rsidRDefault="00AB1FAA" w:rsidP="00CD71EA">
      <w:pPr>
        <w:rPr>
          <w:sz w:val="24"/>
          <w:szCs w:val="24"/>
        </w:rPr>
      </w:pPr>
      <w:r>
        <w:rPr>
          <w:sz w:val="24"/>
          <w:szCs w:val="24"/>
        </w:rPr>
        <w:t xml:space="preserve">Overall, I believe the article to be informative, and to many readers it will be truthful and fair.  I do believe however, that it would be less negative if the author (Suzanne Mackenzie) had interviewed some TA’s who felt that inclusion is working.  Having the opportunity to ask those TA’s why inclusion works for them may have given us a less one-sided argument and it </w:t>
      </w:r>
      <w:r>
        <w:rPr>
          <w:sz w:val="24"/>
          <w:szCs w:val="24"/>
        </w:rPr>
        <w:lastRenderedPageBreak/>
        <w:t>may have given the more negative amongst the TA’s a view into how inclusion can work successfully when implemented correctly.   As a TA myself, I completely agree that a lack of training, lack of funding and increase in pressure for schools to meet government targets all have a negative impact on the implementation of inclusion.</w:t>
      </w:r>
    </w:p>
    <w:p w:rsidR="00DD30E1" w:rsidRDefault="00DD30E1" w:rsidP="00CD71EA">
      <w:pPr>
        <w:rPr>
          <w:sz w:val="24"/>
          <w:szCs w:val="24"/>
        </w:rPr>
      </w:pPr>
    </w:p>
    <w:p w:rsidR="00DD30E1" w:rsidRDefault="00DD30E1" w:rsidP="00CD71EA">
      <w:pPr>
        <w:rPr>
          <w:b/>
          <w:sz w:val="24"/>
          <w:szCs w:val="24"/>
          <w:u w:val="single"/>
        </w:rPr>
      </w:pPr>
    </w:p>
    <w:p w:rsidR="00DD30E1" w:rsidRDefault="00DD30E1" w:rsidP="00CD71EA">
      <w:pPr>
        <w:rPr>
          <w:b/>
          <w:sz w:val="24"/>
          <w:szCs w:val="24"/>
          <w:u w:val="single"/>
        </w:rPr>
      </w:pPr>
    </w:p>
    <w:p w:rsidR="00DD30E1" w:rsidRDefault="00DD30E1" w:rsidP="00CD71EA">
      <w:pPr>
        <w:rPr>
          <w:b/>
          <w:sz w:val="24"/>
          <w:szCs w:val="24"/>
          <w:u w:val="single"/>
        </w:rPr>
      </w:pPr>
    </w:p>
    <w:p w:rsidR="00DD30E1" w:rsidRDefault="00DD30E1" w:rsidP="00CD71EA">
      <w:pPr>
        <w:rPr>
          <w:b/>
          <w:sz w:val="24"/>
          <w:szCs w:val="24"/>
          <w:u w:val="single"/>
        </w:rPr>
      </w:pPr>
    </w:p>
    <w:p w:rsidR="00DD30E1" w:rsidRPr="00ED2B28" w:rsidRDefault="00DD30E1" w:rsidP="00ED2B28">
      <w:pPr>
        <w:rPr>
          <w:b/>
          <w:sz w:val="24"/>
          <w:szCs w:val="24"/>
          <w:u w:val="single"/>
        </w:rPr>
      </w:pPr>
      <w:r w:rsidRPr="00ED2B28">
        <w:rPr>
          <w:b/>
          <w:sz w:val="24"/>
          <w:szCs w:val="24"/>
          <w:u w:val="single"/>
        </w:rPr>
        <w:t>Reference list:</w:t>
      </w:r>
    </w:p>
    <w:p w:rsidR="00DD30E1" w:rsidRPr="00ED2B28" w:rsidRDefault="00DD30E1" w:rsidP="00ED2B28">
      <w:pPr>
        <w:pStyle w:val="ListParagraph"/>
        <w:numPr>
          <w:ilvl w:val="0"/>
          <w:numId w:val="4"/>
        </w:numPr>
        <w:rPr>
          <w:sz w:val="24"/>
          <w:szCs w:val="24"/>
        </w:rPr>
      </w:pPr>
      <w:r w:rsidRPr="00ED2B28">
        <w:rPr>
          <w:sz w:val="24"/>
          <w:szCs w:val="24"/>
        </w:rPr>
        <w:t>Hornby, G.  (2011).  Inclusive education for children with SEN:  A critique – International Journal of Disability, Development and Education, Vol 58.</w:t>
      </w:r>
    </w:p>
    <w:p w:rsidR="00943DDD" w:rsidRPr="00ED2B28" w:rsidRDefault="00943DDD" w:rsidP="00ED2B28">
      <w:pPr>
        <w:pStyle w:val="ListParagraph"/>
        <w:numPr>
          <w:ilvl w:val="0"/>
          <w:numId w:val="4"/>
        </w:numPr>
        <w:rPr>
          <w:sz w:val="24"/>
          <w:szCs w:val="24"/>
        </w:rPr>
      </w:pPr>
      <w:r w:rsidRPr="00ED2B28">
        <w:rPr>
          <w:sz w:val="24"/>
          <w:szCs w:val="24"/>
        </w:rPr>
        <w:t>Mackenzie, S.  (2001).  ‘Yes, But…’:  rhetoric, reality and resistance in teaching assistance’ experiences of inclusive education.  Support for Learning.</w:t>
      </w:r>
    </w:p>
    <w:p w:rsidR="002270FC" w:rsidRPr="00ED2B28" w:rsidRDefault="002270FC" w:rsidP="00ED2B28">
      <w:pPr>
        <w:pStyle w:val="ListParagraph"/>
        <w:numPr>
          <w:ilvl w:val="0"/>
          <w:numId w:val="4"/>
        </w:numPr>
        <w:rPr>
          <w:sz w:val="24"/>
          <w:szCs w:val="24"/>
        </w:rPr>
      </w:pPr>
      <w:proofErr w:type="spellStart"/>
      <w:r w:rsidRPr="00ED2B28">
        <w:rPr>
          <w:sz w:val="24"/>
          <w:szCs w:val="24"/>
        </w:rPr>
        <w:t>Sok</w:t>
      </w:r>
      <w:proofErr w:type="spellEnd"/>
      <w:r w:rsidRPr="00ED2B28">
        <w:rPr>
          <w:sz w:val="24"/>
          <w:szCs w:val="24"/>
        </w:rPr>
        <w:t xml:space="preserve"> and </w:t>
      </w:r>
      <w:proofErr w:type="spellStart"/>
      <w:r w:rsidRPr="00ED2B28">
        <w:rPr>
          <w:sz w:val="24"/>
          <w:szCs w:val="24"/>
        </w:rPr>
        <w:t>Skriv</w:t>
      </w:r>
      <w:proofErr w:type="spellEnd"/>
      <w:r w:rsidRPr="00ED2B28">
        <w:rPr>
          <w:sz w:val="24"/>
          <w:szCs w:val="24"/>
        </w:rPr>
        <w:t xml:space="preserve"> (2017) Language and Style. Available at </w:t>
      </w:r>
      <w:hyperlink r:id="rId5" w:history="1">
        <w:r w:rsidRPr="00ED2B28">
          <w:rPr>
            <w:rStyle w:val="Hyperlink"/>
            <w:sz w:val="24"/>
            <w:szCs w:val="24"/>
          </w:rPr>
          <w:t>www.sciencedirect.com/science/article/pii/S0898589814000060</w:t>
        </w:r>
      </w:hyperlink>
      <w:r w:rsidRPr="00ED2B28">
        <w:rPr>
          <w:sz w:val="24"/>
          <w:szCs w:val="24"/>
        </w:rPr>
        <w:t>.  Accessed on 13</w:t>
      </w:r>
      <w:r w:rsidRPr="00ED2B28">
        <w:rPr>
          <w:sz w:val="24"/>
          <w:szCs w:val="24"/>
          <w:vertAlign w:val="superscript"/>
        </w:rPr>
        <w:t>th</w:t>
      </w:r>
      <w:r w:rsidRPr="00ED2B28">
        <w:rPr>
          <w:sz w:val="24"/>
          <w:szCs w:val="24"/>
        </w:rPr>
        <w:t xml:space="preserve"> October 2018.</w:t>
      </w:r>
    </w:p>
    <w:p w:rsidR="00ED2B28" w:rsidRPr="00ED2B28" w:rsidRDefault="00ED2B28" w:rsidP="00ED2B28">
      <w:pPr>
        <w:pStyle w:val="ListParagraph"/>
        <w:numPr>
          <w:ilvl w:val="0"/>
          <w:numId w:val="4"/>
        </w:numPr>
        <w:rPr>
          <w:sz w:val="24"/>
          <w:szCs w:val="24"/>
        </w:rPr>
      </w:pPr>
      <w:r w:rsidRPr="00ED2B28">
        <w:rPr>
          <w:sz w:val="24"/>
          <w:szCs w:val="24"/>
        </w:rPr>
        <w:t xml:space="preserve">University of Greenwich, (no date).  Academic Writing Skills.  Available at </w:t>
      </w:r>
      <w:hyperlink r:id="rId6" w:history="1">
        <w:r w:rsidRPr="00ED2B28">
          <w:rPr>
            <w:rStyle w:val="Hyperlink"/>
            <w:sz w:val="24"/>
            <w:szCs w:val="24"/>
          </w:rPr>
          <w:t>www.gre.ac.uk/articles/academicskills/academic-writing</w:t>
        </w:r>
      </w:hyperlink>
      <w:r w:rsidRPr="00ED2B28">
        <w:rPr>
          <w:sz w:val="24"/>
          <w:szCs w:val="24"/>
        </w:rPr>
        <w:t>.  Accessed on 13</w:t>
      </w:r>
      <w:r w:rsidRPr="00ED2B28">
        <w:rPr>
          <w:sz w:val="24"/>
          <w:szCs w:val="24"/>
          <w:vertAlign w:val="superscript"/>
        </w:rPr>
        <w:t>th</w:t>
      </w:r>
      <w:r w:rsidRPr="00ED2B28">
        <w:rPr>
          <w:sz w:val="24"/>
          <w:szCs w:val="24"/>
        </w:rPr>
        <w:t xml:space="preserve"> October 2018.</w:t>
      </w:r>
    </w:p>
    <w:p w:rsidR="00943DDD" w:rsidRPr="00DD30E1" w:rsidRDefault="00943DDD" w:rsidP="00CD71EA">
      <w:pPr>
        <w:rPr>
          <w:sz w:val="24"/>
          <w:szCs w:val="24"/>
        </w:rPr>
      </w:pPr>
    </w:p>
    <w:p w:rsidR="000A23BA" w:rsidRDefault="000A23BA" w:rsidP="00CD71EA">
      <w:pPr>
        <w:rPr>
          <w:sz w:val="24"/>
          <w:szCs w:val="24"/>
        </w:rPr>
      </w:pPr>
      <w:r>
        <w:rPr>
          <w:sz w:val="24"/>
          <w:szCs w:val="24"/>
        </w:rPr>
        <w:t xml:space="preserve">  </w:t>
      </w:r>
    </w:p>
    <w:p w:rsidR="000A23BA" w:rsidRPr="000A23BA" w:rsidRDefault="000A23BA" w:rsidP="00CD71EA">
      <w:pPr>
        <w:rPr>
          <w:sz w:val="24"/>
          <w:szCs w:val="24"/>
        </w:rPr>
      </w:pPr>
    </w:p>
    <w:p w:rsidR="001F40B0" w:rsidRDefault="001F40B0" w:rsidP="00CD71EA">
      <w:pPr>
        <w:rPr>
          <w:sz w:val="24"/>
          <w:szCs w:val="24"/>
        </w:rPr>
      </w:pPr>
    </w:p>
    <w:p w:rsidR="0097427B" w:rsidRDefault="0097427B" w:rsidP="00CD71EA">
      <w:pPr>
        <w:rPr>
          <w:sz w:val="24"/>
          <w:szCs w:val="24"/>
        </w:rPr>
      </w:pPr>
    </w:p>
    <w:p w:rsidR="00CD71EA" w:rsidRDefault="00CD71EA" w:rsidP="00CD71EA">
      <w:pPr>
        <w:rPr>
          <w:sz w:val="24"/>
          <w:szCs w:val="24"/>
        </w:rPr>
      </w:pPr>
    </w:p>
    <w:p w:rsidR="004A086E" w:rsidRDefault="004A086E" w:rsidP="00EF5BA4">
      <w:pPr>
        <w:rPr>
          <w:sz w:val="24"/>
          <w:szCs w:val="24"/>
        </w:rPr>
      </w:pPr>
    </w:p>
    <w:p w:rsidR="007C2A04" w:rsidRPr="00EF5BA4" w:rsidRDefault="007C2A04" w:rsidP="00EF5BA4">
      <w:pPr>
        <w:rPr>
          <w:sz w:val="24"/>
          <w:szCs w:val="24"/>
        </w:rPr>
      </w:pPr>
    </w:p>
    <w:p w:rsidR="00EF5BA4" w:rsidRPr="00945773" w:rsidRDefault="00EF5BA4" w:rsidP="00742DE6">
      <w:pPr>
        <w:rPr>
          <w:sz w:val="24"/>
          <w:szCs w:val="24"/>
        </w:rPr>
      </w:pPr>
    </w:p>
    <w:sectPr w:rsidR="00EF5BA4" w:rsidRPr="009457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C4763"/>
    <w:multiLevelType w:val="hybridMultilevel"/>
    <w:tmpl w:val="A2D20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21106"/>
    <w:multiLevelType w:val="hybridMultilevel"/>
    <w:tmpl w:val="62B41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EF05B3"/>
    <w:multiLevelType w:val="hybridMultilevel"/>
    <w:tmpl w:val="322AD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274CE4"/>
    <w:multiLevelType w:val="hybridMultilevel"/>
    <w:tmpl w:val="0090FB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DE6"/>
    <w:rsid w:val="000A23BA"/>
    <w:rsid w:val="00103E36"/>
    <w:rsid w:val="00127304"/>
    <w:rsid w:val="001376F9"/>
    <w:rsid w:val="001401B8"/>
    <w:rsid w:val="00162CF0"/>
    <w:rsid w:val="001F40B0"/>
    <w:rsid w:val="002270FC"/>
    <w:rsid w:val="002776B9"/>
    <w:rsid w:val="002E4179"/>
    <w:rsid w:val="00427D30"/>
    <w:rsid w:val="00446A76"/>
    <w:rsid w:val="004A086E"/>
    <w:rsid w:val="005C7465"/>
    <w:rsid w:val="005E66CC"/>
    <w:rsid w:val="00742DE6"/>
    <w:rsid w:val="00754E13"/>
    <w:rsid w:val="007C2A04"/>
    <w:rsid w:val="008B12B7"/>
    <w:rsid w:val="00943DDD"/>
    <w:rsid w:val="00945773"/>
    <w:rsid w:val="0097427B"/>
    <w:rsid w:val="009B7815"/>
    <w:rsid w:val="00A5598E"/>
    <w:rsid w:val="00AB1FAA"/>
    <w:rsid w:val="00B61342"/>
    <w:rsid w:val="00BE1767"/>
    <w:rsid w:val="00C3373F"/>
    <w:rsid w:val="00C92BC9"/>
    <w:rsid w:val="00CD71EA"/>
    <w:rsid w:val="00CE163A"/>
    <w:rsid w:val="00D652BF"/>
    <w:rsid w:val="00DA17B7"/>
    <w:rsid w:val="00DD30E1"/>
    <w:rsid w:val="00ED2B28"/>
    <w:rsid w:val="00EE572A"/>
    <w:rsid w:val="00EF5BA4"/>
    <w:rsid w:val="00F0277A"/>
    <w:rsid w:val="00F06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D9556"/>
  <w15:chartTrackingRefBased/>
  <w15:docId w15:val="{79017429-3B5A-4CEF-8AD4-7F01C7052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BA4"/>
    <w:pPr>
      <w:ind w:left="720"/>
      <w:contextualSpacing/>
    </w:pPr>
  </w:style>
  <w:style w:type="character" w:styleId="Hyperlink">
    <w:name w:val="Hyperlink"/>
    <w:basedOn w:val="DefaultParagraphFont"/>
    <w:uiPriority w:val="99"/>
    <w:unhideWhenUsed/>
    <w:rsid w:val="002270FC"/>
    <w:rPr>
      <w:color w:val="0000FF" w:themeColor="hyperlink"/>
      <w:u w:val="single"/>
    </w:rPr>
  </w:style>
  <w:style w:type="character" w:styleId="UnresolvedMention">
    <w:name w:val="Unresolved Mention"/>
    <w:basedOn w:val="DefaultParagraphFont"/>
    <w:uiPriority w:val="99"/>
    <w:semiHidden/>
    <w:unhideWhenUsed/>
    <w:rsid w:val="002270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5488">
      <w:bodyDiv w:val="1"/>
      <w:marLeft w:val="0"/>
      <w:marRight w:val="0"/>
      <w:marTop w:val="0"/>
      <w:marBottom w:val="0"/>
      <w:divBdr>
        <w:top w:val="none" w:sz="0" w:space="0" w:color="auto"/>
        <w:left w:val="none" w:sz="0" w:space="0" w:color="auto"/>
        <w:bottom w:val="none" w:sz="0" w:space="0" w:color="auto"/>
        <w:right w:val="none" w:sz="0" w:space="0" w:color="auto"/>
      </w:divBdr>
      <w:divsChild>
        <w:div w:id="1075320036">
          <w:marLeft w:val="0"/>
          <w:marRight w:val="0"/>
          <w:marTop w:val="0"/>
          <w:marBottom w:val="0"/>
          <w:divBdr>
            <w:top w:val="none" w:sz="0" w:space="0" w:color="auto"/>
            <w:left w:val="none" w:sz="0" w:space="0" w:color="auto"/>
            <w:bottom w:val="none" w:sz="0" w:space="0" w:color="auto"/>
            <w:right w:val="none" w:sz="0" w:space="0" w:color="auto"/>
          </w:divBdr>
          <w:divsChild>
            <w:div w:id="107897965">
              <w:marLeft w:val="0"/>
              <w:marRight w:val="0"/>
              <w:marTop w:val="150"/>
              <w:marBottom w:val="0"/>
              <w:divBdr>
                <w:top w:val="single" w:sz="6" w:space="8" w:color="DDDDDD"/>
                <w:left w:val="single" w:sz="6" w:space="0" w:color="DDDDDD"/>
                <w:bottom w:val="single" w:sz="6" w:space="0" w:color="DDDDDD"/>
                <w:right w:val="single" w:sz="6" w:space="0" w:color="DDDDDD"/>
              </w:divBdr>
              <w:divsChild>
                <w:div w:id="966665886">
                  <w:marLeft w:val="0"/>
                  <w:marRight w:val="-26"/>
                  <w:marTop w:val="0"/>
                  <w:marBottom w:val="0"/>
                  <w:divBdr>
                    <w:top w:val="none" w:sz="0" w:space="0" w:color="auto"/>
                    <w:left w:val="none" w:sz="0" w:space="0" w:color="auto"/>
                    <w:bottom w:val="none" w:sz="0" w:space="0" w:color="auto"/>
                    <w:right w:val="none" w:sz="0" w:space="0" w:color="auto"/>
                  </w:divBdr>
                  <w:divsChild>
                    <w:div w:id="402722648">
                      <w:marLeft w:val="7"/>
                      <w:marRight w:val="34"/>
                      <w:marTop w:val="0"/>
                      <w:marBottom w:val="0"/>
                      <w:divBdr>
                        <w:top w:val="none" w:sz="0" w:space="0" w:color="auto"/>
                        <w:left w:val="none" w:sz="0" w:space="0" w:color="auto"/>
                        <w:bottom w:val="none" w:sz="0" w:space="0" w:color="auto"/>
                        <w:right w:val="none" w:sz="0" w:space="0" w:color="auto"/>
                      </w:divBdr>
                      <w:divsChild>
                        <w:div w:id="167229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re.ac.uk/articles/academicskills/academic-writing" TargetMode="External"/><Relationship Id="rId5" Type="http://schemas.openxmlformats.org/officeDocument/2006/relationships/hyperlink" Target="http://www.sciencedirect.com/science/article/pii/S089858981400006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2077</Words>
  <Characters>11841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dc:creator>
  <cp:keywords/>
  <dc:description/>
  <cp:lastModifiedBy>martyn</cp:lastModifiedBy>
  <cp:revision>2</cp:revision>
  <dcterms:created xsi:type="dcterms:W3CDTF">2018-10-13T18:25:00Z</dcterms:created>
  <dcterms:modified xsi:type="dcterms:W3CDTF">2018-10-13T18:25:00Z</dcterms:modified>
</cp:coreProperties>
</file>