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97985" w14:textId="40CD0FB9" w:rsidR="00C27AC6" w:rsidRPr="001A5EB9" w:rsidRDefault="00CA7CB6" w:rsidP="00C27AC6">
      <w:pPr>
        <w:spacing w:line="360" w:lineRule="auto"/>
        <w:rPr>
          <w:rFonts w:ascii="Arial" w:hAnsi="Arial" w:cs="Arial"/>
          <w:sz w:val="22"/>
        </w:rPr>
      </w:pPr>
      <w:r w:rsidRPr="001A5EB9">
        <w:rPr>
          <w:rFonts w:ascii="Arial" w:hAnsi="Arial" w:cs="Arial"/>
          <w:noProof/>
          <w:sz w:val="22"/>
        </w:rPr>
        <w:drawing>
          <wp:inline distT="0" distB="0" distL="0" distR="0" wp14:anchorId="07D2D6DE" wp14:editId="3E89B959">
            <wp:extent cx="2619375" cy="1165894"/>
            <wp:effectExtent l="0" t="0" r="0" b="0"/>
            <wp:docPr id="50927947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7D164017" w14:textId="77777777" w:rsidR="00C27AC6" w:rsidRPr="001A5EB9" w:rsidRDefault="00C27AC6" w:rsidP="00C27AC6">
      <w:pPr>
        <w:spacing w:line="360" w:lineRule="auto"/>
        <w:rPr>
          <w:rFonts w:ascii="Arial" w:hAnsi="Arial" w:cs="Arial"/>
          <w:sz w:val="22"/>
        </w:rPr>
      </w:pPr>
    </w:p>
    <w:p w14:paraId="59A59CC1" w14:textId="77777777" w:rsidR="00C27AC6" w:rsidRPr="001A5EB9" w:rsidRDefault="00C27AC6" w:rsidP="00C27AC6">
      <w:pPr>
        <w:spacing w:line="360" w:lineRule="auto"/>
        <w:rPr>
          <w:rFonts w:ascii="Arial" w:hAnsi="Arial" w:cs="Arial"/>
          <w:sz w:val="22"/>
        </w:rPr>
      </w:pPr>
    </w:p>
    <w:p w14:paraId="417B6F41" w14:textId="0C725581" w:rsidR="00C27AC6" w:rsidRPr="001A5EB9" w:rsidRDefault="00C27AC6" w:rsidP="00C27AC6">
      <w:pPr>
        <w:spacing w:line="360" w:lineRule="auto"/>
        <w:rPr>
          <w:rFonts w:ascii="Arial" w:eastAsia="Arial Nova" w:hAnsi="Arial" w:cs="Arial"/>
          <w:sz w:val="22"/>
        </w:rPr>
      </w:pPr>
      <w:r w:rsidRPr="001A5EB9">
        <w:rPr>
          <w:rFonts w:ascii="Arial" w:eastAsia="Arial Nova" w:hAnsi="Arial" w:cs="Arial"/>
          <w:sz w:val="22"/>
        </w:rPr>
        <w:t xml:space="preserve">Name: </w:t>
      </w:r>
      <w:r w:rsidR="007800F4" w:rsidRPr="001A5EB9">
        <w:rPr>
          <w:rFonts w:ascii="Arial" w:eastAsia="Arial Nova" w:hAnsi="Arial" w:cs="Arial"/>
          <w:sz w:val="22"/>
        </w:rPr>
        <w:t>Eduarda Pimentel</w:t>
      </w:r>
    </w:p>
    <w:p w14:paraId="3767F3F8" w14:textId="19523F6D" w:rsidR="00C27AC6" w:rsidRPr="001A5EB9" w:rsidRDefault="00C27AC6" w:rsidP="00C27AC6">
      <w:pPr>
        <w:spacing w:line="360" w:lineRule="auto"/>
        <w:rPr>
          <w:rFonts w:ascii="Arial" w:eastAsia="Arial Nova" w:hAnsi="Arial" w:cs="Arial"/>
          <w:sz w:val="22"/>
        </w:rPr>
      </w:pPr>
      <w:r w:rsidRPr="001A5EB9">
        <w:rPr>
          <w:rFonts w:ascii="Arial" w:eastAsia="Arial Nova" w:hAnsi="Arial" w:cs="Arial"/>
          <w:sz w:val="22"/>
        </w:rPr>
        <w:t xml:space="preserve">Student ID: </w:t>
      </w:r>
      <w:r w:rsidR="007800F4" w:rsidRPr="001A5EB9">
        <w:rPr>
          <w:rFonts w:ascii="Arial" w:eastAsia="Arial Nova" w:hAnsi="Arial" w:cs="Arial"/>
          <w:sz w:val="22"/>
        </w:rPr>
        <w:t>2436860</w:t>
      </w:r>
    </w:p>
    <w:p w14:paraId="2A074564" w14:textId="2905FD6A" w:rsidR="00C27AC6" w:rsidRPr="001A5EB9" w:rsidRDefault="00C27AC6" w:rsidP="00C27AC6">
      <w:pPr>
        <w:spacing w:line="360" w:lineRule="auto"/>
        <w:rPr>
          <w:rFonts w:ascii="Arial" w:eastAsia="Arial Nova" w:hAnsi="Arial" w:cs="Arial"/>
          <w:sz w:val="22"/>
        </w:rPr>
      </w:pPr>
      <w:r w:rsidRPr="001A5EB9">
        <w:rPr>
          <w:rFonts w:ascii="Arial" w:eastAsia="Arial Nova" w:hAnsi="Arial" w:cs="Arial"/>
          <w:sz w:val="22"/>
        </w:rPr>
        <w:t>Module Code: LCHS400</w:t>
      </w:r>
      <w:r w:rsidR="00C06B68" w:rsidRPr="001A5EB9">
        <w:rPr>
          <w:rFonts w:ascii="Arial" w:eastAsia="Arial Nova" w:hAnsi="Arial" w:cs="Arial"/>
          <w:sz w:val="22"/>
        </w:rPr>
        <w:t>3</w:t>
      </w:r>
      <w:r w:rsidRPr="001A5EB9">
        <w:rPr>
          <w:rFonts w:ascii="Arial" w:eastAsia="Arial Nova" w:hAnsi="Arial" w:cs="Arial"/>
          <w:sz w:val="22"/>
        </w:rPr>
        <w:t>_BIRM</w:t>
      </w:r>
    </w:p>
    <w:p w14:paraId="73FDCE10" w14:textId="5F8BA8C7" w:rsidR="00C27AC6" w:rsidRPr="001A5EB9" w:rsidRDefault="00C27AC6" w:rsidP="00C27AC6">
      <w:pPr>
        <w:spacing w:line="360" w:lineRule="auto"/>
        <w:rPr>
          <w:rFonts w:ascii="Arial" w:eastAsia="Arial Nova" w:hAnsi="Arial" w:cs="Arial"/>
          <w:sz w:val="22"/>
        </w:rPr>
      </w:pPr>
      <w:r w:rsidRPr="001A5EB9">
        <w:rPr>
          <w:rFonts w:ascii="Arial" w:eastAsia="Arial Nova" w:hAnsi="Arial" w:cs="Arial"/>
          <w:sz w:val="22"/>
        </w:rPr>
        <w:t xml:space="preserve">Module: </w:t>
      </w:r>
      <w:r w:rsidR="00C06B68" w:rsidRPr="001A5EB9">
        <w:rPr>
          <w:rFonts w:ascii="Arial" w:eastAsia="Arial Nova" w:hAnsi="Arial" w:cs="Arial"/>
          <w:sz w:val="22"/>
        </w:rPr>
        <w:t>introduction to Health and Social Care</w:t>
      </w:r>
    </w:p>
    <w:p w14:paraId="6AD7399D" w14:textId="468158DC" w:rsidR="00C27AC6" w:rsidRPr="001A5EB9" w:rsidRDefault="00C27AC6" w:rsidP="00C27AC6">
      <w:pPr>
        <w:spacing w:line="360" w:lineRule="auto"/>
        <w:rPr>
          <w:rFonts w:ascii="Arial" w:eastAsia="Arial Nova" w:hAnsi="Arial" w:cs="Arial"/>
          <w:sz w:val="22"/>
        </w:rPr>
      </w:pPr>
      <w:r w:rsidRPr="001A5EB9">
        <w:rPr>
          <w:rFonts w:ascii="Arial" w:eastAsia="Arial Nova" w:hAnsi="Arial" w:cs="Arial"/>
          <w:sz w:val="22"/>
        </w:rPr>
        <w:t xml:space="preserve">Lecturer: </w:t>
      </w:r>
      <w:r w:rsidR="00E115C9">
        <w:rPr>
          <w:rFonts w:ascii="Arial" w:eastAsia="Arial Nova" w:hAnsi="Arial" w:cs="Arial"/>
          <w:sz w:val="22"/>
        </w:rPr>
        <w:t xml:space="preserve">Dr </w:t>
      </w:r>
      <w:r w:rsidR="00C06B68" w:rsidRPr="001A5EB9">
        <w:rPr>
          <w:rFonts w:ascii="Arial" w:eastAsia="Arial Nova" w:hAnsi="Arial" w:cs="Arial"/>
          <w:sz w:val="22"/>
        </w:rPr>
        <w:t>A</w:t>
      </w:r>
      <w:r w:rsidR="00A20C13" w:rsidRPr="001A5EB9">
        <w:rPr>
          <w:rFonts w:ascii="Arial" w:eastAsia="Arial Nova" w:hAnsi="Arial" w:cs="Arial"/>
          <w:sz w:val="22"/>
        </w:rPr>
        <w:t xml:space="preserve">ishat </w:t>
      </w:r>
      <w:proofErr w:type="spellStart"/>
      <w:r w:rsidR="00A20C13" w:rsidRPr="001A5EB9">
        <w:rPr>
          <w:rFonts w:ascii="Arial" w:eastAsia="Arial Nova" w:hAnsi="Arial" w:cs="Arial"/>
          <w:sz w:val="22"/>
        </w:rPr>
        <w:t>Bakre</w:t>
      </w:r>
      <w:proofErr w:type="spellEnd"/>
    </w:p>
    <w:p w14:paraId="5DCA3B56" w14:textId="77777777" w:rsidR="00C27AC6" w:rsidRPr="001A5EB9" w:rsidRDefault="00C27AC6" w:rsidP="00C27AC6">
      <w:pPr>
        <w:spacing w:line="360" w:lineRule="auto"/>
        <w:jc w:val="both"/>
        <w:rPr>
          <w:rFonts w:ascii="Arial" w:hAnsi="Arial" w:cs="Arial"/>
          <w:sz w:val="22"/>
        </w:rPr>
      </w:pPr>
    </w:p>
    <w:p w14:paraId="32534376" w14:textId="77777777" w:rsidR="00C27AC6" w:rsidRPr="001A5EB9" w:rsidRDefault="00C27AC6" w:rsidP="00C27AC6">
      <w:pPr>
        <w:spacing w:line="360" w:lineRule="auto"/>
        <w:jc w:val="both"/>
        <w:rPr>
          <w:rFonts w:ascii="Arial" w:hAnsi="Arial" w:cs="Arial"/>
          <w:sz w:val="22"/>
        </w:rPr>
      </w:pPr>
    </w:p>
    <w:p w14:paraId="3F4FCAF4" w14:textId="77777777" w:rsidR="00C27AC6" w:rsidRPr="001A5EB9" w:rsidRDefault="00C27AC6" w:rsidP="00C27AC6">
      <w:pPr>
        <w:spacing w:line="360" w:lineRule="auto"/>
        <w:jc w:val="both"/>
        <w:rPr>
          <w:rFonts w:ascii="Arial" w:hAnsi="Arial" w:cs="Arial"/>
          <w:sz w:val="22"/>
        </w:rPr>
      </w:pPr>
    </w:p>
    <w:p w14:paraId="7329B83F" w14:textId="77777777" w:rsidR="00C27AC6" w:rsidRPr="001A5EB9" w:rsidRDefault="00C27AC6" w:rsidP="00C27AC6">
      <w:pPr>
        <w:spacing w:line="360" w:lineRule="auto"/>
        <w:jc w:val="both"/>
        <w:rPr>
          <w:rFonts w:ascii="Arial" w:hAnsi="Arial" w:cs="Arial"/>
          <w:sz w:val="22"/>
        </w:rPr>
      </w:pPr>
    </w:p>
    <w:p w14:paraId="71A78C72" w14:textId="69DD2918" w:rsidR="00C27AC6" w:rsidRPr="001A5EB9" w:rsidRDefault="00C27AC6" w:rsidP="00C27AC6">
      <w:pPr>
        <w:spacing w:line="360" w:lineRule="auto"/>
        <w:jc w:val="both"/>
        <w:rPr>
          <w:rFonts w:ascii="Arial" w:hAnsi="Arial" w:cs="Arial"/>
          <w:sz w:val="22"/>
        </w:rPr>
      </w:pPr>
      <w:r w:rsidRPr="001A5EB9">
        <w:rPr>
          <w:rFonts w:ascii="Arial" w:hAnsi="Arial" w:cs="Arial"/>
          <w:sz w:val="22"/>
        </w:rPr>
        <w:t xml:space="preserve">Submitted on:    </w:t>
      </w:r>
      <w:r w:rsidR="00B83ECB">
        <w:rPr>
          <w:rFonts w:ascii="Arial" w:hAnsi="Arial" w:cs="Arial"/>
          <w:sz w:val="22"/>
        </w:rPr>
        <w:t>18 October 2025</w:t>
      </w:r>
    </w:p>
    <w:p w14:paraId="43C3EA80" w14:textId="77777777" w:rsidR="00C27AC6" w:rsidRPr="001A5EB9" w:rsidRDefault="00C27AC6" w:rsidP="00C27AC6">
      <w:pPr>
        <w:spacing w:line="360" w:lineRule="auto"/>
        <w:jc w:val="both"/>
        <w:rPr>
          <w:rFonts w:ascii="Arial" w:hAnsi="Arial" w:cs="Arial"/>
          <w:sz w:val="22"/>
        </w:rPr>
      </w:pPr>
    </w:p>
    <w:p w14:paraId="60537D1D" w14:textId="77777777" w:rsidR="00C27AC6" w:rsidRPr="001A5EB9" w:rsidRDefault="00C27AC6" w:rsidP="00C27AC6">
      <w:pPr>
        <w:spacing w:line="360" w:lineRule="auto"/>
        <w:jc w:val="both"/>
        <w:rPr>
          <w:rFonts w:ascii="Arial" w:hAnsi="Arial" w:cs="Arial"/>
          <w:sz w:val="22"/>
        </w:rPr>
      </w:pPr>
    </w:p>
    <w:p w14:paraId="052988B9" w14:textId="453B983A" w:rsidR="00C27AC6" w:rsidRPr="001A5EB9" w:rsidRDefault="00C27AC6" w:rsidP="00C27AC6">
      <w:pPr>
        <w:spacing w:line="360" w:lineRule="auto"/>
        <w:jc w:val="both"/>
        <w:rPr>
          <w:rFonts w:ascii="Arial" w:hAnsi="Arial" w:cs="Arial"/>
          <w:sz w:val="22"/>
        </w:rPr>
      </w:pPr>
    </w:p>
    <w:p w14:paraId="1E171B57" w14:textId="6121964B" w:rsidR="00C27AC6" w:rsidRPr="001A5EB9" w:rsidRDefault="00C27AC6" w:rsidP="00C27AC6">
      <w:pPr>
        <w:pStyle w:val="Heading1"/>
        <w:spacing w:line="360" w:lineRule="auto"/>
        <w:rPr>
          <w:rFonts w:ascii="Arial" w:hAnsi="Arial" w:cs="Arial"/>
          <w:sz w:val="22"/>
          <w:szCs w:val="22"/>
        </w:rPr>
      </w:pPr>
      <w:r w:rsidRPr="001A5EB9">
        <w:rPr>
          <w:rFonts w:ascii="Arial" w:hAnsi="Arial" w:cs="Arial"/>
          <w:sz w:val="22"/>
          <w:szCs w:val="22"/>
        </w:rPr>
        <w:t>2:  Mini Report</w:t>
      </w:r>
    </w:p>
    <w:p w14:paraId="1E19DECC" w14:textId="77777777" w:rsidR="00C27AC6" w:rsidRDefault="00C27AC6" w:rsidP="00C27AC6">
      <w:pPr>
        <w:pStyle w:val="Heading2"/>
        <w:spacing w:line="360" w:lineRule="auto"/>
        <w:rPr>
          <w:rFonts w:ascii="Arial" w:hAnsi="Arial" w:cs="Arial"/>
          <w:sz w:val="22"/>
          <w:szCs w:val="22"/>
        </w:rPr>
      </w:pPr>
      <w:r w:rsidRPr="001A5EB9">
        <w:rPr>
          <w:rFonts w:ascii="Arial" w:hAnsi="Arial" w:cs="Arial"/>
          <w:sz w:val="22"/>
          <w:szCs w:val="22"/>
        </w:rPr>
        <w:t>2.1 Introduction</w:t>
      </w:r>
    </w:p>
    <w:p w14:paraId="4CF1BAC8" w14:textId="396E0231" w:rsidR="00101353" w:rsidRPr="007C1A3C" w:rsidRDefault="001C1353" w:rsidP="00F2253B">
      <w:pPr>
        <w:spacing w:line="360" w:lineRule="auto"/>
        <w:rPr>
          <w:rFonts w:ascii="Arial" w:hAnsi="Arial" w:cs="Arial"/>
        </w:rPr>
      </w:pPr>
      <w:r w:rsidRPr="003D5811">
        <w:rPr>
          <w:rFonts w:ascii="Arial" w:hAnsi="Arial" w:cs="Arial"/>
        </w:rPr>
        <w:t>The National Health Service (NHS) stands as one of the most significant social achievements in British history, embodying the principles of universal healthcare and equity</w:t>
      </w:r>
      <w:r>
        <w:rPr>
          <w:rFonts w:ascii="Arial" w:hAnsi="Arial" w:cs="Arial"/>
        </w:rPr>
        <w:t>.</w:t>
      </w:r>
      <w:r w:rsidR="00DB3EDF">
        <w:rPr>
          <w:rFonts w:ascii="Arial" w:hAnsi="Arial" w:cs="Arial"/>
        </w:rPr>
        <w:t xml:space="preserve"> </w:t>
      </w:r>
      <w:r w:rsidR="00101353" w:rsidRPr="007C1A3C">
        <w:rPr>
          <w:rFonts w:ascii="Arial" w:hAnsi="Arial" w:cs="Arial"/>
        </w:rPr>
        <w:t xml:space="preserve">This report </w:t>
      </w:r>
      <w:r w:rsidR="001E2487" w:rsidRPr="001E2487">
        <w:rPr>
          <w:rFonts w:ascii="Arial" w:hAnsi="Arial" w:cs="Arial"/>
        </w:rPr>
        <w:t>examines the establishment of the National Health Service (NHS) in the United Kingdom</w:t>
      </w:r>
      <w:r w:rsidR="00DB3EDF">
        <w:rPr>
          <w:rFonts w:ascii="Arial" w:hAnsi="Arial" w:cs="Arial"/>
        </w:rPr>
        <w:t>.</w:t>
      </w:r>
      <w:r w:rsidR="00FA60BB">
        <w:rPr>
          <w:rFonts w:ascii="Arial" w:hAnsi="Arial" w:cs="Arial"/>
        </w:rPr>
        <w:t xml:space="preserve"> Its </w:t>
      </w:r>
      <w:r w:rsidR="00FA60BB" w:rsidRPr="00FA60BB">
        <w:rPr>
          <w:rFonts w:ascii="Arial" w:hAnsi="Arial" w:cs="Arial"/>
        </w:rPr>
        <w:t>core design was inspired by the Beveridge Report, which advocated for a comprehensive welfare state encompassing healthcare, education, and employment. </w:t>
      </w:r>
      <w:r w:rsidR="008A7369" w:rsidRPr="007C1A3C">
        <w:rPr>
          <w:rFonts w:ascii="Arial" w:hAnsi="Arial" w:cs="Arial"/>
        </w:rPr>
        <w:t xml:space="preserve"> </w:t>
      </w:r>
      <w:r w:rsidR="00A15B38">
        <w:rPr>
          <w:rFonts w:ascii="Arial" w:hAnsi="Arial" w:cs="Arial"/>
        </w:rPr>
        <w:t>It also explores the current structure and function</w:t>
      </w:r>
      <w:r w:rsidR="002A490D">
        <w:rPr>
          <w:rFonts w:ascii="Arial" w:hAnsi="Arial" w:cs="Arial"/>
        </w:rPr>
        <w:t>,</w:t>
      </w:r>
      <w:r w:rsidR="00A15B38">
        <w:rPr>
          <w:rFonts w:ascii="Arial" w:hAnsi="Arial" w:cs="Arial"/>
        </w:rPr>
        <w:t xml:space="preserve"> a</w:t>
      </w:r>
      <w:r w:rsidR="002A490D">
        <w:rPr>
          <w:rFonts w:ascii="Arial" w:hAnsi="Arial" w:cs="Arial"/>
        </w:rPr>
        <w:t>s well as</w:t>
      </w:r>
      <w:r w:rsidR="00807B23">
        <w:rPr>
          <w:rFonts w:ascii="Arial" w:hAnsi="Arial" w:cs="Arial"/>
        </w:rPr>
        <w:t xml:space="preserve"> the challenges the system is facing </w:t>
      </w:r>
      <w:r w:rsidR="002A490D">
        <w:rPr>
          <w:rFonts w:ascii="Arial" w:hAnsi="Arial" w:cs="Arial"/>
        </w:rPr>
        <w:t>at</w:t>
      </w:r>
      <w:r w:rsidR="00807B23">
        <w:rPr>
          <w:rFonts w:ascii="Arial" w:hAnsi="Arial" w:cs="Arial"/>
        </w:rPr>
        <w:t xml:space="preserve"> </w:t>
      </w:r>
      <w:r w:rsidR="00FF42E7">
        <w:rPr>
          <w:rFonts w:ascii="Arial" w:hAnsi="Arial" w:cs="Arial"/>
        </w:rPr>
        <w:t>present.</w:t>
      </w:r>
      <w:r w:rsidR="003D5811">
        <w:rPr>
          <w:rFonts w:ascii="Arial" w:hAnsi="Arial" w:cs="Arial"/>
        </w:rPr>
        <w:t xml:space="preserve"> </w:t>
      </w:r>
    </w:p>
    <w:p w14:paraId="6E1F1762" w14:textId="77777777" w:rsidR="004663E3" w:rsidRDefault="004663E3" w:rsidP="00371D2E">
      <w:pPr>
        <w:pStyle w:val="p1"/>
        <w:spacing w:line="360" w:lineRule="auto"/>
        <w:rPr>
          <w:rStyle w:val="s1"/>
          <w:rFonts w:ascii="Arial" w:hAnsi="Arial" w:cs="Arial"/>
          <w:sz w:val="22"/>
          <w:szCs w:val="22"/>
        </w:rPr>
      </w:pPr>
    </w:p>
    <w:p w14:paraId="7AE22EF4" w14:textId="77777777" w:rsidR="004663E3" w:rsidRPr="00245493" w:rsidRDefault="004663E3" w:rsidP="00DF3AC4">
      <w:pPr>
        <w:pStyle w:val="Heading2"/>
        <w:rPr>
          <w:rFonts w:hint="eastAsia"/>
          <w:kern w:val="0"/>
          <w14:ligatures w14:val="none"/>
        </w:rPr>
      </w:pPr>
      <w:r w:rsidRPr="00245493">
        <w:rPr>
          <w:rStyle w:val="s1"/>
          <w:rFonts w:ascii="Arial" w:hAnsi="Arial" w:cs="Arial"/>
          <w:sz w:val="22"/>
          <w:szCs w:val="22"/>
        </w:rPr>
        <w:t>2.2 The Origins of the NHS: Historical Context and Key Principles</w:t>
      </w:r>
    </w:p>
    <w:p w14:paraId="2402ADBA" w14:textId="52303B3A" w:rsidR="004663E3" w:rsidRDefault="004663E3" w:rsidP="00371D2E">
      <w:pPr>
        <w:pStyle w:val="p1"/>
        <w:spacing w:line="360" w:lineRule="auto"/>
        <w:rPr>
          <w:rStyle w:val="s1"/>
          <w:rFonts w:ascii="Arial" w:hAnsi="Arial" w:cs="Arial"/>
          <w:sz w:val="22"/>
          <w:szCs w:val="22"/>
        </w:rPr>
      </w:pPr>
    </w:p>
    <w:p w14:paraId="5184F920" w14:textId="77777777" w:rsidR="004663E3" w:rsidRDefault="004663E3" w:rsidP="00371D2E">
      <w:pPr>
        <w:pStyle w:val="p1"/>
        <w:spacing w:line="360" w:lineRule="auto"/>
        <w:rPr>
          <w:rStyle w:val="s1"/>
          <w:rFonts w:ascii="Arial" w:hAnsi="Arial" w:cs="Arial"/>
          <w:sz w:val="22"/>
          <w:szCs w:val="22"/>
        </w:rPr>
      </w:pPr>
    </w:p>
    <w:p w14:paraId="3C080FD9" w14:textId="30A89954" w:rsidR="008B5DAE" w:rsidRPr="001A5EB9" w:rsidRDefault="00613B59" w:rsidP="00371D2E">
      <w:pPr>
        <w:pStyle w:val="p1"/>
        <w:spacing w:line="360" w:lineRule="auto"/>
        <w:rPr>
          <w:rFonts w:ascii="Arial" w:hAnsi="Arial" w:cs="Arial"/>
          <w:sz w:val="22"/>
          <w:szCs w:val="22"/>
        </w:rPr>
      </w:pPr>
      <w:r w:rsidRPr="001A5EB9">
        <w:rPr>
          <w:rStyle w:val="s1"/>
          <w:rFonts w:ascii="Arial" w:hAnsi="Arial" w:cs="Arial"/>
          <w:sz w:val="22"/>
          <w:szCs w:val="22"/>
        </w:rPr>
        <w:t>The National Health Service (NHS)</w:t>
      </w:r>
      <w:r w:rsidR="007A6356" w:rsidRPr="001A5EB9">
        <w:rPr>
          <w:rStyle w:val="s1"/>
          <w:rFonts w:ascii="Arial" w:hAnsi="Arial" w:cs="Arial"/>
          <w:sz w:val="22"/>
          <w:szCs w:val="22"/>
        </w:rPr>
        <w:t xml:space="preserve"> was </w:t>
      </w:r>
      <w:r w:rsidR="008D36D4" w:rsidRPr="001A5EB9">
        <w:rPr>
          <w:rStyle w:val="s1"/>
          <w:rFonts w:ascii="Arial" w:hAnsi="Arial" w:cs="Arial"/>
          <w:sz w:val="22"/>
          <w:szCs w:val="22"/>
        </w:rPr>
        <w:t xml:space="preserve">established </w:t>
      </w:r>
      <w:r w:rsidR="00E62F2D" w:rsidRPr="001A5EB9">
        <w:rPr>
          <w:rStyle w:val="s1"/>
          <w:rFonts w:ascii="Arial" w:hAnsi="Arial" w:cs="Arial"/>
          <w:sz w:val="22"/>
          <w:szCs w:val="22"/>
        </w:rPr>
        <w:t>i</w:t>
      </w:r>
      <w:r w:rsidRPr="001A5EB9">
        <w:rPr>
          <w:rStyle w:val="s1"/>
          <w:rFonts w:ascii="Arial" w:hAnsi="Arial" w:cs="Arial"/>
          <w:sz w:val="22"/>
          <w:szCs w:val="22"/>
        </w:rPr>
        <w:t>n the United Kingdom in 1948</w:t>
      </w:r>
      <w:r w:rsidR="003C49E4">
        <w:rPr>
          <w:rStyle w:val="s1"/>
          <w:rFonts w:ascii="Arial" w:hAnsi="Arial" w:cs="Arial"/>
          <w:sz w:val="22"/>
          <w:szCs w:val="22"/>
        </w:rPr>
        <w:t>,</w:t>
      </w:r>
      <w:r w:rsidRPr="001A5EB9">
        <w:rPr>
          <w:rStyle w:val="s1"/>
          <w:rFonts w:ascii="Arial" w:hAnsi="Arial" w:cs="Arial"/>
          <w:sz w:val="22"/>
          <w:szCs w:val="22"/>
        </w:rPr>
        <w:t xml:space="preserve"> against the backdrop of World War II and </w:t>
      </w:r>
      <w:r w:rsidR="003C49E4">
        <w:rPr>
          <w:rStyle w:val="s1"/>
          <w:rFonts w:ascii="Arial" w:hAnsi="Arial" w:cs="Arial"/>
          <w:sz w:val="22"/>
          <w:szCs w:val="22"/>
        </w:rPr>
        <w:t>subsequent</w:t>
      </w:r>
      <w:r w:rsidR="00D94DDD" w:rsidRPr="001A5EB9">
        <w:rPr>
          <w:rStyle w:val="s1"/>
          <w:rFonts w:ascii="Arial" w:hAnsi="Arial" w:cs="Arial"/>
          <w:sz w:val="22"/>
          <w:szCs w:val="22"/>
        </w:rPr>
        <w:t xml:space="preserve"> </w:t>
      </w:r>
      <w:r w:rsidRPr="001A5EB9">
        <w:rPr>
          <w:rStyle w:val="s1"/>
          <w:rFonts w:ascii="Arial" w:hAnsi="Arial" w:cs="Arial"/>
          <w:sz w:val="22"/>
          <w:szCs w:val="22"/>
        </w:rPr>
        <w:t xml:space="preserve">social reforms aimed at rebuilding the nation. The origins of the NHS can </w:t>
      </w:r>
      <w:r w:rsidR="00BA7BF9">
        <w:rPr>
          <w:rStyle w:val="s1"/>
          <w:rFonts w:ascii="Arial" w:hAnsi="Arial" w:cs="Arial"/>
          <w:sz w:val="22"/>
          <w:szCs w:val="22"/>
        </w:rPr>
        <w:t>be traced</w:t>
      </w:r>
      <w:r w:rsidRPr="001A5EB9">
        <w:rPr>
          <w:rStyle w:val="s1"/>
          <w:rFonts w:ascii="Arial" w:hAnsi="Arial" w:cs="Arial"/>
          <w:sz w:val="22"/>
          <w:szCs w:val="22"/>
        </w:rPr>
        <w:t xml:space="preserve"> </w:t>
      </w:r>
      <w:r w:rsidR="0008434D">
        <w:rPr>
          <w:rStyle w:val="s1"/>
          <w:rFonts w:ascii="Arial" w:hAnsi="Arial" w:cs="Arial"/>
          <w:sz w:val="22"/>
          <w:szCs w:val="22"/>
        </w:rPr>
        <w:t xml:space="preserve">back </w:t>
      </w:r>
      <w:r w:rsidRPr="001A5EB9">
        <w:rPr>
          <w:rStyle w:val="s1"/>
          <w:rFonts w:ascii="Arial" w:hAnsi="Arial" w:cs="Arial"/>
          <w:sz w:val="22"/>
          <w:szCs w:val="22"/>
        </w:rPr>
        <w:t xml:space="preserve">to a time when health services were </w:t>
      </w:r>
      <w:r w:rsidR="0008434D">
        <w:rPr>
          <w:rStyle w:val="s1"/>
          <w:rFonts w:ascii="Arial" w:hAnsi="Arial" w:cs="Arial"/>
          <w:sz w:val="22"/>
          <w:szCs w:val="22"/>
        </w:rPr>
        <w:t>characteris</w:t>
      </w:r>
      <w:r w:rsidR="00AA4B61">
        <w:rPr>
          <w:rStyle w:val="s1"/>
          <w:rFonts w:ascii="Arial" w:hAnsi="Arial" w:cs="Arial"/>
          <w:sz w:val="22"/>
          <w:szCs w:val="22"/>
        </w:rPr>
        <w:t>ed</w:t>
      </w:r>
      <w:r w:rsidRPr="001A5EB9">
        <w:rPr>
          <w:rStyle w:val="s1"/>
          <w:rFonts w:ascii="Arial" w:hAnsi="Arial" w:cs="Arial"/>
          <w:sz w:val="22"/>
          <w:szCs w:val="22"/>
        </w:rPr>
        <w:t xml:space="preserve"> by inequality, with access often </w:t>
      </w:r>
      <w:r w:rsidR="0008434D">
        <w:rPr>
          <w:rStyle w:val="s1"/>
          <w:rFonts w:ascii="Arial" w:hAnsi="Arial" w:cs="Arial"/>
          <w:sz w:val="22"/>
          <w:szCs w:val="22"/>
        </w:rPr>
        <w:t>determin</w:t>
      </w:r>
      <w:r w:rsidRPr="001A5EB9">
        <w:rPr>
          <w:rStyle w:val="s1"/>
          <w:rFonts w:ascii="Arial" w:hAnsi="Arial" w:cs="Arial"/>
          <w:sz w:val="22"/>
          <w:szCs w:val="22"/>
        </w:rPr>
        <w:t xml:space="preserve">ed </w:t>
      </w:r>
      <w:r w:rsidR="0008434D">
        <w:rPr>
          <w:rStyle w:val="s1"/>
          <w:rFonts w:ascii="Arial" w:hAnsi="Arial" w:cs="Arial"/>
          <w:sz w:val="22"/>
          <w:szCs w:val="22"/>
        </w:rPr>
        <w:t>by</w:t>
      </w:r>
      <w:r w:rsidRPr="001A5EB9">
        <w:rPr>
          <w:rStyle w:val="s1"/>
          <w:rFonts w:ascii="Arial" w:hAnsi="Arial" w:cs="Arial"/>
          <w:sz w:val="22"/>
          <w:szCs w:val="22"/>
        </w:rPr>
        <w:t xml:space="preserve"> </w:t>
      </w:r>
      <w:r w:rsidR="0008434D">
        <w:rPr>
          <w:rStyle w:val="s1"/>
          <w:rFonts w:ascii="Arial" w:hAnsi="Arial" w:cs="Arial"/>
          <w:sz w:val="22"/>
          <w:szCs w:val="22"/>
        </w:rPr>
        <w:t>one's</w:t>
      </w:r>
      <w:r w:rsidR="00C22CE6">
        <w:rPr>
          <w:rStyle w:val="s1"/>
          <w:rFonts w:ascii="Arial" w:hAnsi="Arial" w:cs="Arial"/>
          <w:sz w:val="22"/>
          <w:szCs w:val="22"/>
        </w:rPr>
        <w:t xml:space="preserve"> </w:t>
      </w:r>
      <w:r w:rsidRPr="001A5EB9">
        <w:rPr>
          <w:rStyle w:val="s1"/>
          <w:rFonts w:ascii="Arial" w:hAnsi="Arial" w:cs="Arial"/>
          <w:sz w:val="22"/>
          <w:szCs w:val="22"/>
        </w:rPr>
        <w:t xml:space="preserve">ability to pay. </w:t>
      </w:r>
      <w:r w:rsidR="00C22CE6">
        <w:rPr>
          <w:rStyle w:val="s1"/>
          <w:rFonts w:ascii="Arial" w:hAnsi="Arial" w:cs="Arial"/>
          <w:sz w:val="22"/>
          <w:szCs w:val="22"/>
        </w:rPr>
        <w:t>Before</w:t>
      </w:r>
      <w:r w:rsidRPr="001A5EB9">
        <w:rPr>
          <w:rStyle w:val="s1"/>
          <w:rFonts w:ascii="Arial" w:hAnsi="Arial" w:cs="Arial"/>
          <w:sz w:val="22"/>
          <w:szCs w:val="22"/>
        </w:rPr>
        <w:t xml:space="preserve"> the NHS, healthcare in the UK was </w:t>
      </w:r>
      <w:r w:rsidR="002223C5" w:rsidRPr="001A5EB9">
        <w:rPr>
          <w:rStyle w:val="s1"/>
          <w:rFonts w:ascii="Arial" w:hAnsi="Arial" w:cs="Arial"/>
          <w:sz w:val="22"/>
          <w:szCs w:val="22"/>
        </w:rPr>
        <w:t>private</w:t>
      </w:r>
      <w:r w:rsidRPr="001A5EB9">
        <w:rPr>
          <w:rStyle w:val="s1"/>
          <w:rFonts w:ascii="Arial" w:hAnsi="Arial" w:cs="Arial"/>
          <w:sz w:val="22"/>
          <w:szCs w:val="22"/>
        </w:rPr>
        <w:t>, with the poor reliant on charity and hospitals funded by local governments (</w:t>
      </w:r>
      <w:r w:rsidR="00D473C0">
        <w:rPr>
          <w:rStyle w:val="s1"/>
          <w:rFonts w:ascii="Arial" w:hAnsi="Arial" w:cs="Arial"/>
          <w:sz w:val="22"/>
          <w:szCs w:val="22"/>
        </w:rPr>
        <w:t>Shapiro</w:t>
      </w:r>
      <w:r w:rsidRPr="001A5EB9">
        <w:rPr>
          <w:rStyle w:val="s1"/>
          <w:rFonts w:ascii="Arial" w:hAnsi="Arial" w:cs="Arial"/>
          <w:sz w:val="22"/>
          <w:szCs w:val="22"/>
        </w:rPr>
        <w:t>, 201</w:t>
      </w:r>
      <w:r w:rsidR="00BC26E0">
        <w:rPr>
          <w:rStyle w:val="s1"/>
          <w:rFonts w:ascii="Arial" w:hAnsi="Arial" w:cs="Arial"/>
          <w:sz w:val="22"/>
          <w:szCs w:val="22"/>
        </w:rPr>
        <w:t>0</w:t>
      </w:r>
      <w:r w:rsidRPr="001A5EB9">
        <w:rPr>
          <w:rStyle w:val="s1"/>
          <w:rFonts w:ascii="Arial" w:hAnsi="Arial" w:cs="Arial"/>
          <w:sz w:val="22"/>
          <w:szCs w:val="22"/>
        </w:rPr>
        <w:t>).</w:t>
      </w:r>
    </w:p>
    <w:p w14:paraId="0243DAA4" w14:textId="607206A6" w:rsidR="00187370" w:rsidRPr="001A5EB9" w:rsidRDefault="006B0541" w:rsidP="00371D2E">
      <w:pPr>
        <w:pStyle w:val="p1"/>
        <w:spacing w:line="360" w:lineRule="auto"/>
        <w:rPr>
          <w:rFonts w:ascii="Arial" w:hAnsi="Arial" w:cs="Arial"/>
          <w:sz w:val="22"/>
          <w:szCs w:val="22"/>
        </w:rPr>
      </w:pPr>
      <w:r w:rsidRPr="001A5EB9">
        <w:rPr>
          <w:rFonts w:ascii="Arial" w:hAnsi="Arial" w:cs="Arial"/>
          <w:sz w:val="22"/>
          <w:szCs w:val="22"/>
        </w:rPr>
        <w:t xml:space="preserve"> </w:t>
      </w:r>
    </w:p>
    <w:p w14:paraId="00276F78" w14:textId="4F83F2CF" w:rsidR="00187370" w:rsidRPr="001A5EB9" w:rsidRDefault="00187370" w:rsidP="00371D2E">
      <w:pPr>
        <w:pStyle w:val="p1"/>
        <w:spacing w:line="360" w:lineRule="auto"/>
        <w:rPr>
          <w:rFonts w:ascii="Arial" w:hAnsi="Arial" w:cs="Arial"/>
          <w:sz w:val="22"/>
          <w:szCs w:val="22"/>
        </w:rPr>
      </w:pPr>
      <w:r w:rsidRPr="001A5EB9">
        <w:rPr>
          <w:rStyle w:val="s1"/>
          <w:rFonts w:ascii="Arial" w:hAnsi="Arial" w:cs="Arial"/>
          <w:sz w:val="22"/>
          <w:szCs w:val="22"/>
        </w:rPr>
        <w:t xml:space="preserve">The idea of a universal healthcare system </w:t>
      </w:r>
      <w:r w:rsidR="002223C5">
        <w:rPr>
          <w:rStyle w:val="s1"/>
          <w:rFonts w:ascii="Arial" w:hAnsi="Arial" w:cs="Arial"/>
          <w:sz w:val="22"/>
          <w:szCs w:val="22"/>
        </w:rPr>
        <w:t>appear</w:t>
      </w:r>
      <w:r w:rsidR="00C22CE6">
        <w:rPr>
          <w:rStyle w:val="s1"/>
          <w:rFonts w:ascii="Arial" w:hAnsi="Arial" w:cs="Arial"/>
          <w:sz w:val="22"/>
          <w:szCs w:val="22"/>
        </w:rPr>
        <w:t>ed</w:t>
      </w:r>
      <w:r w:rsidR="002223C5">
        <w:rPr>
          <w:rStyle w:val="s1"/>
          <w:rFonts w:ascii="Arial" w:hAnsi="Arial" w:cs="Arial"/>
          <w:sz w:val="22"/>
          <w:szCs w:val="22"/>
        </w:rPr>
        <w:t xml:space="preserve"> </w:t>
      </w:r>
      <w:r w:rsidRPr="001A5EB9">
        <w:rPr>
          <w:rStyle w:val="s1"/>
          <w:rFonts w:ascii="Arial" w:hAnsi="Arial" w:cs="Arial"/>
          <w:sz w:val="22"/>
          <w:szCs w:val="22"/>
        </w:rPr>
        <w:t>in the 1940s, inspired by the Beveridge Report, which proposed a welfare state e</w:t>
      </w:r>
      <w:r w:rsidR="002223C5">
        <w:rPr>
          <w:rStyle w:val="s1"/>
          <w:rFonts w:ascii="Arial" w:hAnsi="Arial" w:cs="Arial"/>
          <w:sz w:val="22"/>
          <w:szCs w:val="22"/>
        </w:rPr>
        <w:t>nveloping</w:t>
      </w:r>
      <w:r w:rsidRPr="001A5EB9">
        <w:rPr>
          <w:rStyle w:val="s1"/>
          <w:rFonts w:ascii="Arial" w:hAnsi="Arial" w:cs="Arial"/>
          <w:sz w:val="22"/>
          <w:szCs w:val="22"/>
        </w:rPr>
        <w:t xml:space="preserve"> health, education, and employment as integral parts of societal reform (Beveridge, 1942). The report highlighted the need for a health system accessible to all citizens, free at the point of use, thereby </w:t>
      </w:r>
      <w:r w:rsidR="001B5BBF" w:rsidRPr="001A5EB9">
        <w:rPr>
          <w:rStyle w:val="s1"/>
          <w:rFonts w:ascii="Arial" w:hAnsi="Arial" w:cs="Arial"/>
          <w:sz w:val="22"/>
          <w:szCs w:val="22"/>
        </w:rPr>
        <w:t>ending</w:t>
      </w:r>
      <w:r w:rsidRPr="001A5EB9">
        <w:rPr>
          <w:rStyle w:val="s1"/>
          <w:rFonts w:ascii="Arial" w:hAnsi="Arial" w:cs="Arial"/>
          <w:sz w:val="22"/>
          <w:szCs w:val="22"/>
        </w:rPr>
        <w:t xml:space="preserve"> the barriers posed by the cost of healthcare. The Labour government, led by Prime Minister Clement Attlee, </w:t>
      </w:r>
      <w:r w:rsidR="00F8447E">
        <w:rPr>
          <w:rStyle w:val="s1"/>
          <w:rFonts w:ascii="Arial" w:hAnsi="Arial" w:cs="Arial"/>
          <w:sz w:val="22"/>
          <w:szCs w:val="22"/>
        </w:rPr>
        <w:t>supported</w:t>
      </w:r>
      <w:r w:rsidRPr="001A5EB9">
        <w:rPr>
          <w:rStyle w:val="s1"/>
          <w:rFonts w:ascii="Arial" w:hAnsi="Arial" w:cs="Arial"/>
          <w:sz w:val="22"/>
          <w:szCs w:val="22"/>
        </w:rPr>
        <w:t xml:space="preserve"> the creation of the NHS under the </w:t>
      </w:r>
      <w:r w:rsidR="00E87CFA">
        <w:rPr>
          <w:rStyle w:val="s1"/>
          <w:rFonts w:ascii="Arial" w:hAnsi="Arial" w:cs="Arial"/>
          <w:sz w:val="22"/>
          <w:szCs w:val="22"/>
        </w:rPr>
        <w:t>supervision</w:t>
      </w:r>
      <w:r w:rsidRPr="001A5EB9">
        <w:rPr>
          <w:rStyle w:val="s1"/>
          <w:rFonts w:ascii="Arial" w:hAnsi="Arial" w:cs="Arial"/>
          <w:sz w:val="22"/>
          <w:szCs w:val="22"/>
        </w:rPr>
        <w:t xml:space="preserve"> of Health Minister Aneurin Bevan (</w:t>
      </w:r>
      <w:r w:rsidR="000C12E7">
        <w:rPr>
          <w:rStyle w:val="s1"/>
          <w:rFonts w:ascii="Arial" w:hAnsi="Arial" w:cs="Arial"/>
          <w:sz w:val="22"/>
          <w:szCs w:val="22"/>
        </w:rPr>
        <w:t>RCN,2023</w:t>
      </w:r>
      <w:r w:rsidRPr="001A5EB9">
        <w:rPr>
          <w:rStyle w:val="s1"/>
          <w:rFonts w:ascii="Arial" w:hAnsi="Arial" w:cs="Arial"/>
          <w:sz w:val="22"/>
          <w:szCs w:val="22"/>
        </w:rPr>
        <w:t>).</w:t>
      </w:r>
    </w:p>
    <w:p w14:paraId="03EBF051" w14:textId="0D18E8D9" w:rsidR="00187370" w:rsidRPr="001A5EB9" w:rsidRDefault="003E04EF" w:rsidP="00371D2E">
      <w:pPr>
        <w:pStyle w:val="p2"/>
        <w:spacing w:line="360" w:lineRule="auto"/>
        <w:rPr>
          <w:rFonts w:ascii="Arial" w:hAnsi="Arial" w:cs="Arial"/>
          <w:sz w:val="22"/>
          <w:szCs w:val="22"/>
        </w:rPr>
      </w:pPr>
      <w:r>
        <w:rPr>
          <w:rFonts w:ascii="Arial" w:hAnsi="Arial" w:cs="Arial"/>
          <w:noProof/>
          <w:sz w:val="22"/>
        </w:rPr>
        <w:drawing>
          <wp:anchor distT="0" distB="0" distL="114300" distR="114300" simplePos="0" relativeHeight="251658240" behindDoc="0" locked="0" layoutInCell="1" allowOverlap="1" wp14:anchorId="74232ECA" wp14:editId="50B196F4">
            <wp:simplePos x="0" y="0"/>
            <wp:positionH relativeFrom="page">
              <wp:posOffset>-190099</wp:posOffset>
            </wp:positionH>
            <wp:positionV relativeFrom="margin">
              <wp:posOffset>854510</wp:posOffset>
            </wp:positionV>
            <wp:extent cx="10842625" cy="6672580"/>
            <wp:effectExtent l="0" t="0" r="0" b="0"/>
            <wp:wrapSquare wrapText="bothSides"/>
            <wp:docPr id="1138986318" name="Picture 2" descr="A close-up of a tooth and a toothbrus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986318" name="Picture 2" descr="A close-up of a tooth and a toothbrush&#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842625" cy="6672580"/>
                    </a:xfrm>
                    <a:prstGeom prst="rect">
                      <a:avLst/>
                    </a:prstGeom>
                  </pic:spPr>
                </pic:pic>
              </a:graphicData>
            </a:graphic>
            <wp14:sizeRelH relativeFrom="margin">
              <wp14:pctWidth>0</wp14:pctWidth>
            </wp14:sizeRelH>
            <wp14:sizeRelV relativeFrom="margin">
              <wp14:pctHeight>0</wp14:pctHeight>
            </wp14:sizeRelV>
          </wp:anchor>
        </w:drawing>
      </w:r>
    </w:p>
    <w:p w14:paraId="00D8EC9B" w14:textId="6EE05E31" w:rsidR="00187370" w:rsidRDefault="00187370" w:rsidP="00371D2E">
      <w:pPr>
        <w:pStyle w:val="p1"/>
        <w:spacing w:line="360" w:lineRule="auto"/>
        <w:rPr>
          <w:rStyle w:val="s1"/>
          <w:rFonts w:ascii="Arial" w:hAnsi="Arial" w:cs="Arial"/>
          <w:sz w:val="22"/>
          <w:szCs w:val="22"/>
        </w:rPr>
      </w:pPr>
      <w:r w:rsidRPr="001A5EB9">
        <w:rPr>
          <w:rStyle w:val="s1"/>
          <w:rFonts w:ascii="Arial" w:hAnsi="Arial" w:cs="Arial"/>
          <w:sz w:val="22"/>
          <w:szCs w:val="22"/>
        </w:rPr>
        <w:t>The principles of the NHS were firmly rooted in the ideals of universality, equity, and comprehensiveness. The NHS aimed to provide comprehensive healthcare services to everyone, funded through tax</w:t>
      </w:r>
      <w:r w:rsidR="00320FAF">
        <w:rPr>
          <w:rStyle w:val="s1"/>
          <w:rFonts w:ascii="Arial" w:hAnsi="Arial" w:cs="Arial"/>
          <w:sz w:val="22"/>
          <w:szCs w:val="22"/>
        </w:rPr>
        <w:t>es</w:t>
      </w:r>
      <w:r w:rsidRPr="001A5EB9">
        <w:rPr>
          <w:rStyle w:val="s1"/>
          <w:rFonts w:ascii="Arial" w:hAnsi="Arial" w:cs="Arial"/>
          <w:sz w:val="22"/>
          <w:szCs w:val="22"/>
        </w:rPr>
        <w:t>, ensuring that healthcare was a right rather than a privilege (</w:t>
      </w:r>
      <w:r w:rsidR="00AA6314">
        <w:rPr>
          <w:rStyle w:val="s1"/>
          <w:rFonts w:ascii="Arial" w:hAnsi="Arial" w:cs="Arial"/>
          <w:sz w:val="22"/>
          <w:szCs w:val="22"/>
        </w:rPr>
        <w:t>NHS,2023</w:t>
      </w:r>
      <w:r w:rsidRPr="001A5EB9">
        <w:rPr>
          <w:rStyle w:val="s1"/>
          <w:rFonts w:ascii="Arial" w:hAnsi="Arial" w:cs="Arial"/>
          <w:sz w:val="22"/>
          <w:szCs w:val="22"/>
        </w:rPr>
        <w:t xml:space="preserve">). This marked a </w:t>
      </w:r>
      <w:r w:rsidR="00436BC7">
        <w:rPr>
          <w:rStyle w:val="s1"/>
          <w:rFonts w:ascii="Arial" w:hAnsi="Arial" w:cs="Arial"/>
          <w:sz w:val="22"/>
          <w:szCs w:val="22"/>
        </w:rPr>
        <w:t>significant</w:t>
      </w:r>
      <w:r w:rsidR="00176BFB" w:rsidRPr="001A5EB9">
        <w:rPr>
          <w:rStyle w:val="s1"/>
          <w:rFonts w:ascii="Arial" w:hAnsi="Arial" w:cs="Arial"/>
          <w:sz w:val="22"/>
          <w:szCs w:val="22"/>
        </w:rPr>
        <w:t xml:space="preserve"> </w:t>
      </w:r>
      <w:r w:rsidR="00436BC7">
        <w:rPr>
          <w:rStyle w:val="s1"/>
          <w:rFonts w:ascii="Arial" w:hAnsi="Arial" w:cs="Arial"/>
          <w:sz w:val="22"/>
          <w:szCs w:val="22"/>
        </w:rPr>
        <w:t>improve</w:t>
      </w:r>
      <w:r w:rsidR="0082566B">
        <w:rPr>
          <w:rStyle w:val="s1"/>
          <w:rFonts w:ascii="Arial" w:hAnsi="Arial" w:cs="Arial"/>
          <w:sz w:val="22"/>
          <w:szCs w:val="22"/>
        </w:rPr>
        <w:t xml:space="preserve">ment </w:t>
      </w:r>
      <w:r w:rsidR="00436BC7">
        <w:rPr>
          <w:rStyle w:val="s1"/>
          <w:rFonts w:ascii="Arial" w:hAnsi="Arial" w:cs="Arial"/>
          <w:sz w:val="22"/>
          <w:szCs w:val="22"/>
        </w:rPr>
        <w:t>over</w:t>
      </w:r>
      <w:r w:rsidRPr="001A5EB9">
        <w:rPr>
          <w:rStyle w:val="s1"/>
          <w:rFonts w:ascii="Arial" w:hAnsi="Arial" w:cs="Arial"/>
          <w:sz w:val="22"/>
          <w:szCs w:val="22"/>
        </w:rPr>
        <w:t xml:space="preserve"> </w:t>
      </w:r>
      <w:r w:rsidR="00590A2C" w:rsidRPr="001A5EB9">
        <w:rPr>
          <w:rStyle w:val="s1"/>
          <w:rFonts w:ascii="Arial" w:hAnsi="Arial" w:cs="Arial"/>
          <w:sz w:val="22"/>
          <w:szCs w:val="22"/>
        </w:rPr>
        <w:t>earlier</w:t>
      </w:r>
      <w:r w:rsidRPr="001A5EB9">
        <w:rPr>
          <w:rStyle w:val="s1"/>
          <w:rFonts w:ascii="Arial" w:hAnsi="Arial" w:cs="Arial"/>
          <w:sz w:val="22"/>
          <w:szCs w:val="22"/>
        </w:rPr>
        <w:t xml:space="preserve"> system</w:t>
      </w:r>
      <w:r w:rsidR="005C31EB">
        <w:rPr>
          <w:rStyle w:val="s1"/>
          <w:rFonts w:ascii="Arial" w:hAnsi="Arial" w:cs="Arial"/>
          <w:sz w:val="22"/>
          <w:szCs w:val="22"/>
        </w:rPr>
        <w:t>s.</w:t>
      </w:r>
    </w:p>
    <w:p w14:paraId="7A473D49" w14:textId="77777777" w:rsidR="00686FD3" w:rsidRPr="001A5EB9" w:rsidRDefault="00686FD3" w:rsidP="00371D2E">
      <w:pPr>
        <w:pStyle w:val="p1"/>
        <w:spacing w:line="360" w:lineRule="auto"/>
        <w:rPr>
          <w:rFonts w:ascii="Arial" w:hAnsi="Arial" w:cs="Arial"/>
          <w:sz w:val="22"/>
          <w:szCs w:val="22"/>
        </w:rPr>
      </w:pPr>
    </w:p>
    <w:p w14:paraId="56CE3234" w14:textId="77777777" w:rsidR="009D5698" w:rsidRPr="00C4032D" w:rsidRDefault="009D5698" w:rsidP="00686FD3">
      <w:pPr>
        <w:pStyle w:val="Heading2"/>
        <w:rPr>
          <w:rFonts w:ascii="Arial" w:hAnsi="Arial" w:cs="Arial"/>
          <w:kern w:val="0"/>
          <w:sz w:val="22"/>
          <w:szCs w:val="22"/>
          <w14:ligatures w14:val="none"/>
        </w:rPr>
      </w:pPr>
      <w:r w:rsidRPr="00C4032D">
        <w:rPr>
          <w:rFonts w:ascii="Arial" w:hAnsi="Arial" w:cs="Arial"/>
          <w:sz w:val="22"/>
          <w:szCs w:val="22"/>
        </w:rPr>
        <w:t xml:space="preserve">2.3 </w:t>
      </w:r>
      <w:r w:rsidRPr="00C4032D">
        <w:rPr>
          <w:rStyle w:val="s1"/>
          <w:rFonts w:ascii="Arial" w:hAnsi="Arial" w:cs="Arial"/>
          <w:sz w:val="22"/>
          <w:szCs w:val="22"/>
        </w:rPr>
        <w:t>Current Structure and Functioning of the NHS</w:t>
      </w:r>
    </w:p>
    <w:p w14:paraId="1CF9A823" w14:textId="3F68C9EF" w:rsidR="00187370" w:rsidRPr="001A5EB9" w:rsidRDefault="00187370" w:rsidP="00371D2E">
      <w:pPr>
        <w:pStyle w:val="p2"/>
        <w:spacing w:line="360" w:lineRule="auto"/>
        <w:rPr>
          <w:rFonts w:ascii="Arial" w:hAnsi="Arial" w:cs="Arial"/>
          <w:sz w:val="22"/>
          <w:szCs w:val="22"/>
        </w:rPr>
      </w:pPr>
    </w:p>
    <w:p w14:paraId="30B4188A" w14:textId="2CEDE5E2" w:rsidR="00187370" w:rsidRPr="001A5EB9" w:rsidRDefault="00187370" w:rsidP="00371D2E">
      <w:pPr>
        <w:pStyle w:val="p1"/>
        <w:spacing w:line="360" w:lineRule="auto"/>
        <w:rPr>
          <w:rFonts w:ascii="Arial" w:hAnsi="Arial" w:cs="Arial"/>
          <w:sz w:val="22"/>
          <w:szCs w:val="22"/>
        </w:rPr>
      </w:pPr>
      <w:r w:rsidRPr="001A5EB9">
        <w:rPr>
          <w:rStyle w:val="s1"/>
          <w:rFonts w:ascii="Arial" w:hAnsi="Arial" w:cs="Arial"/>
          <w:sz w:val="22"/>
          <w:szCs w:val="22"/>
        </w:rPr>
        <w:t xml:space="preserve">Today, the NHS </w:t>
      </w:r>
      <w:r w:rsidR="0008612E" w:rsidRPr="001A5EB9">
        <w:rPr>
          <w:rStyle w:val="s1"/>
          <w:rFonts w:ascii="Arial" w:hAnsi="Arial" w:cs="Arial"/>
          <w:sz w:val="22"/>
          <w:szCs w:val="22"/>
        </w:rPr>
        <w:t>runs</w:t>
      </w:r>
      <w:r w:rsidRPr="001A5EB9">
        <w:rPr>
          <w:rStyle w:val="s1"/>
          <w:rFonts w:ascii="Arial" w:hAnsi="Arial" w:cs="Arial"/>
          <w:sz w:val="22"/>
          <w:szCs w:val="22"/>
        </w:rPr>
        <w:t xml:space="preserve"> as a complex </w:t>
      </w:r>
      <w:r w:rsidR="00A16E5F" w:rsidRPr="001A5EB9">
        <w:rPr>
          <w:rStyle w:val="s1"/>
          <w:rFonts w:ascii="Arial" w:hAnsi="Arial" w:cs="Arial"/>
          <w:sz w:val="22"/>
          <w:szCs w:val="22"/>
        </w:rPr>
        <w:t>organisation</w:t>
      </w:r>
      <w:r w:rsidRPr="001A5EB9">
        <w:rPr>
          <w:rStyle w:val="s1"/>
          <w:rFonts w:ascii="Arial" w:hAnsi="Arial" w:cs="Arial"/>
          <w:sz w:val="22"/>
          <w:szCs w:val="22"/>
        </w:rPr>
        <w:t xml:space="preserve"> composed of various entities responsible for providing healthcare services across England, Scotland, Wales, and Northern Ireland. At its core, the NHS aims to deliver quality care accessible to all citizens. However, critical examination of its current structure reveals both strengths and weaknesses</w:t>
      </w:r>
      <w:r w:rsidR="009600CF">
        <w:rPr>
          <w:rStyle w:val="s1"/>
          <w:rFonts w:ascii="Arial" w:hAnsi="Arial" w:cs="Arial"/>
          <w:sz w:val="22"/>
          <w:szCs w:val="22"/>
        </w:rPr>
        <w:t xml:space="preserve"> (</w:t>
      </w:r>
      <w:proofErr w:type="spellStart"/>
      <w:r w:rsidR="009600CF">
        <w:rPr>
          <w:rStyle w:val="s1"/>
          <w:rFonts w:ascii="Arial" w:hAnsi="Arial" w:cs="Arial"/>
          <w:sz w:val="22"/>
          <w:szCs w:val="22"/>
        </w:rPr>
        <w:t>Gros</w:t>
      </w:r>
      <w:r w:rsidR="00D27286">
        <w:rPr>
          <w:rStyle w:val="s1"/>
          <w:rFonts w:ascii="Arial" w:hAnsi="Arial" w:cs="Arial"/>
          <w:sz w:val="22"/>
          <w:szCs w:val="22"/>
        </w:rPr>
        <w:t>io</w:t>
      </w:r>
      <w:r w:rsidR="009600CF">
        <w:rPr>
          <w:rStyle w:val="s1"/>
          <w:rFonts w:ascii="Arial" w:hAnsi="Arial" w:cs="Arial"/>
          <w:sz w:val="22"/>
          <w:szCs w:val="22"/>
        </w:rPr>
        <w:t>s</w:t>
      </w:r>
      <w:proofErr w:type="spellEnd"/>
      <w:r w:rsidR="009600CF">
        <w:rPr>
          <w:rStyle w:val="s1"/>
          <w:rFonts w:ascii="Arial" w:hAnsi="Arial" w:cs="Arial"/>
          <w:sz w:val="22"/>
          <w:szCs w:val="22"/>
        </w:rPr>
        <w:t>, 20</w:t>
      </w:r>
      <w:r w:rsidR="00D27286">
        <w:rPr>
          <w:rStyle w:val="s1"/>
          <w:rFonts w:ascii="Arial" w:hAnsi="Arial" w:cs="Arial"/>
          <w:sz w:val="22"/>
          <w:szCs w:val="22"/>
        </w:rPr>
        <w:t>10).</w:t>
      </w:r>
    </w:p>
    <w:p w14:paraId="081E329A" w14:textId="77777777" w:rsidR="00187370" w:rsidRPr="001A5EB9" w:rsidRDefault="00187370" w:rsidP="00371D2E">
      <w:pPr>
        <w:pStyle w:val="p2"/>
        <w:spacing w:line="360" w:lineRule="auto"/>
        <w:rPr>
          <w:rFonts w:ascii="Arial" w:hAnsi="Arial" w:cs="Arial"/>
          <w:sz w:val="22"/>
          <w:szCs w:val="22"/>
        </w:rPr>
      </w:pPr>
    </w:p>
    <w:p w14:paraId="0987EC38" w14:textId="6C19FC19" w:rsidR="00187370" w:rsidRPr="001A5EB9" w:rsidRDefault="00187370" w:rsidP="00371D2E">
      <w:pPr>
        <w:pStyle w:val="p1"/>
        <w:spacing w:line="360" w:lineRule="auto"/>
        <w:rPr>
          <w:rFonts w:ascii="Arial" w:hAnsi="Arial" w:cs="Arial"/>
          <w:sz w:val="22"/>
          <w:szCs w:val="22"/>
        </w:rPr>
      </w:pPr>
      <w:r w:rsidRPr="001A5EB9">
        <w:rPr>
          <w:rStyle w:val="s1"/>
          <w:rFonts w:ascii="Arial" w:hAnsi="Arial" w:cs="Arial"/>
          <w:sz w:val="22"/>
          <w:szCs w:val="22"/>
        </w:rPr>
        <w:t xml:space="preserve">The NHS is </w:t>
      </w:r>
      <w:r w:rsidR="002B5900" w:rsidRPr="001A5EB9">
        <w:rPr>
          <w:rStyle w:val="s1"/>
          <w:rFonts w:ascii="Arial" w:hAnsi="Arial" w:cs="Arial"/>
          <w:sz w:val="22"/>
          <w:szCs w:val="22"/>
        </w:rPr>
        <w:t>funded</w:t>
      </w:r>
      <w:r w:rsidRPr="001A5EB9">
        <w:rPr>
          <w:rStyle w:val="s1"/>
          <w:rFonts w:ascii="Arial" w:hAnsi="Arial" w:cs="Arial"/>
          <w:sz w:val="22"/>
          <w:szCs w:val="22"/>
        </w:rPr>
        <w:t xml:space="preserve"> through general taxation, which supports a wide range of services, including primary care, hospital treatment, and public health initiatives. The structure is </w:t>
      </w:r>
      <w:r w:rsidR="009D19F4" w:rsidRPr="001A5EB9">
        <w:rPr>
          <w:rStyle w:val="s1"/>
          <w:rFonts w:ascii="Arial" w:hAnsi="Arial" w:cs="Arial"/>
          <w:sz w:val="22"/>
          <w:szCs w:val="22"/>
        </w:rPr>
        <w:t>decentralised</w:t>
      </w:r>
      <w:r w:rsidRPr="001A5EB9">
        <w:rPr>
          <w:rStyle w:val="s1"/>
          <w:rFonts w:ascii="Arial" w:hAnsi="Arial" w:cs="Arial"/>
          <w:sz w:val="22"/>
          <w:szCs w:val="22"/>
        </w:rPr>
        <w:t xml:space="preserve">, with NHS England overseeing services in England while devolved administrations manage healthcare in Scotland, Wales, and Northern Ireland independently (NHS England, 2023). </w:t>
      </w:r>
    </w:p>
    <w:p w14:paraId="3E7DC6E5" w14:textId="77777777" w:rsidR="00187370" w:rsidRPr="001A5EB9" w:rsidRDefault="00187370" w:rsidP="00371D2E">
      <w:pPr>
        <w:pStyle w:val="p2"/>
        <w:spacing w:line="360" w:lineRule="auto"/>
        <w:rPr>
          <w:rFonts w:ascii="Arial" w:hAnsi="Arial" w:cs="Arial"/>
          <w:sz w:val="22"/>
          <w:szCs w:val="22"/>
        </w:rPr>
      </w:pPr>
    </w:p>
    <w:p w14:paraId="7A441744" w14:textId="36BBE56E" w:rsidR="00187370" w:rsidRPr="001A5EB9" w:rsidRDefault="00187370" w:rsidP="00371D2E">
      <w:pPr>
        <w:pStyle w:val="p1"/>
        <w:spacing w:line="360" w:lineRule="auto"/>
        <w:rPr>
          <w:rFonts w:ascii="Arial" w:hAnsi="Arial" w:cs="Arial"/>
          <w:sz w:val="22"/>
          <w:szCs w:val="22"/>
        </w:rPr>
      </w:pPr>
      <w:r w:rsidRPr="001A5EB9">
        <w:rPr>
          <w:rStyle w:val="s1"/>
          <w:rFonts w:ascii="Arial" w:hAnsi="Arial" w:cs="Arial"/>
          <w:sz w:val="22"/>
          <w:szCs w:val="22"/>
        </w:rPr>
        <w:t xml:space="preserve">However, the NHS faces significant challenges today, including funding pressures and workforce shortages. </w:t>
      </w:r>
      <w:r w:rsidR="003F7847">
        <w:rPr>
          <w:rStyle w:val="s1"/>
          <w:rFonts w:ascii="Arial" w:hAnsi="Arial" w:cs="Arial"/>
          <w:sz w:val="22"/>
          <w:szCs w:val="22"/>
        </w:rPr>
        <w:t>The i</w:t>
      </w:r>
      <w:r w:rsidRPr="001A5EB9">
        <w:rPr>
          <w:rStyle w:val="s1"/>
          <w:rFonts w:ascii="Arial" w:hAnsi="Arial" w:cs="Arial"/>
          <w:sz w:val="22"/>
          <w:szCs w:val="22"/>
        </w:rPr>
        <w:t>ncreasing demand for services due to an ag</w:t>
      </w:r>
      <w:r w:rsidR="003F7847">
        <w:rPr>
          <w:rStyle w:val="s1"/>
          <w:rFonts w:ascii="Arial" w:hAnsi="Arial" w:cs="Arial"/>
          <w:sz w:val="22"/>
          <w:szCs w:val="22"/>
        </w:rPr>
        <w:t>e</w:t>
      </w:r>
      <w:r w:rsidRPr="001A5EB9">
        <w:rPr>
          <w:rStyle w:val="s1"/>
          <w:rFonts w:ascii="Arial" w:hAnsi="Arial" w:cs="Arial"/>
          <w:sz w:val="22"/>
          <w:szCs w:val="22"/>
        </w:rPr>
        <w:t xml:space="preserve">ing population and </w:t>
      </w:r>
      <w:r w:rsidR="003F7847">
        <w:rPr>
          <w:rStyle w:val="s1"/>
          <w:rFonts w:ascii="Arial" w:hAnsi="Arial" w:cs="Arial"/>
          <w:sz w:val="22"/>
          <w:szCs w:val="22"/>
        </w:rPr>
        <w:t xml:space="preserve">the </w:t>
      </w:r>
      <w:r w:rsidRPr="001A5EB9">
        <w:rPr>
          <w:rStyle w:val="s1"/>
          <w:rFonts w:ascii="Arial" w:hAnsi="Arial" w:cs="Arial"/>
          <w:sz w:val="22"/>
          <w:szCs w:val="22"/>
        </w:rPr>
        <w:t xml:space="preserve">rising prevalence of chronic diseases has strained resources, leading to longer waiting times and reduced access to care in some areas (The King's Fund, 2022). </w:t>
      </w:r>
    </w:p>
    <w:p w14:paraId="213D8CA8" w14:textId="77777777" w:rsidR="00187370" w:rsidRPr="001A5EB9" w:rsidRDefault="00187370" w:rsidP="00371D2E">
      <w:pPr>
        <w:pStyle w:val="p2"/>
        <w:spacing w:line="360" w:lineRule="auto"/>
        <w:rPr>
          <w:rFonts w:ascii="Arial" w:hAnsi="Arial" w:cs="Arial"/>
          <w:sz w:val="22"/>
          <w:szCs w:val="22"/>
        </w:rPr>
      </w:pPr>
    </w:p>
    <w:p w14:paraId="5149D3BC" w14:textId="039D2102" w:rsidR="00187370" w:rsidRPr="001A5EB9" w:rsidRDefault="00187370" w:rsidP="00371D2E">
      <w:pPr>
        <w:pStyle w:val="p1"/>
        <w:spacing w:line="360" w:lineRule="auto"/>
        <w:rPr>
          <w:rFonts w:ascii="Arial" w:hAnsi="Arial" w:cs="Arial"/>
          <w:sz w:val="22"/>
          <w:szCs w:val="22"/>
        </w:rPr>
      </w:pPr>
      <w:r w:rsidRPr="001A5EB9">
        <w:rPr>
          <w:rStyle w:val="s1"/>
          <w:rFonts w:ascii="Arial" w:hAnsi="Arial" w:cs="Arial"/>
          <w:sz w:val="22"/>
          <w:szCs w:val="22"/>
        </w:rPr>
        <w:t xml:space="preserve">The introduction of sustainability and transformation partnerships (STPs) aims to improve collaboration between different NHS entities and </w:t>
      </w:r>
      <w:r w:rsidR="00AA369B">
        <w:rPr>
          <w:rStyle w:val="s1"/>
          <w:rFonts w:ascii="Arial" w:hAnsi="Arial" w:cs="Arial"/>
          <w:sz w:val="22"/>
          <w:szCs w:val="22"/>
        </w:rPr>
        <w:t>add</w:t>
      </w:r>
      <w:r w:rsidR="006C3D66">
        <w:rPr>
          <w:rStyle w:val="s1"/>
          <w:rFonts w:ascii="Arial" w:hAnsi="Arial" w:cs="Arial"/>
          <w:sz w:val="22"/>
          <w:szCs w:val="22"/>
        </w:rPr>
        <w:t>ress</w:t>
      </w:r>
      <w:r w:rsidR="000A7E7D" w:rsidRPr="001A5EB9">
        <w:rPr>
          <w:rStyle w:val="s1"/>
          <w:rFonts w:ascii="Arial" w:hAnsi="Arial" w:cs="Arial"/>
          <w:sz w:val="22"/>
          <w:szCs w:val="22"/>
        </w:rPr>
        <w:t xml:space="preserve"> </w:t>
      </w:r>
      <w:r w:rsidRPr="001A5EB9">
        <w:rPr>
          <w:rStyle w:val="s1"/>
          <w:rFonts w:ascii="Arial" w:hAnsi="Arial" w:cs="Arial"/>
          <w:sz w:val="22"/>
          <w:szCs w:val="22"/>
        </w:rPr>
        <w:t xml:space="preserve">environmental and health inequalities (NHS England, 2023). </w:t>
      </w:r>
      <w:r w:rsidR="00463229" w:rsidRPr="001A5EB9">
        <w:rPr>
          <w:rStyle w:val="s1"/>
          <w:rFonts w:ascii="Arial" w:hAnsi="Arial" w:cs="Arial"/>
          <w:sz w:val="22"/>
          <w:szCs w:val="22"/>
        </w:rPr>
        <w:t>T</w:t>
      </w:r>
      <w:r w:rsidR="00FC541C" w:rsidRPr="001A5EB9">
        <w:rPr>
          <w:rStyle w:val="s1"/>
          <w:rFonts w:ascii="Arial" w:hAnsi="Arial" w:cs="Arial"/>
          <w:sz w:val="22"/>
          <w:szCs w:val="22"/>
        </w:rPr>
        <w:t>here are still</w:t>
      </w:r>
      <w:r w:rsidRPr="001A5EB9">
        <w:rPr>
          <w:rStyle w:val="s1"/>
          <w:rFonts w:ascii="Arial" w:hAnsi="Arial" w:cs="Arial"/>
          <w:sz w:val="22"/>
          <w:szCs w:val="22"/>
        </w:rPr>
        <w:t xml:space="preserve"> concerns </w:t>
      </w:r>
      <w:r w:rsidR="00E6167F" w:rsidRPr="001A5EB9">
        <w:rPr>
          <w:rStyle w:val="s1"/>
          <w:rFonts w:ascii="Arial" w:hAnsi="Arial" w:cs="Arial"/>
          <w:sz w:val="22"/>
          <w:szCs w:val="22"/>
        </w:rPr>
        <w:t>about</w:t>
      </w:r>
      <w:r w:rsidRPr="001A5EB9">
        <w:rPr>
          <w:rStyle w:val="s1"/>
          <w:rFonts w:ascii="Arial" w:hAnsi="Arial" w:cs="Arial"/>
          <w:sz w:val="22"/>
          <w:szCs w:val="22"/>
        </w:rPr>
        <w:t xml:space="preserve"> the implementation of market-based reforms, which some critics argue could undermine the founding principles of the NHS by </w:t>
      </w:r>
      <w:r w:rsidR="0038153D" w:rsidRPr="001A5EB9">
        <w:rPr>
          <w:rStyle w:val="s1"/>
          <w:rFonts w:ascii="Arial" w:hAnsi="Arial" w:cs="Arial"/>
          <w:sz w:val="22"/>
          <w:szCs w:val="22"/>
        </w:rPr>
        <w:t>prioritising</w:t>
      </w:r>
      <w:r w:rsidRPr="001A5EB9">
        <w:rPr>
          <w:rStyle w:val="s1"/>
          <w:rFonts w:ascii="Arial" w:hAnsi="Arial" w:cs="Arial"/>
          <w:sz w:val="22"/>
          <w:szCs w:val="22"/>
        </w:rPr>
        <w:t xml:space="preserve"> efficiency over equity (Davis, 2021).</w:t>
      </w:r>
    </w:p>
    <w:p w14:paraId="184CB0CF" w14:textId="77777777" w:rsidR="00187370" w:rsidRPr="001A5EB9" w:rsidRDefault="00187370" w:rsidP="00371D2E">
      <w:pPr>
        <w:pStyle w:val="p2"/>
        <w:spacing w:line="360" w:lineRule="auto"/>
        <w:rPr>
          <w:rFonts w:ascii="Arial" w:hAnsi="Arial" w:cs="Arial"/>
          <w:sz w:val="22"/>
          <w:szCs w:val="22"/>
        </w:rPr>
      </w:pPr>
    </w:p>
    <w:p w14:paraId="5127C30D" w14:textId="54587C40" w:rsidR="00187370" w:rsidRPr="001A5EB9" w:rsidRDefault="00187370" w:rsidP="00371D2E">
      <w:pPr>
        <w:pStyle w:val="p1"/>
        <w:spacing w:line="360" w:lineRule="auto"/>
        <w:rPr>
          <w:rFonts w:ascii="Arial" w:hAnsi="Arial" w:cs="Arial"/>
          <w:sz w:val="22"/>
          <w:szCs w:val="22"/>
        </w:rPr>
      </w:pPr>
      <w:r w:rsidRPr="001A5EB9">
        <w:rPr>
          <w:rStyle w:val="s1"/>
          <w:rFonts w:ascii="Arial" w:hAnsi="Arial" w:cs="Arial"/>
          <w:sz w:val="22"/>
          <w:szCs w:val="22"/>
        </w:rPr>
        <w:t xml:space="preserve">In terms of service delivery, the NHS continues to embrace technological advancements, including telemedicine and electronic health records, which </w:t>
      </w:r>
      <w:r w:rsidR="006C3D66">
        <w:rPr>
          <w:rStyle w:val="s1"/>
          <w:rFonts w:ascii="Arial" w:hAnsi="Arial" w:cs="Arial"/>
          <w:sz w:val="22"/>
          <w:szCs w:val="22"/>
        </w:rPr>
        <w:t>improve</w:t>
      </w:r>
      <w:r w:rsidRPr="001A5EB9">
        <w:rPr>
          <w:rStyle w:val="s1"/>
          <w:rFonts w:ascii="Arial" w:hAnsi="Arial" w:cs="Arial"/>
          <w:sz w:val="22"/>
          <w:szCs w:val="22"/>
        </w:rPr>
        <w:t xml:space="preserve"> patient management and access to services. However, the digital divide poses challenges for some patient populations who may lack access to online resources (Graham, 2022).</w:t>
      </w:r>
    </w:p>
    <w:p w14:paraId="04CCB464" w14:textId="77777777" w:rsidR="00187370" w:rsidRPr="001A5EB9" w:rsidRDefault="00187370" w:rsidP="00C27AC6">
      <w:pPr>
        <w:spacing w:after="0" w:line="360" w:lineRule="auto"/>
        <w:jc w:val="both"/>
        <w:rPr>
          <w:rFonts w:ascii="Arial" w:hAnsi="Arial" w:cs="Arial"/>
          <w:color w:val="FF0000"/>
          <w:sz w:val="22"/>
        </w:rPr>
      </w:pPr>
    </w:p>
    <w:p w14:paraId="451ADF4C" w14:textId="77777777" w:rsidR="00E7463D" w:rsidRDefault="00E7463D" w:rsidP="00C27AC6">
      <w:pPr>
        <w:pStyle w:val="Heading2"/>
        <w:spacing w:line="360" w:lineRule="auto"/>
        <w:rPr>
          <w:rFonts w:ascii="Arial" w:hAnsi="Arial" w:cs="Arial"/>
          <w:sz w:val="22"/>
          <w:szCs w:val="22"/>
        </w:rPr>
      </w:pPr>
    </w:p>
    <w:p w14:paraId="6FD473DF" w14:textId="77777777" w:rsidR="002246D9" w:rsidRDefault="002246D9" w:rsidP="00C27AC6">
      <w:pPr>
        <w:pStyle w:val="Heading2"/>
        <w:spacing w:line="360" w:lineRule="auto"/>
        <w:rPr>
          <w:rFonts w:ascii="Arial" w:hAnsi="Arial" w:cs="Arial"/>
          <w:sz w:val="22"/>
          <w:szCs w:val="22"/>
        </w:rPr>
      </w:pPr>
    </w:p>
    <w:p w14:paraId="500B1670" w14:textId="77777777" w:rsidR="002246D9" w:rsidRDefault="002246D9" w:rsidP="00C27AC6">
      <w:pPr>
        <w:pStyle w:val="Heading2"/>
        <w:spacing w:line="360" w:lineRule="auto"/>
        <w:rPr>
          <w:rFonts w:ascii="Arial" w:hAnsi="Arial" w:cs="Arial"/>
          <w:sz w:val="22"/>
          <w:szCs w:val="22"/>
        </w:rPr>
      </w:pPr>
    </w:p>
    <w:p w14:paraId="39A9B9F7" w14:textId="446E2194" w:rsidR="00C27AC6" w:rsidRPr="001A5EB9" w:rsidRDefault="00C27AC6" w:rsidP="00C27AC6">
      <w:pPr>
        <w:pStyle w:val="Heading2"/>
        <w:spacing w:line="360" w:lineRule="auto"/>
        <w:rPr>
          <w:rFonts w:ascii="Arial" w:hAnsi="Arial" w:cs="Arial"/>
          <w:sz w:val="22"/>
          <w:szCs w:val="22"/>
        </w:rPr>
      </w:pPr>
      <w:r w:rsidRPr="001A5EB9">
        <w:rPr>
          <w:rFonts w:ascii="Arial" w:hAnsi="Arial" w:cs="Arial"/>
          <w:sz w:val="22"/>
          <w:szCs w:val="22"/>
        </w:rPr>
        <w:t>2.4 Conclusion</w:t>
      </w:r>
    </w:p>
    <w:p w14:paraId="39EA85B0" w14:textId="77777777" w:rsidR="00C27AC6" w:rsidRPr="001A5EB9" w:rsidRDefault="00C27AC6" w:rsidP="00C27AC6">
      <w:pPr>
        <w:spacing w:line="360" w:lineRule="auto"/>
        <w:rPr>
          <w:rFonts w:ascii="Arial" w:hAnsi="Arial" w:cs="Arial"/>
          <w:sz w:val="22"/>
        </w:rPr>
      </w:pPr>
    </w:p>
    <w:p w14:paraId="7154535E" w14:textId="3F95B397" w:rsidR="00B47238" w:rsidRPr="001A5EB9" w:rsidRDefault="00E456E6" w:rsidP="00C27AC6">
      <w:pPr>
        <w:spacing w:line="360" w:lineRule="auto"/>
        <w:rPr>
          <w:rFonts w:ascii="Arial" w:hAnsi="Arial" w:cs="Arial"/>
          <w:sz w:val="22"/>
        </w:rPr>
      </w:pPr>
      <w:r w:rsidRPr="00E456E6">
        <w:rPr>
          <w:rFonts w:ascii="Arial" w:hAnsi="Arial" w:cs="Arial"/>
          <w:sz w:val="22"/>
        </w:rPr>
        <w:t xml:space="preserve">In summary, the NHS has significantly changed the landscape of healthcare since its </w:t>
      </w:r>
      <w:r w:rsidR="007B103E">
        <w:rPr>
          <w:rFonts w:ascii="Arial" w:hAnsi="Arial" w:cs="Arial"/>
          <w:sz w:val="22"/>
        </w:rPr>
        <w:t>start</w:t>
      </w:r>
      <w:r w:rsidRPr="00E456E6">
        <w:rPr>
          <w:rFonts w:ascii="Arial" w:hAnsi="Arial" w:cs="Arial"/>
          <w:sz w:val="22"/>
        </w:rPr>
        <w:t xml:space="preserve"> in 1948, yet it currently faces substantial challenges. The foundat</w:t>
      </w:r>
      <w:r w:rsidR="007B103E">
        <w:rPr>
          <w:rFonts w:ascii="Arial" w:hAnsi="Arial" w:cs="Arial"/>
          <w:sz w:val="22"/>
        </w:rPr>
        <w:t>ion</w:t>
      </w:r>
      <w:r w:rsidRPr="00E456E6">
        <w:rPr>
          <w:rFonts w:ascii="Arial" w:hAnsi="Arial" w:cs="Arial"/>
          <w:sz w:val="22"/>
        </w:rPr>
        <w:t xml:space="preserve"> values of universality, equity, and comprehensiveness remain essential, but modern pressures demand flexibility and ongoing commitment to health equity. As reforms and innovations evolve, the core principles of the NHS </w:t>
      </w:r>
      <w:r w:rsidR="00CF748C">
        <w:rPr>
          <w:rFonts w:ascii="Arial" w:hAnsi="Arial" w:cs="Arial"/>
          <w:sz w:val="22"/>
        </w:rPr>
        <w:t>must</w:t>
      </w:r>
      <w:r w:rsidRPr="00E456E6">
        <w:rPr>
          <w:rFonts w:ascii="Arial" w:hAnsi="Arial" w:cs="Arial"/>
          <w:sz w:val="22"/>
        </w:rPr>
        <w:t xml:space="preserve"> endure to </w:t>
      </w:r>
      <w:r w:rsidR="00136635" w:rsidRPr="00E456E6">
        <w:rPr>
          <w:rFonts w:ascii="Arial" w:hAnsi="Arial" w:cs="Arial"/>
          <w:sz w:val="22"/>
        </w:rPr>
        <w:t>support</w:t>
      </w:r>
      <w:r w:rsidRPr="00E456E6">
        <w:rPr>
          <w:rFonts w:ascii="Arial" w:hAnsi="Arial" w:cs="Arial"/>
          <w:sz w:val="22"/>
        </w:rPr>
        <w:t xml:space="preserve"> its mission of delivering accessible healthcare for everyone.</w:t>
      </w:r>
    </w:p>
    <w:p w14:paraId="2310531A" w14:textId="77777777" w:rsidR="00B47238" w:rsidRPr="001A5EB9" w:rsidRDefault="00B47238" w:rsidP="00C27AC6">
      <w:pPr>
        <w:spacing w:line="360" w:lineRule="auto"/>
        <w:rPr>
          <w:rFonts w:ascii="Arial" w:hAnsi="Arial" w:cs="Arial"/>
          <w:sz w:val="22"/>
        </w:rPr>
      </w:pPr>
    </w:p>
    <w:p w14:paraId="7A24463F" w14:textId="77777777" w:rsidR="00B47238" w:rsidRDefault="00B47238" w:rsidP="00C27AC6">
      <w:pPr>
        <w:spacing w:line="360" w:lineRule="auto"/>
        <w:rPr>
          <w:rFonts w:ascii="Arial" w:hAnsi="Arial" w:cs="Arial"/>
          <w:sz w:val="22"/>
        </w:rPr>
      </w:pPr>
    </w:p>
    <w:p w14:paraId="5252EBA7" w14:textId="77777777" w:rsidR="001E3539" w:rsidRDefault="001E3539" w:rsidP="00C27AC6">
      <w:pPr>
        <w:spacing w:line="360" w:lineRule="auto"/>
        <w:rPr>
          <w:rFonts w:ascii="Arial" w:hAnsi="Arial" w:cs="Arial"/>
          <w:sz w:val="22"/>
        </w:rPr>
      </w:pPr>
    </w:p>
    <w:p w14:paraId="46C4CF83" w14:textId="77777777" w:rsidR="001E3539" w:rsidRDefault="001E3539" w:rsidP="00C27AC6">
      <w:pPr>
        <w:spacing w:line="360" w:lineRule="auto"/>
        <w:rPr>
          <w:rFonts w:ascii="Arial" w:hAnsi="Arial" w:cs="Arial"/>
          <w:sz w:val="22"/>
        </w:rPr>
      </w:pPr>
    </w:p>
    <w:p w14:paraId="1499F9C0" w14:textId="77777777" w:rsidR="001E3539" w:rsidRDefault="001E3539" w:rsidP="00C27AC6">
      <w:pPr>
        <w:spacing w:line="360" w:lineRule="auto"/>
        <w:rPr>
          <w:rFonts w:ascii="Arial" w:hAnsi="Arial" w:cs="Arial"/>
          <w:sz w:val="22"/>
        </w:rPr>
      </w:pPr>
    </w:p>
    <w:p w14:paraId="43E40113" w14:textId="77777777" w:rsidR="001E3539" w:rsidRDefault="001E3539" w:rsidP="00C27AC6">
      <w:pPr>
        <w:spacing w:line="360" w:lineRule="auto"/>
        <w:rPr>
          <w:rFonts w:ascii="Arial" w:hAnsi="Arial" w:cs="Arial"/>
          <w:sz w:val="22"/>
        </w:rPr>
      </w:pPr>
    </w:p>
    <w:p w14:paraId="27F367B6" w14:textId="77777777" w:rsidR="001E3539" w:rsidRDefault="001E3539" w:rsidP="00C27AC6">
      <w:pPr>
        <w:spacing w:line="360" w:lineRule="auto"/>
        <w:rPr>
          <w:rFonts w:ascii="Arial" w:hAnsi="Arial" w:cs="Arial"/>
          <w:sz w:val="22"/>
        </w:rPr>
      </w:pPr>
    </w:p>
    <w:p w14:paraId="55F33CC8" w14:textId="77777777" w:rsidR="001E3539" w:rsidRDefault="001E3539" w:rsidP="00C27AC6">
      <w:pPr>
        <w:spacing w:line="360" w:lineRule="auto"/>
        <w:rPr>
          <w:rFonts w:ascii="Arial" w:hAnsi="Arial" w:cs="Arial"/>
          <w:sz w:val="22"/>
        </w:rPr>
      </w:pPr>
    </w:p>
    <w:p w14:paraId="28487E00" w14:textId="77777777" w:rsidR="001E3539" w:rsidRDefault="001E3539" w:rsidP="00C27AC6">
      <w:pPr>
        <w:spacing w:line="360" w:lineRule="auto"/>
        <w:rPr>
          <w:rFonts w:ascii="Arial" w:hAnsi="Arial" w:cs="Arial"/>
          <w:sz w:val="22"/>
        </w:rPr>
      </w:pPr>
    </w:p>
    <w:p w14:paraId="7C07EEEA" w14:textId="77777777" w:rsidR="001E3539" w:rsidRDefault="001E3539" w:rsidP="00C27AC6">
      <w:pPr>
        <w:spacing w:line="360" w:lineRule="auto"/>
        <w:rPr>
          <w:rFonts w:ascii="Arial" w:hAnsi="Arial" w:cs="Arial"/>
          <w:sz w:val="22"/>
        </w:rPr>
      </w:pPr>
    </w:p>
    <w:p w14:paraId="6F00AAFA" w14:textId="77777777" w:rsidR="001E3539" w:rsidRPr="001A5EB9" w:rsidRDefault="001E3539" w:rsidP="00C27AC6">
      <w:pPr>
        <w:spacing w:line="360" w:lineRule="auto"/>
        <w:rPr>
          <w:rFonts w:ascii="Arial" w:hAnsi="Arial" w:cs="Arial"/>
          <w:sz w:val="22"/>
        </w:rPr>
      </w:pPr>
    </w:p>
    <w:p w14:paraId="23F90F5A" w14:textId="77777777" w:rsidR="00B47238" w:rsidRPr="001A5EB9" w:rsidRDefault="00B47238" w:rsidP="00C27AC6">
      <w:pPr>
        <w:spacing w:line="360" w:lineRule="auto"/>
        <w:rPr>
          <w:rFonts w:ascii="Arial" w:hAnsi="Arial" w:cs="Arial"/>
          <w:sz w:val="22"/>
        </w:rPr>
      </w:pPr>
    </w:p>
    <w:p w14:paraId="2B83113B" w14:textId="77777777" w:rsidR="00982201" w:rsidRDefault="00982201" w:rsidP="001B5098">
      <w:pPr>
        <w:pStyle w:val="Heading2"/>
        <w:spacing w:line="360" w:lineRule="auto"/>
        <w:rPr>
          <w:rFonts w:ascii="Arial" w:hAnsi="Arial" w:cs="Arial"/>
          <w:sz w:val="22"/>
          <w:szCs w:val="22"/>
        </w:rPr>
      </w:pPr>
    </w:p>
    <w:p w14:paraId="751785AE" w14:textId="6A3CC63A" w:rsidR="00C27AC6" w:rsidRPr="001A5EB9" w:rsidRDefault="00C27AC6" w:rsidP="00982201">
      <w:pPr>
        <w:pStyle w:val="Heading2"/>
        <w:numPr>
          <w:ilvl w:val="1"/>
          <w:numId w:val="11"/>
        </w:numPr>
        <w:spacing w:line="360" w:lineRule="auto"/>
        <w:rPr>
          <w:rFonts w:ascii="Arial" w:hAnsi="Arial" w:cs="Arial"/>
          <w:sz w:val="22"/>
          <w:szCs w:val="22"/>
        </w:rPr>
      </w:pPr>
      <w:r w:rsidRPr="001A5EB9">
        <w:rPr>
          <w:rFonts w:ascii="Arial" w:hAnsi="Arial" w:cs="Arial"/>
          <w:sz w:val="22"/>
          <w:szCs w:val="22"/>
        </w:rPr>
        <w:t>Reference List</w:t>
      </w:r>
    </w:p>
    <w:p w14:paraId="6D8B58B6" w14:textId="5925FC6E" w:rsidR="006A254A" w:rsidRPr="001A5EB9" w:rsidRDefault="006A254A" w:rsidP="006A254A">
      <w:pPr>
        <w:pStyle w:val="NoSpacing"/>
        <w:rPr>
          <w:rFonts w:ascii="Arial" w:hAnsi="Arial" w:cs="Arial"/>
          <w:kern w:val="2"/>
          <w:lang w:val="en-GB" w:eastAsia="zh-CN"/>
          <w14:ligatures w14:val="standardContextual"/>
        </w:rPr>
      </w:pPr>
    </w:p>
    <w:sdt>
      <w:sdtPr>
        <w:rPr>
          <w:rFonts w:ascii="Arial" w:hAnsi="Arial" w:cs="Arial"/>
          <w:kern w:val="2"/>
          <w:sz w:val="20"/>
          <w:szCs w:val="27"/>
          <w:lang w:val="en-GB" w:eastAsia="zh-CN"/>
          <w14:ligatures w14:val="standardContextual"/>
        </w:rPr>
        <w:id w:val="-1134482055"/>
        <w:docPartObj>
          <w:docPartGallery w:val="Cover Pages"/>
          <w:docPartUnique/>
        </w:docPartObj>
      </w:sdtPr>
      <w:sdtEndPr>
        <w:rPr>
          <w:kern w:val="0"/>
          <w:sz w:val="22"/>
          <w:lang w:eastAsia="en-GB"/>
          <w14:ligatures w14:val="none"/>
        </w:rPr>
      </w:sdtEndPr>
      <w:sdtContent>
        <w:p w14:paraId="542E7608" w14:textId="638AEF96" w:rsidR="00012F2F" w:rsidRPr="007137A5" w:rsidRDefault="00012F2F" w:rsidP="007137A5">
          <w:pPr>
            <w:pStyle w:val="NoSpacing"/>
            <w:rPr>
              <w:rFonts w:ascii="Arial" w:hAnsi="Arial" w:cs="Arial"/>
              <w:kern w:val="2"/>
              <w:lang w:val="en-GB" w:eastAsia="zh-CN"/>
              <w14:ligatures w14:val="standardContextual"/>
            </w:rPr>
          </w:pPr>
          <w:r w:rsidRPr="001A5EB9">
            <w:rPr>
              <w:rStyle w:val="s1"/>
              <w:rFonts w:ascii="Arial" w:hAnsi="Arial" w:cs="Arial"/>
              <w:sz w:val="22"/>
              <w:szCs w:val="22"/>
            </w:rPr>
            <w:t xml:space="preserve"> </w:t>
          </w:r>
        </w:p>
        <w:p w14:paraId="0E77A156" w14:textId="16CBD374" w:rsidR="004C60D9" w:rsidRDefault="004C60D9" w:rsidP="004C60D9">
          <w:pPr>
            <w:pStyle w:val="NormalWeb"/>
            <w:spacing w:before="0" w:beforeAutospacing="0" w:after="240" w:afterAutospacing="0" w:line="360" w:lineRule="auto"/>
          </w:pPr>
          <w:r>
            <w:t xml:space="preserve">Beveridge, W. (2024). Social insurance and allied services. 1942. </w:t>
          </w:r>
          <w:r>
            <w:rPr>
              <w:i/>
              <w:iCs/>
            </w:rPr>
            <w:t>Bulletin of the World Health Organisation</w:t>
          </w:r>
          <w:r>
            <w:t xml:space="preserve">, 78(6), p.847. Available at: </w:t>
          </w:r>
          <w:hyperlink r:id="rId10" w:history="1">
            <w:r w:rsidR="000D33ED" w:rsidRPr="00A9085F">
              <w:rPr>
                <w:rStyle w:val="Hyperlink"/>
              </w:rPr>
              <w:t>https://pmc.ncbi.nlm.nih.gov/articles/PMC2560775/</w:t>
            </w:r>
          </w:hyperlink>
          <w:r w:rsidR="000D33ED">
            <w:t xml:space="preserve"> </w:t>
          </w:r>
        </w:p>
        <w:p w14:paraId="1E751764" w14:textId="4342D622" w:rsidR="004C60D9" w:rsidRDefault="004C60D9" w:rsidP="004C60D9">
          <w:pPr>
            <w:pStyle w:val="NormalWeb"/>
            <w:spacing w:before="0" w:beforeAutospacing="0" w:after="240" w:afterAutospacing="0" w:line="360" w:lineRule="auto"/>
          </w:pPr>
          <w:r>
            <w:t xml:space="preserve">Britannica (2019). dentistry | Definition, History, &amp; Fields | Britannica. In: </w:t>
          </w:r>
          <w:proofErr w:type="spellStart"/>
          <w:r>
            <w:rPr>
              <w:i/>
              <w:iCs/>
            </w:rPr>
            <w:t>Encyclopædia</w:t>
          </w:r>
          <w:proofErr w:type="spellEnd"/>
          <w:r>
            <w:rPr>
              <w:i/>
              <w:iCs/>
            </w:rPr>
            <w:t xml:space="preserve"> Britannica</w:t>
          </w:r>
          <w:r>
            <w:t xml:space="preserve">.  Available at: </w:t>
          </w:r>
          <w:hyperlink r:id="rId11" w:history="1">
            <w:r w:rsidR="000D33ED" w:rsidRPr="00A9085F">
              <w:rPr>
                <w:rStyle w:val="Hyperlink"/>
              </w:rPr>
              <w:t>https://www.britannica.com/science/dentistry</w:t>
            </w:r>
          </w:hyperlink>
          <w:r w:rsidR="000D33ED">
            <w:t xml:space="preserve"> </w:t>
          </w:r>
        </w:p>
        <w:p w14:paraId="0D0F252F" w14:textId="47462BCF" w:rsidR="004C60D9" w:rsidRDefault="004C60D9" w:rsidP="004C60D9">
          <w:pPr>
            <w:pStyle w:val="NormalWeb"/>
            <w:spacing w:before="0" w:beforeAutospacing="0" w:after="240" w:afterAutospacing="0" w:line="360" w:lineRule="auto"/>
          </w:pPr>
          <w:r>
            <w:t xml:space="preserve">BUPA (2025). </w:t>
          </w:r>
          <w:r>
            <w:rPr>
              <w:i/>
              <w:iCs/>
            </w:rPr>
            <w:t>The differences between NHS and private dentistry | Bupa Dental Care</w:t>
          </w:r>
          <w:r>
            <w:t xml:space="preserve">. www.bupa.co.uk. Available at: </w:t>
          </w:r>
          <w:hyperlink r:id="rId12" w:history="1">
            <w:r w:rsidR="000D33ED" w:rsidRPr="00A9085F">
              <w:rPr>
                <w:rStyle w:val="Hyperlink"/>
              </w:rPr>
              <w:t>https://www.bupa.co.uk/dental/dental-care/news/nhs-vs-private</w:t>
            </w:r>
          </w:hyperlink>
          <w:r w:rsidR="000D33ED">
            <w:t xml:space="preserve"> </w:t>
          </w:r>
        </w:p>
        <w:p w14:paraId="191224FD" w14:textId="3E749AC7" w:rsidR="004C60D9" w:rsidRDefault="004C60D9" w:rsidP="004C60D9">
          <w:pPr>
            <w:pStyle w:val="NormalWeb"/>
            <w:spacing w:before="0" w:beforeAutospacing="0" w:after="240" w:afterAutospacing="0" w:line="360" w:lineRule="auto"/>
          </w:pPr>
          <w:r>
            <w:t xml:space="preserve">Evans, D., Mills, I., Burns, L., Bryce, M. and Hanks, S. (2023). The Dental Workforce Recruitment and Retention Crisis in the UK. </w:t>
          </w:r>
          <w:r>
            <w:rPr>
              <w:i/>
              <w:iCs/>
            </w:rPr>
            <w:t xml:space="preserve">British Dental </w:t>
          </w:r>
          <w:proofErr w:type="gramStart"/>
          <w:r>
            <w:rPr>
              <w:i/>
              <w:iCs/>
            </w:rPr>
            <w:t>Journal</w:t>
          </w:r>
          <w:r>
            <w:t>,  234</w:t>
          </w:r>
          <w:proofErr w:type="gramEnd"/>
          <w:r>
            <w:t xml:space="preserve">(8), pp.573–577. </w:t>
          </w:r>
          <w:proofErr w:type="spellStart"/>
          <w:proofErr w:type="gramStart"/>
          <w:r>
            <w:t>doi:https</w:t>
          </w:r>
          <w:proofErr w:type="spellEnd"/>
          <w:r>
            <w:t>://doi.org/10.1038/s41415-023-5737-5</w:t>
          </w:r>
          <w:proofErr w:type="gramEnd"/>
          <w:r>
            <w:t>.</w:t>
          </w:r>
        </w:p>
        <w:p w14:paraId="6821B821" w14:textId="0FDCCA59" w:rsidR="004C60D9" w:rsidRDefault="004C60D9" w:rsidP="004C60D9">
          <w:pPr>
            <w:pStyle w:val="NormalWeb"/>
            <w:spacing w:before="0" w:beforeAutospacing="0" w:after="240" w:afterAutospacing="0" w:line="360" w:lineRule="auto"/>
          </w:pPr>
          <w:r>
            <w:t xml:space="preserve">Google Books. (2019). </w:t>
          </w:r>
          <w:r>
            <w:rPr>
              <w:i/>
              <w:iCs/>
            </w:rPr>
            <w:t xml:space="preserve">Public Health </w:t>
          </w:r>
          <w:proofErr w:type="gramStart"/>
          <w:r>
            <w:rPr>
              <w:i/>
              <w:iCs/>
            </w:rPr>
            <w:t>And</w:t>
          </w:r>
          <w:proofErr w:type="gramEnd"/>
          <w:r>
            <w:rPr>
              <w:i/>
              <w:iCs/>
            </w:rPr>
            <w:t xml:space="preserve"> Health Services Research </w:t>
          </w:r>
          <w:proofErr w:type="gramStart"/>
          <w:r>
            <w:rPr>
              <w:i/>
              <w:iCs/>
            </w:rPr>
            <w:t>In</w:t>
          </w:r>
          <w:proofErr w:type="gramEnd"/>
          <w:r>
            <w:rPr>
              <w:i/>
              <w:iCs/>
            </w:rPr>
            <w:t xml:space="preserve"> Traditional, Complementary </w:t>
          </w:r>
          <w:proofErr w:type="gramStart"/>
          <w:r>
            <w:rPr>
              <w:i/>
              <w:iCs/>
            </w:rPr>
            <w:t>And</w:t>
          </w:r>
          <w:proofErr w:type="gramEnd"/>
          <w:r>
            <w:rPr>
              <w:i/>
              <w:iCs/>
            </w:rPr>
            <w:t xml:space="preserve"> Integrative Health Care: International Perspectives</w:t>
          </w:r>
          <w:r>
            <w:t xml:space="preserve">. Available at: </w:t>
          </w:r>
          <w:hyperlink r:id="rId13" w:anchor="v=onepage&amp;q&amp;f=false" w:history="1">
            <w:r w:rsidR="000D33ED" w:rsidRPr="00A9085F">
              <w:rPr>
                <w:rStyle w:val="Hyperlink"/>
              </w:rPr>
              <w:t>https://books.google.co.uk/books?id=otacDwAAQBAJ&amp;lpg=PR5&amp;ots=TUgdtynys_&amp;dq=Adams%2C%20R.%20(2019).%20The%20National%20Health%20Service%3A%20A%20very%20short%20introduction.%20Oxford%3A%20Oxford%20University%20Press&amp;lr&amp;pg=PR5#v=onepage&amp;q&amp;f=false</w:t>
            </w:r>
          </w:hyperlink>
          <w:r w:rsidR="000D33ED">
            <w:t xml:space="preserve"> </w:t>
          </w:r>
          <w:r>
            <w:t>[Accessed 16 Oct. 2025].</w:t>
          </w:r>
        </w:p>
        <w:p w14:paraId="70A1A8FF" w14:textId="12F409C9" w:rsidR="004C60D9" w:rsidRDefault="004C60D9" w:rsidP="004C60D9">
          <w:pPr>
            <w:pStyle w:val="NormalWeb"/>
            <w:spacing w:before="0" w:beforeAutospacing="0" w:after="240" w:afterAutospacing="0" w:line="360" w:lineRule="auto"/>
          </w:pPr>
          <w:proofErr w:type="spellStart"/>
          <w:r>
            <w:t>Grosios</w:t>
          </w:r>
          <w:proofErr w:type="spellEnd"/>
          <w:r>
            <w:t xml:space="preserve">, K., Gahan, P.B. and Burbidge, J. (2010). Overview of healthcare in the UK. </w:t>
          </w:r>
          <w:r>
            <w:rPr>
              <w:i/>
              <w:iCs/>
            </w:rPr>
            <w:t>EPMA Journal</w:t>
          </w:r>
          <w:r>
            <w:t xml:space="preserve">, 1(4), pp.529–534. </w:t>
          </w:r>
          <w:proofErr w:type="spellStart"/>
          <w:proofErr w:type="gramStart"/>
          <w:r>
            <w:t>doi:https</w:t>
          </w:r>
          <w:proofErr w:type="spellEnd"/>
          <w:r>
            <w:t>://doi.org/10.1007/s13167-010-0050-1</w:t>
          </w:r>
          <w:proofErr w:type="gramEnd"/>
          <w:r>
            <w:t>.</w:t>
          </w:r>
        </w:p>
        <w:p w14:paraId="04DD24C5" w14:textId="5EBB8D3D" w:rsidR="004C60D9" w:rsidRDefault="004C60D9" w:rsidP="004C60D9">
          <w:pPr>
            <w:pStyle w:val="NormalWeb"/>
            <w:spacing w:before="0" w:beforeAutospacing="0" w:after="240" w:afterAutospacing="0" w:line="360" w:lineRule="auto"/>
          </w:pPr>
          <w:r>
            <w:t xml:space="preserve">HFMA. (2025). </w:t>
          </w:r>
          <w:r>
            <w:rPr>
              <w:i/>
              <w:iCs/>
            </w:rPr>
            <w:t>Funding NHS dentistry</w:t>
          </w:r>
          <w:r>
            <w:t xml:space="preserve">. Available at: </w:t>
          </w:r>
          <w:hyperlink r:id="rId14" w:history="1">
            <w:r w:rsidR="000D33ED" w:rsidRPr="00A9085F">
              <w:rPr>
                <w:rStyle w:val="Hyperlink"/>
              </w:rPr>
              <w:t>https://www.hfma.org.uk/publications/funding-nhs-dentistry</w:t>
            </w:r>
          </w:hyperlink>
          <w:r w:rsidR="000D33ED">
            <w:t xml:space="preserve"> </w:t>
          </w:r>
        </w:p>
        <w:p w14:paraId="32D83CDC" w14:textId="7334F90D" w:rsidR="004C60D9" w:rsidRDefault="004C60D9" w:rsidP="004C60D9">
          <w:pPr>
            <w:pStyle w:val="NormalWeb"/>
            <w:spacing w:before="0" w:beforeAutospacing="0" w:after="240" w:afterAutospacing="0" w:line="360" w:lineRule="auto"/>
          </w:pPr>
          <w:r>
            <w:t xml:space="preserve">Nuffield Trust. (2025). </w:t>
          </w:r>
          <w:r>
            <w:rPr>
              <w:i/>
              <w:iCs/>
            </w:rPr>
            <w:t>Dental health infographic</w:t>
          </w:r>
          <w:r>
            <w:t xml:space="preserve">. Available at: </w:t>
          </w:r>
          <w:hyperlink r:id="rId15" w:history="1">
            <w:r w:rsidR="000D33ED" w:rsidRPr="00A9085F">
              <w:rPr>
                <w:rStyle w:val="Hyperlink"/>
              </w:rPr>
              <w:t>https://www.nuffieldtrust.org.uk/dental-health-infographic</w:t>
            </w:r>
          </w:hyperlink>
          <w:r w:rsidR="000D33ED">
            <w:t xml:space="preserve"> </w:t>
          </w:r>
          <w:r>
            <w:t>[Accessed 16 Oct. 2025].</w:t>
          </w:r>
        </w:p>
        <w:p w14:paraId="2CA38C9B" w14:textId="7332489E" w:rsidR="004C60D9" w:rsidRDefault="004C60D9" w:rsidP="004C60D9">
          <w:pPr>
            <w:pStyle w:val="NormalWeb"/>
            <w:spacing w:before="0" w:beforeAutospacing="0" w:after="240" w:afterAutospacing="0" w:line="360" w:lineRule="auto"/>
          </w:pPr>
          <w:r>
            <w:t xml:space="preserve">Public Health England (2021). </w:t>
          </w:r>
          <w:r>
            <w:rPr>
              <w:i/>
              <w:iCs/>
            </w:rPr>
            <w:t>Inequalities in oral health in England: summary</w:t>
          </w:r>
          <w:r>
            <w:t xml:space="preserve">.  GOV.UK. Available at: </w:t>
          </w:r>
          <w:hyperlink r:id="rId16" w:history="1">
            <w:r w:rsidR="000D33ED" w:rsidRPr="00A9085F">
              <w:rPr>
                <w:rStyle w:val="Hyperlink"/>
              </w:rPr>
              <w:t>https://www.gov.uk/government/publications/inequalities-in-oral-health-in-england/inequalities-in-oral-health-in-england-summary</w:t>
            </w:r>
          </w:hyperlink>
          <w:r w:rsidR="000D33ED">
            <w:t xml:space="preserve"> </w:t>
          </w:r>
        </w:p>
        <w:p w14:paraId="1955D121" w14:textId="161B3207" w:rsidR="004C60D9" w:rsidRDefault="004C60D9" w:rsidP="004C60D9">
          <w:pPr>
            <w:pStyle w:val="NormalWeb"/>
            <w:spacing w:before="0" w:beforeAutospacing="0" w:after="240" w:afterAutospacing="0" w:line="360" w:lineRule="auto"/>
          </w:pPr>
          <w:r>
            <w:t xml:space="preserve">Royal College of Nursing (2023). </w:t>
          </w:r>
          <w:r>
            <w:rPr>
              <w:i/>
              <w:iCs/>
            </w:rPr>
            <w:t>NHS 75: the history of our National Health Service | RCN Magazine | Royal College of Nursing</w:t>
          </w:r>
          <w:r>
            <w:t xml:space="preserve">. The Royal College of Nursing. Available at: </w:t>
          </w:r>
          <w:hyperlink r:id="rId17" w:history="1">
            <w:r w:rsidR="000D33ED" w:rsidRPr="00A9085F">
              <w:rPr>
                <w:rStyle w:val="Hyperlink"/>
              </w:rPr>
              <w:t>https://www.rcn.org.uk/magazines/History/2023/July/NHS-75-anniversary-history-of-the-National-Health-Service</w:t>
            </w:r>
          </w:hyperlink>
          <w:r w:rsidR="000D33ED">
            <w:t xml:space="preserve"> </w:t>
          </w:r>
        </w:p>
        <w:p w14:paraId="0C44A905" w14:textId="63E8A8FE" w:rsidR="004C60D9" w:rsidRDefault="004C60D9" w:rsidP="004C60D9">
          <w:pPr>
            <w:pStyle w:val="NormalWeb"/>
            <w:spacing w:before="0" w:beforeAutospacing="0" w:after="240" w:afterAutospacing="0" w:line="360" w:lineRule="auto"/>
          </w:pPr>
          <w:r>
            <w:t xml:space="preserve">Shapiro, J. (2010). The NHS: the story so far (1948–2010). </w:t>
          </w:r>
          <w:r>
            <w:rPr>
              <w:i/>
              <w:iCs/>
            </w:rPr>
            <w:t>Clinical Medicine</w:t>
          </w:r>
          <w:r>
            <w:t xml:space="preserve">, 10(4), pp.336–338. </w:t>
          </w:r>
          <w:proofErr w:type="spellStart"/>
          <w:proofErr w:type="gramStart"/>
          <w:r>
            <w:t>doi:https</w:t>
          </w:r>
          <w:proofErr w:type="spellEnd"/>
          <w:r>
            <w:t>://doi.org/10.7861/clinmedicine.10-4-336</w:t>
          </w:r>
          <w:proofErr w:type="gramEnd"/>
          <w:r>
            <w:t>.</w:t>
          </w:r>
        </w:p>
        <w:p w14:paraId="4114E9FA" w14:textId="4C6927E0" w:rsidR="004C60D9" w:rsidRDefault="004C60D9" w:rsidP="004C60D9">
          <w:pPr>
            <w:pStyle w:val="NormalWeb"/>
            <w:spacing w:before="0" w:beforeAutospacing="0" w:after="240" w:afterAutospacing="0" w:line="360" w:lineRule="auto"/>
          </w:pPr>
          <w:r>
            <w:t xml:space="preserve">The King’s Fund. (2023). </w:t>
          </w:r>
          <w:r>
            <w:rPr>
              <w:i/>
              <w:iCs/>
            </w:rPr>
            <w:t xml:space="preserve">NHS Dentistry </w:t>
          </w:r>
          <w:proofErr w:type="gramStart"/>
          <w:r>
            <w:rPr>
              <w:i/>
              <w:iCs/>
            </w:rPr>
            <w:t>In</w:t>
          </w:r>
          <w:proofErr w:type="gramEnd"/>
          <w:r>
            <w:rPr>
              <w:i/>
              <w:iCs/>
            </w:rPr>
            <w:t xml:space="preserve"> England Explained | The King’s Fund</w:t>
          </w:r>
          <w:r>
            <w:t xml:space="preserve">. Available at: </w:t>
          </w:r>
          <w:hyperlink r:id="rId18" w:anchor="how-is-nhs-dentistry-commissioned-and-contracted" w:history="1">
            <w:r w:rsidR="000D33ED" w:rsidRPr="00A9085F">
              <w:rPr>
                <w:rStyle w:val="Hyperlink"/>
              </w:rPr>
              <w:t>https://www.kingsfund.org.uk/insight-and-analysis/long-reads/dentistry-england-explained#how-is-nhs-dentistry-commissioned-and-contracted</w:t>
            </w:r>
          </w:hyperlink>
          <w:r>
            <w:t>?</w:t>
          </w:r>
          <w:r w:rsidR="000D33ED">
            <w:t xml:space="preserve"> </w:t>
          </w:r>
          <w:r>
            <w:t xml:space="preserve"> [Accessed 16 Oct. 2025].</w:t>
          </w:r>
        </w:p>
        <w:p w14:paraId="5A60E865" w14:textId="30C9D6B7" w:rsidR="004C60D9" w:rsidRDefault="004C60D9" w:rsidP="004C60D9">
          <w:pPr>
            <w:pStyle w:val="NormalWeb"/>
            <w:spacing w:before="0" w:beforeAutospacing="0" w:after="240" w:afterAutospacing="0" w:line="360" w:lineRule="auto"/>
          </w:pPr>
          <w:r>
            <w:t xml:space="preserve">www.england.nhs.uk. (n.d.). </w:t>
          </w:r>
          <w:r>
            <w:rPr>
              <w:i/>
              <w:iCs/>
            </w:rPr>
            <w:t>NHS England» Dental contracting framework</w:t>
          </w:r>
          <w:r>
            <w:t xml:space="preserve">. Available at: </w:t>
          </w:r>
          <w:hyperlink r:id="rId19" w:history="1">
            <w:r w:rsidR="000D33ED" w:rsidRPr="00A9085F">
              <w:rPr>
                <w:rStyle w:val="Hyperlink"/>
              </w:rPr>
              <w:t>https://www.england.nhs.uk/primary-care/dentistry/dental-commissioning/dental-contract/</w:t>
            </w:r>
          </w:hyperlink>
          <w:r w:rsidR="000D33ED">
            <w:t xml:space="preserve"> [Accessed 16 Oct. 2025].</w:t>
          </w:r>
        </w:p>
        <w:p w14:paraId="2895DCCE" w14:textId="77777777" w:rsidR="00225010" w:rsidRPr="001E3539" w:rsidRDefault="00225010">
          <w:pPr>
            <w:pStyle w:val="p1"/>
            <w:rPr>
              <w:rFonts w:ascii="Arial" w:hAnsi="Arial" w:cs="Arial"/>
              <w:sz w:val="22"/>
              <w:szCs w:val="22"/>
            </w:rPr>
          </w:pPr>
        </w:p>
        <w:p w14:paraId="0B86559C" w14:textId="4F0EE848" w:rsidR="00225010" w:rsidRPr="001E3539" w:rsidRDefault="00225010">
          <w:pPr>
            <w:pStyle w:val="p1"/>
            <w:rPr>
              <w:rStyle w:val="s1"/>
              <w:rFonts w:ascii="Arial" w:hAnsi="Arial" w:cs="Arial"/>
              <w:sz w:val="22"/>
              <w:szCs w:val="22"/>
            </w:rPr>
          </w:pPr>
          <w:r w:rsidRPr="001E3539">
            <w:rPr>
              <w:rStyle w:val="s1"/>
              <w:rFonts w:ascii="Arial" w:hAnsi="Arial" w:cs="Arial"/>
              <w:sz w:val="22"/>
              <w:szCs w:val="22"/>
            </w:rPr>
            <w:t xml:space="preserve"> </w:t>
          </w:r>
        </w:p>
        <w:p w14:paraId="0494E3C6" w14:textId="77777777" w:rsidR="00225010" w:rsidRPr="001E3539" w:rsidRDefault="00225010">
          <w:pPr>
            <w:pStyle w:val="p1"/>
            <w:rPr>
              <w:rFonts w:ascii="Arial" w:hAnsi="Arial" w:cs="Arial"/>
              <w:sz w:val="22"/>
              <w:szCs w:val="22"/>
            </w:rPr>
          </w:pPr>
        </w:p>
        <w:p w14:paraId="6E6EA266" w14:textId="7FD113C3" w:rsidR="00225010" w:rsidRPr="001E3539" w:rsidRDefault="00C56A38">
          <w:pPr>
            <w:pStyle w:val="p1"/>
            <w:rPr>
              <w:rFonts w:ascii="Arial" w:hAnsi="Arial" w:cs="Arial"/>
              <w:sz w:val="22"/>
              <w:szCs w:val="22"/>
            </w:rPr>
          </w:pPr>
        </w:p>
      </w:sdtContent>
    </w:sdt>
    <w:p w14:paraId="291BA97E" w14:textId="0E4BFDAD" w:rsidR="00C27AC6" w:rsidRPr="001A5EB9" w:rsidRDefault="00C27AC6">
      <w:pPr>
        <w:rPr>
          <w:rFonts w:ascii="Arial" w:hAnsi="Arial" w:cs="Arial"/>
          <w:sz w:val="22"/>
        </w:rPr>
      </w:pPr>
    </w:p>
    <w:sectPr w:rsidR="00C27AC6" w:rsidRPr="001A5EB9" w:rsidSect="00F330C9">
      <w:footerReference w:type="even" r:id="rId20"/>
      <w:footerReference w:type="default" r:id="rId2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2CFAD0" w14:textId="77777777" w:rsidR="0074794C" w:rsidRDefault="0074794C" w:rsidP="00707C6D">
      <w:pPr>
        <w:spacing w:after="0" w:line="240" w:lineRule="auto"/>
      </w:pPr>
      <w:r>
        <w:separator/>
      </w:r>
    </w:p>
  </w:endnote>
  <w:endnote w:type="continuationSeparator" w:id="0">
    <w:p w14:paraId="7E6476FC" w14:textId="77777777" w:rsidR="0074794C" w:rsidRDefault="0074794C" w:rsidP="00707C6D">
      <w:pPr>
        <w:spacing w:after="0" w:line="240" w:lineRule="auto"/>
      </w:pPr>
      <w:r>
        <w:continuationSeparator/>
      </w:r>
    </w:p>
  </w:endnote>
  <w:endnote w:type="continuationNotice" w:id="1">
    <w:p w14:paraId="79797E40" w14:textId="77777777" w:rsidR="0074794C" w:rsidRDefault="007479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AppleSystemUIFont">
    <w:altName w:val="Cambria"/>
    <w:charset w:val="00"/>
    <w:family w:val="roman"/>
    <w:pitch w:val="default"/>
  </w:font>
  <w:font w:name="UICTFontTextStyleBody">
    <w:altName w:val="Cambria"/>
    <w:charset w:val="00"/>
    <w:family w:val="roman"/>
    <w:pitch w:val="default"/>
  </w:font>
  <w:font w:name="Arial Nova">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75942167"/>
      <w:docPartObj>
        <w:docPartGallery w:val="Page Numbers (Bottom of Page)"/>
        <w:docPartUnique/>
      </w:docPartObj>
    </w:sdtPr>
    <w:sdtContent>
      <w:p w14:paraId="395AA8E5" w14:textId="4869DB5B" w:rsidR="00707C6D" w:rsidRDefault="00707C6D" w:rsidP="002C6E3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630243" w14:textId="77777777" w:rsidR="00707C6D" w:rsidRDefault="00707C6D" w:rsidP="00707C6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75847413"/>
      <w:docPartObj>
        <w:docPartGallery w:val="Page Numbers (Bottom of Page)"/>
        <w:docPartUnique/>
      </w:docPartObj>
    </w:sdtPr>
    <w:sdtContent>
      <w:p w14:paraId="67F0F12E" w14:textId="4E837160" w:rsidR="00707C6D" w:rsidRDefault="00707C6D" w:rsidP="002C6E3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CAF30D2" w14:textId="77777777" w:rsidR="00707C6D" w:rsidRDefault="00707C6D" w:rsidP="00707C6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D592C" w14:textId="77777777" w:rsidR="0074794C" w:rsidRDefault="0074794C" w:rsidP="00707C6D">
      <w:pPr>
        <w:spacing w:after="0" w:line="240" w:lineRule="auto"/>
      </w:pPr>
      <w:r>
        <w:separator/>
      </w:r>
    </w:p>
  </w:footnote>
  <w:footnote w:type="continuationSeparator" w:id="0">
    <w:p w14:paraId="0FB87517" w14:textId="77777777" w:rsidR="0074794C" w:rsidRDefault="0074794C" w:rsidP="00707C6D">
      <w:pPr>
        <w:spacing w:after="0" w:line="240" w:lineRule="auto"/>
      </w:pPr>
      <w:r>
        <w:continuationSeparator/>
      </w:r>
    </w:p>
  </w:footnote>
  <w:footnote w:type="continuationNotice" w:id="1">
    <w:p w14:paraId="2621D209" w14:textId="77777777" w:rsidR="0074794C" w:rsidRDefault="0074794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F42369"/>
    <w:multiLevelType w:val="multilevel"/>
    <w:tmpl w:val="7B0AA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5D9E40B5"/>
    <w:multiLevelType w:val="multilevel"/>
    <w:tmpl w:val="2D62532C"/>
    <w:lvl w:ilvl="0">
      <w:start w:val="2"/>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004540"/>
    <w:multiLevelType w:val="multilevel"/>
    <w:tmpl w:val="3FD2B7EA"/>
    <w:lvl w:ilvl="0">
      <w:start w:val="1"/>
      <w:numFmt w:val="decimal"/>
      <w:lvlText w:val="%1."/>
      <w:lvlJc w:val="left"/>
      <w:pPr>
        <w:ind w:left="720" w:hanging="360"/>
      </w:pPr>
      <w:rPr>
        <w:rFonts w:hint="default"/>
        <w:b w:val="0"/>
        <w:bCs/>
      </w:rPr>
    </w:lvl>
    <w:lvl w:ilvl="1">
      <w:start w:val="1"/>
      <w:numFmt w:val="decimal"/>
      <w:isLgl/>
      <w:lvlText w:val="%1.%2"/>
      <w:lvlJc w:val="left"/>
      <w:pPr>
        <w:ind w:left="800" w:hanging="4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7AE3370F"/>
    <w:multiLevelType w:val="multilevel"/>
    <w:tmpl w:val="7360B10E"/>
    <w:lvl w:ilvl="0">
      <w:start w:val="1"/>
      <w:numFmt w:val="decimal"/>
      <w:lvlText w:val="%1."/>
      <w:lvlJc w:val="left"/>
      <w:pPr>
        <w:ind w:left="786" w:hanging="360"/>
      </w:pPr>
      <w:rPr>
        <w:rFonts w:hint="default"/>
      </w:rPr>
    </w:lvl>
    <w:lvl w:ilvl="1">
      <w:start w:val="5"/>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7BA9469A"/>
    <w:multiLevelType w:val="multilevel"/>
    <w:tmpl w:val="FFFFFFFF"/>
    <w:lvl w:ilvl="0">
      <w:start w:val="2"/>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16cid:durableId="1579359955">
    <w:abstractNumId w:val="5"/>
  </w:num>
  <w:num w:numId="2" w16cid:durableId="1314750107">
    <w:abstractNumId w:val="4"/>
  </w:num>
  <w:num w:numId="3" w16cid:durableId="1766919701">
    <w:abstractNumId w:val="7"/>
  </w:num>
  <w:num w:numId="4" w16cid:durableId="1957908719">
    <w:abstractNumId w:val="3"/>
  </w:num>
  <w:num w:numId="5" w16cid:durableId="1132019979">
    <w:abstractNumId w:val="0"/>
  </w:num>
  <w:num w:numId="6" w16cid:durableId="1838374920">
    <w:abstractNumId w:val="8"/>
  </w:num>
  <w:num w:numId="7" w16cid:durableId="1827044992">
    <w:abstractNumId w:val="2"/>
  </w:num>
  <w:num w:numId="8" w16cid:durableId="817497522">
    <w:abstractNumId w:val="9"/>
  </w:num>
  <w:num w:numId="9" w16cid:durableId="1298607516">
    <w:abstractNumId w:val="10"/>
  </w:num>
  <w:num w:numId="10" w16cid:durableId="659235052">
    <w:abstractNumId w:val="1"/>
  </w:num>
  <w:num w:numId="11" w16cid:durableId="4855889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AC6"/>
    <w:rsid w:val="00012F2F"/>
    <w:rsid w:val="00025BE1"/>
    <w:rsid w:val="00030E5F"/>
    <w:rsid w:val="000458D8"/>
    <w:rsid w:val="00046706"/>
    <w:rsid w:val="00053156"/>
    <w:rsid w:val="00065006"/>
    <w:rsid w:val="00067F1A"/>
    <w:rsid w:val="00075AA2"/>
    <w:rsid w:val="0008434D"/>
    <w:rsid w:val="0008612E"/>
    <w:rsid w:val="00096466"/>
    <w:rsid w:val="00097E1F"/>
    <w:rsid w:val="000A50BA"/>
    <w:rsid w:val="000A6C83"/>
    <w:rsid w:val="000A7E7D"/>
    <w:rsid w:val="000B27F5"/>
    <w:rsid w:val="000C12E7"/>
    <w:rsid w:val="000D33ED"/>
    <w:rsid w:val="000E2FF3"/>
    <w:rsid w:val="000F0FDF"/>
    <w:rsid w:val="000F4D53"/>
    <w:rsid w:val="00101353"/>
    <w:rsid w:val="00136635"/>
    <w:rsid w:val="00150156"/>
    <w:rsid w:val="00157552"/>
    <w:rsid w:val="001619F4"/>
    <w:rsid w:val="00176BFB"/>
    <w:rsid w:val="00187370"/>
    <w:rsid w:val="0019203D"/>
    <w:rsid w:val="001960B5"/>
    <w:rsid w:val="001A5EB9"/>
    <w:rsid w:val="001B5098"/>
    <w:rsid w:val="001B5BBF"/>
    <w:rsid w:val="001C1353"/>
    <w:rsid w:val="001E2487"/>
    <w:rsid w:val="001E3539"/>
    <w:rsid w:val="001E502C"/>
    <w:rsid w:val="001F3235"/>
    <w:rsid w:val="00214FC8"/>
    <w:rsid w:val="002223C5"/>
    <w:rsid w:val="002246D9"/>
    <w:rsid w:val="00225010"/>
    <w:rsid w:val="0022644C"/>
    <w:rsid w:val="0023492C"/>
    <w:rsid w:val="00244BDC"/>
    <w:rsid w:val="00245493"/>
    <w:rsid w:val="002549D1"/>
    <w:rsid w:val="0025694D"/>
    <w:rsid w:val="002712B6"/>
    <w:rsid w:val="00273213"/>
    <w:rsid w:val="002767D5"/>
    <w:rsid w:val="002A44D5"/>
    <w:rsid w:val="002A490D"/>
    <w:rsid w:val="002B5900"/>
    <w:rsid w:val="002C6E30"/>
    <w:rsid w:val="002D31B0"/>
    <w:rsid w:val="002E1BA7"/>
    <w:rsid w:val="002E1F01"/>
    <w:rsid w:val="002E4615"/>
    <w:rsid w:val="002F3D26"/>
    <w:rsid w:val="00302D8E"/>
    <w:rsid w:val="00320FAF"/>
    <w:rsid w:val="0033022E"/>
    <w:rsid w:val="00330E17"/>
    <w:rsid w:val="00370483"/>
    <w:rsid w:val="00371D2E"/>
    <w:rsid w:val="00375EF3"/>
    <w:rsid w:val="0038153D"/>
    <w:rsid w:val="00396FCF"/>
    <w:rsid w:val="003A342C"/>
    <w:rsid w:val="003A41C9"/>
    <w:rsid w:val="003A6D68"/>
    <w:rsid w:val="003A78BA"/>
    <w:rsid w:val="003C0F10"/>
    <w:rsid w:val="003C49E4"/>
    <w:rsid w:val="003D4037"/>
    <w:rsid w:val="003D5811"/>
    <w:rsid w:val="003E04EF"/>
    <w:rsid w:val="003F05BE"/>
    <w:rsid w:val="003F40D3"/>
    <w:rsid w:val="003F7847"/>
    <w:rsid w:val="004016D5"/>
    <w:rsid w:val="00430E21"/>
    <w:rsid w:val="00434DD2"/>
    <w:rsid w:val="00436BC7"/>
    <w:rsid w:val="0044068C"/>
    <w:rsid w:val="004536A4"/>
    <w:rsid w:val="00463229"/>
    <w:rsid w:val="00463E81"/>
    <w:rsid w:val="004663E3"/>
    <w:rsid w:val="004745F0"/>
    <w:rsid w:val="00477E50"/>
    <w:rsid w:val="004B43F4"/>
    <w:rsid w:val="004C60D9"/>
    <w:rsid w:val="004D50E8"/>
    <w:rsid w:val="00501086"/>
    <w:rsid w:val="00533C21"/>
    <w:rsid w:val="00553EFF"/>
    <w:rsid w:val="00555AC8"/>
    <w:rsid w:val="005658AA"/>
    <w:rsid w:val="00590A2C"/>
    <w:rsid w:val="005923C9"/>
    <w:rsid w:val="00595390"/>
    <w:rsid w:val="005B0AED"/>
    <w:rsid w:val="005B2D3D"/>
    <w:rsid w:val="005C31EB"/>
    <w:rsid w:val="005C32F8"/>
    <w:rsid w:val="005E1FFE"/>
    <w:rsid w:val="005E3B96"/>
    <w:rsid w:val="005E7967"/>
    <w:rsid w:val="00613B59"/>
    <w:rsid w:val="006403EC"/>
    <w:rsid w:val="00643133"/>
    <w:rsid w:val="00643745"/>
    <w:rsid w:val="00684975"/>
    <w:rsid w:val="00686FD3"/>
    <w:rsid w:val="00692B53"/>
    <w:rsid w:val="006A254A"/>
    <w:rsid w:val="006A5134"/>
    <w:rsid w:val="006B0541"/>
    <w:rsid w:val="006B2E08"/>
    <w:rsid w:val="006C3D66"/>
    <w:rsid w:val="006C4C8E"/>
    <w:rsid w:val="006C6E01"/>
    <w:rsid w:val="006E4AB1"/>
    <w:rsid w:val="006F0851"/>
    <w:rsid w:val="006F4D31"/>
    <w:rsid w:val="0070077D"/>
    <w:rsid w:val="00707C6D"/>
    <w:rsid w:val="007137A5"/>
    <w:rsid w:val="0073334D"/>
    <w:rsid w:val="0074794C"/>
    <w:rsid w:val="007673C8"/>
    <w:rsid w:val="007800F4"/>
    <w:rsid w:val="007845E8"/>
    <w:rsid w:val="00790D28"/>
    <w:rsid w:val="00793B59"/>
    <w:rsid w:val="007A0711"/>
    <w:rsid w:val="007A6356"/>
    <w:rsid w:val="007B103E"/>
    <w:rsid w:val="007C1173"/>
    <w:rsid w:val="007C1A3C"/>
    <w:rsid w:val="007C32C4"/>
    <w:rsid w:val="007E09FB"/>
    <w:rsid w:val="007E3D6C"/>
    <w:rsid w:val="007F36A0"/>
    <w:rsid w:val="00805363"/>
    <w:rsid w:val="008076C1"/>
    <w:rsid w:val="00807B23"/>
    <w:rsid w:val="00814DE2"/>
    <w:rsid w:val="0082566B"/>
    <w:rsid w:val="00834FA4"/>
    <w:rsid w:val="0083678B"/>
    <w:rsid w:val="00847AD9"/>
    <w:rsid w:val="008A7369"/>
    <w:rsid w:val="008B5DAE"/>
    <w:rsid w:val="008D0221"/>
    <w:rsid w:val="008D36D4"/>
    <w:rsid w:val="0092231B"/>
    <w:rsid w:val="0093258C"/>
    <w:rsid w:val="009531F8"/>
    <w:rsid w:val="009600CF"/>
    <w:rsid w:val="009628A0"/>
    <w:rsid w:val="009821BF"/>
    <w:rsid w:val="00982201"/>
    <w:rsid w:val="00987F0A"/>
    <w:rsid w:val="00992028"/>
    <w:rsid w:val="009A5E48"/>
    <w:rsid w:val="009B0A4C"/>
    <w:rsid w:val="009B5731"/>
    <w:rsid w:val="009D19F4"/>
    <w:rsid w:val="009D5698"/>
    <w:rsid w:val="009D6271"/>
    <w:rsid w:val="009F5817"/>
    <w:rsid w:val="00A153E6"/>
    <w:rsid w:val="00A15B38"/>
    <w:rsid w:val="00A16E5F"/>
    <w:rsid w:val="00A17228"/>
    <w:rsid w:val="00A20C13"/>
    <w:rsid w:val="00A50D38"/>
    <w:rsid w:val="00A51EBD"/>
    <w:rsid w:val="00A554B8"/>
    <w:rsid w:val="00A60FD4"/>
    <w:rsid w:val="00A620F7"/>
    <w:rsid w:val="00A65441"/>
    <w:rsid w:val="00A753EB"/>
    <w:rsid w:val="00A833E8"/>
    <w:rsid w:val="00A835D1"/>
    <w:rsid w:val="00AA147B"/>
    <w:rsid w:val="00AA369B"/>
    <w:rsid w:val="00AA4B61"/>
    <w:rsid w:val="00AA6314"/>
    <w:rsid w:val="00AA77C5"/>
    <w:rsid w:val="00AB1260"/>
    <w:rsid w:val="00B02210"/>
    <w:rsid w:val="00B2295F"/>
    <w:rsid w:val="00B331B7"/>
    <w:rsid w:val="00B3567E"/>
    <w:rsid w:val="00B35CEC"/>
    <w:rsid w:val="00B37110"/>
    <w:rsid w:val="00B37D42"/>
    <w:rsid w:val="00B47205"/>
    <w:rsid w:val="00B47238"/>
    <w:rsid w:val="00B52BF8"/>
    <w:rsid w:val="00B83ECB"/>
    <w:rsid w:val="00B868AE"/>
    <w:rsid w:val="00B908CC"/>
    <w:rsid w:val="00B944EC"/>
    <w:rsid w:val="00B94F6B"/>
    <w:rsid w:val="00BA4289"/>
    <w:rsid w:val="00BA7230"/>
    <w:rsid w:val="00BA778B"/>
    <w:rsid w:val="00BA7BF9"/>
    <w:rsid w:val="00BB41F8"/>
    <w:rsid w:val="00BC02D8"/>
    <w:rsid w:val="00BC1609"/>
    <w:rsid w:val="00BC26E0"/>
    <w:rsid w:val="00BE0090"/>
    <w:rsid w:val="00BF21B9"/>
    <w:rsid w:val="00C06B68"/>
    <w:rsid w:val="00C22CE6"/>
    <w:rsid w:val="00C2315A"/>
    <w:rsid w:val="00C268F9"/>
    <w:rsid w:val="00C27AC6"/>
    <w:rsid w:val="00C4032D"/>
    <w:rsid w:val="00C46E80"/>
    <w:rsid w:val="00C64654"/>
    <w:rsid w:val="00CA756D"/>
    <w:rsid w:val="00CA7CB6"/>
    <w:rsid w:val="00CC2072"/>
    <w:rsid w:val="00CE251A"/>
    <w:rsid w:val="00CF748C"/>
    <w:rsid w:val="00D03F7E"/>
    <w:rsid w:val="00D20BC3"/>
    <w:rsid w:val="00D2249D"/>
    <w:rsid w:val="00D27286"/>
    <w:rsid w:val="00D32419"/>
    <w:rsid w:val="00D335FE"/>
    <w:rsid w:val="00D473C0"/>
    <w:rsid w:val="00D70196"/>
    <w:rsid w:val="00D736B1"/>
    <w:rsid w:val="00D94DDD"/>
    <w:rsid w:val="00D97346"/>
    <w:rsid w:val="00DA57B3"/>
    <w:rsid w:val="00DA63FC"/>
    <w:rsid w:val="00DB359B"/>
    <w:rsid w:val="00DB3EDF"/>
    <w:rsid w:val="00DB4AA6"/>
    <w:rsid w:val="00DB7330"/>
    <w:rsid w:val="00DC0159"/>
    <w:rsid w:val="00DC714D"/>
    <w:rsid w:val="00DD35CD"/>
    <w:rsid w:val="00DD6CEC"/>
    <w:rsid w:val="00DF3AC4"/>
    <w:rsid w:val="00E053BE"/>
    <w:rsid w:val="00E0596F"/>
    <w:rsid w:val="00E115C9"/>
    <w:rsid w:val="00E456E6"/>
    <w:rsid w:val="00E46F64"/>
    <w:rsid w:val="00E532B5"/>
    <w:rsid w:val="00E54AD3"/>
    <w:rsid w:val="00E60B64"/>
    <w:rsid w:val="00E6167F"/>
    <w:rsid w:val="00E62F2D"/>
    <w:rsid w:val="00E705C3"/>
    <w:rsid w:val="00E7463D"/>
    <w:rsid w:val="00E76075"/>
    <w:rsid w:val="00E87CFA"/>
    <w:rsid w:val="00EB44C8"/>
    <w:rsid w:val="00ED03A5"/>
    <w:rsid w:val="00EF2559"/>
    <w:rsid w:val="00EF279C"/>
    <w:rsid w:val="00F041C4"/>
    <w:rsid w:val="00F16A36"/>
    <w:rsid w:val="00F2253B"/>
    <w:rsid w:val="00F330C9"/>
    <w:rsid w:val="00F353DC"/>
    <w:rsid w:val="00F52B53"/>
    <w:rsid w:val="00F62461"/>
    <w:rsid w:val="00F632A5"/>
    <w:rsid w:val="00F73C4C"/>
    <w:rsid w:val="00F7553A"/>
    <w:rsid w:val="00F83303"/>
    <w:rsid w:val="00F8447E"/>
    <w:rsid w:val="00F916DB"/>
    <w:rsid w:val="00FA60BB"/>
    <w:rsid w:val="00FC1FDC"/>
    <w:rsid w:val="00FC541C"/>
    <w:rsid w:val="00FF13A7"/>
    <w:rsid w:val="00FF42E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24B6A"/>
  <w15:chartTrackingRefBased/>
  <w15:docId w15:val="{008751D7-BF44-4939-A355-C5706AB66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AC6"/>
    <w:pPr>
      <w:spacing w:line="259" w:lineRule="auto"/>
    </w:pPr>
    <w:rPr>
      <w:rFonts w:ascii="Segoe UI" w:eastAsiaTheme="minorEastAsia" w:hAnsi="Segoe UI"/>
      <w:sz w:val="20"/>
      <w:szCs w:val="22"/>
      <w:lang w:eastAsia="zh-CN"/>
    </w:rPr>
  </w:style>
  <w:style w:type="paragraph" w:styleId="Heading1">
    <w:name w:val="heading 1"/>
    <w:basedOn w:val="Normal"/>
    <w:next w:val="Normal"/>
    <w:link w:val="Heading1Char"/>
    <w:uiPriority w:val="9"/>
    <w:qFormat/>
    <w:rsid w:val="00C27A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27A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27A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7A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7A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7A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7A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7A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7A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A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27A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27A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27A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7A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7A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7A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7A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7AC6"/>
    <w:rPr>
      <w:rFonts w:eastAsiaTheme="majorEastAsia" w:cstheme="majorBidi"/>
      <w:color w:val="272727" w:themeColor="text1" w:themeTint="D8"/>
    </w:rPr>
  </w:style>
  <w:style w:type="paragraph" w:styleId="Title">
    <w:name w:val="Title"/>
    <w:basedOn w:val="Normal"/>
    <w:next w:val="Normal"/>
    <w:link w:val="TitleChar"/>
    <w:uiPriority w:val="10"/>
    <w:qFormat/>
    <w:rsid w:val="00C27A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7A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7A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7A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7AC6"/>
    <w:pPr>
      <w:spacing w:before="160"/>
      <w:jc w:val="center"/>
    </w:pPr>
    <w:rPr>
      <w:i/>
      <w:iCs/>
      <w:color w:val="404040" w:themeColor="text1" w:themeTint="BF"/>
    </w:rPr>
  </w:style>
  <w:style w:type="character" w:customStyle="1" w:styleId="QuoteChar">
    <w:name w:val="Quote Char"/>
    <w:basedOn w:val="DefaultParagraphFont"/>
    <w:link w:val="Quote"/>
    <w:uiPriority w:val="29"/>
    <w:rsid w:val="00C27AC6"/>
    <w:rPr>
      <w:i/>
      <w:iCs/>
      <w:color w:val="404040" w:themeColor="text1" w:themeTint="BF"/>
    </w:rPr>
  </w:style>
  <w:style w:type="paragraph" w:styleId="ListParagraph">
    <w:name w:val="List Paragraph"/>
    <w:basedOn w:val="Normal"/>
    <w:uiPriority w:val="34"/>
    <w:qFormat/>
    <w:rsid w:val="00C27AC6"/>
    <w:pPr>
      <w:ind w:left="720"/>
      <w:contextualSpacing/>
    </w:pPr>
  </w:style>
  <w:style w:type="character" w:styleId="IntenseEmphasis">
    <w:name w:val="Intense Emphasis"/>
    <w:basedOn w:val="DefaultParagraphFont"/>
    <w:uiPriority w:val="21"/>
    <w:qFormat/>
    <w:rsid w:val="00C27AC6"/>
    <w:rPr>
      <w:i/>
      <w:iCs/>
      <w:color w:val="0F4761" w:themeColor="accent1" w:themeShade="BF"/>
    </w:rPr>
  </w:style>
  <w:style w:type="paragraph" w:styleId="IntenseQuote">
    <w:name w:val="Intense Quote"/>
    <w:basedOn w:val="Normal"/>
    <w:next w:val="Normal"/>
    <w:link w:val="IntenseQuoteChar"/>
    <w:uiPriority w:val="30"/>
    <w:qFormat/>
    <w:rsid w:val="00C27A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7AC6"/>
    <w:rPr>
      <w:i/>
      <w:iCs/>
      <w:color w:val="0F4761" w:themeColor="accent1" w:themeShade="BF"/>
    </w:rPr>
  </w:style>
  <w:style w:type="character" w:styleId="IntenseReference">
    <w:name w:val="Intense Reference"/>
    <w:basedOn w:val="DefaultParagraphFont"/>
    <w:uiPriority w:val="32"/>
    <w:qFormat/>
    <w:rsid w:val="00C27AC6"/>
    <w:rPr>
      <w:b/>
      <w:bCs/>
      <w:smallCaps/>
      <w:color w:val="0F4761" w:themeColor="accent1" w:themeShade="BF"/>
      <w:spacing w:val="5"/>
    </w:rPr>
  </w:style>
  <w:style w:type="paragraph" w:styleId="TOCHeading">
    <w:name w:val="TOC Heading"/>
    <w:basedOn w:val="Heading1"/>
    <w:next w:val="Normal"/>
    <w:uiPriority w:val="39"/>
    <w:unhideWhenUsed/>
    <w:qFormat/>
    <w:rsid w:val="00C27AC6"/>
    <w:pPr>
      <w:spacing w:before="480" w:after="0" w:line="276" w:lineRule="auto"/>
      <w:outlineLvl w:val="9"/>
    </w:pPr>
    <w:rPr>
      <w:rFonts w:ascii="Segoe UI" w:hAnsi="Segoe UI"/>
      <w:bCs/>
      <w:kern w:val="0"/>
      <w:sz w:val="28"/>
      <w:szCs w:val="28"/>
      <w:lang w:val="en-US"/>
      <w14:ligatures w14:val="none"/>
    </w:rPr>
  </w:style>
  <w:style w:type="paragraph" w:styleId="TOC1">
    <w:name w:val="toc 1"/>
    <w:basedOn w:val="Normal"/>
    <w:next w:val="Normal"/>
    <w:autoRedefine/>
    <w:uiPriority w:val="39"/>
    <w:unhideWhenUsed/>
    <w:rsid w:val="00C27AC6"/>
    <w:pPr>
      <w:spacing w:before="120" w:after="0"/>
    </w:pPr>
    <w:rPr>
      <w:rFonts w:asciiTheme="minorHAnsi" w:hAnsiTheme="minorHAnsi"/>
      <w:b/>
      <w:bCs/>
      <w:i/>
      <w:iCs/>
      <w:sz w:val="24"/>
      <w:szCs w:val="24"/>
    </w:rPr>
  </w:style>
  <w:style w:type="paragraph" w:styleId="TOC2">
    <w:name w:val="toc 2"/>
    <w:basedOn w:val="Normal"/>
    <w:next w:val="Normal"/>
    <w:autoRedefine/>
    <w:uiPriority w:val="39"/>
    <w:unhideWhenUsed/>
    <w:rsid w:val="00C27AC6"/>
    <w:pPr>
      <w:spacing w:before="120" w:after="0"/>
      <w:ind w:left="200"/>
    </w:pPr>
    <w:rPr>
      <w:rFonts w:asciiTheme="minorHAnsi" w:hAnsiTheme="minorHAnsi"/>
      <w:b/>
      <w:bCs/>
      <w:sz w:val="22"/>
    </w:rPr>
  </w:style>
  <w:style w:type="character" w:styleId="Hyperlink">
    <w:name w:val="Hyperlink"/>
    <w:basedOn w:val="DefaultParagraphFont"/>
    <w:uiPriority w:val="99"/>
    <w:unhideWhenUsed/>
    <w:rsid w:val="00C27AC6"/>
    <w:rPr>
      <w:color w:val="467886" w:themeColor="hyperlink"/>
      <w:u w:val="single"/>
    </w:rPr>
  </w:style>
  <w:style w:type="character" w:styleId="Emphasis">
    <w:name w:val="Emphasis"/>
    <w:basedOn w:val="DefaultParagraphFont"/>
    <w:uiPriority w:val="20"/>
    <w:qFormat/>
    <w:rsid w:val="00C27AC6"/>
    <w:rPr>
      <w:i/>
      <w:iCs/>
    </w:rPr>
  </w:style>
  <w:style w:type="table" w:styleId="TableGrid">
    <w:name w:val="Table Grid"/>
    <w:basedOn w:val="TableNormal"/>
    <w:uiPriority w:val="39"/>
    <w:rsid w:val="00C27AC6"/>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C27AC6"/>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27AC6"/>
    <w:rPr>
      <w:rFonts w:eastAsiaTheme="minorEastAsia"/>
      <w:kern w:val="0"/>
      <w:sz w:val="22"/>
      <w:szCs w:val="22"/>
      <w:lang w:val="en-US"/>
      <w14:ligatures w14:val="none"/>
    </w:rPr>
  </w:style>
  <w:style w:type="paragraph" w:customStyle="1" w:styleId="p1">
    <w:name w:val="p1"/>
    <w:basedOn w:val="Normal"/>
    <w:rsid w:val="00BA7230"/>
    <w:pPr>
      <w:spacing w:after="0" w:line="240" w:lineRule="auto"/>
    </w:pPr>
    <w:rPr>
      <w:rFonts w:ascii=".AppleSystemUIFont" w:hAnsi=".AppleSystemUIFont" w:cs="Times New Roman"/>
      <w:kern w:val="0"/>
      <w:sz w:val="27"/>
      <w:szCs w:val="27"/>
      <w:lang w:eastAsia="en-GB"/>
      <w14:ligatures w14:val="none"/>
    </w:rPr>
  </w:style>
  <w:style w:type="character" w:customStyle="1" w:styleId="s1">
    <w:name w:val="s1"/>
    <w:basedOn w:val="DefaultParagraphFont"/>
    <w:rsid w:val="00BA7230"/>
    <w:rPr>
      <w:rFonts w:ascii="UICTFontTextStyleBody" w:hAnsi="UICTFontTextStyleBody" w:hint="default"/>
      <w:b w:val="0"/>
      <w:bCs w:val="0"/>
      <w:i w:val="0"/>
      <w:iCs w:val="0"/>
      <w:sz w:val="27"/>
      <w:szCs w:val="27"/>
    </w:rPr>
  </w:style>
  <w:style w:type="paragraph" w:customStyle="1" w:styleId="p2">
    <w:name w:val="p2"/>
    <w:basedOn w:val="Normal"/>
    <w:rsid w:val="00187370"/>
    <w:pPr>
      <w:spacing w:after="0" w:line="240" w:lineRule="auto"/>
    </w:pPr>
    <w:rPr>
      <w:rFonts w:ascii=".AppleSystemUIFont" w:hAnsi=".AppleSystemUIFont" w:cs="Times New Roman"/>
      <w:kern w:val="0"/>
      <w:sz w:val="27"/>
      <w:szCs w:val="27"/>
      <w:lang w:eastAsia="en-GB"/>
      <w14:ligatures w14:val="none"/>
    </w:rPr>
  </w:style>
  <w:style w:type="character" w:customStyle="1" w:styleId="apple-converted-space">
    <w:name w:val="apple-converted-space"/>
    <w:basedOn w:val="DefaultParagraphFont"/>
    <w:rsid w:val="00187370"/>
  </w:style>
  <w:style w:type="paragraph" w:styleId="TOC3">
    <w:name w:val="toc 3"/>
    <w:basedOn w:val="Normal"/>
    <w:next w:val="Normal"/>
    <w:autoRedefine/>
    <w:uiPriority w:val="39"/>
    <w:unhideWhenUsed/>
    <w:rsid w:val="00595390"/>
    <w:pPr>
      <w:spacing w:after="0"/>
      <w:ind w:left="400"/>
    </w:pPr>
    <w:rPr>
      <w:rFonts w:asciiTheme="minorHAnsi" w:hAnsiTheme="minorHAnsi"/>
      <w:szCs w:val="20"/>
    </w:rPr>
  </w:style>
  <w:style w:type="character" w:styleId="UnresolvedMention">
    <w:name w:val="Unresolved Mention"/>
    <w:basedOn w:val="DefaultParagraphFont"/>
    <w:uiPriority w:val="99"/>
    <w:semiHidden/>
    <w:unhideWhenUsed/>
    <w:rsid w:val="00B02210"/>
    <w:rPr>
      <w:color w:val="605E5C"/>
      <w:shd w:val="clear" w:color="auto" w:fill="E1DFDD"/>
    </w:rPr>
  </w:style>
  <w:style w:type="character" w:styleId="FollowedHyperlink">
    <w:name w:val="FollowedHyperlink"/>
    <w:basedOn w:val="DefaultParagraphFont"/>
    <w:uiPriority w:val="99"/>
    <w:semiHidden/>
    <w:unhideWhenUsed/>
    <w:rsid w:val="00B02210"/>
    <w:rPr>
      <w:color w:val="96607D" w:themeColor="followedHyperlink"/>
      <w:u w:val="single"/>
    </w:rPr>
  </w:style>
  <w:style w:type="character" w:styleId="LineNumber">
    <w:name w:val="line number"/>
    <w:basedOn w:val="DefaultParagraphFont"/>
    <w:uiPriority w:val="99"/>
    <w:semiHidden/>
    <w:unhideWhenUsed/>
    <w:rsid w:val="00F330C9"/>
  </w:style>
  <w:style w:type="paragraph" w:styleId="TOC4">
    <w:name w:val="toc 4"/>
    <w:basedOn w:val="Normal"/>
    <w:next w:val="Normal"/>
    <w:autoRedefine/>
    <w:uiPriority w:val="39"/>
    <w:semiHidden/>
    <w:unhideWhenUsed/>
    <w:rsid w:val="00C64654"/>
    <w:pPr>
      <w:spacing w:after="0"/>
      <w:ind w:left="600"/>
    </w:pPr>
    <w:rPr>
      <w:rFonts w:asciiTheme="minorHAnsi" w:hAnsiTheme="minorHAnsi"/>
      <w:szCs w:val="20"/>
    </w:rPr>
  </w:style>
  <w:style w:type="paragraph" w:styleId="TOC5">
    <w:name w:val="toc 5"/>
    <w:basedOn w:val="Normal"/>
    <w:next w:val="Normal"/>
    <w:autoRedefine/>
    <w:uiPriority w:val="39"/>
    <w:semiHidden/>
    <w:unhideWhenUsed/>
    <w:rsid w:val="00C64654"/>
    <w:pPr>
      <w:spacing w:after="0"/>
      <w:ind w:left="800"/>
    </w:pPr>
    <w:rPr>
      <w:rFonts w:asciiTheme="minorHAnsi" w:hAnsiTheme="minorHAnsi"/>
      <w:szCs w:val="20"/>
    </w:rPr>
  </w:style>
  <w:style w:type="paragraph" w:styleId="TOC6">
    <w:name w:val="toc 6"/>
    <w:basedOn w:val="Normal"/>
    <w:next w:val="Normal"/>
    <w:autoRedefine/>
    <w:uiPriority w:val="39"/>
    <w:semiHidden/>
    <w:unhideWhenUsed/>
    <w:rsid w:val="00C64654"/>
    <w:pPr>
      <w:spacing w:after="0"/>
      <w:ind w:left="1000"/>
    </w:pPr>
    <w:rPr>
      <w:rFonts w:asciiTheme="minorHAnsi" w:hAnsiTheme="minorHAnsi"/>
      <w:szCs w:val="20"/>
    </w:rPr>
  </w:style>
  <w:style w:type="paragraph" w:styleId="TOC7">
    <w:name w:val="toc 7"/>
    <w:basedOn w:val="Normal"/>
    <w:next w:val="Normal"/>
    <w:autoRedefine/>
    <w:uiPriority w:val="39"/>
    <w:semiHidden/>
    <w:unhideWhenUsed/>
    <w:rsid w:val="00C64654"/>
    <w:pPr>
      <w:spacing w:after="0"/>
      <w:ind w:left="1200"/>
    </w:pPr>
    <w:rPr>
      <w:rFonts w:asciiTheme="minorHAnsi" w:hAnsiTheme="minorHAnsi"/>
      <w:szCs w:val="20"/>
    </w:rPr>
  </w:style>
  <w:style w:type="paragraph" w:styleId="TOC8">
    <w:name w:val="toc 8"/>
    <w:basedOn w:val="Normal"/>
    <w:next w:val="Normal"/>
    <w:autoRedefine/>
    <w:uiPriority w:val="39"/>
    <w:semiHidden/>
    <w:unhideWhenUsed/>
    <w:rsid w:val="00C64654"/>
    <w:pPr>
      <w:spacing w:after="0"/>
      <w:ind w:left="1400"/>
    </w:pPr>
    <w:rPr>
      <w:rFonts w:asciiTheme="minorHAnsi" w:hAnsiTheme="minorHAnsi"/>
      <w:szCs w:val="20"/>
    </w:rPr>
  </w:style>
  <w:style w:type="paragraph" w:styleId="TOC9">
    <w:name w:val="toc 9"/>
    <w:basedOn w:val="Normal"/>
    <w:next w:val="Normal"/>
    <w:autoRedefine/>
    <w:uiPriority w:val="39"/>
    <w:semiHidden/>
    <w:unhideWhenUsed/>
    <w:rsid w:val="00C64654"/>
    <w:pPr>
      <w:spacing w:after="0"/>
      <w:ind w:left="1600"/>
    </w:pPr>
    <w:rPr>
      <w:rFonts w:asciiTheme="minorHAnsi" w:hAnsiTheme="minorHAnsi"/>
      <w:szCs w:val="20"/>
    </w:rPr>
  </w:style>
  <w:style w:type="paragraph" w:styleId="Footer">
    <w:name w:val="footer"/>
    <w:basedOn w:val="Normal"/>
    <w:link w:val="FooterChar"/>
    <w:uiPriority w:val="99"/>
    <w:unhideWhenUsed/>
    <w:rsid w:val="00707C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7C6D"/>
    <w:rPr>
      <w:rFonts w:ascii="Segoe UI" w:eastAsiaTheme="minorEastAsia" w:hAnsi="Segoe UI"/>
      <w:sz w:val="20"/>
      <w:szCs w:val="22"/>
      <w:lang w:eastAsia="zh-CN"/>
    </w:rPr>
  </w:style>
  <w:style w:type="character" w:styleId="PageNumber">
    <w:name w:val="page number"/>
    <w:basedOn w:val="DefaultParagraphFont"/>
    <w:uiPriority w:val="99"/>
    <w:semiHidden/>
    <w:unhideWhenUsed/>
    <w:rsid w:val="00707C6D"/>
  </w:style>
  <w:style w:type="paragraph" w:styleId="Header">
    <w:name w:val="header"/>
    <w:basedOn w:val="Normal"/>
    <w:link w:val="HeaderChar"/>
    <w:uiPriority w:val="99"/>
    <w:semiHidden/>
    <w:unhideWhenUsed/>
    <w:rsid w:val="00B94F6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94F6B"/>
    <w:rPr>
      <w:rFonts w:ascii="Segoe UI" w:eastAsiaTheme="minorEastAsia" w:hAnsi="Segoe UI"/>
      <w:sz w:val="20"/>
      <w:szCs w:val="22"/>
      <w:lang w:eastAsia="zh-CN"/>
    </w:rPr>
  </w:style>
  <w:style w:type="paragraph" w:styleId="NormalWeb">
    <w:name w:val="Normal (Web)"/>
    <w:basedOn w:val="Normal"/>
    <w:uiPriority w:val="99"/>
    <w:semiHidden/>
    <w:unhideWhenUsed/>
    <w:rsid w:val="00030E5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293459">
      <w:bodyDiv w:val="1"/>
      <w:marLeft w:val="0"/>
      <w:marRight w:val="0"/>
      <w:marTop w:val="0"/>
      <w:marBottom w:val="0"/>
      <w:divBdr>
        <w:top w:val="none" w:sz="0" w:space="0" w:color="auto"/>
        <w:left w:val="none" w:sz="0" w:space="0" w:color="auto"/>
        <w:bottom w:val="none" w:sz="0" w:space="0" w:color="auto"/>
        <w:right w:val="none" w:sz="0" w:space="0" w:color="auto"/>
      </w:divBdr>
      <w:divsChild>
        <w:div w:id="1750031301">
          <w:marLeft w:val="0"/>
          <w:marRight w:val="0"/>
          <w:marTop w:val="0"/>
          <w:marBottom w:val="0"/>
          <w:divBdr>
            <w:top w:val="none" w:sz="0" w:space="0" w:color="auto"/>
            <w:left w:val="none" w:sz="0" w:space="0" w:color="auto"/>
            <w:bottom w:val="none" w:sz="0" w:space="0" w:color="auto"/>
            <w:right w:val="none" w:sz="0" w:space="0" w:color="auto"/>
          </w:divBdr>
        </w:div>
        <w:div w:id="2034256832">
          <w:marLeft w:val="0"/>
          <w:marRight w:val="0"/>
          <w:marTop w:val="0"/>
          <w:marBottom w:val="0"/>
          <w:divBdr>
            <w:top w:val="none" w:sz="0" w:space="0" w:color="auto"/>
            <w:left w:val="none" w:sz="0" w:space="0" w:color="auto"/>
            <w:bottom w:val="none" w:sz="0" w:space="0" w:color="auto"/>
            <w:right w:val="none" w:sz="0" w:space="0" w:color="auto"/>
          </w:divBdr>
        </w:div>
      </w:divsChild>
    </w:div>
    <w:div w:id="313993076">
      <w:bodyDiv w:val="1"/>
      <w:marLeft w:val="0"/>
      <w:marRight w:val="0"/>
      <w:marTop w:val="0"/>
      <w:marBottom w:val="0"/>
      <w:divBdr>
        <w:top w:val="none" w:sz="0" w:space="0" w:color="auto"/>
        <w:left w:val="none" w:sz="0" w:space="0" w:color="auto"/>
        <w:bottom w:val="none" w:sz="0" w:space="0" w:color="auto"/>
        <w:right w:val="none" w:sz="0" w:space="0" w:color="auto"/>
      </w:divBdr>
      <w:divsChild>
        <w:div w:id="1096900732">
          <w:marLeft w:val="0"/>
          <w:marRight w:val="0"/>
          <w:marTop w:val="0"/>
          <w:marBottom w:val="0"/>
          <w:divBdr>
            <w:top w:val="none" w:sz="0" w:space="0" w:color="auto"/>
            <w:left w:val="none" w:sz="0" w:space="0" w:color="auto"/>
            <w:bottom w:val="none" w:sz="0" w:space="0" w:color="auto"/>
            <w:right w:val="none" w:sz="0" w:space="0" w:color="auto"/>
          </w:divBdr>
        </w:div>
      </w:divsChild>
    </w:div>
    <w:div w:id="654531193">
      <w:bodyDiv w:val="1"/>
      <w:marLeft w:val="0"/>
      <w:marRight w:val="0"/>
      <w:marTop w:val="0"/>
      <w:marBottom w:val="0"/>
      <w:divBdr>
        <w:top w:val="none" w:sz="0" w:space="0" w:color="auto"/>
        <w:left w:val="none" w:sz="0" w:space="0" w:color="auto"/>
        <w:bottom w:val="none" w:sz="0" w:space="0" w:color="auto"/>
        <w:right w:val="none" w:sz="0" w:space="0" w:color="auto"/>
      </w:divBdr>
      <w:divsChild>
        <w:div w:id="274292894">
          <w:marLeft w:val="0"/>
          <w:marRight w:val="0"/>
          <w:marTop w:val="0"/>
          <w:marBottom w:val="0"/>
          <w:divBdr>
            <w:top w:val="none" w:sz="0" w:space="0" w:color="auto"/>
            <w:left w:val="none" w:sz="0" w:space="0" w:color="auto"/>
            <w:bottom w:val="none" w:sz="0" w:space="0" w:color="auto"/>
            <w:right w:val="none" w:sz="0" w:space="0" w:color="auto"/>
          </w:divBdr>
        </w:div>
      </w:divsChild>
    </w:div>
    <w:div w:id="820777102">
      <w:bodyDiv w:val="1"/>
      <w:marLeft w:val="0"/>
      <w:marRight w:val="0"/>
      <w:marTop w:val="0"/>
      <w:marBottom w:val="0"/>
      <w:divBdr>
        <w:top w:val="none" w:sz="0" w:space="0" w:color="auto"/>
        <w:left w:val="none" w:sz="0" w:space="0" w:color="auto"/>
        <w:bottom w:val="none" w:sz="0" w:space="0" w:color="auto"/>
        <w:right w:val="none" w:sz="0" w:space="0" w:color="auto"/>
      </w:divBdr>
      <w:divsChild>
        <w:div w:id="1626698925">
          <w:marLeft w:val="0"/>
          <w:marRight w:val="0"/>
          <w:marTop w:val="0"/>
          <w:marBottom w:val="0"/>
          <w:divBdr>
            <w:top w:val="none" w:sz="0" w:space="0" w:color="auto"/>
            <w:left w:val="none" w:sz="0" w:space="0" w:color="auto"/>
            <w:bottom w:val="none" w:sz="0" w:space="0" w:color="auto"/>
            <w:right w:val="none" w:sz="0" w:space="0" w:color="auto"/>
          </w:divBdr>
        </w:div>
      </w:divsChild>
    </w:div>
    <w:div w:id="873690830">
      <w:bodyDiv w:val="1"/>
      <w:marLeft w:val="0"/>
      <w:marRight w:val="0"/>
      <w:marTop w:val="0"/>
      <w:marBottom w:val="0"/>
      <w:divBdr>
        <w:top w:val="none" w:sz="0" w:space="0" w:color="auto"/>
        <w:left w:val="none" w:sz="0" w:space="0" w:color="auto"/>
        <w:bottom w:val="none" w:sz="0" w:space="0" w:color="auto"/>
        <w:right w:val="none" w:sz="0" w:space="0" w:color="auto"/>
      </w:divBdr>
      <w:divsChild>
        <w:div w:id="2036035263">
          <w:marLeft w:val="0"/>
          <w:marRight w:val="0"/>
          <w:marTop w:val="0"/>
          <w:marBottom w:val="0"/>
          <w:divBdr>
            <w:top w:val="none" w:sz="0" w:space="0" w:color="auto"/>
            <w:left w:val="none" w:sz="0" w:space="0" w:color="auto"/>
            <w:bottom w:val="none" w:sz="0" w:space="0" w:color="auto"/>
            <w:right w:val="none" w:sz="0" w:space="0" w:color="auto"/>
          </w:divBdr>
        </w:div>
      </w:divsChild>
    </w:div>
    <w:div w:id="1077706038">
      <w:bodyDiv w:val="1"/>
      <w:marLeft w:val="0"/>
      <w:marRight w:val="0"/>
      <w:marTop w:val="0"/>
      <w:marBottom w:val="0"/>
      <w:divBdr>
        <w:top w:val="none" w:sz="0" w:space="0" w:color="auto"/>
        <w:left w:val="none" w:sz="0" w:space="0" w:color="auto"/>
        <w:bottom w:val="none" w:sz="0" w:space="0" w:color="auto"/>
        <w:right w:val="none" w:sz="0" w:space="0" w:color="auto"/>
      </w:divBdr>
      <w:divsChild>
        <w:div w:id="577440160">
          <w:marLeft w:val="0"/>
          <w:marRight w:val="0"/>
          <w:marTop w:val="0"/>
          <w:marBottom w:val="0"/>
          <w:divBdr>
            <w:top w:val="none" w:sz="0" w:space="0" w:color="auto"/>
            <w:left w:val="none" w:sz="0" w:space="0" w:color="auto"/>
            <w:bottom w:val="none" w:sz="0" w:space="0" w:color="auto"/>
            <w:right w:val="none" w:sz="0" w:space="0" w:color="auto"/>
          </w:divBdr>
        </w:div>
      </w:divsChild>
    </w:div>
    <w:div w:id="1200165704">
      <w:bodyDiv w:val="1"/>
      <w:marLeft w:val="0"/>
      <w:marRight w:val="0"/>
      <w:marTop w:val="0"/>
      <w:marBottom w:val="0"/>
      <w:divBdr>
        <w:top w:val="none" w:sz="0" w:space="0" w:color="auto"/>
        <w:left w:val="none" w:sz="0" w:space="0" w:color="auto"/>
        <w:bottom w:val="none" w:sz="0" w:space="0" w:color="auto"/>
        <w:right w:val="none" w:sz="0" w:space="0" w:color="auto"/>
      </w:divBdr>
      <w:divsChild>
        <w:div w:id="824511631">
          <w:marLeft w:val="0"/>
          <w:marRight w:val="0"/>
          <w:marTop w:val="0"/>
          <w:marBottom w:val="0"/>
          <w:divBdr>
            <w:top w:val="none" w:sz="0" w:space="0" w:color="auto"/>
            <w:left w:val="none" w:sz="0" w:space="0" w:color="auto"/>
            <w:bottom w:val="none" w:sz="0" w:space="0" w:color="auto"/>
            <w:right w:val="none" w:sz="0" w:space="0" w:color="auto"/>
          </w:divBdr>
        </w:div>
      </w:divsChild>
    </w:div>
    <w:div w:id="1759325159">
      <w:bodyDiv w:val="1"/>
      <w:marLeft w:val="0"/>
      <w:marRight w:val="0"/>
      <w:marTop w:val="0"/>
      <w:marBottom w:val="0"/>
      <w:divBdr>
        <w:top w:val="none" w:sz="0" w:space="0" w:color="auto"/>
        <w:left w:val="none" w:sz="0" w:space="0" w:color="auto"/>
        <w:bottom w:val="none" w:sz="0" w:space="0" w:color="auto"/>
        <w:right w:val="none" w:sz="0" w:space="0" w:color="auto"/>
      </w:divBdr>
      <w:divsChild>
        <w:div w:id="1706297891">
          <w:marLeft w:val="0"/>
          <w:marRight w:val="0"/>
          <w:marTop w:val="0"/>
          <w:marBottom w:val="0"/>
          <w:divBdr>
            <w:top w:val="none" w:sz="0" w:space="0" w:color="auto"/>
            <w:left w:val="none" w:sz="0" w:space="0" w:color="auto"/>
            <w:bottom w:val="none" w:sz="0" w:space="0" w:color="auto"/>
            <w:right w:val="none" w:sz="0" w:space="0" w:color="auto"/>
          </w:divBdr>
        </w:div>
      </w:divsChild>
    </w:div>
    <w:div w:id="1858080001">
      <w:bodyDiv w:val="1"/>
      <w:marLeft w:val="0"/>
      <w:marRight w:val="0"/>
      <w:marTop w:val="0"/>
      <w:marBottom w:val="0"/>
      <w:divBdr>
        <w:top w:val="none" w:sz="0" w:space="0" w:color="auto"/>
        <w:left w:val="none" w:sz="0" w:space="0" w:color="auto"/>
        <w:bottom w:val="none" w:sz="0" w:space="0" w:color="auto"/>
        <w:right w:val="none" w:sz="0" w:space="0" w:color="auto"/>
      </w:divBdr>
      <w:divsChild>
        <w:div w:id="605039735">
          <w:marLeft w:val="0"/>
          <w:marRight w:val="0"/>
          <w:marTop w:val="0"/>
          <w:marBottom w:val="0"/>
          <w:divBdr>
            <w:top w:val="none" w:sz="0" w:space="0" w:color="auto"/>
            <w:left w:val="none" w:sz="0" w:space="0" w:color="auto"/>
            <w:bottom w:val="none" w:sz="0" w:space="0" w:color="auto"/>
            <w:right w:val="none" w:sz="0" w:space="0" w:color="auto"/>
          </w:divBdr>
        </w:div>
      </w:divsChild>
    </w:div>
    <w:div w:id="2037148612">
      <w:bodyDiv w:val="1"/>
      <w:marLeft w:val="0"/>
      <w:marRight w:val="0"/>
      <w:marTop w:val="0"/>
      <w:marBottom w:val="0"/>
      <w:divBdr>
        <w:top w:val="none" w:sz="0" w:space="0" w:color="auto"/>
        <w:left w:val="none" w:sz="0" w:space="0" w:color="auto"/>
        <w:bottom w:val="none" w:sz="0" w:space="0" w:color="auto"/>
        <w:right w:val="none" w:sz="0" w:space="0" w:color="auto"/>
      </w:divBdr>
      <w:divsChild>
        <w:div w:id="1054281949">
          <w:marLeft w:val="0"/>
          <w:marRight w:val="0"/>
          <w:marTop w:val="0"/>
          <w:marBottom w:val="0"/>
          <w:divBdr>
            <w:top w:val="none" w:sz="0" w:space="0" w:color="auto"/>
            <w:left w:val="none" w:sz="0" w:space="0" w:color="auto"/>
            <w:bottom w:val="none" w:sz="0" w:space="0" w:color="auto"/>
            <w:right w:val="none" w:sz="0" w:space="0" w:color="auto"/>
          </w:divBdr>
        </w:div>
        <w:div w:id="16282727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ooks.google.co.uk/books?id=otacDwAAQBAJ&amp;lpg=PR5&amp;ots=TUgdtynys_&amp;dq=Adams%2C%20R.%20(2019).%20The%20National%20Health%20Service%3A%20A%20very%20short%20introduction.%20Oxford%3A%20Oxford%20University%20Press&amp;lr&amp;pg=PR5" TargetMode="External"/><Relationship Id="rId18" Type="http://schemas.openxmlformats.org/officeDocument/2006/relationships/hyperlink" Target="https://www.kingsfund.org.uk/insight-and-analysis/long-reads/dentistry-england-explained"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bupa.co.uk/dental/dental-care/news/nhs-vs-private" TargetMode="External"/><Relationship Id="rId17" Type="http://schemas.openxmlformats.org/officeDocument/2006/relationships/hyperlink" Target="https://www.rcn.org.uk/magazines/History/2023/July/NHS-75-anniversary-history-of-the-National-Health-Service" TargetMode="External"/><Relationship Id="rId2" Type="http://schemas.openxmlformats.org/officeDocument/2006/relationships/numbering" Target="numbering.xml"/><Relationship Id="rId16" Type="http://schemas.openxmlformats.org/officeDocument/2006/relationships/hyperlink" Target="https://www.gov.uk/government/publications/inequalities-in-oral-health-in-england/inequalities-in-oral-health-in-england-summary"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annica.com/science/dentistry" TargetMode="External"/><Relationship Id="rId5" Type="http://schemas.openxmlformats.org/officeDocument/2006/relationships/webSettings" Target="webSettings.xml"/><Relationship Id="rId15" Type="http://schemas.openxmlformats.org/officeDocument/2006/relationships/hyperlink" Target="https://www.nuffieldtrust.org.uk/dental-health-infographic" TargetMode="External"/><Relationship Id="rId23" Type="http://schemas.openxmlformats.org/officeDocument/2006/relationships/theme" Target="theme/theme1.xml"/><Relationship Id="rId10" Type="http://schemas.openxmlformats.org/officeDocument/2006/relationships/hyperlink" Target="https://pmc.ncbi.nlm.nih.gov/articles/PMC2560775/" TargetMode="External"/><Relationship Id="rId19" Type="http://schemas.openxmlformats.org/officeDocument/2006/relationships/hyperlink" Target="https://www.england.nhs.uk/primary-care/dentistry/dental-commissioning/dental-contract/"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hfma.org.uk/publications/funding-nhs-dentistr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 dockstate="right" visibility="0" width="0" row="0">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D94ABFBC-55A7-6046-953A-96A10ECF31A7}">
  <we:reference id="wa200007520" version="3.0.0.0" store="en-US" storeType="OMEX"/>
  <we:alternateReferences>
    <we:reference id="wa200007520" version="3.0.0.0" store="en-US" storeType="OMEX"/>
  </we:alternateReferences>
  <we:properties>
    <we:property name="rw.officeVersion" value="&quot;1.3&quot;"/>
    <we:property name="currentFolder" value="{&quot;depth&quot;:0,&quot;id&quot;:&quot;all&quot;,&quot;name&quot;:&quot;All references&quot;,&quot;parentId&quot;:null,&quot;position&quot;:-2,&quot;isShared&quot;:false}"/>
  </we:properties>
  <we:bindings/>
  <we:snapshot xmlns:r="http://schemas.openxmlformats.org/officeDocument/2006/relationships"/>
</we:webextension>
</file>

<file path=word/webextensions/webextension2.xml><?xml version="1.0" encoding="utf-8"?>
<we:webextension xmlns:we="http://schemas.microsoft.com/office/webextensions/webextension/2010/11" id="{EDBF9BF6-E3E2-2C40-9730-024FF9480F0C}">
  <we:reference id="8c1c3d44-57e9-40d7-86e4-4adf61fea1dd" version="2.1.0.2" store="EXCatalog" storeType="EXCatalog"/>
  <we:alternateReferences>
    <we:reference id="WA104380122" version="2.1.0.2" store="en-GB" storeType="OMEX"/>
  </we:alternateReferences>
  <we:properties>
    <we:property name="currentStyle" value="{&quot;id&quot;:&quot;4376&quot;,&quot;styleType&quot;:&quot;refworks&quot;,&quot;name&quot;:&quot;APA 7th (basic) - No Case Changes (No Title Casing), DOI: empty&quot;,&quot;isInstitutional&quot;:false,&quot;citeStyle&quot;:&quot;INTEXT_ONLY&quot;,&quot;isSorted&quot;:true,&quot;usesNumbers&quot;:false,&quot;authorDisambiguation&quot;:&quot;surname_firstname&quot;}"/>
    <we:property name="currentFolder" value="{&quot;depth&quot;:0,&quot;id&quot;:&quot;all&quot;,&quot;name&quot;:&quot;All references&quot;,&quot;parentId&quot;:null,&quot;position&quot;:-2,&quot;isShared&quot;:false}"/>
  </we:properties>
  <we:bindings/>
  <we:snapshot xmlns:r="http://schemas.openxmlformats.org/officeDocument/2006/relationships"/>
</we:webextension>
</file>

<file path=word/webextensions/webextension3.xml><?xml version="1.0" encoding="utf-8"?>
<we:webextension xmlns:we="http://schemas.microsoft.com/office/webextensions/webextension/2010/11" id="{37DB03ED-E413-4724-9835-5CDF4456532C}">
  <we:reference id="wa200001011" version="1.2.0.0" store="en-US" storeType="OMEX"/>
  <we:alternateReferences>
    <we:reference id="WA200001011"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163BD-519F-B84A-BE1C-137521F27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975</TotalTime>
  <Pages>1</Pages>
  <Words>1264</Words>
  <Characters>7205</Characters>
  <Application>Microsoft Office Word</Application>
  <DocSecurity>4</DocSecurity>
  <Lines>60</Lines>
  <Paragraphs>16</Paragraphs>
  <ScaleCrop>false</ScaleCrop>
  <Company/>
  <LinksUpToDate>false</LinksUpToDate>
  <CharactersWithSpaces>8453</CharactersWithSpaces>
  <SharedDoc>false</SharedDoc>
  <HLinks>
    <vt:vector size="60" baseType="variant">
      <vt:variant>
        <vt:i4>6750266</vt:i4>
      </vt:variant>
      <vt:variant>
        <vt:i4>27</vt:i4>
      </vt:variant>
      <vt:variant>
        <vt:i4>0</vt:i4>
      </vt:variant>
      <vt:variant>
        <vt:i4>5</vt:i4>
      </vt:variant>
      <vt:variant>
        <vt:lpwstr>https://www.england.nhs.uk/primary-care/dentistry/dental-commissioning/dental-contract/</vt:lpwstr>
      </vt:variant>
      <vt:variant>
        <vt:lpwstr/>
      </vt:variant>
      <vt:variant>
        <vt:i4>4391006</vt:i4>
      </vt:variant>
      <vt:variant>
        <vt:i4>24</vt:i4>
      </vt:variant>
      <vt:variant>
        <vt:i4>0</vt:i4>
      </vt:variant>
      <vt:variant>
        <vt:i4>5</vt:i4>
      </vt:variant>
      <vt:variant>
        <vt:lpwstr>https://www.kingsfund.org.uk/insight-and-analysis/long-reads/dentistry-england-explained</vt:lpwstr>
      </vt:variant>
      <vt:variant>
        <vt:lpwstr>how-is-nhs-dentistry-commissioned-and-contracted</vt:lpwstr>
      </vt:variant>
      <vt:variant>
        <vt:i4>5767172</vt:i4>
      </vt:variant>
      <vt:variant>
        <vt:i4>21</vt:i4>
      </vt:variant>
      <vt:variant>
        <vt:i4>0</vt:i4>
      </vt:variant>
      <vt:variant>
        <vt:i4>5</vt:i4>
      </vt:variant>
      <vt:variant>
        <vt:lpwstr>https://www.rcn.org.uk/magazines/History/2023/July/NHS-75-anniversary-history-of-the-National-Health-Service</vt:lpwstr>
      </vt:variant>
      <vt:variant>
        <vt:lpwstr/>
      </vt:variant>
      <vt:variant>
        <vt:i4>5570632</vt:i4>
      </vt:variant>
      <vt:variant>
        <vt:i4>18</vt:i4>
      </vt:variant>
      <vt:variant>
        <vt:i4>0</vt:i4>
      </vt:variant>
      <vt:variant>
        <vt:i4>5</vt:i4>
      </vt:variant>
      <vt:variant>
        <vt:lpwstr>https://www.gov.uk/government/publications/inequalities-in-oral-health-in-england/inequalities-in-oral-health-in-england-summary</vt:lpwstr>
      </vt:variant>
      <vt:variant>
        <vt:lpwstr/>
      </vt:variant>
      <vt:variant>
        <vt:i4>6750253</vt:i4>
      </vt:variant>
      <vt:variant>
        <vt:i4>15</vt:i4>
      </vt:variant>
      <vt:variant>
        <vt:i4>0</vt:i4>
      </vt:variant>
      <vt:variant>
        <vt:i4>5</vt:i4>
      </vt:variant>
      <vt:variant>
        <vt:lpwstr>https://www.nuffieldtrust.org.uk/dental-health-infographic</vt:lpwstr>
      </vt:variant>
      <vt:variant>
        <vt:lpwstr/>
      </vt:variant>
      <vt:variant>
        <vt:i4>7995497</vt:i4>
      </vt:variant>
      <vt:variant>
        <vt:i4>12</vt:i4>
      </vt:variant>
      <vt:variant>
        <vt:i4>0</vt:i4>
      </vt:variant>
      <vt:variant>
        <vt:i4>5</vt:i4>
      </vt:variant>
      <vt:variant>
        <vt:lpwstr>https://www.hfma.org.uk/publications/funding-nhs-dentistry</vt:lpwstr>
      </vt:variant>
      <vt:variant>
        <vt:lpwstr/>
      </vt:variant>
      <vt:variant>
        <vt:i4>2883678</vt:i4>
      </vt:variant>
      <vt:variant>
        <vt:i4>9</vt:i4>
      </vt:variant>
      <vt:variant>
        <vt:i4>0</vt:i4>
      </vt:variant>
      <vt:variant>
        <vt:i4>5</vt:i4>
      </vt:variant>
      <vt:variant>
        <vt:lpwstr>https://books.google.co.uk/books?id=otacDwAAQBAJ&amp;lpg=PR5&amp;ots=TUgdtynys_&amp;dq=Adams%2C%20R.%20(2019).%20The%20National%20Health%20Service%3A%20A%20very%20short%20introduction.%20Oxford%3A%20Oxford%20University%20Press&amp;lr&amp;pg=PR5</vt:lpwstr>
      </vt:variant>
      <vt:variant>
        <vt:lpwstr>v=onepage&amp;q&amp;f=false</vt:lpwstr>
      </vt:variant>
      <vt:variant>
        <vt:i4>6094862</vt:i4>
      </vt:variant>
      <vt:variant>
        <vt:i4>6</vt:i4>
      </vt:variant>
      <vt:variant>
        <vt:i4>0</vt:i4>
      </vt:variant>
      <vt:variant>
        <vt:i4>5</vt:i4>
      </vt:variant>
      <vt:variant>
        <vt:lpwstr>https://www.bupa.co.uk/dental/dental-care/news/nhs-vs-private</vt:lpwstr>
      </vt:variant>
      <vt:variant>
        <vt:lpwstr/>
      </vt:variant>
      <vt:variant>
        <vt:i4>5832723</vt:i4>
      </vt:variant>
      <vt:variant>
        <vt:i4>3</vt:i4>
      </vt:variant>
      <vt:variant>
        <vt:i4>0</vt:i4>
      </vt:variant>
      <vt:variant>
        <vt:i4>5</vt:i4>
      </vt:variant>
      <vt:variant>
        <vt:lpwstr>https://www.britannica.com/science/dentistry</vt:lpwstr>
      </vt:variant>
      <vt:variant>
        <vt:lpwstr/>
      </vt:variant>
      <vt:variant>
        <vt:i4>1769489</vt:i4>
      </vt:variant>
      <vt:variant>
        <vt:i4>0</vt:i4>
      </vt:variant>
      <vt:variant>
        <vt:i4>0</vt:i4>
      </vt:variant>
      <vt:variant>
        <vt:i4>5</vt:i4>
      </vt:variant>
      <vt:variant>
        <vt:lpwstr>https://pmc.ncbi.nlm.nih.gov/articles/PMC2560775/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Eduarda Luisa Coelho Pimentel (2436860)</dc:creator>
  <cp:keywords/>
  <dc:description/>
  <cp:lastModifiedBy>Eduarda Luisa Coelho Pimentel (2436860)</cp:lastModifiedBy>
  <cp:revision>253</cp:revision>
  <dcterms:created xsi:type="dcterms:W3CDTF">2025-07-18T21:23:00Z</dcterms:created>
  <dcterms:modified xsi:type="dcterms:W3CDTF">2025-10-18T14:10:00Z</dcterms:modified>
</cp:coreProperties>
</file>