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33E4D" w14:textId="77777777" w:rsidR="00326BC0" w:rsidRDefault="00326BC0" w:rsidP="00326BC0">
      <w:pPr>
        <w:spacing w:after="80"/>
        <w:rPr>
          <w:b/>
          <w:bCs/>
          <w:sz w:val="30"/>
          <w:szCs w:val="30"/>
        </w:rPr>
      </w:pPr>
    </w:p>
    <w:p w14:paraId="24D9E984" w14:textId="77777777" w:rsidR="00326BC0" w:rsidRDefault="00326BC0" w:rsidP="00326BC0">
      <w:pPr>
        <w:spacing w:after="80"/>
        <w:jc w:val="center"/>
        <w:rPr>
          <w:b/>
          <w:bCs/>
          <w:sz w:val="30"/>
          <w:szCs w:val="30"/>
        </w:rPr>
      </w:pPr>
    </w:p>
    <w:p w14:paraId="56E022C0" w14:textId="77777777" w:rsidR="00326BC0" w:rsidRPr="00F4799C" w:rsidRDefault="00326BC0" w:rsidP="00326BC0">
      <w:pPr>
        <w:jc w:val="center"/>
        <w:rPr>
          <w:rFonts w:asciiTheme="minorBidi" w:hAnsiTheme="minorBidi"/>
        </w:rPr>
      </w:pPr>
      <w:r>
        <w:rPr>
          <w:rFonts w:asciiTheme="minorBidi" w:hAnsiTheme="minorBidi"/>
          <w:noProof/>
        </w:rPr>
        <w:drawing>
          <wp:inline distT="0" distB="0" distL="0" distR="0" wp14:anchorId="589DA180" wp14:editId="32499AB2">
            <wp:extent cx="3886200" cy="1554480"/>
            <wp:effectExtent l="0" t="0" r="0" b="762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86200" cy="1554480"/>
                    </a:xfrm>
                    <a:prstGeom prst="rect">
                      <a:avLst/>
                    </a:prstGeom>
                    <a:noFill/>
                  </pic:spPr>
                </pic:pic>
              </a:graphicData>
            </a:graphic>
          </wp:inline>
        </w:drawing>
      </w:r>
    </w:p>
    <w:p w14:paraId="6FA2099F" w14:textId="77777777" w:rsidR="00326BC0" w:rsidRDefault="00326BC0" w:rsidP="00326BC0">
      <w:pPr>
        <w:spacing w:after="80"/>
        <w:jc w:val="center"/>
        <w:rPr>
          <w:b/>
          <w:bCs/>
          <w:sz w:val="30"/>
          <w:szCs w:val="30"/>
        </w:rPr>
      </w:pPr>
    </w:p>
    <w:p w14:paraId="36580BDA" w14:textId="77777777" w:rsidR="00326BC0" w:rsidRDefault="00326BC0" w:rsidP="00326BC0">
      <w:pPr>
        <w:spacing w:after="80"/>
        <w:jc w:val="center"/>
        <w:rPr>
          <w:b/>
          <w:bCs/>
          <w:sz w:val="30"/>
          <w:szCs w:val="30"/>
        </w:rPr>
      </w:pPr>
    </w:p>
    <w:p w14:paraId="6ACB8408" w14:textId="77777777" w:rsidR="00326BC0" w:rsidRPr="00F4799C" w:rsidRDefault="00326BC0" w:rsidP="00326BC0">
      <w:pPr>
        <w:jc w:val="center"/>
        <w:rPr>
          <w:rFonts w:asciiTheme="minorBidi" w:hAnsiTheme="minorBidi"/>
        </w:rPr>
      </w:pPr>
    </w:p>
    <w:p w14:paraId="1C951EF2" w14:textId="77777777"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Student Name: Himanshi</w:t>
      </w:r>
    </w:p>
    <w:p w14:paraId="1FD0DD18" w14:textId="77777777" w:rsidR="00326BC0" w:rsidRPr="00F4799C" w:rsidRDefault="00326BC0" w:rsidP="00326BC0">
      <w:pPr>
        <w:jc w:val="center"/>
        <w:rPr>
          <w:rFonts w:asciiTheme="minorBidi" w:hAnsiTheme="minorBidi"/>
          <w:b/>
          <w:bCs/>
          <w:sz w:val="28"/>
          <w:szCs w:val="28"/>
        </w:rPr>
      </w:pPr>
    </w:p>
    <w:p w14:paraId="2ABE9785" w14:textId="77777777"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Student ID: 2526316</w:t>
      </w:r>
    </w:p>
    <w:p w14:paraId="6CC78CD3" w14:textId="77777777" w:rsidR="00326BC0" w:rsidRPr="00F4799C" w:rsidRDefault="00326BC0" w:rsidP="00326BC0">
      <w:pPr>
        <w:jc w:val="center"/>
        <w:rPr>
          <w:rFonts w:asciiTheme="minorBidi" w:hAnsiTheme="minorBidi"/>
          <w:sz w:val="28"/>
          <w:szCs w:val="28"/>
        </w:rPr>
      </w:pPr>
    </w:p>
    <w:p w14:paraId="3E726DBE" w14:textId="77777777" w:rsidR="00326BC0" w:rsidRPr="00F4799C" w:rsidRDefault="00326BC0" w:rsidP="00326BC0">
      <w:pPr>
        <w:jc w:val="center"/>
        <w:rPr>
          <w:rFonts w:asciiTheme="minorBidi" w:hAnsiTheme="minorBidi"/>
          <w:sz w:val="28"/>
          <w:szCs w:val="28"/>
        </w:rPr>
      </w:pPr>
    </w:p>
    <w:p w14:paraId="46E8EBDD" w14:textId="77777777"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 xml:space="preserve">Module Name: </w:t>
      </w:r>
      <w:r w:rsidRPr="00326BC0">
        <w:rPr>
          <w:rFonts w:asciiTheme="minorBidi" w:hAnsiTheme="minorBidi"/>
          <w:b/>
          <w:bCs/>
          <w:color w:val="EE0000"/>
          <w:sz w:val="28"/>
          <w:szCs w:val="28"/>
        </w:rPr>
        <w:t>Marketing Management</w:t>
      </w:r>
    </w:p>
    <w:p w14:paraId="70AD4EF4" w14:textId="77777777" w:rsidR="00326BC0" w:rsidRPr="00F4799C" w:rsidRDefault="00326BC0" w:rsidP="00326BC0">
      <w:pPr>
        <w:jc w:val="center"/>
        <w:rPr>
          <w:rFonts w:asciiTheme="minorBidi" w:hAnsiTheme="minorBidi"/>
          <w:b/>
          <w:bCs/>
          <w:sz w:val="28"/>
          <w:szCs w:val="28"/>
        </w:rPr>
      </w:pPr>
    </w:p>
    <w:p w14:paraId="43BAE665" w14:textId="77777777"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 xml:space="preserve">Module Code: </w:t>
      </w:r>
      <w:r w:rsidRPr="00326BC0">
        <w:rPr>
          <w:rFonts w:asciiTheme="minorBidi" w:hAnsiTheme="minorBidi"/>
          <w:b/>
          <w:bCs/>
          <w:color w:val="EE0000"/>
          <w:sz w:val="28"/>
          <w:szCs w:val="28"/>
        </w:rPr>
        <w:t>LCMB7024</w:t>
      </w:r>
    </w:p>
    <w:p w14:paraId="74257EFD" w14:textId="77777777" w:rsidR="00326BC0" w:rsidRPr="00F4799C" w:rsidRDefault="00326BC0" w:rsidP="00326BC0">
      <w:pPr>
        <w:jc w:val="center"/>
        <w:rPr>
          <w:rFonts w:asciiTheme="minorBidi" w:hAnsiTheme="minorBidi"/>
          <w:b/>
          <w:bCs/>
          <w:sz w:val="28"/>
          <w:szCs w:val="28"/>
        </w:rPr>
      </w:pPr>
    </w:p>
    <w:p w14:paraId="5D85A8FE" w14:textId="77777777" w:rsidR="00326BC0" w:rsidRPr="00F4799C" w:rsidRDefault="00326BC0" w:rsidP="00326BC0">
      <w:pPr>
        <w:jc w:val="center"/>
        <w:rPr>
          <w:rFonts w:asciiTheme="minorBidi" w:hAnsiTheme="minorBidi"/>
          <w:b/>
          <w:bCs/>
          <w:sz w:val="28"/>
          <w:szCs w:val="28"/>
        </w:rPr>
      </w:pPr>
    </w:p>
    <w:p w14:paraId="6BB1067E" w14:textId="77777777" w:rsidR="00326BC0" w:rsidRPr="00F4799C" w:rsidRDefault="00326BC0" w:rsidP="00326BC0">
      <w:pPr>
        <w:jc w:val="center"/>
        <w:rPr>
          <w:rFonts w:asciiTheme="minorBidi" w:hAnsiTheme="minorBidi"/>
          <w:b/>
          <w:bCs/>
          <w:sz w:val="28"/>
          <w:szCs w:val="28"/>
        </w:rPr>
      </w:pPr>
    </w:p>
    <w:p w14:paraId="0152F109" w14:textId="77777777" w:rsidR="00326BC0" w:rsidRPr="00F4799C" w:rsidRDefault="00326BC0" w:rsidP="00326BC0">
      <w:pPr>
        <w:jc w:val="center"/>
        <w:rPr>
          <w:rFonts w:asciiTheme="minorBidi" w:hAnsiTheme="minorBidi"/>
          <w:b/>
          <w:bCs/>
          <w:sz w:val="28"/>
          <w:szCs w:val="28"/>
        </w:rPr>
      </w:pPr>
    </w:p>
    <w:p w14:paraId="65F5910D" w14:textId="77777777" w:rsidR="00326BC0" w:rsidRPr="00326BC0" w:rsidRDefault="00326BC0" w:rsidP="00326BC0">
      <w:pPr>
        <w:jc w:val="center"/>
        <w:rPr>
          <w:rFonts w:asciiTheme="minorBidi" w:hAnsiTheme="minorBidi"/>
          <w:b/>
          <w:bCs/>
          <w:color w:val="EE0000"/>
          <w:sz w:val="28"/>
          <w:szCs w:val="28"/>
        </w:rPr>
      </w:pPr>
      <w:r>
        <w:rPr>
          <w:rFonts w:asciiTheme="minorBidi" w:hAnsiTheme="minorBidi"/>
          <w:b/>
          <w:bCs/>
          <w:sz w:val="28"/>
          <w:szCs w:val="28"/>
        </w:rPr>
        <w:t xml:space="preserve">Lecturer’s Name: </w:t>
      </w:r>
      <w:r w:rsidRPr="00326BC0">
        <w:rPr>
          <w:rFonts w:asciiTheme="minorBidi" w:hAnsiTheme="minorBidi"/>
          <w:b/>
          <w:bCs/>
          <w:color w:val="EE0000"/>
          <w:sz w:val="28"/>
          <w:szCs w:val="28"/>
        </w:rPr>
        <w:t>Haoran Liu</w:t>
      </w:r>
    </w:p>
    <w:p w14:paraId="18CA9510" w14:textId="77777777" w:rsidR="00326BC0" w:rsidRPr="00F4799C" w:rsidRDefault="00326BC0" w:rsidP="00326BC0">
      <w:pPr>
        <w:jc w:val="center"/>
        <w:rPr>
          <w:rFonts w:asciiTheme="minorBidi" w:hAnsiTheme="minorBidi"/>
          <w:b/>
          <w:bCs/>
          <w:sz w:val="28"/>
          <w:szCs w:val="28"/>
        </w:rPr>
      </w:pPr>
    </w:p>
    <w:p w14:paraId="2EC556FD" w14:textId="77777777"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 xml:space="preserve">  </w:t>
      </w:r>
    </w:p>
    <w:p w14:paraId="63A6E905" w14:textId="77777777" w:rsidR="00326BC0" w:rsidRPr="00F4799C" w:rsidRDefault="00326BC0" w:rsidP="00326BC0">
      <w:pPr>
        <w:rPr>
          <w:rFonts w:asciiTheme="minorBidi" w:hAnsiTheme="minorBidi"/>
          <w:b/>
          <w:bCs/>
          <w:sz w:val="28"/>
          <w:szCs w:val="28"/>
        </w:rPr>
      </w:pPr>
    </w:p>
    <w:p w14:paraId="15465F1A" w14:textId="201844C2" w:rsidR="00326BC0" w:rsidRPr="00F4799C" w:rsidRDefault="00326BC0" w:rsidP="00326BC0">
      <w:pPr>
        <w:jc w:val="center"/>
        <w:rPr>
          <w:rFonts w:asciiTheme="minorBidi" w:hAnsiTheme="minorBidi"/>
          <w:b/>
          <w:bCs/>
          <w:sz w:val="28"/>
          <w:szCs w:val="28"/>
        </w:rPr>
      </w:pPr>
      <w:r>
        <w:rPr>
          <w:rFonts w:asciiTheme="minorBidi" w:hAnsiTheme="minorBidi"/>
          <w:b/>
          <w:bCs/>
          <w:sz w:val="28"/>
          <w:szCs w:val="28"/>
        </w:rPr>
        <w:t>Work Count: 2596</w:t>
      </w:r>
    </w:p>
    <w:p w14:paraId="47BB2CB4" w14:textId="77777777" w:rsidR="00326BC0" w:rsidRPr="00F4799C" w:rsidRDefault="00326BC0" w:rsidP="00326BC0">
      <w:pPr>
        <w:jc w:val="center"/>
        <w:rPr>
          <w:rFonts w:asciiTheme="minorBidi" w:hAnsiTheme="minorBidi"/>
          <w:b/>
          <w:bCs/>
          <w:sz w:val="28"/>
          <w:szCs w:val="28"/>
        </w:rPr>
      </w:pPr>
    </w:p>
    <w:p w14:paraId="72AEE16F" w14:textId="77777777" w:rsidR="00326BC0" w:rsidRPr="00F4799C" w:rsidRDefault="00326BC0" w:rsidP="00326BC0">
      <w:pPr>
        <w:jc w:val="center"/>
        <w:rPr>
          <w:rFonts w:asciiTheme="minorBidi" w:hAnsiTheme="minorBidi"/>
          <w:b/>
          <w:bCs/>
          <w:sz w:val="28"/>
          <w:szCs w:val="28"/>
        </w:rPr>
      </w:pPr>
    </w:p>
    <w:p w14:paraId="3A0B5CAE" w14:textId="77777777" w:rsidR="00326BC0" w:rsidRPr="00F4799C" w:rsidRDefault="00326BC0" w:rsidP="00326BC0">
      <w:pPr>
        <w:jc w:val="center"/>
        <w:rPr>
          <w:rFonts w:asciiTheme="minorBidi" w:hAnsiTheme="minorBidi"/>
          <w:b/>
          <w:bCs/>
          <w:sz w:val="28"/>
          <w:szCs w:val="28"/>
        </w:rPr>
      </w:pPr>
    </w:p>
    <w:p w14:paraId="60EF54B4" w14:textId="77777777" w:rsidR="00326BC0" w:rsidRPr="00F4799C" w:rsidRDefault="00326BC0" w:rsidP="00326BC0">
      <w:pPr>
        <w:jc w:val="center"/>
        <w:rPr>
          <w:rFonts w:asciiTheme="minorBidi" w:hAnsiTheme="minorBidi"/>
          <w:b/>
          <w:bCs/>
          <w:sz w:val="28"/>
          <w:szCs w:val="28"/>
        </w:rPr>
      </w:pPr>
    </w:p>
    <w:p w14:paraId="589160E5" w14:textId="77777777" w:rsidR="00326BC0" w:rsidRPr="00F4799C" w:rsidRDefault="00326BC0" w:rsidP="00326BC0">
      <w:pPr>
        <w:jc w:val="center"/>
        <w:rPr>
          <w:rFonts w:asciiTheme="minorBidi" w:hAnsiTheme="minorBidi"/>
          <w:b/>
          <w:bCs/>
          <w:sz w:val="28"/>
          <w:szCs w:val="28"/>
        </w:rPr>
      </w:pPr>
    </w:p>
    <w:p w14:paraId="5C3F136C" w14:textId="77777777" w:rsidR="00326BC0" w:rsidRDefault="00326BC0" w:rsidP="00326BC0">
      <w:pPr>
        <w:jc w:val="center"/>
        <w:rPr>
          <w:rFonts w:asciiTheme="minorBidi" w:hAnsiTheme="minorBidi"/>
          <w:b/>
          <w:bCs/>
          <w:sz w:val="28"/>
          <w:szCs w:val="28"/>
        </w:rPr>
      </w:pPr>
      <w:r>
        <w:rPr>
          <w:rFonts w:asciiTheme="minorBidi" w:hAnsiTheme="minorBidi"/>
          <w:b/>
          <w:bCs/>
          <w:sz w:val="28"/>
          <w:szCs w:val="28"/>
        </w:rPr>
        <w:t>Term 1</w:t>
      </w:r>
    </w:p>
    <w:p w14:paraId="332838B7" w14:textId="77777777" w:rsidR="00E31066" w:rsidRDefault="00E31066" w:rsidP="00326BC0">
      <w:pPr>
        <w:jc w:val="center"/>
        <w:rPr>
          <w:rFonts w:asciiTheme="minorBidi" w:hAnsiTheme="minorBidi"/>
          <w:b/>
          <w:bCs/>
          <w:sz w:val="28"/>
          <w:szCs w:val="28"/>
        </w:rPr>
      </w:pPr>
    </w:p>
    <w:p w14:paraId="12BD92FF" w14:textId="77777777" w:rsidR="00E31066" w:rsidRDefault="00E31066" w:rsidP="00326BC0">
      <w:pPr>
        <w:jc w:val="center"/>
        <w:rPr>
          <w:rFonts w:asciiTheme="minorBidi" w:hAnsiTheme="minorBidi"/>
          <w:b/>
          <w:bCs/>
          <w:sz w:val="28"/>
          <w:szCs w:val="28"/>
        </w:rPr>
      </w:pPr>
    </w:p>
    <w:p w14:paraId="25AE658B" w14:textId="77777777" w:rsidR="00E31066" w:rsidRDefault="00E31066" w:rsidP="00326BC0">
      <w:pPr>
        <w:jc w:val="center"/>
        <w:rPr>
          <w:rFonts w:asciiTheme="minorBidi" w:hAnsiTheme="minorBidi"/>
          <w:b/>
          <w:bCs/>
          <w:sz w:val="28"/>
          <w:szCs w:val="28"/>
        </w:rPr>
      </w:pPr>
    </w:p>
    <w:p w14:paraId="2674A5C1" w14:textId="77777777" w:rsidR="00E31066" w:rsidRDefault="00E31066" w:rsidP="00326BC0">
      <w:pPr>
        <w:jc w:val="center"/>
        <w:rPr>
          <w:rFonts w:asciiTheme="minorBidi" w:hAnsiTheme="minorBidi"/>
          <w:b/>
          <w:bCs/>
          <w:sz w:val="28"/>
          <w:szCs w:val="28"/>
        </w:rPr>
      </w:pPr>
    </w:p>
    <w:p w14:paraId="1408C296" w14:textId="77777777" w:rsidR="00E31066" w:rsidRDefault="00E31066" w:rsidP="00326BC0">
      <w:pPr>
        <w:jc w:val="center"/>
        <w:rPr>
          <w:rFonts w:asciiTheme="minorBidi" w:hAnsiTheme="minorBidi"/>
          <w:b/>
          <w:bCs/>
          <w:sz w:val="28"/>
          <w:szCs w:val="28"/>
        </w:rPr>
      </w:pPr>
    </w:p>
    <w:p w14:paraId="225F68A3" w14:textId="77777777" w:rsidR="00E31066" w:rsidRDefault="00E31066" w:rsidP="00326BC0">
      <w:pPr>
        <w:jc w:val="center"/>
        <w:rPr>
          <w:rFonts w:asciiTheme="minorBidi" w:hAnsiTheme="minorBidi"/>
          <w:b/>
          <w:bCs/>
          <w:sz w:val="28"/>
          <w:szCs w:val="28"/>
        </w:rPr>
      </w:pPr>
    </w:p>
    <w:p w14:paraId="7ED842AF" w14:textId="77777777" w:rsidR="00E31066" w:rsidRPr="00387FBE" w:rsidRDefault="00E31066" w:rsidP="00326BC0">
      <w:pPr>
        <w:jc w:val="center"/>
        <w:rPr>
          <w:rFonts w:asciiTheme="minorBidi" w:hAnsiTheme="minorBidi"/>
          <w:b/>
          <w:bCs/>
          <w:color w:val="0F4761" w:themeColor="accent1" w:themeShade="BF"/>
          <w:sz w:val="28"/>
          <w:szCs w:val="28"/>
        </w:rPr>
      </w:pPr>
    </w:p>
    <w:p w14:paraId="3D172200" w14:textId="3C1A123C" w:rsidR="00E31066" w:rsidRPr="00387FBE" w:rsidRDefault="00E31066" w:rsidP="00E31066">
      <w:pPr>
        <w:rPr>
          <w:rFonts w:asciiTheme="minorBidi" w:hAnsiTheme="minorBidi"/>
          <w:b/>
          <w:bCs/>
          <w:color w:val="0F4761" w:themeColor="accent1" w:themeShade="BF"/>
          <w:sz w:val="28"/>
          <w:szCs w:val="28"/>
        </w:rPr>
      </w:pPr>
      <w:r w:rsidRPr="00387FBE">
        <w:rPr>
          <w:rFonts w:ascii="Times New Roman" w:hAnsi="Times New Roman" w:cs="Times New Roman"/>
          <w:b/>
          <w:bCs/>
          <w:color w:val="0F4761" w:themeColor="accent1" w:themeShade="BF"/>
          <w:sz w:val="32"/>
          <w:szCs w:val="32"/>
        </w:rPr>
        <w:t xml:space="preserve">Element </w:t>
      </w:r>
      <w:r w:rsidRPr="00387FBE">
        <w:rPr>
          <w:rFonts w:ascii="Times New Roman" w:hAnsi="Times New Roman" w:cs="Times New Roman"/>
          <w:b/>
          <w:bCs/>
          <w:color w:val="0F4761" w:themeColor="accent1" w:themeShade="BF"/>
          <w:sz w:val="32"/>
          <w:szCs w:val="32"/>
        </w:rPr>
        <w:t>1:</w:t>
      </w:r>
      <w:r w:rsidR="00387FBE">
        <w:rPr>
          <w:rFonts w:ascii="Times New Roman" w:hAnsi="Times New Roman" w:cs="Times New Roman"/>
          <w:b/>
          <w:bCs/>
          <w:color w:val="0F4761" w:themeColor="accent1" w:themeShade="BF"/>
          <w:sz w:val="32"/>
          <w:szCs w:val="32"/>
        </w:rPr>
        <w:t xml:space="preserve"> </w:t>
      </w:r>
      <w:r w:rsidR="00387FBE" w:rsidRPr="00387FBE">
        <w:rPr>
          <w:rFonts w:ascii="Times New Roman" w:hAnsi="Times New Roman" w:cs="Times New Roman"/>
          <w:b/>
          <w:bCs/>
          <w:color w:val="0F4761" w:themeColor="accent1" w:themeShade="BF"/>
          <w:sz w:val="32"/>
          <w:szCs w:val="32"/>
        </w:rPr>
        <w:t>Sustainable Brand Extension Poster Presentation</w:t>
      </w:r>
      <w:r w:rsidR="00387FBE">
        <w:rPr>
          <w:rFonts w:ascii="Times New Roman" w:hAnsi="Times New Roman" w:cs="Times New Roman"/>
          <w:b/>
          <w:bCs/>
          <w:color w:val="0F4761" w:themeColor="accent1" w:themeShade="BF"/>
          <w:sz w:val="32"/>
          <w:szCs w:val="32"/>
        </w:rPr>
        <w:t>.</w:t>
      </w:r>
    </w:p>
    <w:p w14:paraId="3F041FC8" w14:textId="77777777" w:rsidR="00E31066" w:rsidRDefault="00E31066" w:rsidP="00326BC0">
      <w:pPr>
        <w:jc w:val="center"/>
        <w:rPr>
          <w:rFonts w:asciiTheme="minorBidi" w:hAnsiTheme="minorBidi"/>
          <w:b/>
          <w:bCs/>
          <w:sz w:val="28"/>
          <w:szCs w:val="28"/>
        </w:rPr>
      </w:pPr>
    </w:p>
    <w:p w14:paraId="77CEDF46" w14:textId="77777777" w:rsidR="00E31066" w:rsidRDefault="00E31066" w:rsidP="00326BC0">
      <w:pPr>
        <w:jc w:val="center"/>
        <w:rPr>
          <w:rFonts w:asciiTheme="minorBidi" w:hAnsiTheme="minorBidi"/>
          <w:b/>
          <w:bCs/>
          <w:sz w:val="28"/>
          <w:szCs w:val="28"/>
        </w:rPr>
      </w:pPr>
    </w:p>
    <w:p w14:paraId="1DE985FA" w14:textId="77777777" w:rsidR="00E31066" w:rsidRDefault="00E31066" w:rsidP="00326BC0">
      <w:pPr>
        <w:jc w:val="center"/>
        <w:rPr>
          <w:rFonts w:asciiTheme="minorBidi" w:hAnsiTheme="minorBidi"/>
          <w:b/>
          <w:bCs/>
          <w:sz w:val="28"/>
          <w:szCs w:val="28"/>
        </w:rPr>
      </w:pPr>
    </w:p>
    <w:p w14:paraId="5608A6F1" w14:textId="77777777" w:rsidR="00E31066" w:rsidRDefault="00E31066" w:rsidP="00C121E7">
      <w:pPr>
        <w:rPr>
          <w:rFonts w:asciiTheme="minorBidi" w:hAnsiTheme="minorBidi"/>
          <w:b/>
          <w:bCs/>
          <w:sz w:val="28"/>
          <w:szCs w:val="28"/>
        </w:rPr>
      </w:pPr>
    </w:p>
    <w:p w14:paraId="2750E2DF" w14:textId="77777777" w:rsidR="00E31066" w:rsidRDefault="00E31066" w:rsidP="00E31066">
      <w:pPr>
        <w:rPr>
          <w:rFonts w:asciiTheme="minorBidi" w:hAnsiTheme="minorBidi"/>
          <w:b/>
          <w:bCs/>
          <w:sz w:val="28"/>
          <w:szCs w:val="28"/>
        </w:rPr>
      </w:pPr>
    </w:p>
    <w:p w14:paraId="2A3D4725" w14:textId="181E88EA" w:rsidR="00E31066" w:rsidRDefault="00E31066" w:rsidP="00326BC0">
      <w:pPr>
        <w:jc w:val="center"/>
        <w:rPr>
          <w:rFonts w:asciiTheme="minorBidi" w:hAnsiTheme="minorBidi"/>
          <w:b/>
          <w:bCs/>
          <w:sz w:val="28"/>
          <w:szCs w:val="28"/>
        </w:rPr>
      </w:pPr>
      <w:r>
        <w:rPr>
          <w:noProof/>
        </w:rPr>
        <w:drawing>
          <wp:inline distT="0" distB="0" distL="0" distR="0" wp14:anchorId="66774189" wp14:editId="189C2453">
            <wp:extent cx="5731510" cy="3223895"/>
            <wp:effectExtent l="0" t="0" r="2540" b="0"/>
            <wp:docPr id="6878271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2712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73E8607" w14:textId="77777777" w:rsidR="00E31066" w:rsidRDefault="00E31066" w:rsidP="00326BC0">
      <w:pPr>
        <w:jc w:val="center"/>
        <w:rPr>
          <w:rFonts w:asciiTheme="minorBidi" w:hAnsiTheme="minorBidi"/>
          <w:b/>
          <w:bCs/>
          <w:sz w:val="28"/>
          <w:szCs w:val="28"/>
        </w:rPr>
      </w:pPr>
    </w:p>
    <w:p w14:paraId="4E7471C3" w14:textId="77777777" w:rsidR="00E31066" w:rsidRDefault="00E31066" w:rsidP="00326BC0">
      <w:pPr>
        <w:jc w:val="center"/>
        <w:rPr>
          <w:rFonts w:asciiTheme="minorBidi" w:hAnsiTheme="minorBidi"/>
          <w:b/>
          <w:bCs/>
          <w:sz w:val="28"/>
          <w:szCs w:val="28"/>
        </w:rPr>
      </w:pPr>
    </w:p>
    <w:p w14:paraId="179EEBC4" w14:textId="05592060" w:rsidR="00E31066" w:rsidRDefault="00387FBE" w:rsidP="00326BC0">
      <w:pPr>
        <w:jc w:val="center"/>
        <w:rPr>
          <w:rFonts w:asciiTheme="minorBidi" w:hAnsiTheme="minorBidi"/>
          <w:sz w:val="28"/>
          <w:szCs w:val="28"/>
        </w:rPr>
      </w:pPr>
      <w:r w:rsidRPr="00387FBE">
        <w:rPr>
          <w:rFonts w:asciiTheme="minorBidi" w:hAnsiTheme="minorBidi"/>
          <w:sz w:val="28"/>
          <w:szCs w:val="28"/>
        </w:rPr>
        <w:t>Fig 1: Poster</w:t>
      </w:r>
    </w:p>
    <w:p w14:paraId="5B5BEF02" w14:textId="4BEAA150" w:rsidR="00387FBE" w:rsidRPr="00387FBE" w:rsidRDefault="00C121E7" w:rsidP="00326BC0">
      <w:pPr>
        <w:jc w:val="center"/>
        <w:rPr>
          <w:rFonts w:asciiTheme="minorBidi" w:hAnsiTheme="minorBidi"/>
          <w:sz w:val="28"/>
          <w:szCs w:val="28"/>
        </w:rPr>
      </w:pPr>
      <w:r>
        <w:rPr>
          <w:rFonts w:asciiTheme="minorBidi" w:hAnsiTheme="minorBidi"/>
          <w:sz w:val="28"/>
          <w:szCs w:val="28"/>
        </w:rPr>
        <w:t>(Source</w:t>
      </w:r>
      <w:r w:rsidR="00387FBE">
        <w:rPr>
          <w:rFonts w:asciiTheme="minorBidi" w:hAnsiTheme="minorBidi"/>
          <w:sz w:val="28"/>
          <w:szCs w:val="28"/>
        </w:rPr>
        <w:t xml:space="preserve">: </w:t>
      </w:r>
      <w:r>
        <w:rPr>
          <w:rFonts w:asciiTheme="minorBidi" w:hAnsiTheme="minorBidi"/>
          <w:sz w:val="28"/>
          <w:szCs w:val="28"/>
        </w:rPr>
        <w:t>Self-created</w:t>
      </w:r>
      <w:r w:rsidR="00387FBE">
        <w:rPr>
          <w:rFonts w:asciiTheme="minorBidi" w:hAnsiTheme="minorBidi"/>
          <w:sz w:val="28"/>
          <w:szCs w:val="28"/>
        </w:rPr>
        <w:t>)</w:t>
      </w:r>
    </w:p>
    <w:p w14:paraId="6D9763EA" w14:textId="77777777" w:rsidR="00E31066" w:rsidRPr="00387FBE" w:rsidRDefault="00E31066" w:rsidP="00326BC0">
      <w:pPr>
        <w:jc w:val="center"/>
        <w:rPr>
          <w:rFonts w:asciiTheme="minorBidi" w:hAnsiTheme="minorBidi"/>
          <w:sz w:val="28"/>
          <w:szCs w:val="28"/>
        </w:rPr>
      </w:pPr>
    </w:p>
    <w:p w14:paraId="477E39F9" w14:textId="77777777" w:rsidR="00E31066" w:rsidRPr="00387FBE" w:rsidRDefault="00E31066" w:rsidP="00326BC0">
      <w:pPr>
        <w:jc w:val="center"/>
        <w:rPr>
          <w:rFonts w:asciiTheme="minorBidi" w:hAnsiTheme="minorBidi"/>
          <w:sz w:val="28"/>
          <w:szCs w:val="28"/>
        </w:rPr>
      </w:pPr>
    </w:p>
    <w:p w14:paraId="472A9EE0" w14:textId="77777777" w:rsidR="00E31066" w:rsidRDefault="00E31066" w:rsidP="00326BC0">
      <w:pPr>
        <w:jc w:val="center"/>
        <w:rPr>
          <w:rFonts w:asciiTheme="minorBidi" w:hAnsiTheme="minorBidi"/>
          <w:b/>
          <w:bCs/>
          <w:sz w:val="28"/>
          <w:szCs w:val="28"/>
        </w:rPr>
      </w:pPr>
    </w:p>
    <w:p w14:paraId="1A9EFDBF" w14:textId="77777777" w:rsidR="00E31066" w:rsidRDefault="00E31066" w:rsidP="00326BC0">
      <w:pPr>
        <w:jc w:val="center"/>
        <w:rPr>
          <w:rFonts w:asciiTheme="minorBidi" w:hAnsiTheme="minorBidi"/>
          <w:b/>
          <w:bCs/>
          <w:sz w:val="28"/>
          <w:szCs w:val="28"/>
        </w:rPr>
      </w:pPr>
    </w:p>
    <w:p w14:paraId="27C92A23" w14:textId="77777777" w:rsidR="00E31066" w:rsidRDefault="00E31066" w:rsidP="00326BC0">
      <w:pPr>
        <w:jc w:val="center"/>
        <w:rPr>
          <w:rFonts w:asciiTheme="minorBidi" w:hAnsiTheme="minorBidi"/>
          <w:b/>
          <w:bCs/>
          <w:sz w:val="28"/>
          <w:szCs w:val="28"/>
        </w:rPr>
      </w:pPr>
    </w:p>
    <w:p w14:paraId="35757F90" w14:textId="77777777" w:rsidR="00E31066" w:rsidRPr="00F4799C" w:rsidRDefault="00E31066" w:rsidP="00326BC0">
      <w:pPr>
        <w:jc w:val="center"/>
        <w:rPr>
          <w:rFonts w:asciiTheme="minorBidi" w:hAnsiTheme="minorBidi"/>
          <w:b/>
          <w:bCs/>
          <w:sz w:val="28"/>
          <w:szCs w:val="28"/>
        </w:rPr>
      </w:pPr>
    </w:p>
    <w:p w14:paraId="7AD8F517" w14:textId="77777777" w:rsidR="00326BC0" w:rsidRDefault="00326BC0" w:rsidP="00326BC0">
      <w:pPr>
        <w:spacing w:after="80"/>
        <w:jc w:val="center"/>
        <w:rPr>
          <w:b/>
          <w:bCs/>
          <w:sz w:val="30"/>
          <w:szCs w:val="30"/>
        </w:rPr>
      </w:pPr>
    </w:p>
    <w:p w14:paraId="703F71E8" w14:textId="77777777" w:rsidR="00326BC0" w:rsidRDefault="00326BC0" w:rsidP="00326BC0">
      <w:pPr>
        <w:spacing w:after="80"/>
        <w:jc w:val="center"/>
        <w:rPr>
          <w:b/>
          <w:bCs/>
          <w:sz w:val="30"/>
          <w:szCs w:val="30"/>
        </w:rPr>
      </w:pPr>
    </w:p>
    <w:p w14:paraId="3BFBFE15" w14:textId="77777777" w:rsidR="00C121E7" w:rsidRDefault="00C121E7" w:rsidP="00E31066">
      <w:pPr>
        <w:spacing w:after="80"/>
        <w:jc w:val="center"/>
        <w:rPr>
          <w:b/>
          <w:bCs/>
          <w:sz w:val="30"/>
          <w:szCs w:val="30"/>
        </w:rPr>
      </w:pPr>
    </w:p>
    <w:p w14:paraId="743D28DE" w14:textId="77777777" w:rsidR="00C121E7" w:rsidRDefault="00C121E7" w:rsidP="00E31066">
      <w:pPr>
        <w:spacing w:after="80"/>
        <w:jc w:val="center"/>
        <w:rPr>
          <w:b/>
          <w:bCs/>
          <w:sz w:val="30"/>
          <w:szCs w:val="30"/>
        </w:rPr>
      </w:pPr>
    </w:p>
    <w:p w14:paraId="1A75A665" w14:textId="77777777" w:rsidR="00C121E7" w:rsidRDefault="00C121E7" w:rsidP="00E31066">
      <w:pPr>
        <w:spacing w:after="80"/>
        <w:jc w:val="center"/>
        <w:rPr>
          <w:b/>
          <w:bCs/>
          <w:sz w:val="30"/>
          <w:szCs w:val="30"/>
        </w:rPr>
      </w:pPr>
    </w:p>
    <w:p w14:paraId="13D860AA" w14:textId="77777777" w:rsidR="00C121E7" w:rsidRDefault="00C121E7" w:rsidP="00E31066">
      <w:pPr>
        <w:spacing w:after="80"/>
        <w:jc w:val="center"/>
        <w:rPr>
          <w:b/>
          <w:bCs/>
          <w:sz w:val="30"/>
          <w:szCs w:val="30"/>
        </w:rPr>
      </w:pPr>
    </w:p>
    <w:p w14:paraId="6C33259E" w14:textId="2E7D3148" w:rsidR="00E31066" w:rsidRPr="00E31066" w:rsidRDefault="00326BC0" w:rsidP="00E31066">
      <w:pPr>
        <w:spacing w:after="80"/>
        <w:jc w:val="center"/>
        <w:rPr>
          <w:b/>
          <w:bCs/>
          <w:sz w:val="30"/>
          <w:szCs w:val="30"/>
        </w:rPr>
      </w:pPr>
      <w:r>
        <w:rPr>
          <w:b/>
          <w:bCs/>
          <w:sz w:val="30"/>
          <w:szCs w:val="30"/>
        </w:rPr>
        <w:t xml:space="preserve"> </w:t>
      </w:r>
    </w:p>
    <w:p w14:paraId="3D4FD038" w14:textId="49ACDF29" w:rsidR="00F35ABA" w:rsidRPr="005E4F7A" w:rsidRDefault="00000000">
      <w:pPr>
        <w:pStyle w:val="Heading1"/>
        <w:rPr>
          <w:rFonts w:ascii="Times New Roman" w:hAnsi="Times New Roman" w:cs="Times New Roman"/>
        </w:rPr>
      </w:pPr>
      <w:r w:rsidRPr="005E4F7A">
        <w:rPr>
          <w:rFonts w:ascii="Times New Roman" w:hAnsi="Times New Roman" w:cs="Times New Roman"/>
        </w:rPr>
        <w:lastRenderedPageBreak/>
        <w:t>Introduction</w:t>
      </w:r>
    </w:p>
    <w:p w14:paraId="39F3DC32" w14:textId="3F27CB94"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As the issue of plastic waste becomes increasingly urgent, today's consumers are not just concerned</w:t>
      </w:r>
      <w:r w:rsidR="00326BC0">
        <w:rPr>
          <w:rFonts w:ascii="Times New Roman" w:hAnsi="Times New Roman" w:cs="Times New Roman"/>
        </w:rPr>
        <w:t xml:space="preserve"> </w:t>
      </w:r>
      <w:r w:rsidRPr="005E4F7A">
        <w:rPr>
          <w:rFonts w:ascii="Times New Roman" w:hAnsi="Times New Roman" w:cs="Times New Roman"/>
        </w:rPr>
        <w:t>they're demanding better. They seek sustainable and low</w:t>
      </w:r>
      <w:r w:rsidR="005E4F7A" w:rsidRPr="005E4F7A">
        <w:rPr>
          <w:rFonts w:ascii="Times New Roman" w:hAnsi="Times New Roman" w:cs="Times New Roman"/>
        </w:rPr>
        <w:t xml:space="preserve"> </w:t>
      </w:r>
      <w:r w:rsidRPr="005E4F7A">
        <w:rPr>
          <w:rFonts w:ascii="Times New Roman" w:hAnsi="Times New Roman" w:cs="Times New Roman"/>
        </w:rPr>
        <w:t xml:space="preserve">impact packaging solutions that don't skimp on convenience. That's where Innocent Refill comes in. This new initiative from Innocent Drinks offers a fresh take on sustainable packaging by introducing reusable glass bottles and </w:t>
      </w:r>
      <w:r w:rsidR="00326BC0" w:rsidRPr="005E4F7A">
        <w:rPr>
          <w:rFonts w:ascii="Times New Roman" w:hAnsi="Times New Roman" w:cs="Times New Roman"/>
        </w:rPr>
        <w:t>subscription-based</w:t>
      </w:r>
      <w:r w:rsidRPr="005E4F7A">
        <w:rPr>
          <w:rFonts w:ascii="Times New Roman" w:hAnsi="Times New Roman" w:cs="Times New Roman"/>
        </w:rPr>
        <w:t xml:space="preserve"> refill stations.</w:t>
      </w:r>
    </w:p>
    <w:p w14:paraId="5B533A90" w14:textId="1B7E03E9"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By focusing on market segmentation, targeting, differentiation, and positioning (STDP), along with a thorough 7Ps marketing mix analysis, this initiative shows how Innocent can leverage its </w:t>
      </w:r>
      <w:r w:rsidR="00326BC0" w:rsidRPr="005E4F7A">
        <w:rPr>
          <w:rFonts w:ascii="Times New Roman" w:hAnsi="Times New Roman" w:cs="Times New Roman"/>
        </w:rPr>
        <w:t>well-established</w:t>
      </w:r>
      <w:r w:rsidRPr="005E4F7A">
        <w:rPr>
          <w:rFonts w:ascii="Times New Roman" w:hAnsi="Times New Roman" w:cs="Times New Roman"/>
        </w:rPr>
        <w:t xml:space="preserve"> brand trust to move away from single</w:t>
      </w:r>
      <w:r w:rsidR="005E4F7A" w:rsidRPr="005E4F7A">
        <w:rPr>
          <w:rFonts w:ascii="Times New Roman" w:hAnsi="Times New Roman" w:cs="Times New Roman"/>
        </w:rPr>
        <w:t xml:space="preserve"> </w:t>
      </w:r>
      <w:r w:rsidRPr="005E4F7A">
        <w:rPr>
          <w:rFonts w:ascii="Times New Roman" w:hAnsi="Times New Roman" w:cs="Times New Roman"/>
        </w:rPr>
        <w:t>use packaging and step into a sustainable circular economy.</w:t>
      </w:r>
    </w:p>
    <w:p w14:paraId="22FA7C55" w14:textId="77777777" w:rsidR="00F35ABA" w:rsidRPr="005E4F7A" w:rsidRDefault="00000000">
      <w:pPr>
        <w:pStyle w:val="Heading1"/>
        <w:rPr>
          <w:rFonts w:ascii="Times New Roman" w:hAnsi="Times New Roman" w:cs="Times New Roman"/>
        </w:rPr>
      </w:pPr>
      <w:r w:rsidRPr="00387FBE">
        <w:rPr>
          <w:rFonts w:ascii="Times New Roman" w:hAnsi="Times New Roman" w:cs="Times New Roman"/>
          <w:color w:val="0F4761" w:themeColor="accent1" w:themeShade="BF"/>
        </w:rPr>
        <w:t xml:space="preserve">Element </w:t>
      </w:r>
      <w:r w:rsidRPr="005E4F7A">
        <w:rPr>
          <w:rFonts w:ascii="Times New Roman" w:hAnsi="Times New Roman" w:cs="Times New Roman"/>
        </w:rPr>
        <w:t>2: Segmentation, Targeting, Differentiation and Positioning</w:t>
      </w:r>
    </w:p>
    <w:p w14:paraId="7E80906F"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Segmentation</w:t>
      </w:r>
    </w:p>
    <w:p w14:paraId="2531DE13" w14:textId="6CCE6932"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A one</w:t>
      </w:r>
      <w:r w:rsidR="005E4F7A" w:rsidRPr="005E4F7A">
        <w:rPr>
          <w:rFonts w:ascii="Times New Roman" w:hAnsi="Times New Roman" w:cs="Times New Roman"/>
        </w:rPr>
        <w:t xml:space="preserve"> </w:t>
      </w:r>
      <w:r w:rsidRPr="005E4F7A">
        <w:rPr>
          <w:rFonts w:ascii="Times New Roman" w:hAnsi="Times New Roman" w:cs="Times New Roman"/>
        </w:rPr>
        <w:t>size</w:t>
      </w:r>
      <w:r w:rsidR="005E4F7A" w:rsidRPr="005E4F7A">
        <w:rPr>
          <w:rFonts w:ascii="Times New Roman" w:hAnsi="Times New Roman" w:cs="Times New Roman"/>
        </w:rPr>
        <w:t xml:space="preserve"> </w:t>
      </w:r>
      <w:r w:rsidRPr="005E4F7A">
        <w:rPr>
          <w:rFonts w:ascii="Times New Roman" w:hAnsi="Times New Roman" w:cs="Times New Roman"/>
        </w:rPr>
        <w:t>fits</w:t>
      </w:r>
      <w:r w:rsidR="005E4F7A" w:rsidRPr="005E4F7A">
        <w:rPr>
          <w:rFonts w:ascii="Times New Roman" w:hAnsi="Times New Roman" w:cs="Times New Roman"/>
        </w:rPr>
        <w:t xml:space="preserve"> </w:t>
      </w:r>
      <w:r w:rsidRPr="005E4F7A">
        <w:rPr>
          <w:rFonts w:ascii="Times New Roman" w:hAnsi="Times New Roman" w:cs="Times New Roman"/>
        </w:rPr>
        <w:t>all launch would waste the strongest asset Innocent Refill has: a market that has already shown, through years of Innocent's charity</w:t>
      </w:r>
      <w:r w:rsidR="005E4F7A" w:rsidRPr="005E4F7A">
        <w:rPr>
          <w:rFonts w:ascii="Times New Roman" w:hAnsi="Times New Roman" w:cs="Times New Roman"/>
        </w:rPr>
        <w:t xml:space="preserve"> </w:t>
      </w:r>
      <w:r w:rsidRPr="005E4F7A">
        <w:rPr>
          <w:rFonts w:ascii="Times New Roman" w:hAnsi="Times New Roman" w:cs="Times New Roman"/>
        </w:rPr>
        <w:t>linked marketing, that it responds to brands with a visible conscience. Kotler et al. (2024) argue that effective segmentation combines several bases rather than relying on any single variable, and that logic applies directly here, because willingness to adopt a refill habit is shaped by where people live, who they are, what they value, and how they already behave, all at once.</w:t>
      </w:r>
    </w:p>
    <w:p w14:paraId="05213A2D" w14:textId="3E25E212"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Geographically, the launch is deliberately narrow. Innocent Refill opens in UK cities with dense retail footfall and existing reuse infrastructure</w:t>
      </w:r>
      <w:r w:rsidR="00854C0B">
        <w:rPr>
          <w:rFonts w:ascii="Times New Roman" w:hAnsi="Times New Roman" w:cs="Times New Roman"/>
        </w:rPr>
        <w:t xml:space="preserve"> </w:t>
      </w:r>
      <w:r w:rsidRPr="005E4F7A">
        <w:rPr>
          <w:rFonts w:ascii="Times New Roman" w:hAnsi="Times New Roman" w:cs="Times New Roman"/>
        </w:rPr>
        <w:t>London, Manchester, Bristol and Edinburgh where partner stores can host refill stations and delivery routes are dense enough to make subscription drop</w:t>
      </w:r>
      <w:r w:rsidR="005E4F7A" w:rsidRPr="005E4F7A">
        <w:rPr>
          <w:rFonts w:ascii="Times New Roman" w:hAnsi="Times New Roman" w:cs="Times New Roman"/>
        </w:rPr>
        <w:t xml:space="preserve"> </w:t>
      </w:r>
      <w:r w:rsidRPr="005E4F7A">
        <w:rPr>
          <w:rFonts w:ascii="Times New Roman" w:hAnsi="Times New Roman" w:cs="Times New Roman"/>
        </w:rPr>
        <w:t>offs commercially viable. A national rollout before this infrastructure exists would dilute the experience and risk missed deliveries, undermining the very trust the brand is trying to build.</w:t>
      </w:r>
    </w:p>
    <w:p w14:paraId="66C17775" w14:textId="3B72A6C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Demographically, the target sits mainly within the 25–44 age bracket, ABC1 socio</w:t>
      </w:r>
      <w:r w:rsidR="005E4F7A" w:rsidRPr="005E4F7A">
        <w:rPr>
          <w:rFonts w:ascii="Times New Roman" w:hAnsi="Times New Roman" w:cs="Times New Roman"/>
        </w:rPr>
        <w:t xml:space="preserve"> </w:t>
      </w:r>
      <w:r w:rsidRPr="005E4F7A">
        <w:rPr>
          <w:rFonts w:ascii="Times New Roman" w:hAnsi="Times New Roman" w:cs="Times New Roman"/>
        </w:rPr>
        <w:t xml:space="preserve">economic groups, and households with enough disposable income to absorb the higher upfront cost of a durable glass bottle in exchange for lower costs per refill over time. These are broadly Innocent's existing customers already, which matters, because Aaker and Keller (1990) show that a brand extension is judged more favourably when consumers already hold a strong, </w:t>
      </w:r>
      <w:r w:rsidR="00C121E7" w:rsidRPr="005E4F7A">
        <w:rPr>
          <w:rFonts w:ascii="Times New Roman" w:hAnsi="Times New Roman" w:cs="Times New Roman"/>
        </w:rPr>
        <w:t>well-fitting</w:t>
      </w:r>
      <w:r w:rsidRPr="005E4F7A">
        <w:rPr>
          <w:rFonts w:ascii="Times New Roman" w:hAnsi="Times New Roman" w:cs="Times New Roman"/>
        </w:rPr>
        <w:t xml:space="preserve"> association with the parent brand — Innocent shoppers do not need convincing that the company cares about sustainability, only that this particular product delivers it.</w:t>
      </w:r>
    </w:p>
    <w:p w14:paraId="2710BCAA" w14:textId="05B647F2" w:rsidR="00F35ABA" w:rsidRPr="005E4F7A" w:rsidRDefault="00C121E7">
      <w:pPr>
        <w:spacing w:after="200" w:line="276" w:lineRule="auto"/>
        <w:jc w:val="both"/>
        <w:rPr>
          <w:rFonts w:ascii="Times New Roman" w:hAnsi="Times New Roman" w:cs="Times New Roman"/>
        </w:rPr>
      </w:pPr>
      <w:r w:rsidRPr="005E4F7A">
        <w:rPr>
          <w:rFonts w:ascii="Times New Roman" w:hAnsi="Times New Roman" w:cs="Times New Roman"/>
        </w:rPr>
        <w:t>Psychographic ally</w:t>
      </w:r>
      <w:r w:rsidR="00000000" w:rsidRPr="005E4F7A">
        <w:rPr>
          <w:rFonts w:ascii="Times New Roman" w:hAnsi="Times New Roman" w:cs="Times New Roman"/>
        </w:rPr>
        <w:t>, the segment of real interest is what green</w:t>
      </w:r>
      <w:r w:rsidR="005E4F7A" w:rsidRPr="005E4F7A">
        <w:rPr>
          <w:rFonts w:ascii="Times New Roman" w:hAnsi="Times New Roman" w:cs="Times New Roman"/>
        </w:rPr>
        <w:t xml:space="preserve"> </w:t>
      </w:r>
      <w:r w:rsidR="00000000" w:rsidRPr="005E4F7A">
        <w:rPr>
          <w:rFonts w:ascii="Times New Roman" w:hAnsi="Times New Roman" w:cs="Times New Roman"/>
        </w:rPr>
        <w:t>marketing literature calls the values</w:t>
      </w:r>
      <w:r w:rsidR="005E4F7A" w:rsidRPr="005E4F7A">
        <w:rPr>
          <w:rFonts w:ascii="Times New Roman" w:hAnsi="Times New Roman" w:cs="Times New Roman"/>
        </w:rPr>
        <w:t xml:space="preserve"> </w:t>
      </w:r>
      <w:r w:rsidR="00000000" w:rsidRPr="005E4F7A">
        <w:rPr>
          <w:rFonts w:ascii="Times New Roman" w:hAnsi="Times New Roman" w:cs="Times New Roman"/>
        </w:rPr>
        <w:t xml:space="preserve">driven, or 'LOHAS' (lifestyles of health and sustainability), consumer, for whom environmental concern is part of </w:t>
      </w:r>
      <w:r w:rsidR="00326BC0" w:rsidRPr="005E4F7A">
        <w:rPr>
          <w:rFonts w:ascii="Times New Roman" w:hAnsi="Times New Roman" w:cs="Times New Roman"/>
        </w:rPr>
        <w:t>self-identity</w:t>
      </w:r>
      <w:r w:rsidR="00000000" w:rsidRPr="005E4F7A">
        <w:rPr>
          <w:rFonts w:ascii="Times New Roman" w:hAnsi="Times New Roman" w:cs="Times New Roman"/>
        </w:rPr>
        <w:t xml:space="preserve"> rather than an occasional purchase criterion. Do </w:t>
      </w:r>
      <w:r w:rsidRPr="005E4F7A">
        <w:rPr>
          <w:rFonts w:ascii="Times New Roman" w:hAnsi="Times New Roman" w:cs="Times New Roman"/>
        </w:rPr>
        <w:t>Paco</w:t>
      </w:r>
      <w:r w:rsidR="00000000" w:rsidRPr="005E4F7A">
        <w:rPr>
          <w:rFonts w:ascii="Times New Roman" w:hAnsi="Times New Roman" w:cs="Times New Roman"/>
        </w:rPr>
        <w:t xml:space="preserve"> and Raposo (2009) found that psychographic traits such as ecological concern and pro</w:t>
      </w:r>
      <w:r w:rsidR="005E4F7A" w:rsidRPr="005E4F7A">
        <w:rPr>
          <w:rFonts w:ascii="Times New Roman" w:hAnsi="Times New Roman" w:cs="Times New Roman"/>
        </w:rPr>
        <w:t xml:space="preserve"> </w:t>
      </w:r>
      <w:r w:rsidR="00000000" w:rsidRPr="005E4F7A">
        <w:rPr>
          <w:rFonts w:ascii="Times New Roman" w:hAnsi="Times New Roman" w:cs="Times New Roman"/>
        </w:rPr>
        <w:t xml:space="preserve">environmental lifestyle predict green purchasing more strongly than demographics alone, </w:t>
      </w:r>
      <w:r w:rsidR="00000000" w:rsidRPr="005E4F7A">
        <w:rPr>
          <w:rFonts w:ascii="Times New Roman" w:hAnsi="Times New Roman" w:cs="Times New Roman"/>
        </w:rPr>
        <w:lastRenderedPageBreak/>
        <w:t>which is why the demographic profile above functions as a filter rather than the primary target: the real segment is defined by values, and demographics simply describe where those values are currently concentrated in the UK population.</w:t>
      </w:r>
    </w:p>
    <w:p w14:paraId="48229495" w14:textId="7777777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Behaviourally, the target is drawn from existing Innocent loyalists and habitual smoothie drinkers who already purchase weekly, alongside early adopters of reuse schemes such as Loop, who have already shown they will tolerate a small amount of friction — cleaning, returning, remembering a bottle — in exchange for reduced guilt and a sense of participation in something larger than a single purchase.</w:t>
      </w:r>
    </w:p>
    <w:p w14:paraId="71AAF543"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Targeting</w:t>
      </w:r>
    </w:p>
    <w:p w14:paraId="46900313" w14:textId="58581BC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Given the infrastructure constraints of a refill model, Innocent Refill adopts a concentrated targeting strategy rather than trying to appeal to the whole soft drinks market at once. The primary target is the eco</w:t>
      </w:r>
      <w:r w:rsidR="005E4F7A" w:rsidRPr="005E4F7A">
        <w:rPr>
          <w:rFonts w:ascii="Times New Roman" w:hAnsi="Times New Roman" w:cs="Times New Roman"/>
        </w:rPr>
        <w:t xml:space="preserve"> </w:t>
      </w:r>
      <w:r w:rsidRPr="005E4F7A">
        <w:rPr>
          <w:rFonts w:ascii="Times New Roman" w:hAnsi="Times New Roman" w:cs="Times New Roman"/>
        </w:rPr>
        <w:t>conscious professional or young family described above: people who already buy Innocent, already have moderate purchasing power, and already hold values that make a reusable subscription feel like an upgrade rather than an inconvenience. Concentrating resources on this group allows the brand to prove the model, generate visible proof points — bottles returned, plastic avoided — and build the operational reliability needed before expanding to a wider, more price</w:t>
      </w:r>
      <w:r w:rsidR="005E4F7A" w:rsidRPr="005E4F7A">
        <w:rPr>
          <w:rFonts w:ascii="Times New Roman" w:hAnsi="Times New Roman" w:cs="Times New Roman"/>
        </w:rPr>
        <w:t xml:space="preserve"> </w:t>
      </w:r>
      <w:r w:rsidRPr="005E4F7A">
        <w:rPr>
          <w:rFonts w:ascii="Times New Roman" w:hAnsi="Times New Roman" w:cs="Times New Roman"/>
        </w:rPr>
        <w:t>sensitive segment later.</w:t>
      </w:r>
    </w:p>
    <w:p w14:paraId="1DD2D3EF"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Differentiation</w:t>
      </w:r>
    </w:p>
    <w:p w14:paraId="3C193E1C" w14:textId="484645EE"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Innocent Refill differentiates itself on two fronts. First, against conventional single</w:t>
      </w:r>
      <w:r w:rsidR="005E4F7A" w:rsidRPr="005E4F7A">
        <w:rPr>
          <w:rFonts w:ascii="Times New Roman" w:hAnsi="Times New Roman" w:cs="Times New Roman"/>
        </w:rPr>
        <w:t xml:space="preserve"> </w:t>
      </w:r>
      <w:r w:rsidRPr="005E4F7A">
        <w:rPr>
          <w:rFonts w:ascii="Times New Roman" w:hAnsi="Times New Roman" w:cs="Times New Roman"/>
        </w:rPr>
        <w:t>use bottled competitors — including Innocent's own existing range — it differentiates through elimination rather than reduction: it does not simply use more recycled plastic, it removes the need for a new bottle altogether. Second, against third</w:t>
      </w:r>
      <w:r w:rsidR="005E4F7A" w:rsidRPr="005E4F7A">
        <w:rPr>
          <w:rFonts w:ascii="Times New Roman" w:hAnsi="Times New Roman" w:cs="Times New Roman"/>
        </w:rPr>
        <w:t xml:space="preserve"> </w:t>
      </w:r>
      <w:r w:rsidRPr="005E4F7A">
        <w:rPr>
          <w:rFonts w:ascii="Times New Roman" w:hAnsi="Times New Roman" w:cs="Times New Roman"/>
        </w:rPr>
        <w:t>party reuse platforms such as Loop, which host multiple brands inside one shared logistics system, Innocent Refill differentiates by keeping the entire experience brand</w:t>
      </w:r>
      <w:r w:rsidR="005E4F7A" w:rsidRPr="005E4F7A">
        <w:rPr>
          <w:rFonts w:ascii="Times New Roman" w:hAnsi="Times New Roman" w:cs="Times New Roman"/>
        </w:rPr>
        <w:t xml:space="preserve"> </w:t>
      </w:r>
      <w:r w:rsidRPr="005E4F7A">
        <w:rPr>
          <w:rFonts w:ascii="Times New Roman" w:hAnsi="Times New Roman" w:cs="Times New Roman"/>
        </w:rPr>
        <w:t>owned: the bottle, the refill</w:t>
      </w:r>
      <w:r w:rsidR="005E4F7A" w:rsidRPr="005E4F7A">
        <w:rPr>
          <w:rFonts w:ascii="Times New Roman" w:hAnsi="Times New Roman" w:cs="Times New Roman"/>
        </w:rPr>
        <w:t xml:space="preserve"> </w:t>
      </w:r>
      <w:r w:rsidRPr="005E4F7A">
        <w:rPr>
          <w:rFonts w:ascii="Times New Roman" w:hAnsi="Times New Roman" w:cs="Times New Roman"/>
        </w:rPr>
        <w:t xml:space="preserve">station design, and the quality guarantee all sit under a </w:t>
      </w:r>
      <w:r w:rsidR="00C121E7" w:rsidRPr="005E4F7A">
        <w:rPr>
          <w:rFonts w:ascii="Times New Roman" w:hAnsi="Times New Roman" w:cs="Times New Roman"/>
        </w:rPr>
        <w:t>name customer</w:t>
      </w:r>
      <w:r w:rsidRPr="005E4F7A">
        <w:rPr>
          <w:rFonts w:ascii="Times New Roman" w:hAnsi="Times New Roman" w:cs="Times New Roman"/>
        </w:rPr>
        <w:t xml:space="preserve"> already trust.</w:t>
      </w:r>
    </w:p>
    <w:p w14:paraId="2F707A2F" w14:textId="7777777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Aaker and Keller (1990) note that brand extensions perform best when there is a strong perceived fit between the parent brand and the extension along the dimensions of transfer, complement, and substitutability. A refill system fits Innocent well on all three: it substitutes directly for the existing bottle, complements the brand's charitable positioning, and does not demand skills the company cannot credibly claim, unlike a hypothetical move into an entirely unrelated category.</w:t>
      </w:r>
    </w:p>
    <w:p w14:paraId="090C37E4"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Positioning</w:t>
      </w:r>
    </w:p>
    <w:p w14:paraId="34C8DF00" w14:textId="2F3F24EB"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The positioning statement follows directly from this analysis: for eco</w:t>
      </w:r>
      <w:r w:rsidR="005E4F7A" w:rsidRPr="005E4F7A">
        <w:rPr>
          <w:rFonts w:ascii="Times New Roman" w:hAnsi="Times New Roman" w:cs="Times New Roman"/>
        </w:rPr>
        <w:t xml:space="preserve"> </w:t>
      </w:r>
      <w:r w:rsidRPr="005E4F7A">
        <w:rPr>
          <w:rFonts w:ascii="Times New Roman" w:hAnsi="Times New Roman" w:cs="Times New Roman"/>
        </w:rPr>
        <w:t>conscious smoothie drinkers who want to keep buying the drink they love without the guilt of another plastic bottle, Innocent Refill is the reusable subscription service that removes single</w:t>
      </w:r>
      <w:r w:rsidR="005E4F7A" w:rsidRPr="005E4F7A">
        <w:rPr>
          <w:rFonts w:ascii="Times New Roman" w:hAnsi="Times New Roman" w:cs="Times New Roman"/>
        </w:rPr>
        <w:t xml:space="preserve"> </w:t>
      </w:r>
      <w:r w:rsidRPr="005E4F7A">
        <w:rPr>
          <w:rFonts w:ascii="Times New Roman" w:hAnsi="Times New Roman" w:cs="Times New Roman"/>
        </w:rPr>
        <w:t>use packaging from the equation entirely — guaranteed by the same brand that has spent two decades proving it means what it says about sustainability.</w:t>
      </w:r>
    </w:p>
    <w:p w14:paraId="191FCD2F" w14:textId="6EE0040F"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lastRenderedPageBreak/>
        <w:t>On a simple perceptual map plotting environmental impact against convenience, conventionally bottled Innocent sits high on convenience but also high on impact; unbranded refill stations sit low on both convenience and brand trust. Innocent Refill is positioned deliberately in the low</w:t>
      </w:r>
      <w:r w:rsidR="005E4F7A" w:rsidRPr="005E4F7A">
        <w:rPr>
          <w:rFonts w:ascii="Times New Roman" w:hAnsi="Times New Roman" w:cs="Times New Roman"/>
        </w:rPr>
        <w:t xml:space="preserve"> </w:t>
      </w:r>
      <w:r w:rsidRPr="005E4F7A">
        <w:rPr>
          <w:rFonts w:ascii="Times New Roman" w:hAnsi="Times New Roman" w:cs="Times New Roman"/>
        </w:rPr>
        <w:t>impact, high</w:t>
      </w:r>
      <w:r w:rsidR="005E4F7A" w:rsidRPr="005E4F7A">
        <w:rPr>
          <w:rFonts w:ascii="Times New Roman" w:hAnsi="Times New Roman" w:cs="Times New Roman"/>
        </w:rPr>
        <w:t xml:space="preserve"> </w:t>
      </w:r>
      <w:r w:rsidRPr="005E4F7A">
        <w:rPr>
          <w:rFonts w:ascii="Times New Roman" w:hAnsi="Times New Roman" w:cs="Times New Roman"/>
        </w:rPr>
        <w:t>convenience quadrant — a space not yet occupied by any mainstream UK drinks brand.</w:t>
      </w:r>
    </w:p>
    <w:p w14:paraId="740F30CE" w14:textId="77777777" w:rsidR="00F35ABA" w:rsidRPr="005E4F7A" w:rsidRDefault="00000000">
      <w:pPr>
        <w:pStyle w:val="Heading1"/>
        <w:rPr>
          <w:rFonts w:ascii="Times New Roman" w:hAnsi="Times New Roman" w:cs="Times New Roman"/>
        </w:rPr>
      </w:pPr>
      <w:r w:rsidRPr="005E4F7A">
        <w:rPr>
          <w:rFonts w:ascii="Times New Roman" w:hAnsi="Times New Roman" w:cs="Times New Roman"/>
        </w:rPr>
        <w:t>Element 3: Marketing Mix (7Ps)</w:t>
      </w:r>
    </w:p>
    <w:p w14:paraId="05D0398A"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Product</w:t>
      </w:r>
    </w:p>
    <w:p w14:paraId="203C096C" w14:textId="2589689A"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The core product is not the smoothie itself — that already exists — but the reusable glass bottle and refill service built around it. The bottle is designed to look and feel durable rather than disposable, signalling quality every time it is picked up, refilled, or left in a fridge. Wrapping a service layer around it — subscription drops, refill</w:t>
      </w:r>
      <w:r w:rsidR="005E4F7A" w:rsidRPr="005E4F7A">
        <w:rPr>
          <w:rFonts w:ascii="Times New Roman" w:hAnsi="Times New Roman" w:cs="Times New Roman"/>
        </w:rPr>
        <w:t xml:space="preserve"> </w:t>
      </w:r>
      <w:r w:rsidRPr="005E4F7A">
        <w:rPr>
          <w:rFonts w:ascii="Times New Roman" w:hAnsi="Times New Roman" w:cs="Times New Roman"/>
        </w:rPr>
        <w:t>station access, and a simple counter showing how many times a bottle has been reused — turns a single transaction into an ongoing relationship. Because the extension reuses Innocent's existing sourcing and production skills and simply changes the packaging model, it satisfies the 'transfer' dimension of brand</w:t>
      </w:r>
      <w:r w:rsidR="005E4F7A" w:rsidRPr="005E4F7A">
        <w:rPr>
          <w:rFonts w:ascii="Times New Roman" w:hAnsi="Times New Roman" w:cs="Times New Roman"/>
        </w:rPr>
        <w:t xml:space="preserve"> </w:t>
      </w:r>
      <w:r w:rsidRPr="005E4F7A">
        <w:rPr>
          <w:rFonts w:ascii="Times New Roman" w:hAnsi="Times New Roman" w:cs="Times New Roman"/>
        </w:rPr>
        <w:t>extension fit that Aaker and Keller (1990) identify as central to consumer acceptance.</w:t>
      </w:r>
    </w:p>
    <w:p w14:paraId="3A42471B" w14:textId="4CD4AB6D"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The product also has to work as a physical object independent of the brand story around it: it needs to survive repeated washing cycles, feel pleasant to hold and pour from, and stack sensibly in a fridge door designed around single</w:t>
      </w:r>
      <w:r w:rsidR="005E4F7A" w:rsidRPr="005E4F7A">
        <w:rPr>
          <w:rFonts w:ascii="Times New Roman" w:hAnsi="Times New Roman" w:cs="Times New Roman"/>
        </w:rPr>
        <w:t xml:space="preserve"> </w:t>
      </w:r>
      <w:r w:rsidRPr="005E4F7A">
        <w:rPr>
          <w:rFonts w:ascii="Times New Roman" w:hAnsi="Times New Roman" w:cs="Times New Roman"/>
        </w:rPr>
        <w:t>use bottles. Any weakness here — a bottle that chips easily, or a cap that fails after a handful of cycles — would undermine the sustainability claim faster than any amount of promotion could repair, since the entire proposition depends on the bottle genuinely lasting far longer than one use.</w:t>
      </w:r>
    </w:p>
    <w:p w14:paraId="1BAEAC9B"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Price</w:t>
      </w:r>
    </w:p>
    <w:p w14:paraId="172068F7" w14:textId="2AD1CA61"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Innocent Refill uses a </w:t>
      </w:r>
      <w:r w:rsidR="00C121E7" w:rsidRPr="005E4F7A">
        <w:rPr>
          <w:rFonts w:ascii="Times New Roman" w:hAnsi="Times New Roman" w:cs="Times New Roman"/>
        </w:rPr>
        <w:t>two-part</w:t>
      </w:r>
      <w:r w:rsidRPr="005E4F7A">
        <w:rPr>
          <w:rFonts w:ascii="Times New Roman" w:hAnsi="Times New Roman" w:cs="Times New Roman"/>
        </w:rPr>
        <w:t xml:space="preserve"> pricing structure: a one</w:t>
      </w:r>
      <w:r w:rsidR="005E4F7A" w:rsidRPr="005E4F7A">
        <w:rPr>
          <w:rFonts w:ascii="Times New Roman" w:hAnsi="Times New Roman" w:cs="Times New Roman"/>
        </w:rPr>
        <w:t xml:space="preserve"> </w:t>
      </w:r>
      <w:r w:rsidRPr="005E4F7A">
        <w:rPr>
          <w:rFonts w:ascii="Times New Roman" w:hAnsi="Times New Roman" w:cs="Times New Roman"/>
        </w:rPr>
        <w:t>off, moderately premium price for the reusable bottle itself, followed by a lower per</w:t>
      </w:r>
      <w:r w:rsidR="005E4F7A" w:rsidRPr="005E4F7A">
        <w:rPr>
          <w:rFonts w:ascii="Times New Roman" w:hAnsi="Times New Roman" w:cs="Times New Roman"/>
        </w:rPr>
        <w:t xml:space="preserve"> </w:t>
      </w:r>
      <w:r w:rsidRPr="005E4F7A">
        <w:rPr>
          <w:rFonts w:ascii="Times New Roman" w:hAnsi="Times New Roman" w:cs="Times New Roman"/>
        </w:rPr>
        <w:t>refill price than an equivalent single</w:t>
      </w:r>
      <w:r w:rsidR="005E4F7A" w:rsidRPr="005E4F7A">
        <w:rPr>
          <w:rFonts w:ascii="Times New Roman" w:hAnsi="Times New Roman" w:cs="Times New Roman"/>
        </w:rPr>
        <w:t xml:space="preserve"> </w:t>
      </w:r>
      <w:r w:rsidRPr="005E4F7A">
        <w:rPr>
          <w:rFonts w:ascii="Times New Roman" w:hAnsi="Times New Roman" w:cs="Times New Roman"/>
        </w:rPr>
        <w:t>use bottle would cost across the same number of purchases. This reframes the higher upfront cost as an investment in durability and reduced environmental impact rather than a simple mark</w:t>
      </w:r>
      <w:r w:rsidR="005E4F7A" w:rsidRPr="005E4F7A">
        <w:rPr>
          <w:rFonts w:ascii="Times New Roman" w:hAnsi="Times New Roman" w:cs="Times New Roman"/>
        </w:rPr>
        <w:t xml:space="preserve"> </w:t>
      </w:r>
      <w:r w:rsidR="00C121E7" w:rsidRPr="005E4F7A">
        <w:rPr>
          <w:rFonts w:ascii="Times New Roman" w:hAnsi="Times New Roman" w:cs="Times New Roman"/>
        </w:rPr>
        <w:t>up and</w:t>
      </w:r>
      <w:r w:rsidRPr="005E4F7A">
        <w:rPr>
          <w:rFonts w:ascii="Times New Roman" w:hAnsi="Times New Roman" w:cs="Times New Roman"/>
        </w:rPr>
        <w:t xml:space="preserve"> positions the ongoing saving — not the initial price — as the headline commercial message, addressing the well</w:t>
      </w:r>
      <w:r w:rsidR="005E4F7A" w:rsidRPr="005E4F7A">
        <w:rPr>
          <w:rFonts w:ascii="Times New Roman" w:hAnsi="Times New Roman" w:cs="Times New Roman"/>
        </w:rPr>
        <w:t xml:space="preserve"> </w:t>
      </w:r>
      <w:r w:rsidRPr="005E4F7A">
        <w:rPr>
          <w:rFonts w:ascii="Times New Roman" w:hAnsi="Times New Roman" w:cs="Times New Roman"/>
        </w:rPr>
        <w:t>documented gap between what consumers say they will pay for sustainability and what they are actually willing to pay upfront.</w:t>
      </w:r>
    </w:p>
    <w:p w14:paraId="5167771D" w14:textId="76392CE1" w:rsidR="00F35AB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A subscription model also smooths what would otherwise be an awkward </w:t>
      </w:r>
      <w:r w:rsidR="00C121E7" w:rsidRPr="005E4F7A">
        <w:rPr>
          <w:rFonts w:ascii="Times New Roman" w:hAnsi="Times New Roman" w:cs="Times New Roman"/>
        </w:rPr>
        <w:t>one-off</w:t>
      </w:r>
      <w:r w:rsidRPr="005E4F7A">
        <w:rPr>
          <w:rFonts w:ascii="Times New Roman" w:hAnsi="Times New Roman" w:cs="Times New Roman"/>
        </w:rPr>
        <w:t xml:space="preserve"> purchase decision into a series of smaller, repeated payments, softening the psychological impact of the initial outlay. Occasional promotional pricing on the starter bottle — for example, a discounted first bottle for existing Innocent loyalty members — can lower the barrier to trial without discounting the refills themselves, protecting the margin on the part of the business that actually recurs.</w:t>
      </w:r>
    </w:p>
    <w:p w14:paraId="2C9F84DC" w14:textId="77777777" w:rsidR="00C121E7" w:rsidRDefault="00C121E7">
      <w:pPr>
        <w:spacing w:after="200" w:line="276" w:lineRule="auto"/>
        <w:jc w:val="both"/>
        <w:rPr>
          <w:rFonts w:ascii="Times New Roman" w:hAnsi="Times New Roman" w:cs="Times New Roman"/>
        </w:rPr>
      </w:pPr>
    </w:p>
    <w:p w14:paraId="0E432126" w14:textId="77777777" w:rsidR="00C121E7" w:rsidRPr="005E4F7A" w:rsidRDefault="00C121E7">
      <w:pPr>
        <w:spacing w:after="200" w:line="276" w:lineRule="auto"/>
        <w:jc w:val="both"/>
        <w:rPr>
          <w:rFonts w:ascii="Times New Roman" w:hAnsi="Times New Roman" w:cs="Times New Roman"/>
        </w:rPr>
      </w:pPr>
    </w:p>
    <w:p w14:paraId="095173E6"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lastRenderedPageBreak/>
        <w:t>Place</w:t>
      </w:r>
    </w:p>
    <w:p w14:paraId="14D7E24C" w14:textId="30B8908E"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Distribution runs on two channels working together: refill stations placed inside existing Innocent retail partners in the initial target cities, and a </w:t>
      </w:r>
      <w:r w:rsidR="005E4F7A" w:rsidRPr="005E4F7A">
        <w:rPr>
          <w:rFonts w:ascii="Times New Roman" w:hAnsi="Times New Roman" w:cs="Times New Roman"/>
        </w:rPr>
        <w:t>direct-to-consumer</w:t>
      </w:r>
      <w:r w:rsidRPr="005E4F7A">
        <w:rPr>
          <w:rFonts w:ascii="Times New Roman" w:hAnsi="Times New Roman" w:cs="Times New Roman"/>
        </w:rPr>
        <w:t xml:space="preserve"> subscription that delivers refill pouches to the doorstep. This dual approach is modelled on the precedent set by Loop, a reuse platform already operating across the UK, France and the US, which has demonstrated that big</w:t>
      </w:r>
      <w:r w:rsidR="005E4F7A" w:rsidRPr="005E4F7A">
        <w:rPr>
          <w:rFonts w:ascii="Times New Roman" w:hAnsi="Times New Roman" w:cs="Times New Roman"/>
        </w:rPr>
        <w:t xml:space="preserve"> </w:t>
      </w:r>
      <w:r w:rsidRPr="005E4F7A">
        <w:rPr>
          <w:rFonts w:ascii="Times New Roman" w:hAnsi="Times New Roman" w:cs="Times New Roman"/>
        </w:rPr>
        <w:t>brand products can be sold through a reusable, collect</w:t>
      </w:r>
      <w:r w:rsidR="005E4F7A" w:rsidRPr="005E4F7A">
        <w:rPr>
          <w:rFonts w:ascii="Times New Roman" w:hAnsi="Times New Roman" w:cs="Times New Roman"/>
        </w:rPr>
        <w:t xml:space="preserve"> </w:t>
      </w:r>
      <w:r w:rsidRPr="005E4F7A">
        <w:rPr>
          <w:rFonts w:ascii="Times New Roman" w:hAnsi="Times New Roman" w:cs="Times New Roman"/>
        </w:rPr>
        <w:t>and</w:t>
      </w:r>
      <w:r w:rsidR="005E4F7A" w:rsidRPr="005E4F7A">
        <w:rPr>
          <w:rFonts w:ascii="Times New Roman" w:hAnsi="Times New Roman" w:cs="Times New Roman"/>
        </w:rPr>
        <w:t xml:space="preserve"> </w:t>
      </w:r>
      <w:r w:rsidRPr="005E4F7A">
        <w:rPr>
          <w:rFonts w:ascii="Times New Roman" w:hAnsi="Times New Roman" w:cs="Times New Roman"/>
        </w:rPr>
        <w:t>refill model at commercially credible scale (Ellen MacArthur Foundation, 2024). Restricting the rollout to cities with sufficient reverse</w:t>
      </w:r>
      <w:r w:rsidR="005E4F7A" w:rsidRPr="005E4F7A">
        <w:rPr>
          <w:rFonts w:ascii="Times New Roman" w:hAnsi="Times New Roman" w:cs="Times New Roman"/>
        </w:rPr>
        <w:t xml:space="preserve"> </w:t>
      </w:r>
      <w:r w:rsidRPr="005E4F7A">
        <w:rPr>
          <w:rFonts w:ascii="Times New Roman" w:hAnsi="Times New Roman" w:cs="Times New Roman"/>
        </w:rPr>
        <w:t>logistics density in year one avoids the most common failure mode of reuse schemes: promising a convenience the delivery network cannot yet support.</w:t>
      </w:r>
    </w:p>
    <w:p w14:paraId="391149BD"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Promotion</w:t>
      </w:r>
    </w:p>
    <w:p w14:paraId="6746A01D" w14:textId="25577E20"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Promotion leans on the brand's existing playful, conversational tone of voice rather than the more solemn register some sustainability campaigns adopt, since Innocent's equity has always rested on approachability. The message is built around visible, checkable proof rather than vague claims for instance, </w:t>
      </w:r>
      <w:r w:rsidR="005E4F7A" w:rsidRPr="005E4F7A">
        <w:rPr>
          <w:rFonts w:ascii="Times New Roman" w:hAnsi="Times New Roman" w:cs="Times New Roman"/>
        </w:rPr>
        <w:t>showing customers,</w:t>
      </w:r>
      <w:r w:rsidRPr="005E4F7A">
        <w:rPr>
          <w:rFonts w:ascii="Times New Roman" w:hAnsi="Times New Roman" w:cs="Times New Roman"/>
        </w:rPr>
        <w:t xml:space="preserve"> how many single</w:t>
      </w:r>
      <w:r w:rsidR="005E4F7A" w:rsidRPr="005E4F7A">
        <w:rPr>
          <w:rFonts w:ascii="Times New Roman" w:hAnsi="Times New Roman" w:cs="Times New Roman"/>
        </w:rPr>
        <w:t xml:space="preserve"> </w:t>
      </w:r>
      <w:r w:rsidRPr="005E4F7A">
        <w:rPr>
          <w:rFonts w:ascii="Times New Roman" w:hAnsi="Times New Roman" w:cs="Times New Roman"/>
        </w:rPr>
        <w:t>use bottles their subscription has avoided because vague sustainability claims increasingly read as greenwashing rather than reassurance. In</w:t>
      </w:r>
      <w:r w:rsidR="005E4F7A" w:rsidRPr="005E4F7A">
        <w:rPr>
          <w:rFonts w:ascii="Times New Roman" w:hAnsi="Times New Roman" w:cs="Times New Roman"/>
        </w:rPr>
        <w:t xml:space="preserve"> </w:t>
      </w:r>
      <w:r w:rsidRPr="005E4F7A">
        <w:rPr>
          <w:rFonts w:ascii="Times New Roman" w:hAnsi="Times New Roman" w:cs="Times New Roman"/>
        </w:rPr>
        <w:t>store point</w:t>
      </w:r>
      <w:r w:rsidR="005E4F7A" w:rsidRPr="005E4F7A">
        <w:rPr>
          <w:rFonts w:ascii="Times New Roman" w:hAnsi="Times New Roman" w:cs="Times New Roman"/>
        </w:rPr>
        <w:t xml:space="preserve"> </w:t>
      </w:r>
      <w:r w:rsidRPr="005E4F7A">
        <w:rPr>
          <w:rFonts w:ascii="Times New Roman" w:hAnsi="Times New Roman" w:cs="Times New Roman"/>
        </w:rPr>
        <w:t>of</w:t>
      </w:r>
      <w:r w:rsidR="005E4F7A" w:rsidRPr="005E4F7A">
        <w:rPr>
          <w:rFonts w:ascii="Times New Roman" w:hAnsi="Times New Roman" w:cs="Times New Roman"/>
        </w:rPr>
        <w:t xml:space="preserve"> </w:t>
      </w:r>
      <w:r w:rsidRPr="005E4F7A">
        <w:rPr>
          <w:rFonts w:ascii="Times New Roman" w:hAnsi="Times New Roman" w:cs="Times New Roman"/>
        </w:rPr>
        <w:t>sale at refill stations, social content that follows a bottle's life cycle, and continued visibility of the brand's existing charitable donation all reinforce that this extension is consistent with, not a departure from, what the brand has always stood for.</w:t>
      </w:r>
    </w:p>
    <w:p w14:paraId="1B796B2E" w14:textId="5FD13FDC"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Launch promotion also needs a clear behavioural ask rather than a purely emotional one, since the biggest barrier to adoption is habit rather than attitude: most customers already believe plastic waste is a problem, but few have practised the specific new behaviour of returning a bottle for refill. Early promotion is therefore built around a simple, repeatable prompt 'bring it back, we'll fill it up' — rather than a broader sustainability message, on the basis that a concrete instruction converts good intentions into actual behaviour more reliably than an abstract appeal.</w:t>
      </w:r>
    </w:p>
    <w:p w14:paraId="1C1173BE"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People</w:t>
      </w:r>
    </w:p>
    <w:p w14:paraId="6492040E" w14:textId="41405F4C"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Every member of staff at a partner refill station effectively becomes a brand ambassador for the extension, since customers will ask about hygiene, process, and genuine environmental benefit in ways a shelf display cannot answer. Booms and Bitner (1980) added people, process and physical evidence to the original marketing mix precisely because </w:t>
      </w:r>
      <w:r w:rsidR="00C121E7" w:rsidRPr="005E4F7A">
        <w:rPr>
          <w:rFonts w:ascii="Times New Roman" w:hAnsi="Times New Roman" w:cs="Times New Roman"/>
        </w:rPr>
        <w:t>service-based</w:t>
      </w:r>
      <w:r w:rsidRPr="005E4F7A">
        <w:rPr>
          <w:rFonts w:ascii="Times New Roman" w:hAnsi="Times New Roman" w:cs="Times New Roman"/>
        </w:rPr>
        <w:t xml:space="preserve"> offerings succeed or fail on these human and operational elements, not on product and price alone — a point that applies directly to a service</w:t>
      </w:r>
      <w:r w:rsidR="005E4F7A" w:rsidRPr="005E4F7A">
        <w:rPr>
          <w:rFonts w:ascii="Times New Roman" w:hAnsi="Times New Roman" w:cs="Times New Roman"/>
        </w:rPr>
        <w:t xml:space="preserve"> </w:t>
      </w:r>
      <w:r w:rsidRPr="005E4F7A">
        <w:rPr>
          <w:rFonts w:ascii="Times New Roman" w:hAnsi="Times New Roman" w:cs="Times New Roman"/>
        </w:rPr>
        <w:t>heavy extension like this one. Training staff to explain the refill process confidently, and equipping head</w:t>
      </w:r>
      <w:r w:rsidR="005E4F7A" w:rsidRPr="005E4F7A">
        <w:rPr>
          <w:rFonts w:ascii="Times New Roman" w:hAnsi="Times New Roman" w:cs="Times New Roman"/>
        </w:rPr>
        <w:t xml:space="preserve"> </w:t>
      </w:r>
      <w:r w:rsidRPr="005E4F7A">
        <w:rPr>
          <w:rFonts w:ascii="Times New Roman" w:hAnsi="Times New Roman" w:cs="Times New Roman"/>
        </w:rPr>
        <w:t>office teams to respond quickly to sustainability queries on social media, is not a peripheral detail but a core part of the offer.</w:t>
      </w:r>
    </w:p>
    <w:p w14:paraId="50B28A97" w14:textId="42B3A456" w:rsidR="00F35AB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Internally, people also </w:t>
      </w:r>
      <w:r w:rsidR="00C121E7" w:rsidRPr="005E4F7A">
        <w:rPr>
          <w:rFonts w:ascii="Times New Roman" w:hAnsi="Times New Roman" w:cs="Times New Roman"/>
        </w:rPr>
        <w:t>mean</w:t>
      </w:r>
      <w:r w:rsidRPr="005E4F7A">
        <w:rPr>
          <w:rFonts w:ascii="Times New Roman" w:hAnsi="Times New Roman" w:cs="Times New Roman"/>
        </w:rPr>
        <w:t xml:space="preserve"> the operations staff who never meet a customer directly — the team responsible for washing, inspecting and refilling returned bottles. Their consistency matters just as much as any customer</w:t>
      </w:r>
      <w:r w:rsidR="005E4F7A" w:rsidRPr="005E4F7A">
        <w:rPr>
          <w:rFonts w:ascii="Times New Roman" w:hAnsi="Times New Roman" w:cs="Times New Roman"/>
        </w:rPr>
        <w:t xml:space="preserve"> </w:t>
      </w:r>
      <w:r w:rsidRPr="005E4F7A">
        <w:rPr>
          <w:rFonts w:ascii="Times New Roman" w:hAnsi="Times New Roman" w:cs="Times New Roman"/>
        </w:rPr>
        <w:t>facing role, since a single reported hygiene failure would do more damage to trust in the whole scheme than months of good promotion could recover.</w:t>
      </w:r>
    </w:p>
    <w:p w14:paraId="0E462547" w14:textId="77777777" w:rsidR="00C121E7" w:rsidRPr="005E4F7A" w:rsidRDefault="00C121E7">
      <w:pPr>
        <w:spacing w:after="200" w:line="276" w:lineRule="auto"/>
        <w:jc w:val="both"/>
        <w:rPr>
          <w:rFonts w:ascii="Times New Roman" w:hAnsi="Times New Roman" w:cs="Times New Roman"/>
        </w:rPr>
      </w:pPr>
    </w:p>
    <w:p w14:paraId="6C7BA635"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lastRenderedPageBreak/>
        <w:t>Process</w:t>
      </w:r>
    </w:p>
    <w:p w14:paraId="5EA439E9" w14:textId="62A8C2A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The reverse</w:t>
      </w:r>
      <w:r w:rsidR="005E4F7A" w:rsidRPr="005E4F7A">
        <w:rPr>
          <w:rFonts w:ascii="Times New Roman" w:hAnsi="Times New Roman" w:cs="Times New Roman"/>
        </w:rPr>
        <w:t xml:space="preserve"> </w:t>
      </w:r>
      <w:r w:rsidRPr="005E4F7A">
        <w:rPr>
          <w:rFonts w:ascii="Times New Roman" w:hAnsi="Times New Roman" w:cs="Times New Roman"/>
        </w:rPr>
        <w:t>logistics loop is the operational backbone of the whole extension: bottles must be collected, inspected, professionally cleaned, refilled and redistributed without compromising food safety, and the process needs to be visible enough that customers trust it without having to think about it. A simple QR code on each bottle, linked to a wash</w:t>
      </w:r>
      <w:r w:rsidR="005E4F7A" w:rsidRPr="005E4F7A">
        <w:rPr>
          <w:rFonts w:ascii="Times New Roman" w:hAnsi="Times New Roman" w:cs="Times New Roman"/>
        </w:rPr>
        <w:t xml:space="preserve"> </w:t>
      </w:r>
      <w:r w:rsidRPr="005E4F7A">
        <w:rPr>
          <w:rFonts w:ascii="Times New Roman" w:hAnsi="Times New Roman" w:cs="Times New Roman"/>
        </w:rPr>
        <w:t>and</w:t>
      </w:r>
      <w:r w:rsidR="005E4F7A" w:rsidRPr="005E4F7A">
        <w:rPr>
          <w:rFonts w:ascii="Times New Roman" w:hAnsi="Times New Roman" w:cs="Times New Roman"/>
        </w:rPr>
        <w:t xml:space="preserve"> </w:t>
      </w:r>
      <w:r w:rsidRPr="005E4F7A">
        <w:rPr>
          <w:rFonts w:ascii="Times New Roman" w:hAnsi="Times New Roman" w:cs="Times New Roman"/>
        </w:rPr>
        <w:t>refill count, gives both the operations team and the customer a transparent record of that bottle's journey, echoing the traceability approach used across most reuse schemes that have scaled successfully (Ellen MacArthur Foundation, 2024). Making this process reliably fast is arguably the single biggest determinant of whether the extension succeeds or is quietly abandoned after one poor experience.</w:t>
      </w:r>
    </w:p>
    <w:p w14:paraId="5D4E86D2" w14:textId="77777777" w:rsidR="00F35ABA" w:rsidRPr="005E4F7A" w:rsidRDefault="00000000">
      <w:pPr>
        <w:pStyle w:val="Heading2"/>
        <w:rPr>
          <w:rFonts w:ascii="Times New Roman" w:hAnsi="Times New Roman" w:cs="Times New Roman"/>
        </w:rPr>
      </w:pPr>
      <w:r w:rsidRPr="005E4F7A">
        <w:rPr>
          <w:rFonts w:ascii="Times New Roman" w:hAnsi="Times New Roman" w:cs="Times New Roman"/>
        </w:rPr>
        <w:t>Physical Evidence</w:t>
      </w:r>
    </w:p>
    <w:p w14:paraId="289704B3" w14:textId="6EEE8D7F"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Because no packaging is left behind to reinforce the brand once a single</w:t>
      </w:r>
      <w:r w:rsidR="005E4F7A" w:rsidRPr="005E4F7A">
        <w:rPr>
          <w:rFonts w:ascii="Times New Roman" w:hAnsi="Times New Roman" w:cs="Times New Roman"/>
        </w:rPr>
        <w:t xml:space="preserve"> </w:t>
      </w:r>
      <w:r w:rsidRPr="005E4F7A">
        <w:rPr>
          <w:rFonts w:ascii="Times New Roman" w:hAnsi="Times New Roman" w:cs="Times New Roman"/>
        </w:rPr>
        <w:t>use bottle would normally be thrown away, physical evidence has to work harder here than in a conventional product launch. The bottle's design, the visible refill station in</w:t>
      </w:r>
      <w:r w:rsidR="005E4F7A" w:rsidRPr="005E4F7A">
        <w:rPr>
          <w:rFonts w:ascii="Times New Roman" w:hAnsi="Times New Roman" w:cs="Times New Roman"/>
        </w:rPr>
        <w:t xml:space="preserve"> </w:t>
      </w:r>
      <w:r w:rsidRPr="005E4F7A">
        <w:rPr>
          <w:rFonts w:ascii="Times New Roman" w:hAnsi="Times New Roman" w:cs="Times New Roman"/>
        </w:rPr>
        <w:t>store, the cleanliness of the reverse</w:t>
      </w:r>
      <w:r w:rsidR="005E4F7A" w:rsidRPr="005E4F7A">
        <w:rPr>
          <w:rFonts w:ascii="Times New Roman" w:hAnsi="Times New Roman" w:cs="Times New Roman"/>
        </w:rPr>
        <w:t xml:space="preserve"> </w:t>
      </w:r>
      <w:r w:rsidRPr="005E4F7A">
        <w:rPr>
          <w:rFonts w:ascii="Times New Roman" w:hAnsi="Times New Roman" w:cs="Times New Roman"/>
        </w:rPr>
        <w:t>logistics process, and even a simple embossed counter on the bottle itself all function as tangible proof of the sustainability claim. Following Booms and Bitner's (1980) logic that physical evidence is where an intangible service promise becomes credible to the customer, this is arguably the most important 'P' for a brand extension built on trust rather than novelty.</w:t>
      </w:r>
    </w:p>
    <w:p w14:paraId="449C1BC5" w14:textId="77777777" w:rsidR="00F35ABA" w:rsidRPr="005E4F7A" w:rsidRDefault="00000000">
      <w:pPr>
        <w:pStyle w:val="Heading1"/>
        <w:rPr>
          <w:rFonts w:ascii="Times New Roman" w:hAnsi="Times New Roman" w:cs="Times New Roman"/>
        </w:rPr>
      </w:pPr>
      <w:r w:rsidRPr="005E4F7A">
        <w:rPr>
          <w:rFonts w:ascii="Times New Roman" w:hAnsi="Times New Roman" w:cs="Times New Roman"/>
        </w:rPr>
        <w:t>Element 4: Reflection</w:t>
      </w:r>
    </w:p>
    <w:p w14:paraId="33E23F1E" w14:textId="213B7964"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Working through this brand extension project changed how I think about sustainability marketing, mostly by making me realise how much easier it is to say a brand 'should be more sustainable' than to design something a real business could actually launch, price and operate. Choosing Innocent forced me to work within constraints rather than invent a blank</w:t>
      </w:r>
      <w:r w:rsidR="005E4F7A" w:rsidRPr="005E4F7A">
        <w:rPr>
          <w:rFonts w:ascii="Times New Roman" w:hAnsi="Times New Roman" w:cs="Times New Roman"/>
        </w:rPr>
        <w:t xml:space="preserve"> </w:t>
      </w:r>
      <w:r w:rsidRPr="005E4F7A">
        <w:rPr>
          <w:rFonts w:ascii="Times New Roman" w:hAnsi="Times New Roman" w:cs="Times New Roman"/>
        </w:rPr>
        <w:t>slate green product, and that turned out to be the most useful part of the exercise. Every idea for the brand extension had to survive contact with something concrete — could this actually be delivered through existing retail partners, would customers really carry a bottle back, does the pricing make commercial as well as ethical sense — and that discipline is exactly what separates a marketing strategy from a wish list.</w:t>
      </w:r>
    </w:p>
    <w:p w14:paraId="099C209E" w14:textId="57666291"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The STDP analysis was where I learned the most. I went in assuming sustainability</w:t>
      </w:r>
      <w:r w:rsidR="005E4F7A" w:rsidRPr="005E4F7A">
        <w:rPr>
          <w:rFonts w:ascii="Times New Roman" w:hAnsi="Times New Roman" w:cs="Times New Roman"/>
        </w:rPr>
        <w:t xml:space="preserve"> </w:t>
      </w:r>
      <w:r w:rsidRPr="005E4F7A">
        <w:rPr>
          <w:rFonts w:ascii="Times New Roman" w:hAnsi="Times New Roman" w:cs="Times New Roman"/>
        </w:rPr>
        <w:t>minded customers were a fairly homogeneous group, and the segmentation literature quickly corrected that: psychographic variables such as values and lifestyle identity turned out to matter far more than simple demographics, which changed how I framed the whole targeting section. It also made me more careful about the difference between a brand that talks about sustainability and one that can prove a genuine 'fit' with a new sustainable offering; Aaker and Keller's model gave me a much sharper way to argue why Innocent, specifically, could credibly make this extension work, rather than simply asserting that it could.</w:t>
      </w:r>
    </w:p>
    <w:p w14:paraId="459C0226" w14:textId="6E902DAA"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 xml:space="preserve">Applying the 7Ps was harder than expected, mainly because it is tempting to treat sustainability as something that only touches product and promotion. Working through process and physical evidence properly — thinking about reverse logistics, hygiene, and how a customer would </w:t>
      </w:r>
      <w:r w:rsidRPr="005E4F7A">
        <w:rPr>
          <w:rFonts w:ascii="Times New Roman" w:hAnsi="Times New Roman" w:cs="Times New Roman"/>
        </w:rPr>
        <w:lastRenderedPageBreak/>
        <w:t>build trust in a system they cannot fully see — was uncomfortable in a useful way. It showed me that the less visible, more operational Ps are often where a sustainability claim either becomes real or quietly falls apart, which is not something the more customer</w:t>
      </w:r>
      <w:r w:rsidR="005E4F7A" w:rsidRPr="005E4F7A">
        <w:rPr>
          <w:rFonts w:ascii="Times New Roman" w:hAnsi="Times New Roman" w:cs="Times New Roman"/>
        </w:rPr>
        <w:t xml:space="preserve"> </w:t>
      </w:r>
      <w:r w:rsidRPr="005E4F7A">
        <w:rPr>
          <w:rFonts w:ascii="Times New Roman" w:hAnsi="Times New Roman" w:cs="Times New Roman"/>
        </w:rPr>
        <w:t>facing side of marketing usually teaches you to notice.</w:t>
      </w:r>
    </w:p>
    <w:p w14:paraId="0D0B40DA" w14:textId="7777777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Preparing the poster presentation was its own kind of learning. Condensing an argument this dense into something that could be said aloud in under five minutes, while pointing at a single static page rather than clicking through slides, forced me to work out what actually mattered in the argument versus what was just supporting detail. I cut content I was quite attached to because it slowed the story down, which is a skill I expect to matter well beyond this module — most real workplace pitches are judged in minutes, not paragraphs.</w:t>
      </w:r>
    </w:p>
    <w:p w14:paraId="03C3A4E5" w14:textId="563445AF"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If I did this again, I would try to build in some form of customer feedback earlier, even informally, rather than relying solely on secondary research and my own assumptions about what an 'eco</w:t>
      </w:r>
      <w:r w:rsidR="005E4F7A" w:rsidRPr="005E4F7A">
        <w:rPr>
          <w:rFonts w:ascii="Times New Roman" w:hAnsi="Times New Roman" w:cs="Times New Roman"/>
        </w:rPr>
        <w:t xml:space="preserve"> </w:t>
      </w:r>
      <w:r w:rsidRPr="005E4F7A">
        <w:rPr>
          <w:rFonts w:ascii="Times New Roman" w:hAnsi="Times New Roman" w:cs="Times New Roman"/>
        </w:rPr>
        <w:t>conscious' customer wants. I would also rehearse the spoken delivery earlier, since my first run</w:t>
      </w:r>
      <w:r w:rsidR="005E4F7A" w:rsidRPr="005E4F7A">
        <w:rPr>
          <w:rFonts w:ascii="Times New Roman" w:hAnsi="Times New Roman" w:cs="Times New Roman"/>
        </w:rPr>
        <w:t xml:space="preserve"> </w:t>
      </w:r>
      <w:r w:rsidRPr="005E4F7A">
        <w:rPr>
          <w:rFonts w:ascii="Times New Roman" w:hAnsi="Times New Roman" w:cs="Times New Roman"/>
        </w:rPr>
        <w:t>through overran and made clear how much tighter the script needed to be. Overall, the project has left me more confident treating segmentation and marketing</w:t>
      </w:r>
      <w:r w:rsidR="005E4F7A" w:rsidRPr="005E4F7A">
        <w:rPr>
          <w:rFonts w:ascii="Times New Roman" w:hAnsi="Times New Roman" w:cs="Times New Roman"/>
        </w:rPr>
        <w:t xml:space="preserve"> </w:t>
      </w:r>
      <w:r w:rsidRPr="005E4F7A">
        <w:rPr>
          <w:rFonts w:ascii="Times New Roman" w:hAnsi="Times New Roman" w:cs="Times New Roman"/>
        </w:rPr>
        <w:t xml:space="preserve">mix frameworks as genuine </w:t>
      </w:r>
      <w:r w:rsidR="00C121E7" w:rsidRPr="005E4F7A">
        <w:rPr>
          <w:rFonts w:ascii="Times New Roman" w:hAnsi="Times New Roman" w:cs="Times New Roman"/>
        </w:rPr>
        <w:t>decision-making</w:t>
      </w:r>
      <w:r w:rsidRPr="005E4F7A">
        <w:rPr>
          <w:rFonts w:ascii="Times New Roman" w:hAnsi="Times New Roman" w:cs="Times New Roman"/>
        </w:rPr>
        <w:t xml:space="preserve"> tools, rather than checklists filled in after a decision has already been made.</w:t>
      </w:r>
    </w:p>
    <w:p w14:paraId="0399936D" w14:textId="77777777" w:rsidR="00F35ABA" w:rsidRPr="005E4F7A" w:rsidRDefault="00000000">
      <w:pPr>
        <w:pStyle w:val="Heading1"/>
        <w:rPr>
          <w:rFonts w:ascii="Times New Roman" w:hAnsi="Times New Roman" w:cs="Times New Roman"/>
        </w:rPr>
      </w:pPr>
      <w:r w:rsidRPr="005E4F7A">
        <w:rPr>
          <w:rFonts w:ascii="Times New Roman" w:hAnsi="Times New Roman" w:cs="Times New Roman"/>
        </w:rPr>
        <w:t>Conclusion</w:t>
      </w:r>
    </w:p>
    <w:p w14:paraId="35B972D9" w14:textId="57EB2C69"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Innocent Refill is the link between being environmentally responsible and meeting consumer needs for convenience. By specifically appealing to eco</w:t>
      </w:r>
      <w:r w:rsidR="005E4F7A" w:rsidRPr="005E4F7A">
        <w:rPr>
          <w:rFonts w:ascii="Times New Roman" w:hAnsi="Times New Roman" w:cs="Times New Roman"/>
        </w:rPr>
        <w:t xml:space="preserve"> </w:t>
      </w:r>
      <w:r w:rsidRPr="005E4F7A">
        <w:rPr>
          <w:rFonts w:ascii="Times New Roman" w:hAnsi="Times New Roman" w:cs="Times New Roman"/>
        </w:rPr>
        <w:t>conscious professionals, creating dedicated refill infrastructure, and implementing a straightforward pricing and delivery system, Innocent can phase out single</w:t>
      </w:r>
      <w:r w:rsidR="005E4F7A" w:rsidRPr="005E4F7A">
        <w:rPr>
          <w:rFonts w:ascii="Times New Roman" w:hAnsi="Times New Roman" w:cs="Times New Roman"/>
        </w:rPr>
        <w:t xml:space="preserve"> </w:t>
      </w:r>
      <w:r w:rsidRPr="005E4F7A">
        <w:rPr>
          <w:rFonts w:ascii="Times New Roman" w:hAnsi="Times New Roman" w:cs="Times New Roman"/>
        </w:rPr>
        <w:t>use plastics while keeping customer loyalty strong.</w:t>
      </w:r>
    </w:p>
    <w:p w14:paraId="2677B5CA" w14:textId="77777777" w:rsidR="00F35ABA" w:rsidRPr="005E4F7A" w:rsidRDefault="00000000">
      <w:pPr>
        <w:spacing w:after="200" w:line="276" w:lineRule="auto"/>
        <w:jc w:val="both"/>
        <w:rPr>
          <w:rFonts w:ascii="Times New Roman" w:hAnsi="Times New Roman" w:cs="Times New Roman"/>
        </w:rPr>
      </w:pPr>
      <w:r w:rsidRPr="005E4F7A">
        <w:rPr>
          <w:rFonts w:ascii="Times New Roman" w:hAnsi="Times New Roman" w:cs="Times New Roman"/>
        </w:rPr>
        <w:t>Ultimately, this approach demonstrates that achieving real sustainability in marketing goes beyond mere promotional talk. It takes effective operational logistics, cohesive brand positioning, and tangible evidence to foster lasting trust among consumers.</w:t>
      </w:r>
    </w:p>
    <w:p w14:paraId="5985E0BF" w14:textId="77777777" w:rsidR="00F35ABA" w:rsidRPr="005E4F7A" w:rsidRDefault="00000000">
      <w:pPr>
        <w:pStyle w:val="Heading1"/>
        <w:rPr>
          <w:rFonts w:ascii="Times New Roman" w:hAnsi="Times New Roman" w:cs="Times New Roman"/>
        </w:rPr>
      </w:pPr>
      <w:r w:rsidRPr="005E4F7A">
        <w:rPr>
          <w:rFonts w:ascii="Times New Roman" w:hAnsi="Times New Roman" w:cs="Times New Roman"/>
        </w:rPr>
        <w:t>References</w:t>
      </w:r>
    </w:p>
    <w:p w14:paraId="000BDB7A" w14:textId="77777777"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Aaker, D.A. and Keller, K.L. (1990) </w:t>
      </w:r>
      <w:r w:rsidRPr="005E4F7A">
        <w:rPr>
          <w:rFonts w:ascii="Times New Roman" w:hAnsi="Times New Roman" w:cs="Times New Roman"/>
          <w:i/>
          <w:iCs/>
        </w:rPr>
        <w:t>'Consumer evaluations of brand extensions'</w:t>
      </w:r>
      <w:r w:rsidRPr="005E4F7A">
        <w:rPr>
          <w:rFonts w:ascii="Times New Roman" w:hAnsi="Times New Roman" w:cs="Times New Roman"/>
        </w:rPr>
        <w:t>, Journal of Marketing, 54(1), pp.27–41.</w:t>
      </w:r>
    </w:p>
    <w:p w14:paraId="61EF93DC" w14:textId="77777777"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Booms, B.H. and Bitner, M.J. (1980) 'Marketing strategies and organization structures for service firms', in Donnelly, J.H. and George, W.R. (eds) </w:t>
      </w:r>
      <w:r w:rsidRPr="005E4F7A">
        <w:rPr>
          <w:rFonts w:ascii="Times New Roman" w:hAnsi="Times New Roman" w:cs="Times New Roman"/>
          <w:i/>
          <w:iCs/>
        </w:rPr>
        <w:t>Marketing of Services</w:t>
      </w:r>
      <w:r w:rsidRPr="005E4F7A">
        <w:rPr>
          <w:rFonts w:ascii="Times New Roman" w:hAnsi="Times New Roman" w:cs="Times New Roman"/>
        </w:rPr>
        <w:t>. Chicago: American Marketing Association, pp.47–51.</w:t>
      </w:r>
    </w:p>
    <w:p w14:paraId="3F085622" w14:textId="4DF6EE9E"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Do </w:t>
      </w:r>
      <w:r w:rsidR="00C121E7" w:rsidRPr="005E4F7A">
        <w:rPr>
          <w:rFonts w:ascii="Times New Roman" w:hAnsi="Times New Roman" w:cs="Times New Roman"/>
        </w:rPr>
        <w:t>Paco</w:t>
      </w:r>
      <w:r w:rsidRPr="005E4F7A">
        <w:rPr>
          <w:rFonts w:ascii="Times New Roman" w:hAnsi="Times New Roman" w:cs="Times New Roman"/>
        </w:rPr>
        <w:t xml:space="preserve">, A. and Raposo, M. (2009) 'Identifying the green consumer: a segmentation study', </w:t>
      </w:r>
      <w:r w:rsidRPr="005E4F7A">
        <w:rPr>
          <w:rFonts w:ascii="Times New Roman" w:hAnsi="Times New Roman" w:cs="Times New Roman"/>
          <w:i/>
          <w:iCs/>
        </w:rPr>
        <w:t>Journal of Targeting, Measurement and Analysis for Marketing</w:t>
      </w:r>
      <w:r w:rsidRPr="005E4F7A">
        <w:rPr>
          <w:rFonts w:ascii="Times New Roman" w:hAnsi="Times New Roman" w:cs="Times New Roman"/>
        </w:rPr>
        <w:t>, 17(1), pp.17–25.</w:t>
      </w:r>
    </w:p>
    <w:p w14:paraId="3DDD3D74" w14:textId="519728EA"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Ellen MacArthur Foundation (2024) </w:t>
      </w:r>
      <w:r w:rsidRPr="005E4F7A">
        <w:rPr>
          <w:rFonts w:ascii="Times New Roman" w:hAnsi="Times New Roman" w:cs="Times New Roman"/>
          <w:i/>
          <w:iCs/>
        </w:rPr>
        <w:t>The Circular Economy: Definition and Model Explained</w:t>
      </w:r>
      <w:r w:rsidRPr="005E4F7A">
        <w:rPr>
          <w:rFonts w:ascii="Times New Roman" w:hAnsi="Times New Roman" w:cs="Times New Roman"/>
        </w:rPr>
        <w:t>. Available at: https://www.ellenmacarthurfoundation.org/topics/circular</w:t>
      </w:r>
      <w:r w:rsidR="005E4F7A" w:rsidRPr="005E4F7A">
        <w:rPr>
          <w:rFonts w:ascii="Times New Roman" w:hAnsi="Times New Roman" w:cs="Times New Roman"/>
        </w:rPr>
        <w:t xml:space="preserve"> </w:t>
      </w:r>
      <w:r w:rsidRPr="005E4F7A">
        <w:rPr>
          <w:rFonts w:ascii="Times New Roman" w:hAnsi="Times New Roman" w:cs="Times New Roman"/>
        </w:rPr>
        <w:t>economy</w:t>
      </w:r>
      <w:r w:rsidR="005E4F7A" w:rsidRPr="005E4F7A">
        <w:rPr>
          <w:rFonts w:ascii="Times New Roman" w:hAnsi="Times New Roman" w:cs="Times New Roman"/>
        </w:rPr>
        <w:t xml:space="preserve"> </w:t>
      </w:r>
      <w:r w:rsidRPr="005E4F7A">
        <w:rPr>
          <w:rFonts w:ascii="Times New Roman" w:hAnsi="Times New Roman" w:cs="Times New Roman"/>
        </w:rPr>
        <w:t>introduction/overview (Accessed: 22 July 2026).</w:t>
      </w:r>
    </w:p>
    <w:p w14:paraId="6B8B6294" w14:textId="647C0E2E"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lastRenderedPageBreak/>
        <w:t xml:space="preserve">Horizon Databook (2026) </w:t>
      </w:r>
      <w:r w:rsidRPr="005E4F7A">
        <w:rPr>
          <w:rFonts w:ascii="Times New Roman" w:hAnsi="Times New Roman" w:cs="Times New Roman"/>
          <w:i/>
          <w:iCs/>
        </w:rPr>
        <w:t>UK Returnable Packaging Market Size &amp; Outlook, 2023–2033</w:t>
      </w:r>
      <w:r w:rsidRPr="005E4F7A">
        <w:rPr>
          <w:rFonts w:ascii="Times New Roman" w:hAnsi="Times New Roman" w:cs="Times New Roman"/>
        </w:rPr>
        <w:t>. Available at: https://www.grandviewresearch.com/horizon/outlook/returnable</w:t>
      </w:r>
      <w:r w:rsidR="005E4F7A" w:rsidRPr="005E4F7A">
        <w:rPr>
          <w:rFonts w:ascii="Times New Roman" w:hAnsi="Times New Roman" w:cs="Times New Roman"/>
        </w:rPr>
        <w:t xml:space="preserve"> </w:t>
      </w:r>
      <w:r w:rsidRPr="005E4F7A">
        <w:rPr>
          <w:rFonts w:ascii="Times New Roman" w:hAnsi="Times New Roman" w:cs="Times New Roman"/>
        </w:rPr>
        <w:t>packaging</w:t>
      </w:r>
      <w:r w:rsidR="005E4F7A" w:rsidRPr="005E4F7A">
        <w:rPr>
          <w:rFonts w:ascii="Times New Roman" w:hAnsi="Times New Roman" w:cs="Times New Roman"/>
        </w:rPr>
        <w:t xml:space="preserve"> </w:t>
      </w:r>
      <w:r w:rsidRPr="005E4F7A">
        <w:rPr>
          <w:rFonts w:ascii="Times New Roman" w:hAnsi="Times New Roman" w:cs="Times New Roman"/>
        </w:rPr>
        <w:t>market/</w:t>
      </w:r>
      <w:r w:rsidR="00C121E7">
        <w:rPr>
          <w:rFonts w:ascii="Times New Roman" w:hAnsi="Times New Roman" w:cs="Times New Roman"/>
        </w:rPr>
        <w:t xml:space="preserve">UK </w:t>
      </w:r>
      <w:r w:rsidRPr="005E4F7A">
        <w:rPr>
          <w:rFonts w:ascii="Times New Roman" w:hAnsi="Times New Roman" w:cs="Times New Roman"/>
        </w:rPr>
        <w:t>(Accessed: 22 July 2026).</w:t>
      </w:r>
    </w:p>
    <w:p w14:paraId="5D51C6FE" w14:textId="77777777"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Kotler, P., Armstrong, G., Harris, L.C. and Piercy, N. (2024) </w:t>
      </w:r>
      <w:r w:rsidRPr="005E4F7A">
        <w:rPr>
          <w:rFonts w:ascii="Times New Roman" w:hAnsi="Times New Roman" w:cs="Times New Roman"/>
          <w:i/>
          <w:iCs/>
        </w:rPr>
        <w:t>Principles of Marketing</w:t>
      </w:r>
      <w:r w:rsidRPr="005E4F7A">
        <w:rPr>
          <w:rFonts w:ascii="Times New Roman" w:hAnsi="Times New Roman" w:cs="Times New Roman"/>
        </w:rPr>
        <w:t xml:space="preserve">. 9th European </w:t>
      </w:r>
      <w:proofErr w:type="spellStart"/>
      <w:r w:rsidRPr="005E4F7A">
        <w:rPr>
          <w:rFonts w:ascii="Times New Roman" w:hAnsi="Times New Roman" w:cs="Times New Roman"/>
        </w:rPr>
        <w:t>edn</w:t>
      </w:r>
      <w:proofErr w:type="spellEnd"/>
      <w:r w:rsidRPr="005E4F7A">
        <w:rPr>
          <w:rFonts w:ascii="Times New Roman" w:hAnsi="Times New Roman" w:cs="Times New Roman"/>
        </w:rPr>
        <w:t>. Harlow: Pearson.</w:t>
      </w:r>
    </w:p>
    <w:p w14:paraId="254BE899" w14:textId="77777777" w:rsidR="00F35ABA" w:rsidRPr="005E4F7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McCarthy, E.J. (1960) </w:t>
      </w:r>
      <w:r w:rsidRPr="005E4F7A">
        <w:rPr>
          <w:rFonts w:ascii="Times New Roman" w:hAnsi="Times New Roman" w:cs="Times New Roman"/>
          <w:i/>
          <w:iCs/>
        </w:rPr>
        <w:t>Basic Marketing: A Managerial Approach</w:t>
      </w:r>
      <w:r w:rsidRPr="005E4F7A">
        <w:rPr>
          <w:rFonts w:ascii="Times New Roman" w:hAnsi="Times New Roman" w:cs="Times New Roman"/>
        </w:rPr>
        <w:t>. Homewood, IL: Irwin.</w:t>
      </w:r>
    </w:p>
    <w:p w14:paraId="6C2705C1" w14:textId="747D0D26" w:rsidR="00F35ABA" w:rsidRDefault="00000000">
      <w:pPr>
        <w:spacing w:after="200" w:line="276" w:lineRule="auto"/>
        <w:ind w:left="720" w:hanging="720"/>
        <w:jc w:val="both"/>
        <w:rPr>
          <w:rFonts w:ascii="Times New Roman" w:hAnsi="Times New Roman" w:cs="Times New Roman"/>
        </w:rPr>
      </w:pPr>
      <w:r w:rsidRPr="005E4F7A">
        <w:rPr>
          <w:rFonts w:ascii="Times New Roman" w:hAnsi="Times New Roman" w:cs="Times New Roman"/>
        </w:rPr>
        <w:t xml:space="preserve">Rafiq, M. and Ahmed, P.K. (1995) 'Using the 7Ps as a generic marketing mix: an exploratory survey of UK and European marketing academics', </w:t>
      </w:r>
      <w:r w:rsidRPr="005E4F7A">
        <w:rPr>
          <w:rFonts w:ascii="Times New Roman" w:hAnsi="Times New Roman" w:cs="Times New Roman"/>
          <w:i/>
          <w:iCs/>
        </w:rPr>
        <w:t>Marketing Intelligence &amp; Planning</w:t>
      </w:r>
      <w:r w:rsidRPr="005E4F7A">
        <w:rPr>
          <w:rFonts w:ascii="Times New Roman" w:hAnsi="Times New Roman" w:cs="Times New Roman"/>
        </w:rPr>
        <w:t>, 13(9), pp.4–15.</w:t>
      </w:r>
    </w:p>
    <w:p w14:paraId="34482F40" w14:textId="77777777" w:rsidR="00E31066" w:rsidRDefault="00E31066">
      <w:pPr>
        <w:spacing w:after="200" w:line="276" w:lineRule="auto"/>
        <w:ind w:left="720" w:hanging="720"/>
        <w:jc w:val="both"/>
        <w:rPr>
          <w:rFonts w:ascii="Times New Roman" w:hAnsi="Times New Roman" w:cs="Times New Roman"/>
        </w:rPr>
      </w:pPr>
    </w:p>
    <w:p w14:paraId="2BA8A2B5" w14:textId="77777777" w:rsidR="00E31066" w:rsidRDefault="00E31066">
      <w:pPr>
        <w:spacing w:after="200" w:line="276" w:lineRule="auto"/>
        <w:ind w:left="720" w:hanging="720"/>
        <w:jc w:val="both"/>
        <w:rPr>
          <w:rFonts w:ascii="Times New Roman" w:hAnsi="Times New Roman" w:cs="Times New Roman"/>
        </w:rPr>
      </w:pPr>
    </w:p>
    <w:p w14:paraId="09646524" w14:textId="77777777" w:rsidR="00E31066" w:rsidRDefault="00E31066">
      <w:pPr>
        <w:spacing w:after="200" w:line="276" w:lineRule="auto"/>
        <w:ind w:left="720" w:hanging="720"/>
        <w:jc w:val="both"/>
        <w:rPr>
          <w:rFonts w:ascii="Times New Roman" w:hAnsi="Times New Roman" w:cs="Times New Roman"/>
        </w:rPr>
      </w:pPr>
    </w:p>
    <w:p w14:paraId="7941A2E9" w14:textId="77777777" w:rsidR="00E31066" w:rsidRDefault="00E31066">
      <w:pPr>
        <w:spacing w:after="200" w:line="276" w:lineRule="auto"/>
        <w:ind w:left="720" w:hanging="720"/>
        <w:jc w:val="both"/>
        <w:rPr>
          <w:rFonts w:ascii="Times New Roman" w:hAnsi="Times New Roman" w:cs="Times New Roman"/>
        </w:rPr>
      </w:pPr>
    </w:p>
    <w:p w14:paraId="1EA493E5" w14:textId="77777777" w:rsidR="00E31066" w:rsidRDefault="00E31066">
      <w:pPr>
        <w:spacing w:after="200" w:line="276" w:lineRule="auto"/>
        <w:ind w:left="720" w:hanging="720"/>
        <w:jc w:val="both"/>
        <w:rPr>
          <w:rFonts w:ascii="Times New Roman" w:hAnsi="Times New Roman" w:cs="Times New Roman"/>
        </w:rPr>
      </w:pPr>
    </w:p>
    <w:p w14:paraId="32047722" w14:textId="77777777" w:rsidR="00E31066" w:rsidRDefault="00E31066">
      <w:pPr>
        <w:spacing w:after="200" w:line="276" w:lineRule="auto"/>
        <w:ind w:left="720" w:hanging="720"/>
        <w:jc w:val="both"/>
        <w:rPr>
          <w:rFonts w:ascii="Times New Roman" w:hAnsi="Times New Roman" w:cs="Times New Roman"/>
        </w:rPr>
      </w:pPr>
    </w:p>
    <w:p w14:paraId="70949400" w14:textId="77777777" w:rsidR="00E31066" w:rsidRDefault="00E31066">
      <w:pPr>
        <w:spacing w:after="200" w:line="276" w:lineRule="auto"/>
        <w:ind w:left="720" w:hanging="720"/>
        <w:jc w:val="both"/>
        <w:rPr>
          <w:rFonts w:ascii="Times New Roman" w:hAnsi="Times New Roman" w:cs="Times New Roman"/>
        </w:rPr>
      </w:pPr>
    </w:p>
    <w:p w14:paraId="5F7D47D7" w14:textId="77777777" w:rsidR="00E31066" w:rsidRDefault="00E31066">
      <w:pPr>
        <w:spacing w:after="200" w:line="276" w:lineRule="auto"/>
        <w:ind w:left="720" w:hanging="720"/>
        <w:jc w:val="both"/>
        <w:rPr>
          <w:rFonts w:ascii="Times New Roman" w:hAnsi="Times New Roman" w:cs="Times New Roman"/>
        </w:rPr>
      </w:pPr>
    </w:p>
    <w:p w14:paraId="1FD7684C" w14:textId="77777777" w:rsidR="00E31066" w:rsidRDefault="00E31066">
      <w:pPr>
        <w:spacing w:after="200" w:line="276" w:lineRule="auto"/>
        <w:ind w:left="720" w:hanging="720"/>
        <w:jc w:val="both"/>
        <w:rPr>
          <w:rFonts w:ascii="Times New Roman" w:hAnsi="Times New Roman" w:cs="Times New Roman"/>
        </w:rPr>
      </w:pPr>
    </w:p>
    <w:p w14:paraId="28706627" w14:textId="77777777" w:rsidR="00E31066" w:rsidRDefault="00E31066">
      <w:pPr>
        <w:spacing w:after="200" w:line="276" w:lineRule="auto"/>
        <w:ind w:left="720" w:hanging="720"/>
        <w:jc w:val="both"/>
        <w:rPr>
          <w:rFonts w:ascii="Times New Roman" w:hAnsi="Times New Roman" w:cs="Times New Roman"/>
        </w:rPr>
      </w:pPr>
    </w:p>
    <w:p w14:paraId="0CA1009A" w14:textId="77777777" w:rsidR="00E31066" w:rsidRDefault="00E31066">
      <w:pPr>
        <w:spacing w:after="200" w:line="276" w:lineRule="auto"/>
        <w:ind w:left="720" w:hanging="720"/>
        <w:jc w:val="both"/>
        <w:rPr>
          <w:rFonts w:ascii="Times New Roman" w:hAnsi="Times New Roman" w:cs="Times New Roman"/>
        </w:rPr>
      </w:pPr>
    </w:p>
    <w:p w14:paraId="0D011811" w14:textId="77777777" w:rsidR="00E31066" w:rsidRDefault="00E31066">
      <w:pPr>
        <w:spacing w:after="200" w:line="276" w:lineRule="auto"/>
        <w:ind w:left="720" w:hanging="720"/>
        <w:jc w:val="both"/>
        <w:rPr>
          <w:rFonts w:ascii="Times New Roman" w:hAnsi="Times New Roman" w:cs="Times New Roman"/>
        </w:rPr>
      </w:pPr>
    </w:p>
    <w:p w14:paraId="201C0DA7" w14:textId="77777777" w:rsidR="00E31066" w:rsidRDefault="00E31066">
      <w:pPr>
        <w:spacing w:after="200" w:line="276" w:lineRule="auto"/>
        <w:ind w:left="720" w:hanging="720"/>
        <w:jc w:val="both"/>
        <w:rPr>
          <w:rFonts w:ascii="Times New Roman" w:hAnsi="Times New Roman" w:cs="Times New Roman"/>
        </w:rPr>
      </w:pPr>
    </w:p>
    <w:p w14:paraId="31891287" w14:textId="77777777" w:rsidR="00E31066" w:rsidRDefault="00E31066">
      <w:pPr>
        <w:spacing w:after="200" w:line="276" w:lineRule="auto"/>
        <w:ind w:left="720" w:hanging="720"/>
        <w:jc w:val="both"/>
        <w:rPr>
          <w:rFonts w:ascii="Times New Roman" w:hAnsi="Times New Roman" w:cs="Times New Roman"/>
        </w:rPr>
      </w:pPr>
    </w:p>
    <w:p w14:paraId="6087BEA4" w14:textId="77777777" w:rsidR="00E31066" w:rsidRDefault="00E31066">
      <w:pPr>
        <w:spacing w:after="200" w:line="276" w:lineRule="auto"/>
        <w:ind w:left="720" w:hanging="720"/>
        <w:jc w:val="both"/>
        <w:rPr>
          <w:rFonts w:ascii="Times New Roman" w:hAnsi="Times New Roman" w:cs="Times New Roman"/>
        </w:rPr>
      </w:pPr>
    </w:p>
    <w:p w14:paraId="4961A5AE" w14:textId="77777777" w:rsidR="00E31066" w:rsidRDefault="00E31066">
      <w:pPr>
        <w:spacing w:after="200" w:line="276" w:lineRule="auto"/>
        <w:ind w:left="720" w:hanging="720"/>
        <w:jc w:val="both"/>
        <w:rPr>
          <w:rFonts w:ascii="Times New Roman" w:hAnsi="Times New Roman" w:cs="Times New Roman"/>
        </w:rPr>
      </w:pPr>
    </w:p>
    <w:p w14:paraId="114F0E34" w14:textId="77777777" w:rsidR="00E31066" w:rsidRDefault="00E31066">
      <w:pPr>
        <w:spacing w:after="200" w:line="276" w:lineRule="auto"/>
        <w:ind w:left="720" w:hanging="720"/>
        <w:jc w:val="both"/>
        <w:rPr>
          <w:rFonts w:ascii="Times New Roman" w:hAnsi="Times New Roman" w:cs="Times New Roman"/>
        </w:rPr>
      </w:pPr>
    </w:p>
    <w:p w14:paraId="65F0060E" w14:textId="77777777" w:rsidR="00E31066" w:rsidRDefault="00E31066">
      <w:pPr>
        <w:spacing w:after="200" w:line="276" w:lineRule="auto"/>
        <w:ind w:left="720" w:hanging="720"/>
        <w:jc w:val="both"/>
        <w:rPr>
          <w:rFonts w:ascii="Times New Roman" w:hAnsi="Times New Roman" w:cs="Times New Roman"/>
        </w:rPr>
      </w:pPr>
    </w:p>
    <w:p w14:paraId="62FF0CA4" w14:textId="77777777" w:rsidR="00E31066" w:rsidRDefault="00E31066">
      <w:pPr>
        <w:spacing w:after="200" w:line="276" w:lineRule="auto"/>
        <w:ind w:left="720" w:hanging="720"/>
        <w:jc w:val="both"/>
        <w:rPr>
          <w:rFonts w:ascii="Times New Roman" w:hAnsi="Times New Roman" w:cs="Times New Roman"/>
        </w:rPr>
      </w:pPr>
    </w:p>
    <w:p w14:paraId="04C2A8B6" w14:textId="77777777" w:rsidR="00E31066" w:rsidRDefault="00E31066">
      <w:pPr>
        <w:spacing w:after="200" w:line="276" w:lineRule="auto"/>
        <w:ind w:left="720" w:hanging="720"/>
        <w:jc w:val="both"/>
        <w:rPr>
          <w:rFonts w:ascii="Times New Roman" w:hAnsi="Times New Roman" w:cs="Times New Roman"/>
        </w:rPr>
      </w:pPr>
    </w:p>
    <w:p w14:paraId="350C5868" w14:textId="77777777" w:rsidR="00E31066" w:rsidRDefault="00E31066">
      <w:pPr>
        <w:spacing w:after="200" w:line="276" w:lineRule="auto"/>
        <w:ind w:left="720" w:hanging="720"/>
        <w:jc w:val="both"/>
        <w:rPr>
          <w:rFonts w:ascii="Times New Roman" w:hAnsi="Times New Roman" w:cs="Times New Roman"/>
        </w:rPr>
      </w:pPr>
    </w:p>
    <w:p w14:paraId="15B671CD" w14:textId="77777777" w:rsidR="00E31066" w:rsidRDefault="00E31066">
      <w:pPr>
        <w:spacing w:after="200" w:line="276" w:lineRule="auto"/>
        <w:ind w:left="720" w:hanging="720"/>
        <w:jc w:val="both"/>
        <w:rPr>
          <w:rFonts w:ascii="Times New Roman" w:hAnsi="Times New Roman" w:cs="Times New Roman"/>
        </w:rPr>
      </w:pPr>
    </w:p>
    <w:p w14:paraId="7C8FA563" w14:textId="77777777" w:rsidR="00E31066" w:rsidRDefault="00E31066">
      <w:pPr>
        <w:spacing w:after="200" w:line="276" w:lineRule="auto"/>
        <w:ind w:left="720" w:hanging="720"/>
        <w:jc w:val="both"/>
        <w:rPr>
          <w:rFonts w:ascii="Times New Roman" w:hAnsi="Times New Roman" w:cs="Times New Roman"/>
        </w:rPr>
      </w:pPr>
    </w:p>
    <w:p w14:paraId="0C5F396C" w14:textId="77777777" w:rsidR="00E31066" w:rsidRDefault="00E31066">
      <w:pPr>
        <w:spacing w:after="200" w:line="276" w:lineRule="auto"/>
        <w:ind w:left="720" w:hanging="720"/>
        <w:jc w:val="both"/>
        <w:rPr>
          <w:rFonts w:ascii="Times New Roman" w:hAnsi="Times New Roman" w:cs="Times New Roman"/>
        </w:rPr>
      </w:pPr>
    </w:p>
    <w:p w14:paraId="47B4E22E" w14:textId="77777777" w:rsidR="00E31066" w:rsidRDefault="00E31066">
      <w:pPr>
        <w:spacing w:after="200" w:line="276" w:lineRule="auto"/>
        <w:ind w:left="720" w:hanging="720"/>
        <w:jc w:val="both"/>
        <w:rPr>
          <w:rFonts w:ascii="Times New Roman" w:hAnsi="Times New Roman" w:cs="Times New Roman"/>
        </w:rPr>
      </w:pPr>
    </w:p>
    <w:p w14:paraId="54111A06" w14:textId="77777777" w:rsidR="00E31066" w:rsidRDefault="00E31066">
      <w:pPr>
        <w:spacing w:after="200" w:line="276" w:lineRule="auto"/>
        <w:ind w:left="720" w:hanging="720"/>
        <w:jc w:val="both"/>
        <w:rPr>
          <w:rFonts w:ascii="Times New Roman" w:hAnsi="Times New Roman" w:cs="Times New Roman"/>
        </w:rPr>
      </w:pPr>
    </w:p>
    <w:p w14:paraId="045F0219" w14:textId="77777777" w:rsidR="00E31066" w:rsidRDefault="00E31066">
      <w:pPr>
        <w:spacing w:after="200" w:line="276" w:lineRule="auto"/>
        <w:ind w:left="720" w:hanging="720"/>
        <w:jc w:val="both"/>
        <w:rPr>
          <w:rFonts w:ascii="Times New Roman" w:hAnsi="Times New Roman" w:cs="Times New Roman"/>
        </w:rPr>
      </w:pPr>
    </w:p>
    <w:p w14:paraId="730BB0C1" w14:textId="77777777" w:rsidR="00E31066" w:rsidRDefault="00E31066">
      <w:pPr>
        <w:spacing w:after="200" w:line="276" w:lineRule="auto"/>
        <w:ind w:left="720" w:hanging="720"/>
        <w:jc w:val="both"/>
        <w:rPr>
          <w:rFonts w:ascii="Times New Roman" w:hAnsi="Times New Roman" w:cs="Times New Roman"/>
        </w:rPr>
      </w:pPr>
    </w:p>
    <w:p w14:paraId="7745237F" w14:textId="77777777" w:rsidR="00E31066" w:rsidRDefault="00E31066">
      <w:pPr>
        <w:spacing w:after="200" w:line="276" w:lineRule="auto"/>
        <w:ind w:left="720" w:hanging="720"/>
        <w:jc w:val="both"/>
        <w:rPr>
          <w:rFonts w:ascii="Times New Roman" w:hAnsi="Times New Roman" w:cs="Times New Roman"/>
        </w:rPr>
      </w:pPr>
    </w:p>
    <w:p w14:paraId="04A4976D" w14:textId="77777777" w:rsidR="00E31066" w:rsidRDefault="00E31066">
      <w:pPr>
        <w:spacing w:after="200" w:line="276" w:lineRule="auto"/>
        <w:ind w:left="720" w:hanging="720"/>
        <w:jc w:val="both"/>
        <w:rPr>
          <w:rFonts w:ascii="Times New Roman" w:hAnsi="Times New Roman" w:cs="Times New Roman"/>
        </w:rPr>
      </w:pPr>
    </w:p>
    <w:p w14:paraId="17598B0C" w14:textId="77777777" w:rsidR="00E31066" w:rsidRDefault="00E31066">
      <w:pPr>
        <w:spacing w:after="200" w:line="276" w:lineRule="auto"/>
        <w:ind w:left="720" w:hanging="720"/>
        <w:jc w:val="both"/>
        <w:rPr>
          <w:rFonts w:ascii="Times New Roman" w:hAnsi="Times New Roman" w:cs="Times New Roman"/>
        </w:rPr>
      </w:pPr>
    </w:p>
    <w:p w14:paraId="40A1D697" w14:textId="77777777" w:rsidR="00E31066" w:rsidRPr="005E4F7A" w:rsidRDefault="00E31066">
      <w:pPr>
        <w:spacing w:after="200" w:line="276" w:lineRule="auto"/>
        <w:ind w:left="720" w:hanging="720"/>
        <w:jc w:val="both"/>
        <w:rPr>
          <w:rFonts w:ascii="Times New Roman" w:hAnsi="Times New Roman" w:cs="Times New Roman"/>
        </w:rPr>
      </w:pPr>
    </w:p>
    <w:sectPr w:rsidR="00E31066" w:rsidRPr="005E4F7A">
      <w:headerReference w:type="default" r:id="rId10"/>
      <w:footerReference w:type="default" r:id="rId11"/>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962272" w14:textId="77777777" w:rsidR="007D6223" w:rsidRDefault="007D6223">
      <w:r>
        <w:separator/>
      </w:r>
    </w:p>
  </w:endnote>
  <w:endnote w:type="continuationSeparator" w:id="0">
    <w:p w14:paraId="631DA349" w14:textId="77777777" w:rsidR="007D6223" w:rsidRDefault="007D62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3A9AE" w14:textId="2C286483" w:rsidR="00F35ABA" w:rsidRDefault="00F35ABA">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7E5AF" w14:textId="77777777" w:rsidR="007D6223" w:rsidRDefault="007D6223">
      <w:r>
        <w:separator/>
      </w:r>
    </w:p>
  </w:footnote>
  <w:footnote w:type="continuationSeparator" w:id="0">
    <w:p w14:paraId="4399BC19" w14:textId="77777777" w:rsidR="007D6223" w:rsidRDefault="007D62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2ADCE1" w14:textId="6C094BDD" w:rsidR="00F35ABA" w:rsidRDefault="00F35ABA">
    <w:pPr>
      <w:pBdr>
        <w:bottom w:val="single" w:sz="4" w:space="4" w:color="999999"/>
      </w:pBd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E86E0D"/>
    <w:multiLevelType w:val="hybridMultilevel"/>
    <w:tmpl w:val="59DEEF30"/>
    <w:lvl w:ilvl="0" w:tplc="9AF05BD4">
      <w:start w:val="1"/>
      <w:numFmt w:val="bullet"/>
      <w:lvlText w:val="●"/>
      <w:lvlJc w:val="left"/>
      <w:pPr>
        <w:ind w:left="720" w:hanging="360"/>
      </w:pPr>
    </w:lvl>
    <w:lvl w:ilvl="1" w:tplc="35D45A2C">
      <w:start w:val="1"/>
      <w:numFmt w:val="bullet"/>
      <w:lvlText w:val="○"/>
      <w:lvlJc w:val="left"/>
      <w:pPr>
        <w:ind w:left="1440" w:hanging="360"/>
      </w:pPr>
    </w:lvl>
    <w:lvl w:ilvl="2" w:tplc="D5D84490">
      <w:start w:val="1"/>
      <w:numFmt w:val="bullet"/>
      <w:lvlText w:val="■"/>
      <w:lvlJc w:val="left"/>
      <w:pPr>
        <w:ind w:left="2160" w:hanging="360"/>
      </w:pPr>
    </w:lvl>
    <w:lvl w:ilvl="3" w:tplc="A1B8A828">
      <w:start w:val="1"/>
      <w:numFmt w:val="bullet"/>
      <w:lvlText w:val="●"/>
      <w:lvlJc w:val="left"/>
      <w:pPr>
        <w:ind w:left="2880" w:hanging="360"/>
      </w:pPr>
    </w:lvl>
    <w:lvl w:ilvl="4" w:tplc="935E16F2">
      <w:start w:val="1"/>
      <w:numFmt w:val="bullet"/>
      <w:lvlText w:val="○"/>
      <w:lvlJc w:val="left"/>
      <w:pPr>
        <w:ind w:left="3600" w:hanging="360"/>
      </w:pPr>
    </w:lvl>
    <w:lvl w:ilvl="5" w:tplc="A796A7A6">
      <w:start w:val="1"/>
      <w:numFmt w:val="bullet"/>
      <w:lvlText w:val="■"/>
      <w:lvlJc w:val="left"/>
      <w:pPr>
        <w:ind w:left="4320" w:hanging="360"/>
      </w:pPr>
    </w:lvl>
    <w:lvl w:ilvl="6" w:tplc="26666BF6">
      <w:start w:val="1"/>
      <w:numFmt w:val="bullet"/>
      <w:lvlText w:val="●"/>
      <w:lvlJc w:val="left"/>
      <w:pPr>
        <w:ind w:left="5040" w:hanging="360"/>
      </w:pPr>
    </w:lvl>
    <w:lvl w:ilvl="7" w:tplc="2A58FEDA">
      <w:start w:val="1"/>
      <w:numFmt w:val="bullet"/>
      <w:lvlText w:val="●"/>
      <w:lvlJc w:val="left"/>
      <w:pPr>
        <w:ind w:left="5760" w:hanging="360"/>
      </w:pPr>
    </w:lvl>
    <w:lvl w:ilvl="8" w:tplc="B49C570E">
      <w:start w:val="1"/>
      <w:numFmt w:val="bullet"/>
      <w:lvlText w:val="●"/>
      <w:lvlJc w:val="left"/>
      <w:pPr>
        <w:ind w:left="6480" w:hanging="360"/>
      </w:pPr>
    </w:lvl>
  </w:abstractNum>
  <w:num w:numId="1" w16cid:durableId="103542621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5ABA"/>
    <w:rsid w:val="0013652F"/>
    <w:rsid w:val="00160406"/>
    <w:rsid w:val="00326BC0"/>
    <w:rsid w:val="00345093"/>
    <w:rsid w:val="00387FBE"/>
    <w:rsid w:val="0055429E"/>
    <w:rsid w:val="005E4F7A"/>
    <w:rsid w:val="007D6223"/>
    <w:rsid w:val="00854C0B"/>
    <w:rsid w:val="00A24715"/>
    <w:rsid w:val="00AC6A73"/>
    <w:rsid w:val="00B053F1"/>
    <w:rsid w:val="00C121E7"/>
    <w:rsid w:val="00E31066"/>
    <w:rsid w:val="00F35A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D4804"/>
  <w15:docId w15:val="{F0270352-D8C3-4343-B8E2-26330DA84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aramond" w:eastAsia="Garamond" w:hAnsi="Garamond" w:cs="Garamond"/>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b/>
      <w:bCs/>
      <w:color w:val="1F3864"/>
      <w:sz w:val="32"/>
      <w:szCs w:val="32"/>
    </w:rPr>
  </w:style>
  <w:style w:type="paragraph" w:styleId="Heading2">
    <w:name w:val="heading 2"/>
    <w:uiPriority w:val="9"/>
    <w:unhideWhenUsed/>
    <w:qFormat/>
    <w:pPr>
      <w:spacing w:before="300" w:after="150"/>
      <w:outlineLvl w:val="1"/>
    </w:pPr>
    <w:rPr>
      <w:b/>
      <w:bCs/>
      <w:color w:val="2E539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326BC0"/>
    <w:pPr>
      <w:tabs>
        <w:tab w:val="center" w:pos="4513"/>
        <w:tab w:val="right" w:pos="9026"/>
      </w:tabs>
    </w:pPr>
  </w:style>
  <w:style w:type="character" w:customStyle="1" w:styleId="HeaderChar">
    <w:name w:val="Header Char"/>
    <w:basedOn w:val="DefaultParagraphFont"/>
    <w:link w:val="Header"/>
    <w:uiPriority w:val="99"/>
    <w:rsid w:val="00326BC0"/>
  </w:style>
  <w:style w:type="paragraph" w:styleId="Footer">
    <w:name w:val="footer"/>
    <w:basedOn w:val="Normal"/>
    <w:link w:val="FooterChar"/>
    <w:uiPriority w:val="99"/>
    <w:unhideWhenUsed/>
    <w:rsid w:val="00326BC0"/>
    <w:pPr>
      <w:tabs>
        <w:tab w:val="center" w:pos="4513"/>
        <w:tab w:val="right" w:pos="9026"/>
      </w:tabs>
    </w:pPr>
  </w:style>
  <w:style w:type="character" w:customStyle="1" w:styleId="FooterChar">
    <w:name w:val="Footer Char"/>
    <w:basedOn w:val="DefaultParagraphFont"/>
    <w:link w:val="Footer"/>
    <w:uiPriority w:val="99"/>
    <w:rsid w:val="00326B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10</Pages>
  <Words>2801</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Adeem KHAN</cp:lastModifiedBy>
  <cp:revision>7</cp:revision>
  <dcterms:created xsi:type="dcterms:W3CDTF">2026-07-23T08:59:00Z</dcterms:created>
  <dcterms:modified xsi:type="dcterms:W3CDTF">2026-08-11T08:44:00Z</dcterms:modified>
</cp:coreProperties>
</file>