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4EBE4" w14:textId="77777777" w:rsidR="001601E9" w:rsidRDefault="001601E9" w:rsidP="00815501">
      <w:pPr>
        <w:spacing w:before="100" w:beforeAutospacing="1" w:after="100" w:afterAutospacing="1" w:line="240" w:lineRule="auto"/>
        <w:rPr>
          <w:rFonts w:ascii="Times New Roman" w:eastAsia="Times New Roman" w:hAnsi="Times New Roman" w:cs="Times New Roman"/>
          <w:b/>
          <w:bCs/>
          <w:kern w:val="0"/>
          <w:sz w:val="36"/>
          <w:szCs w:val="36"/>
          <w14:ligatures w14:val="none"/>
        </w:rPr>
      </w:pPr>
    </w:p>
    <w:p w14:paraId="081AED57" w14:textId="77777777" w:rsidR="001601E9" w:rsidRDefault="001601E9" w:rsidP="00815501">
      <w:pPr>
        <w:spacing w:before="100" w:beforeAutospacing="1" w:after="100" w:afterAutospacing="1" w:line="240" w:lineRule="auto"/>
        <w:rPr>
          <w:rFonts w:ascii="Times New Roman" w:eastAsia="Times New Roman" w:hAnsi="Times New Roman" w:cs="Times New Roman"/>
          <w:b/>
          <w:bCs/>
          <w:kern w:val="0"/>
          <w:sz w:val="36"/>
          <w:szCs w:val="36"/>
          <w14:ligatures w14:val="none"/>
        </w:rPr>
      </w:pPr>
    </w:p>
    <w:p w14:paraId="5621BA79" w14:textId="77777777" w:rsidR="001601E9" w:rsidRDefault="001601E9" w:rsidP="00815501">
      <w:pPr>
        <w:spacing w:before="100" w:beforeAutospacing="1" w:after="100" w:afterAutospacing="1" w:line="240" w:lineRule="auto"/>
        <w:rPr>
          <w:rFonts w:ascii="Times New Roman" w:eastAsia="Times New Roman" w:hAnsi="Times New Roman" w:cs="Times New Roman"/>
          <w:b/>
          <w:bCs/>
          <w:kern w:val="0"/>
          <w:sz w:val="36"/>
          <w:szCs w:val="36"/>
          <w14:ligatures w14:val="none"/>
        </w:rPr>
      </w:pPr>
    </w:p>
    <w:p w14:paraId="5D1F49E6" w14:textId="77777777" w:rsidR="001601E9" w:rsidRDefault="001601E9" w:rsidP="00815501">
      <w:pPr>
        <w:spacing w:before="100" w:beforeAutospacing="1" w:after="100" w:afterAutospacing="1" w:line="240" w:lineRule="auto"/>
        <w:rPr>
          <w:rFonts w:ascii="Times New Roman" w:eastAsia="Times New Roman" w:hAnsi="Times New Roman" w:cs="Times New Roman"/>
          <w:b/>
          <w:bCs/>
          <w:kern w:val="0"/>
          <w:sz w:val="36"/>
          <w:szCs w:val="36"/>
          <w14:ligatures w14:val="none"/>
        </w:rPr>
      </w:pPr>
    </w:p>
    <w:p w14:paraId="30881E31" w14:textId="77777777" w:rsidR="001601E9" w:rsidRDefault="001601E9" w:rsidP="00815501">
      <w:pPr>
        <w:spacing w:before="100" w:beforeAutospacing="1" w:after="100" w:afterAutospacing="1" w:line="240" w:lineRule="auto"/>
        <w:rPr>
          <w:rFonts w:ascii="Times New Roman" w:eastAsia="Times New Roman" w:hAnsi="Times New Roman" w:cs="Times New Roman"/>
          <w:b/>
          <w:bCs/>
          <w:kern w:val="0"/>
          <w:sz w:val="36"/>
          <w:szCs w:val="36"/>
          <w14:ligatures w14:val="none"/>
        </w:rPr>
      </w:pPr>
    </w:p>
    <w:p w14:paraId="675A3334" w14:textId="77777777" w:rsidR="001601E9" w:rsidRDefault="001601E9" w:rsidP="00815501">
      <w:pPr>
        <w:spacing w:before="100" w:beforeAutospacing="1" w:after="100" w:afterAutospacing="1" w:line="240" w:lineRule="auto"/>
        <w:rPr>
          <w:rFonts w:ascii="Times New Roman" w:eastAsia="Times New Roman" w:hAnsi="Times New Roman" w:cs="Times New Roman"/>
          <w:b/>
          <w:bCs/>
          <w:kern w:val="0"/>
          <w:sz w:val="36"/>
          <w:szCs w:val="36"/>
          <w14:ligatures w14:val="none"/>
        </w:rPr>
      </w:pPr>
    </w:p>
    <w:p w14:paraId="4E4561EA" w14:textId="77777777" w:rsidR="001601E9" w:rsidRDefault="001601E9" w:rsidP="00815501">
      <w:pPr>
        <w:spacing w:before="100" w:beforeAutospacing="1" w:after="100" w:afterAutospacing="1" w:line="240" w:lineRule="auto"/>
        <w:rPr>
          <w:rFonts w:ascii="Times New Roman" w:eastAsia="Times New Roman" w:hAnsi="Times New Roman" w:cs="Times New Roman"/>
          <w:b/>
          <w:bCs/>
          <w:kern w:val="0"/>
          <w:sz w:val="36"/>
          <w:szCs w:val="36"/>
          <w14:ligatures w14:val="none"/>
        </w:rPr>
      </w:pPr>
    </w:p>
    <w:p w14:paraId="755E91B8" w14:textId="12476347" w:rsidR="001209DB" w:rsidRPr="00BD3D51" w:rsidRDefault="001209DB" w:rsidP="00FD6B85">
      <w:pPr>
        <w:spacing w:before="100" w:beforeAutospacing="1" w:after="100" w:afterAutospacing="1" w:line="240" w:lineRule="auto"/>
        <w:outlineLvl w:val="1"/>
        <w:rPr>
          <w:rFonts w:ascii="Times New Roman" w:eastAsia="Times New Roman" w:hAnsi="Times New Roman" w:cs="Times New Roman"/>
          <w:b/>
          <w:bCs/>
          <w:kern w:val="0"/>
          <w:sz w:val="22"/>
          <w:szCs w:val="22"/>
          <w14:ligatures w14:val="none"/>
        </w:rPr>
      </w:pPr>
    </w:p>
    <w:p w14:paraId="7B40DD9C" w14:textId="77777777" w:rsidR="00BD3D51" w:rsidRDefault="00BD3D51" w:rsidP="00FD6B85">
      <w:pPr>
        <w:spacing w:before="100" w:beforeAutospacing="1" w:after="100" w:afterAutospacing="1" w:line="240" w:lineRule="auto"/>
        <w:outlineLvl w:val="1"/>
        <w:rPr>
          <w:rFonts w:ascii="Times New Roman" w:eastAsia="Times New Roman" w:hAnsi="Times New Roman" w:cs="Times New Roman"/>
          <w:b/>
          <w:bCs/>
          <w:kern w:val="0"/>
          <w:sz w:val="22"/>
          <w:szCs w:val="22"/>
          <w14:ligatures w14:val="none"/>
        </w:rPr>
      </w:pPr>
    </w:p>
    <w:p w14:paraId="589B08F5" w14:textId="77777777" w:rsidR="00B0387F" w:rsidRDefault="00B0387F" w:rsidP="00FD6B85">
      <w:pPr>
        <w:spacing w:before="100" w:beforeAutospacing="1" w:after="100" w:afterAutospacing="1" w:line="240" w:lineRule="auto"/>
        <w:outlineLvl w:val="1"/>
        <w:rPr>
          <w:rFonts w:ascii="Times New Roman" w:eastAsia="Times New Roman" w:hAnsi="Times New Roman" w:cs="Times New Roman"/>
          <w:b/>
          <w:bCs/>
          <w:kern w:val="0"/>
          <w:sz w:val="22"/>
          <w:szCs w:val="22"/>
          <w14:ligatures w14:val="none"/>
        </w:rPr>
      </w:pPr>
    </w:p>
    <w:p w14:paraId="5618C92D" w14:textId="77777777" w:rsidR="00B0387F" w:rsidRDefault="00B0387F" w:rsidP="00FD6B85">
      <w:pPr>
        <w:spacing w:before="100" w:beforeAutospacing="1" w:after="100" w:afterAutospacing="1" w:line="240" w:lineRule="auto"/>
        <w:outlineLvl w:val="1"/>
        <w:rPr>
          <w:rFonts w:ascii="Times New Roman" w:eastAsia="Times New Roman" w:hAnsi="Times New Roman" w:cs="Times New Roman"/>
          <w:b/>
          <w:bCs/>
          <w:kern w:val="0"/>
          <w:sz w:val="22"/>
          <w:szCs w:val="22"/>
          <w14:ligatures w14:val="none"/>
        </w:rPr>
      </w:pPr>
    </w:p>
    <w:p w14:paraId="2B41BD84" w14:textId="77777777" w:rsidR="001209DB" w:rsidRPr="00A65986" w:rsidRDefault="001209DB" w:rsidP="00FD6B85">
      <w:pPr>
        <w:spacing w:before="100" w:beforeAutospacing="1" w:after="100" w:afterAutospacing="1" w:line="240" w:lineRule="auto"/>
        <w:outlineLvl w:val="1"/>
        <w:rPr>
          <w:rFonts w:ascii="Times New Roman" w:eastAsia="Times New Roman" w:hAnsi="Times New Roman" w:cs="Times New Roman"/>
          <w:b/>
          <w:bCs/>
          <w:kern w:val="0"/>
          <w:sz w:val="22"/>
          <w:szCs w:val="22"/>
          <w14:ligatures w14:val="none"/>
        </w:rPr>
      </w:pPr>
    </w:p>
    <w:p w14:paraId="480929A4" w14:textId="0C836735" w:rsidR="001209DB" w:rsidRPr="00A65986" w:rsidRDefault="001209DB" w:rsidP="00FD6B85">
      <w:pPr>
        <w:spacing w:before="100" w:beforeAutospacing="1" w:after="100" w:afterAutospacing="1" w:line="240" w:lineRule="auto"/>
        <w:outlineLvl w:val="1"/>
        <w:rPr>
          <w:rFonts w:ascii="Times New Roman" w:eastAsia="Times New Roman" w:hAnsi="Times New Roman" w:cs="Times New Roman"/>
          <w:b/>
          <w:bCs/>
          <w:kern w:val="0"/>
          <w:sz w:val="22"/>
          <w:szCs w:val="22"/>
          <w14:ligatures w14:val="none"/>
        </w:rPr>
      </w:pPr>
    </w:p>
    <w:p w14:paraId="43B2DC69" w14:textId="77777777" w:rsidR="00F12A75" w:rsidRDefault="00F12A75" w:rsidP="00545DC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92062A6" w14:textId="77777777" w:rsidR="00F12A75" w:rsidRDefault="00F12A75" w:rsidP="00545DC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5C0FEDA" w14:textId="77777777" w:rsidR="001209DB" w:rsidRDefault="001209DB" w:rsidP="00545DC9">
      <w:pPr>
        <w:spacing w:before="100" w:beforeAutospacing="1" w:after="100" w:afterAutospacing="1" w:line="240" w:lineRule="auto"/>
        <w:outlineLvl w:val="1"/>
        <w:rPr>
          <w:rFonts w:ascii="Times New Roman" w:eastAsia="Times New Roman" w:hAnsi="Times New Roman" w:cs="Times New Roman"/>
          <w:b/>
          <w:bCs/>
          <w:kern w:val="0"/>
          <w:sz w:val="22"/>
          <w:szCs w:val="22"/>
          <w14:ligatures w14:val="none"/>
        </w:rPr>
      </w:pPr>
    </w:p>
    <w:p w14:paraId="325514FA" w14:textId="05129A95" w:rsidR="001209DB" w:rsidRDefault="00852278" w:rsidP="00545DC9">
      <w:pPr>
        <w:spacing w:before="100" w:beforeAutospacing="1" w:after="100" w:afterAutospacing="1" w:line="240" w:lineRule="auto"/>
        <w:outlineLvl w:val="1"/>
        <w:rPr>
          <w:rFonts w:ascii="Times New Roman" w:eastAsia="Times New Roman" w:hAnsi="Times New Roman" w:cs="Times New Roman"/>
          <w:b/>
          <w:bCs/>
          <w:kern w:val="0"/>
          <w:sz w:val="22"/>
          <w:szCs w:val="22"/>
          <w14:ligatures w14:val="none"/>
        </w:rPr>
      </w:pPr>
      <w:r w:rsidRPr="00A65986">
        <w:rPr>
          <w:rFonts w:ascii="Times New Roman" w:eastAsia="Times New Roman" w:hAnsi="Times New Roman" w:cs="Times New Roman"/>
          <w:b/>
          <w:bCs/>
          <w:kern w:val="0"/>
          <w:sz w:val="22"/>
          <w:szCs w:val="22"/>
          <w14:ligatures w14:val="none"/>
        </w:rPr>
        <w:t xml:space="preserve">Student name: </w:t>
      </w:r>
      <w:proofErr w:type="spellStart"/>
      <w:r w:rsidRPr="00A65986">
        <w:rPr>
          <w:rFonts w:ascii="Times New Roman" w:eastAsia="Times New Roman" w:hAnsi="Times New Roman" w:cs="Times New Roman"/>
          <w:b/>
          <w:bCs/>
          <w:kern w:val="0"/>
          <w:sz w:val="22"/>
          <w:szCs w:val="22"/>
          <w14:ligatures w14:val="none"/>
        </w:rPr>
        <w:t>Damilola</w:t>
      </w:r>
      <w:proofErr w:type="spellEnd"/>
      <w:r w:rsidRPr="00A65986">
        <w:rPr>
          <w:rFonts w:ascii="Times New Roman" w:eastAsia="Times New Roman" w:hAnsi="Times New Roman" w:cs="Times New Roman"/>
          <w:b/>
          <w:bCs/>
          <w:kern w:val="0"/>
          <w:sz w:val="22"/>
          <w:szCs w:val="22"/>
          <w14:ligatures w14:val="none"/>
        </w:rPr>
        <w:t xml:space="preserve"> </w:t>
      </w:r>
      <w:proofErr w:type="spellStart"/>
      <w:r w:rsidRPr="00A65986">
        <w:rPr>
          <w:rFonts w:ascii="Times New Roman" w:eastAsia="Times New Roman" w:hAnsi="Times New Roman" w:cs="Times New Roman"/>
          <w:b/>
          <w:bCs/>
          <w:kern w:val="0"/>
          <w:sz w:val="22"/>
          <w:szCs w:val="22"/>
          <w14:ligatures w14:val="none"/>
        </w:rPr>
        <w:t>Oladele</w:t>
      </w:r>
      <w:proofErr w:type="spellEnd"/>
      <w:r w:rsidRPr="00A65986">
        <w:rPr>
          <w:rFonts w:ascii="Times New Roman" w:eastAsia="Times New Roman" w:hAnsi="Times New Roman" w:cs="Times New Roman"/>
          <w:b/>
          <w:bCs/>
          <w:kern w:val="0"/>
          <w:sz w:val="22"/>
          <w:szCs w:val="22"/>
          <w14:ligatures w14:val="none"/>
        </w:rPr>
        <w:t xml:space="preserve"> </w:t>
      </w:r>
    </w:p>
    <w:p w14:paraId="764101B6" w14:textId="48BDBEFF" w:rsidR="00852278" w:rsidRPr="00A65986" w:rsidRDefault="00852278" w:rsidP="00545DC9">
      <w:pPr>
        <w:spacing w:before="100" w:beforeAutospacing="1" w:after="100" w:afterAutospacing="1" w:line="240" w:lineRule="auto"/>
        <w:outlineLvl w:val="1"/>
        <w:rPr>
          <w:rFonts w:ascii="Times New Roman" w:eastAsia="Times New Roman" w:hAnsi="Times New Roman" w:cs="Times New Roman"/>
          <w:b/>
          <w:bCs/>
          <w:kern w:val="0"/>
          <w:sz w:val="22"/>
          <w:szCs w:val="22"/>
          <w14:ligatures w14:val="none"/>
        </w:rPr>
      </w:pPr>
      <w:r w:rsidRPr="00A65986">
        <w:rPr>
          <w:rFonts w:ascii="Times New Roman" w:eastAsia="Times New Roman" w:hAnsi="Times New Roman" w:cs="Times New Roman"/>
          <w:b/>
          <w:bCs/>
          <w:kern w:val="0"/>
          <w:sz w:val="22"/>
          <w:szCs w:val="22"/>
          <w14:ligatures w14:val="none"/>
        </w:rPr>
        <w:t>Course code</w:t>
      </w:r>
      <w:r w:rsidR="00BC7517" w:rsidRPr="00A65986">
        <w:rPr>
          <w:rFonts w:ascii="Times New Roman" w:eastAsia="Times New Roman" w:hAnsi="Times New Roman" w:cs="Times New Roman"/>
          <w:b/>
          <w:bCs/>
          <w:kern w:val="0"/>
          <w:sz w:val="22"/>
          <w:szCs w:val="22"/>
          <w14:ligatures w14:val="none"/>
        </w:rPr>
        <w:t>:</w:t>
      </w:r>
      <w:r w:rsidR="00AA54CF" w:rsidRPr="00A65986">
        <w:rPr>
          <w:rFonts w:ascii="Times New Roman" w:eastAsia="Times New Roman" w:hAnsi="Times New Roman" w:cs="Times New Roman"/>
          <w:b/>
          <w:bCs/>
          <w:kern w:val="0"/>
          <w:sz w:val="22"/>
          <w:szCs w:val="22"/>
          <w14:ligatures w14:val="none"/>
        </w:rPr>
        <w:t>(LCHS</w:t>
      </w:r>
      <w:r w:rsidR="00D17E49" w:rsidRPr="00A65986">
        <w:rPr>
          <w:rFonts w:ascii="Times New Roman" w:eastAsia="Times New Roman" w:hAnsi="Times New Roman" w:cs="Times New Roman"/>
          <w:b/>
          <w:bCs/>
          <w:kern w:val="0"/>
          <w:sz w:val="22"/>
          <w:szCs w:val="22"/>
          <w14:ligatures w14:val="none"/>
        </w:rPr>
        <w:t>4008-LON)</w:t>
      </w:r>
    </w:p>
    <w:p w14:paraId="3AC1DFBC" w14:textId="6E9CFE97" w:rsidR="00852278" w:rsidRPr="00A65986" w:rsidRDefault="00852278" w:rsidP="00545DC9">
      <w:pPr>
        <w:spacing w:before="100" w:beforeAutospacing="1" w:after="100" w:afterAutospacing="1" w:line="240" w:lineRule="auto"/>
        <w:outlineLvl w:val="1"/>
        <w:rPr>
          <w:rFonts w:ascii="Times New Roman" w:eastAsia="Times New Roman" w:hAnsi="Times New Roman" w:cs="Times New Roman"/>
          <w:b/>
          <w:bCs/>
          <w:kern w:val="0"/>
          <w:sz w:val="22"/>
          <w:szCs w:val="22"/>
          <w14:ligatures w14:val="none"/>
        </w:rPr>
      </w:pPr>
      <w:r w:rsidRPr="00A65986">
        <w:rPr>
          <w:rFonts w:ascii="Times New Roman" w:eastAsia="Times New Roman" w:hAnsi="Times New Roman" w:cs="Times New Roman"/>
          <w:b/>
          <w:bCs/>
          <w:kern w:val="0"/>
          <w:sz w:val="22"/>
          <w:szCs w:val="22"/>
          <w14:ligatures w14:val="none"/>
        </w:rPr>
        <w:t xml:space="preserve">Course </w:t>
      </w:r>
      <w:r w:rsidR="00AA69DD" w:rsidRPr="00A65986">
        <w:rPr>
          <w:rFonts w:ascii="Times New Roman" w:eastAsia="Times New Roman" w:hAnsi="Times New Roman" w:cs="Times New Roman"/>
          <w:b/>
          <w:bCs/>
          <w:kern w:val="0"/>
          <w:sz w:val="22"/>
          <w:szCs w:val="22"/>
          <w14:ligatures w14:val="none"/>
        </w:rPr>
        <w:t>name: Introduction</w:t>
      </w:r>
      <w:r w:rsidR="00D17E49" w:rsidRPr="00A65986">
        <w:rPr>
          <w:rFonts w:ascii="Times New Roman" w:eastAsia="Times New Roman" w:hAnsi="Times New Roman" w:cs="Times New Roman"/>
          <w:b/>
          <w:bCs/>
          <w:kern w:val="0"/>
          <w:sz w:val="22"/>
          <w:szCs w:val="22"/>
          <w14:ligatures w14:val="none"/>
        </w:rPr>
        <w:t xml:space="preserve"> to</w:t>
      </w:r>
      <w:r w:rsidR="00AA69DD" w:rsidRPr="00A65986">
        <w:rPr>
          <w:rFonts w:ascii="Times New Roman" w:eastAsia="Times New Roman" w:hAnsi="Times New Roman" w:cs="Times New Roman"/>
          <w:b/>
          <w:bCs/>
          <w:kern w:val="0"/>
          <w:sz w:val="22"/>
          <w:szCs w:val="22"/>
          <w14:ligatures w14:val="none"/>
        </w:rPr>
        <w:t xml:space="preserve"> </w:t>
      </w:r>
      <w:r w:rsidR="002C7A68">
        <w:rPr>
          <w:rFonts w:ascii="Times New Roman" w:eastAsia="Times New Roman" w:hAnsi="Times New Roman" w:cs="Times New Roman"/>
          <w:b/>
          <w:bCs/>
          <w:kern w:val="0"/>
          <w:sz w:val="22"/>
          <w:szCs w:val="22"/>
          <w14:ligatures w14:val="none"/>
        </w:rPr>
        <w:t>Public</w:t>
      </w:r>
      <w:r w:rsidR="00AA69DD" w:rsidRPr="00A65986">
        <w:rPr>
          <w:rFonts w:ascii="Times New Roman" w:eastAsia="Times New Roman" w:hAnsi="Times New Roman" w:cs="Times New Roman"/>
          <w:b/>
          <w:bCs/>
          <w:kern w:val="0"/>
          <w:sz w:val="22"/>
          <w:szCs w:val="22"/>
          <w14:ligatures w14:val="none"/>
        </w:rPr>
        <w:t xml:space="preserve"> Health</w:t>
      </w:r>
    </w:p>
    <w:p w14:paraId="3498E8C0" w14:textId="667AFC77" w:rsidR="00852278" w:rsidRDefault="00852278" w:rsidP="00545DC9">
      <w:pPr>
        <w:spacing w:before="100" w:beforeAutospacing="1" w:after="100" w:afterAutospacing="1" w:line="240" w:lineRule="auto"/>
        <w:outlineLvl w:val="1"/>
        <w:rPr>
          <w:rFonts w:ascii="Times New Roman" w:eastAsia="Times New Roman" w:hAnsi="Times New Roman" w:cs="Times New Roman"/>
          <w:b/>
          <w:bCs/>
          <w:kern w:val="0"/>
          <w:sz w:val="22"/>
          <w:szCs w:val="22"/>
          <w14:ligatures w14:val="none"/>
        </w:rPr>
      </w:pPr>
      <w:r w:rsidRPr="00A65986">
        <w:rPr>
          <w:rFonts w:ascii="Times New Roman" w:eastAsia="Times New Roman" w:hAnsi="Times New Roman" w:cs="Times New Roman"/>
          <w:b/>
          <w:bCs/>
          <w:kern w:val="0"/>
          <w:sz w:val="22"/>
          <w:szCs w:val="22"/>
          <w14:ligatures w14:val="none"/>
        </w:rPr>
        <w:t xml:space="preserve">Student’s ID: </w:t>
      </w:r>
      <w:r w:rsidR="00AA69DD" w:rsidRPr="00A65986">
        <w:rPr>
          <w:rFonts w:ascii="Times New Roman" w:eastAsia="Times New Roman" w:hAnsi="Times New Roman" w:cs="Times New Roman"/>
          <w:b/>
          <w:bCs/>
          <w:kern w:val="0"/>
          <w:sz w:val="22"/>
          <w:szCs w:val="22"/>
          <w14:ligatures w14:val="none"/>
        </w:rPr>
        <w:t>2</w:t>
      </w:r>
      <w:r w:rsidR="00A65986" w:rsidRPr="00A65986">
        <w:rPr>
          <w:rFonts w:ascii="Times New Roman" w:eastAsia="Times New Roman" w:hAnsi="Times New Roman" w:cs="Times New Roman"/>
          <w:b/>
          <w:bCs/>
          <w:kern w:val="0"/>
          <w:sz w:val="22"/>
          <w:szCs w:val="22"/>
          <w14:ligatures w14:val="none"/>
        </w:rPr>
        <w:t>508847</w:t>
      </w:r>
    </w:p>
    <w:p w14:paraId="539CD1ED" w14:textId="73C3A1DC" w:rsidR="00D05BB3" w:rsidRPr="00A65986" w:rsidRDefault="00034776" w:rsidP="00545DC9">
      <w:pPr>
        <w:spacing w:before="100" w:beforeAutospacing="1" w:after="100" w:afterAutospacing="1" w:line="240" w:lineRule="auto"/>
        <w:outlineLvl w:val="1"/>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 xml:space="preserve">Lecturer: Jolly </w:t>
      </w:r>
      <w:proofErr w:type="spellStart"/>
      <w:r>
        <w:rPr>
          <w:rFonts w:ascii="Times New Roman" w:eastAsia="Times New Roman" w:hAnsi="Times New Roman" w:cs="Times New Roman"/>
          <w:b/>
          <w:bCs/>
          <w:kern w:val="0"/>
          <w:sz w:val="22"/>
          <w:szCs w:val="22"/>
          <w14:ligatures w14:val="none"/>
        </w:rPr>
        <w:t>Nwanko</w:t>
      </w:r>
      <w:proofErr w:type="spellEnd"/>
    </w:p>
    <w:p w14:paraId="1A693393" w14:textId="77777777" w:rsidR="00F12A75" w:rsidRDefault="00F12A75" w:rsidP="00545DC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8CEFFF9" w14:textId="4946D533" w:rsidR="00361673" w:rsidRPr="005C271F" w:rsidRDefault="00361673" w:rsidP="00361673">
      <w:pPr>
        <w:spacing w:after="0" w:line="240" w:lineRule="auto"/>
        <w:rPr>
          <w:rFonts w:ascii="Times New Roman" w:eastAsia="Times New Roman" w:hAnsi="Times New Roman" w:cs="Times New Roman"/>
          <w:kern w:val="0"/>
          <w:sz w:val="22"/>
          <w:szCs w:val="22"/>
          <w14:ligatures w14:val="none"/>
        </w:rPr>
      </w:pPr>
    </w:p>
    <w:p w14:paraId="783EB5C4" w14:textId="77777777" w:rsidR="00361673" w:rsidRPr="00361673" w:rsidRDefault="00361673" w:rsidP="00361673">
      <w:pPr>
        <w:spacing w:before="100" w:beforeAutospacing="1" w:after="100" w:afterAutospacing="1" w:line="240" w:lineRule="auto"/>
        <w:outlineLvl w:val="0"/>
        <w:rPr>
          <w:rFonts w:ascii="Times New Roman" w:hAnsi="Times New Roman" w:cs="Times New Roman"/>
          <w:b/>
          <w:bCs/>
          <w:kern w:val="36"/>
          <w:sz w:val="22"/>
          <w:szCs w:val="22"/>
          <w14:ligatures w14:val="none"/>
        </w:rPr>
      </w:pPr>
      <w:r w:rsidRPr="00361673">
        <w:rPr>
          <w:rFonts w:ascii="Times New Roman" w:eastAsia="Times New Roman" w:hAnsi="Times New Roman" w:cs="Times New Roman"/>
          <w:b/>
          <w:bCs/>
          <w:kern w:val="36"/>
          <w:sz w:val="22"/>
          <w:szCs w:val="22"/>
          <w14:ligatures w14:val="none"/>
        </w:rPr>
        <w:lastRenderedPageBreak/>
        <w:t>Tuberculosis: Monitoring, Impact and Support Strategies</w:t>
      </w:r>
    </w:p>
    <w:p w14:paraId="18D016E4" w14:textId="671F9B39" w:rsidR="00361673" w:rsidRPr="00361673" w:rsidRDefault="00852278" w:rsidP="00361673">
      <w:pPr>
        <w:spacing w:before="100" w:beforeAutospacing="1" w:after="100" w:afterAutospacing="1" w:line="240" w:lineRule="auto"/>
        <w:rPr>
          <w:rFonts w:ascii="Times New Roman" w:hAnsi="Times New Roman" w:cs="Times New Roman"/>
          <w:b/>
          <w:bCs/>
          <w:kern w:val="0"/>
          <w14:ligatures w14:val="none"/>
        </w:rPr>
      </w:pPr>
      <w:r>
        <w:rPr>
          <w:rFonts w:ascii="Times New Roman" w:hAnsi="Times New Roman" w:cs="Times New Roman"/>
          <w:b/>
          <w:bCs/>
          <w:kern w:val="0"/>
          <w14:ligatures w14:val="none"/>
        </w:rPr>
        <w:t xml:space="preserve">Introduction </w:t>
      </w:r>
    </w:p>
    <w:p w14:paraId="79D43E6A" w14:textId="3449254B" w:rsidR="00361673" w:rsidRPr="00E030DC" w:rsidRDefault="00361673" w:rsidP="00050AF4">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t xml:space="preserve">Tuberculosis (TB) </w:t>
      </w:r>
      <w:r w:rsidR="00F74C0E" w:rsidRPr="00E030DC">
        <w:rPr>
          <w:rFonts w:ascii="Arial" w:hAnsi="Arial" w:cs="Arial"/>
          <w:kern w:val="0"/>
          <w:sz w:val="22"/>
          <w:szCs w:val="22"/>
          <w14:ligatures w14:val="none"/>
        </w:rPr>
        <w:t>is still</w:t>
      </w:r>
      <w:r w:rsidRPr="00E030DC">
        <w:rPr>
          <w:rFonts w:ascii="Arial" w:hAnsi="Arial" w:cs="Arial"/>
          <w:kern w:val="0"/>
          <w:sz w:val="22"/>
          <w:szCs w:val="22"/>
          <w14:ligatures w14:val="none"/>
        </w:rPr>
        <w:t xml:space="preserve"> one of the most significant infectious diseases globally, despite being both preventable and treatable. It is caused by Mycobacterium tuberculosis, a slow-growing bacterium with a unique waxy cell wall that enables it to survive within the host’s immune system. The disease most commonly affects the lungs, known as pulmonary TB</w:t>
      </w:r>
      <w:r w:rsidR="00852278" w:rsidRPr="00E030DC">
        <w:rPr>
          <w:rFonts w:ascii="Arial" w:hAnsi="Arial" w:cs="Arial"/>
          <w:kern w:val="0"/>
          <w:sz w:val="22"/>
          <w:szCs w:val="22"/>
          <w14:ligatures w14:val="none"/>
        </w:rPr>
        <w:t>. However,</w:t>
      </w:r>
      <w:r w:rsidRPr="00E030DC">
        <w:rPr>
          <w:rFonts w:ascii="Arial" w:hAnsi="Arial" w:cs="Arial"/>
          <w:kern w:val="0"/>
          <w:sz w:val="22"/>
          <w:szCs w:val="22"/>
          <w14:ligatures w14:val="none"/>
        </w:rPr>
        <w:t xml:space="preserve"> it can also spread to other organs such as the kidneys, </w:t>
      </w:r>
      <w:r w:rsidR="00F74C0E" w:rsidRPr="00E030DC">
        <w:rPr>
          <w:rFonts w:ascii="Arial" w:hAnsi="Arial" w:cs="Arial"/>
          <w:kern w:val="0"/>
          <w:sz w:val="22"/>
          <w:szCs w:val="22"/>
          <w14:ligatures w14:val="none"/>
        </w:rPr>
        <w:t>spine,</w:t>
      </w:r>
      <w:r w:rsidRPr="00E030DC">
        <w:rPr>
          <w:rFonts w:ascii="Arial" w:hAnsi="Arial" w:cs="Arial"/>
          <w:kern w:val="0"/>
          <w:sz w:val="22"/>
          <w:szCs w:val="22"/>
          <w14:ligatures w14:val="none"/>
        </w:rPr>
        <w:t xml:space="preserve"> and brain, resulting in </w:t>
      </w:r>
      <w:r w:rsidR="00852278" w:rsidRPr="00E030DC">
        <w:rPr>
          <w:rFonts w:ascii="Arial" w:hAnsi="Arial" w:cs="Arial"/>
          <w:kern w:val="0"/>
          <w:sz w:val="22"/>
          <w:szCs w:val="22"/>
          <w14:ligatures w14:val="none"/>
        </w:rPr>
        <w:t>extra pulmonary</w:t>
      </w:r>
      <w:r w:rsidRPr="00E030DC">
        <w:rPr>
          <w:rFonts w:ascii="Arial" w:hAnsi="Arial" w:cs="Arial"/>
          <w:kern w:val="0"/>
          <w:sz w:val="22"/>
          <w:szCs w:val="22"/>
          <w14:ligatures w14:val="none"/>
        </w:rPr>
        <w:t xml:space="preserve"> tuberculosis. Transmission occurs through airborne droplets when an infected individual coughs, sneezes or speaks, making TB a highly contagious disease in crowded or poorly ventilated environments (</w:t>
      </w:r>
      <w:r w:rsidR="00F20D63" w:rsidRPr="00E030DC">
        <w:rPr>
          <w:rFonts w:ascii="Arial" w:hAnsi="Arial" w:cs="Arial"/>
          <w:kern w:val="0"/>
          <w:sz w:val="22"/>
          <w:szCs w:val="22"/>
          <w14:ligatures w14:val="none"/>
        </w:rPr>
        <w:t>World</w:t>
      </w:r>
      <w:r w:rsidR="000912EF" w:rsidRPr="00E030DC">
        <w:rPr>
          <w:rFonts w:ascii="Arial" w:hAnsi="Arial" w:cs="Arial"/>
          <w:kern w:val="0"/>
          <w:sz w:val="22"/>
          <w:szCs w:val="22"/>
          <w14:ligatures w14:val="none"/>
        </w:rPr>
        <w:t xml:space="preserve"> Health Organisation</w:t>
      </w:r>
      <w:r w:rsidRPr="00E030DC">
        <w:rPr>
          <w:rFonts w:ascii="Arial" w:hAnsi="Arial" w:cs="Arial"/>
          <w:kern w:val="0"/>
          <w:sz w:val="22"/>
          <w:szCs w:val="22"/>
          <w14:ligatures w14:val="none"/>
        </w:rPr>
        <w:t>, 2024).</w:t>
      </w:r>
    </w:p>
    <w:p w14:paraId="567DDABE" w14:textId="40A194F7" w:rsidR="00361673" w:rsidRPr="00E030DC" w:rsidRDefault="00361673" w:rsidP="00050AF4">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t xml:space="preserve">TB exists in two forms: latent and active. Latent TB infection is asymptomatic and non-infectious, as the bacteria </w:t>
      </w:r>
      <w:r w:rsidR="00F74C0E" w:rsidRPr="00E030DC">
        <w:rPr>
          <w:rFonts w:ascii="Arial" w:hAnsi="Arial" w:cs="Arial"/>
          <w:kern w:val="0"/>
          <w:sz w:val="22"/>
          <w:szCs w:val="22"/>
          <w14:ligatures w14:val="none"/>
        </w:rPr>
        <w:t>are still</w:t>
      </w:r>
      <w:r w:rsidRPr="00E030DC">
        <w:rPr>
          <w:rFonts w:ascii="Arial" w:hAnsi="Arial" w:cs="Arial"/>
          <w:kern w:val="0"/>
          <w:sz w:val="22"/>
          <w:szCs w:val="22"/>
          <w14:ligatures w14:val="none"/>
        </w:rPr>
        <w:t xml:space="preserve"> dormant within the body. However, when the immune system becomes weakened, latent TB can progress to active TB disease. Active TB is characterised by symptoms such as a persistent cough lasting more than three weeks, chest pain, fever, night sweats, </w:t>
      </w:r>
      <w:r w:rsidR="00F74C0E" w:rsidRPr="00E030DC">
        <w:rPr>
          <w:rFonts w:ascii="Arial" w:hAnsi="Arial" w:cs="Arial"/>
          <w:kern w:val="0"/>
          <w:sz w:val="22"/>
          <w:szCs w:val="22"/>
          <w14:ligatures w14:val="none"/>
        </w:rPr>
        <w:t>fatigue,</w:t>
      </w:r>
      <w:r w:rsidRPr="00E030DC">
        <w:rPr>
          <w:rFonts w:ascii="Arial" w:hAnsi="Arial" w:cs="Arial"/>
          <w:kern w:val="0"/>
          <w:sz w:val="22"/>
          <w:szCs w:val="22"/>
          <w14:ligatures w14:val="none"/>
        </w:rPr>
        <w:t xml:space="preserve"> and significant weight loss. Individuals with active TB are infectious and play a key role in the transmission of the disease (</w:t>
      </w:r>
      <w:r w:rsidR="00284D15" w:rsidRPr="00E030DC">
        <w:rPr>
          <w:rFonts w:ascii="Arial" w:hAnsi="Arial" w:cs="Arial"/>
          <w:kern w:val="0"/>
          <w:sz w:val="22"/>
          <w:szCs w:val="22"/>
          <w14:ligatures w14:val="none"/>
        </w:rPr>
        <w:t xml:space="preserve">National Health </w:t>
      </w:r>
      <w:r w:rsidR="00852278" w:rsidRPr="00E030DC">
        <w:rPr>
          <w:rFonts w:ascii="Arial" w:hAnsi="Arial" w:cs="Arial"/>
          <w:kern w:val="0"/>
          <w:sz w:val="22"/>
          <w:szCs w:val="22"/>
          <w14:ligatures w14:val="none"/>
        </w:rPr>
        <w:t>Service</w:t>
      </w:r>
      <w:r w:rsidRPr="00E030DC">
        <w:rPr>
          <w:rFonts w:ascii="Arial" w:hAnsi="Arial" w:cs="Arial"/>
          <w:kern w:val="0"/>
          <w:sz w:val="22"/>
          <w:szCs w:val="22"/>
          <w14:ligatures w14:val="none"/>
        </w:rPr>
        <w:t xml:space="preserve">, 2023). Globally, TB continues to pose a major public health challenge. According to the World Health </w:t>
      </w:r>
      <w:r w:rsidR="00A24386" w:rsidRPr="00E030DC">
        <w:rPr>
          <w:rFonts w:ascii="Arial" w:hAnsi="Arial" w:cs="Arial"/>
          <w:kern w:val="0"/>
          <w:sz w:val="22"/>
          <w:szCs w:val="22"/>
          <w14:ligatures w14:val="none"/>
        </w:rPr>
        <w:t>Organisation</w:t>
      </w:r>
      <w:r w:rsidRPr="00E030DC">
        <w:rPr>
          <w:rFonts w:ascii="Arial" w:hAnsi="Arial" w:cs="Arial"/>
          <w:kern w:val="0"/>
          <w:sz w:val="22"/>
          <w:szCs w:val="22"/>
          <w14:ligatures w14:val="none"/>
        </w:rPr>
        <w:t xml:space="preserve"> (2024), approximately 10.6 million people developed TB in 2022, with over one million deaths recorded. Although incidence rates are lower in high-income countries such as the United Kingdom, TB </w:t>
      </w:r>
      <w:r w:rsidR="00A24386" w:rsidRPr="00E030DC">
        <w:rPr>
          <w:rFonts w:ascii="Arial" w:hAnsi="Arial" w:cs="Arial"/>
          <w:kern w:val="0"/>
          <w:sz w:val="22"/>
          <w:szCs w:val="22"/>
          <w14:ligatures w14:val="none"/>
        </w:rPr>
        <w:t>is still</w:t>
      </w:r>
      <w:r w:rsidRPr="00E030DC">
        <w:rPr>
          <w:rFonts w:ascii="Arial" w:hAnsi="Arial" w:cs="Arial"/>
          <w:kern w:val="0"/>
          <w:sz w:val="22"/>
          <w:szCs w:val="22"/>
          <w14:ligatures w14:val="none"/>
        </w:rPr>
        <w:t xml:space="preserve"> a concern among vulnerable populations, including migrants, the homeless and individuals with compromised immune systems.</w:t>
      </w:r>
    </w:p>
    <w:p w14:paraId="3735A82F" w14:textId="77777777" w:rsidR="00852278" w:rsidRPr="00E030DC" w:rsidRDefault="00852278" w:rsidP="00050AF4">
      <w:pPr>
        <w:spacing w:before="100" w:beforeAutospacing="1" w:after="100" w:afterAutospacing="1" w:line="360" w:lineRule="auto"/>
        <w:jc w:val="both"/>
        <w:rPr>
          <w:rFonts w:ascii="Arial" w:hAnsi="Arial" w:cs="Arial"/>
          <w:kern w:val="0"/>
          <w:sz w:val="22"/>
          <w:szCs w:val="22"/>
          <w14:ligatures w14:val="none"/>
        </w:rPr>
      </w:pPr>
    </w:p>
    <w:p w14:paraId="7BB33F4A" w14:textId="3589E520" w:rsidR="00852278" w:rsidRPr="00E030DC" w:rsidRDefault="0071039D" w:rsidP="00050AF4">
      <w:pPr>
        <w:spacing w:before="100" w:beforeAutospacing="1" w:after="100" w:afterAutospacing="1" w:line="360" w:lineRule="auto"/>
        <w:jc w:val="both"/>
        <w:rPr>
          <w:rFonts w:ascii="Arial" w:hAnsi="Arial" w:cs="Arial"/>
          <w:b/>
          <w:bCs/>
          <w:kern w:val="0"/>
          <w:sz w:val="22"/>
          <w:szCs w:val="22"/>
          <w14:ligatures w14:val="none"/>
        </w:rPr>
      </w:pPr>
      <w:r w:rsidRPr="00E030DC">
        <w:rPr>
          <w:rFonts w:ascii="Arial" w:hAnsi="Arial" w:cs="Arial"/>
          <w:b/>
          <w:bCs/>
          <w:kern w:val="0"/>
          <w:sz w:val="22"/>
          <w:szCs w:val="22"/>
          <w14:ligatures w14:val="none"/>
        </w:rPr>
        <w:t>How TB is monitored and co</w:t>
      </w:r>
      <w:r w:rsidR="00EA1C1B" w:rsidRPr="00E030DC">
        <w:rPr>
          <w:rFonts w:ascii="Arial" w:hAnsi="Arial" w:cs="Arial"/>
          <w:b/>
          <w:bCs/>
          <w:kern w:val="0"/>
          <w:sz w:val="22"/>
          <w:szCs w:val="22"/>
          <w14:ligatures w14:val="none"/>
        </w:rPr>
        <w:t xml:space="preserve">ntrolled </w:t>
      </w:r>
    </w:p>
    <w:p w14:paraId="17A85B39" w14:textId="67047708" w:rsidR="00361673" w:rsidRPr="00E030DC" w:rsidRDefault="00361673" w:rsidP="00050AF4">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t xml:space="preserve">Effective monitoring and control of tuberculosis rely on a combination of epidemiological, </w:t>
      </w:r>
      <w:r w:rsidR="00A24386" w:rsidRPr="00E030DC">
        <w:rPr>
          <w:rFonts w:ascii="Arial" w:hAnsi="Arial" w:cs="Arial"/>
          <w:kern w:val="0"/>
          <w:sz w:val="22"/>
          <w:szCs w:val="22"/>
          <w14:ligatures w14:val="none"/>
        </w:rPr>
        <w:t>clinical,</w:t>
      </w:r>
      <w:r w:rsidRPr="00E030DC">
        <w:rPr>
          <w:rFonts w:ascii="Arial" w:hAnsi="Arial" w:cs="Arial"/>
          <w:kern w:val="0"/>
          <w:sz w:val="22"/>
          <w:szCs w:val="22"/>
          <w14:ligatures w14:val="none"/>
        </w:rPr>
        <w:t xml:space="preserve"> and laboratory-based approaches. Surveillance systems form the backbone of TB monitoring by collecting data on incidence, </w:t>
      </w:r>
      <w:r w:rsidR="00A24386" w:rsidRPr="00E030DC">
        <w:rPr>
          <w:rFonts w:ascii="Arial" w:hAnsi="Arial" w:cs="Arial"/>
          <w:kern w:val="0"/>
          <w:sz w:val="22"/>
          <w:szCs w:val="22"/>
          <w14:ligatures w14:val="none"/>
        </w:rPr>
        <w:t>prevalence,</w:t>
      </w:r>
      <w:r w:rsidRPr="00E030DC">
        <w:rPr>
          <w:rFonts w:ascii="Arial" w:hAnsi="Arial" w:cs="Arial"/>
          <w:kern w:val="0"/>
          <w:sz w:val="22"/>
          <w:szCs w:val="22"/>
          <w14:ligatures w14:val="none"/>
        </w:rPr>
        <w:t xml:space="preserve"> and mortality. These systems can be passive, relying on routine reporting by healthcare providers, or active, involving systematic screening of high-risk populations. Global surveillance coordinated by the World Health Organi</w:t>
      </w:r>
      <w:r w:rsidR="00A24386" w:rsidRPr="00E030DC">
        <w:rPr>
          <w:rFonts w:ascii="Arial" w:hAnsi="Arial" w:cs="Arial"/>
          <w:kern w:val="0"/>
          <w:sz w:val="22"/>
          <w:szCs w:val="22"/>
          <w14:ligatures w14:val="none"/>
        </w:rPr>
        <w:t xml:space="preserve">sation </w:t>
      </w:r>
      <w:r w:rsidRPr="00E030DC">
        <w:rPr>
          <w:rFonts w:ascii="Arial" w:hAnsi="Arial" w:cs="Arial"/>
          <w:kern w:val="0"/>
          <w:sz w:val="22"/>
          <w:szCs w:val="22"/>
          <w14:ligatures w14:val="none"/>
        </w:rPr>
        <w:t>through its annual Global Tuberculosis Report, which provides standardised data that allows comparison across countries and informs international health policy</w:t>
      </w:r>
      <w:r w:rsidR="00852278" w:rsidRPr="00E030DC">
        <w:rPr>
          <w:rFonts w:ascii="Arial" w:hAnsi="Arial" w:cs="Arial"/>
          <w:kern w:val="0"/>
          <w:sz w:val="22"/>
          <w:szCs w:val="22"/>
          <w14:ligatures w14:val="none"/>
        </w:rPr>
        <w:t>, UK Health Security Agency (2024)</w:t>
      </w:r>
      <w:r w:rsidRPr="00E030DC">
        <w:rPr>
          <w:rFonts w:ascii="Arial" w:hAnsi="Arial" w:cs="Arial"/>
          <w:kern w:val="0"/>
          <w:sz w:val="22"/>
          <w:szCs w:val="22"/>
          <w14:ligatures w14:val="none"/>
        </w:rPr>
        <w:t xml:space="preserve">. In the UK, surveillance managed by national public health bodies, which track trends and </w:t>
      </w:r>
      <w:r w:rsidR="00A24386" w:rsidRPr="00E030DC">
        <w:rPr>
          <w:rFonts w:ascii="Arial" w:hAnsi="Arial" w:cs="Arial"/>
          <w:kern w:val="0"/>
          <w:sz w:val="22"/>
          <w:szCs w:val="22"/>
          <w14:ligatures w14:val="none"/>
        </w:rPr>
        <w:t>name</w:t>
      </w:r>
      <w:r w:rsidRPr="00E030DC">
        <w:rPr>
          <w:rFonts w:ascii="Arial" w:hAnsi="Arial" w:cs="Arial"/>
          <w:kern w:val="0"/>
          <w:sz w:val="22"/>
          <w:szCs w:val="22"/>
          <w14:ligatures w14:val="none"/>
        </w:rPr>
        <w:t xml:space="preserve"> high-risk groups. However, surveillance systems </w:t>
      </w:r>
      <w:r w:rsidR="00852278" w:rsidRPr="00E030DC">
        <w:rPr>
          <w:rFonts w:ascii="Arial" w:hAnsi="Arial" w:cs="Arial"/>
          <w:kern w:val="0"/>
          <w:sz w:val="22"/>
          <w:szCs w:val="22"/>
          <w14:ligatures w14:val="none"/>
        </w:rPr>
        <w:t xml:space="preserve">disputed </w:t>
      </w:r>
      <w:r w:rsidRPr="00E030DC">
        <w:rPr>
          <w:rFonts w:ascii="Arial" w:hAnsi="Arial" w:cs="Arial"/>
          <w:kern w:val="0"/>
          <w:sz w:val="22"/>
          <w:szCs w:val="22"/>
          <w14:ligatures w14:val="none"/>
        </w:rPr>
        <w:t xml:space="preserve">by </w:t>
      </w:r>
      <w:r w:rsidRPr="00E030DC">
        <w:rPr>
          <w:rFonts w:ascii="Arial" w:hAnsi="Arial" w:cs="Arial"/>
          <w:kern w:val="0"/>
          <w:sz w:val="22"/>
          <w:szCs w:val="22"/>
          <w14:ligatures w14:val="none"/>
        </w:rPr>
        <w:lastRenderedPageBreak/>
        <w:t xml:space="preserve">underreporting, delayed </w:t>
      </w:r>
      <w:r w:rsidR="00A24386" w:rsidRPr="00E030DC">
        <w:rPr>
          <w:rFonts w:ascii="Arial" w:hAnsi="Arial" w:cs="Arial"/>
          <w:kern w:val="0"/>
          <w:sz w:val="22"/>
          <w:szCs w:val="22"/>
          <w14:ligatures w14:val="none"/>
        </w:rPr>
        <w:t>diagnosis,</w:t>
      </w:r>
      <w:r w:rsidRPr="00E030DC">
        <w:rPr>
          <w:rFonts w:ascii="Arial" w:hAnsi="Arial" w:cs="Arial"/>
          <w:kern w:val="0"/>
          <w:sz w:val="22"/>
          <w:szCs w:val="22"/>
          <w14:ligatures w14:val="none"/>
        </w:rPr>
        <w:t xml:space="preserve"> and disparities in data quality, particularly in low-resource settings (World Health </w:t>
      </w:r>
      <w:r w:rsidR="00A24386" w:rsidRPr="00E030DC">
        <w:rPr>
          <w:rFonts w:ascii="Arial" w:hAnsi="Arial" w:cs="Arial"/>
          <w:kern w:val="0"/>
          <w:sz w:val="22"/>
          <w:szCs w:val="22"/>
          <w14:ligatures w14:val="none"/>
        </w:rPr>
        <w:t>Organisation</w:t>
      </w:r>
      <w:r w:rsidRPr="00E030DC">
        <w:rPr>
          <w:rFonts w:ascii="Arial" w:hAnsi="Arial" w:cs="Arial"/>
          <w:kern w:val="0"/>
          <w:sz w:val="22"/>
          <w:szCs w:val="22"/>
          <w14:ligatures w14:val="none"/>
        </w:rPr>
        <w:t>, 2024).</w:t>
      </w:r>
    </w:p>
    <w:p w14:paraId="5D3B2BC9" w14:textId="3157523D" w:rsidR="00361673" w:rsidRPr="00E030DC" w:rsidRDefault="00361673" w:rsidP="00050AF4">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t xml:space="preserve">Screening and contact tracing are essential components of TB prevention strategies. Screening programmes target high-risk groups such as close contacts of infected individuals, healthcare </w:t>
      </w:r>
      <w:r w:rsidR="00D554BB" w:rsidRPr="00E030DC">
        <w:rPr>
          <w:rFonts w:ascii="Arial" w:hAnsi="Arial" w:cs="Arial"/>
          <w:kern w:val="0"/>
          <w:sz w:val="22"/>
          <w:szCs w:val="22"/>
          <w14:ligatures w14:val="none"/>
        </w:rPr>
        <w:t>workers,</w:t>
      </w:r>
      <w:r w:rsidRPr="00E030DC">
        <w:rPr>
          <w:rFonts w:ascii="Arial" w:hAnsi="Arial" w:cs="Arial"/>
          <w:kern w:val="0"/>
          <w:sz w:val="22"/>
          <w:szCs w:val="22"/>
          <w14:ligatures w14:val="none"/>
        </w:rPr>
        <w:t xml:space="preserve"> and migrants from high-prevalence regions. Contact tracing involves </w:t>
      </w:r>
      <w:r w:rsidR="00D554BB" w:rsidRPr="00E030DC">
        <w:rPr>
          <w:rFonts w:ascii="Arial" w:hAnsi="Arial" w:cs="Arial"/>
          <w:kern w:val="0"/>
          <w:sz w:val="22"/>
          <w:szCs w:val="22"/>
          <w14:ligatures w14:val="none"/>
        </w:rPr>
        <w:t>naming</w:t>
      </w:r>
      <w:r w:rsidRPr="00E030DC">
        <w:rPr>
          <w:rFonts w:ascii="Arial" w:hAnsi="Arial" w:cs="Arial"/>
          <w:kern w:val="0"/>
          <w:sz w:val="22"/>
          <w:szCs w:val="22"/>
          <w14:ligatures w14:val="none"/>
        </w:rPr>
        <w:t xml:space="preserve"> and testing individuals who have exposed to TB, thereby enabling early diagnosis and treatment. This approach is crucial in breaking the chain of transmission and preventing outbreaks. Methods used in screening include the tuberculin skin test, interferon-gamma release </w:t>
      </w:r>
      <w:r w:rsidR="00D554BB" w:rsidRPr="00E030DC">
        <w:rPr>
          <w:rFonts w:ascii="Arial" w:hAnsi="Arial" w:cs="Arial"/>
          <w:kern w:val="0"/>
          <w:sz w:val="22"/>
          <w:szCs w:val="22"/>
          <w14:ligatures w14:val="none"/>
        </w:rPr>
        <w:t>assays,</w:t>
      </w:r>
      <w:r w:rsidRPr="00E030DC">
        <w:rPr>
          <w:rFonts w:ascii="Arial" w:hAnsi="Arial" w:cs="Arial"/>
          <w:kern w:val="0"/>
          <w:sz w:val="22"/>
          <w:szCs w:val="22"/>
          <w14:ligatures w14:val="none"/>
        </w:rPr>
        <w:t xml:space="preserve"> and chest radiography. These tools help detect both latent and active TB, allowing for </w:t>
      </w:r>
      <w:r w:rsidR="00D554BB" w:rsidRPr="00E030DC">
        <w:rPr>
          <w:rFonts w:ascii="Arial" w:hAnsi="Arial" w:cs="Arial"/>
          <w:kern w:val="0"/>
          <w:sz w:val="22"/>
          <w:szCs w:val="22"/>
          <w14:ligatures w14:val="none"/>
        </w:rPr>
        <w:t>prompt</w:t>
      </w:r>
      <w:r w:rsidRPr="00E030DC">
        <w:rPr>
          <w:rFonts w:ascii="Arial" w:hAnsi="Arial" w:cs="Arial"/>
          <w:kern w:val="0"/>
          <w:sz w:val="22"/>
          <w:szCs w:val="22"/>
          <w14:ligatures w14:val="none"/>
        </w:rPr>
        <w:t xml:space="preserve"> intervention (National Health Service, 2023). The effectiveness of screening programmes depends on accessibility, public </w:t>
      </w:r>
      <w:r w:rsidR="00D554BB" w:rsidRPr="00E030DC">
        <w:rPr>
          <w:rFonts w:ascii="Arial" w:hAnsi="Arial" w:cs="Arial"/>
          <w:kern w:val="0"/>
          <w:sz w:val="22"/>
          <w:szCs w:val="22"/>
          <w14:ligatures w14:val="none"/>
        </w:rPr>
        <w:t>awareness,</w:t>
      </w:r>
      <w:r w:rsidRPr="00E030DC">
        <w:rPr>
          <w:rFonts w:ascii="Arial" w:hAnsi="Arial" w:cs="Arial"/>
          <w:kern w:val="0"/>
          <w:sz w:val="22"/>
          <w:szCs w:val="22"/>
          <w14:ligatures w14:val="none"/>
        </w:rPr>
        <w:t xml:space="preserve"> and the availability of healthcare resources.</w:t>
      </w:r>
    </w:p>
    <w:p w14:paraId="55EC9521" w14:textId="450682D6" w:rsidR="00361673" w:rsidRPr="00E030DC" w:rsidRDefault="00361673" w:rsidP="00050AF4">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t xml:space="preserve">Accurate diagnosis is fundamental to TB control, as it ensures </w:t>
      </w:r>
      <w:r w:rsidR="00852278" w:rsidRPr="00E030DC">
        <w:rPr>
          <w:rFonts w:ascii="Arial" w:hAnsi="Arial" w:cs="Arial"/>
          <w:kern w:val="0"/>
          <w:sz w:val="22"/>
          <w:szCs w:val="22"/>
          <w14:ligatures w14:val="none"/>
        </w:rPr>
        <w:t xml:space="preserve">the </w:t>
      </w:r>
      <w:r w:rsidR="00D554BB" w:rsidRPr="00E030DC">
        <w:rPr>
          <w:rFonts w:ascii="Arial" w:hAnsi="Arial" w:cs="Arial"/>
          <w:kern w:val="0"/>
          <w:sz w:val="22"/>
          <w:szCs w:val="22"/>
          <w14:ligatures w14:val="none"/>
        </w:rPr>
        <w:t>right treatment</w:t>
      </w:r>
      <w:r w:rsidRPr="00E030DC">
        <w:rPr>
          <w:rFonts w:ascii="Arial" w:hAnsi="Arial" w:cs="Arial"/>
          <w:kern w:val="0"/>
          <w:sz w:val="22"/>
          <w:szCs w:val="22"/>
          <w14:ligatures w14:val="none"/>
        </w:rPr>
        <w:t xml:space="preserve"> and reduces transmission. Several diagnostic methods used in clinical practice. Chest X-rays are commonly employed to </w:t>
      </w:r>
      <w:r w:rsidR="00D554BB" w:rsidRPr="00E030DC">
        <w:rPr>
          <w:rFonts w:ascii="Arial" w:hAnsi="Arial" w:cs="Arial"/>
          <w:kern w:val="0"/>
          <w:sz w:val="22"/>
          <w:szCs w:val="22"/>
          <w14:ligatures w14:val="none"/>
        </w:rPr>
        <w:t>show</w:t>
      </w:r>
      <w:r w:rsidRPr="00E030DC">
        <w:rPr>
          <w:rFonts w:ascii="Arial" w:hAnsi="Arial" w:cs="Arial"/>
          <w:kern w:val="0"/>
          <w:sz w:val="22"/>
          <w:szCs w:val="22"/>
          <w14:ligatures w14:val="none"/>
        </w:rPr>
        <w:t xml:space="preserve"> lung abnormalities associated with TB, while sputum smear microscopy used to detect acid-fast bacilli in respiratory samples. Although culture testing </w:t>
      </w:r>
      <w:r w:rsidR="00D554BB" w:rsidRPr="00E030DC">
        <w:rPr>
          <w:rFonts w:ascii="Arial" w:hAnsi="Arial" w:cs="Arial"/>
          <w:kern w:val="0"/>
          <w:sz w:val="22"/>
          <w:szCs w:val="22"/>
          <w14:ligatures w14:val="none"/>
        </w:rPr>
        <w:t>is still</w:t>
      </w:r>
      <w:r w:rsidRPr="00E030DC">
        <w:rPr>
          <w:rFonts w:ascii="Arial" w:hAnsi="Arial" w:cs="Arial"/>
          <w:kern w:val="0"/>
          <w:sz w:val="22"/>
          <w:szCs w:val="22"/>
          <w14:ligatures w14:val="none"/>
        </w:rPr>
        <w:t xml:space="preserve"> the gold standard for diagnosis, it is time-consuming and may delay treatment initiation. In recent years, molecular diagnostic tools such as </w:t>
      </w:r>
      <w:proofErr w:type="spellStart"/>
      <w:r w:rsidR="00FF54B0" w:rsidRPr="00E030DC">
        <w:rPr>
          <w:rFonts w:ascii="Arial" w:hAnsi="Arial" w:cs="Arial"/>
          <w:kern w:val="0"/>
          <w:sz w:val="22"/>
          <w:szCs w:val="22"/>
          <w14:ligatures w14:val="none"/>
        </w:rPr>
        <w:t>GeneXpert</w:t>
      </w:r>
      <w:proofErr w:type="spellEnd"/>
      <w:r w:rsidR="00FF54B0" w:rsidRPr="00E030DC">
        <w:rPr>
          <w:rFonts w:ascii="Arial" w:hAnsi="Arial" w:cs="Arial"/>
          <w:kern w:val="0"/>
          <w:sz w:val="22"/>
          <w:szCs w:val="22"/>
          <w14:ligatures w14:val="none"/>
        </w:rPr>
        <w:t xml:space="preserve"> </w:t>
      </w:r>
      <w:r w:rsidRPr="00E030DC">
        <w:rPr>
          <w:rFonts w:ascii="Arial" w:hAnsi="Arial" w:cs="Arial"/>
          <w:kern w:val="0"/>
          <w:sz w:val="22"/>
          <w:szCs w:val="22"/>
          <w14:ligatures w14:val="none"/>
        </w:rPr>
        <w:t xml:space="preserve">have revolutionised TB detection by providing rapid and highly </w:t>
      </w:r>
      <w:r w:rsidR="00852278" w:rsidRPr="00E030DC">
        <w:rPr>
          <w:rFonts w:ascii="Arial" w:hAnsi="Arial" w:cs="Arial"/>
          <w:kern w:val="0"/>
          <w:sz w:val="22"/>
          <w:szCs w:val="22"/>
          <w14:ligatures w14:val="none"/>
        </w:rPr>
        <w:t>right</w:t>
      </w:r>
      <w:r w:rsidRPr="00E030DC">
        <w:rPr>
          <w:rFonts w:ascii="Arial" w:hAnsi="Arial" w:cs="Arial"/>
          <w:kern w:val="0"/>
          <w:sz w:val="22"/>
          <w:szCs w:val="22"/>
          <w14:ligatures w14:val="none"/>
        </w:rPr>
        <w:t xml:space="preserve"> results, including the identification of drug-resistant strains. These advancements have significantly improved the management of TB, particularly </w:t>
      </w:r>
      <w:r w:rsidR="00852278" w:rsidRPr="00E030DC">
        <w:rPr>
          <w:rFonts w:ascii="Arial" w:hAnsi="Arial" w:cs="Arial"/>
          <w:kern w:val="0"/>
          <w:sz w:val="22"/>
          <w:szCs w:val="22"/>
          <w14:ligatures w14:val="none"/>
        </w:rPr>
        <w:t>multi drug-resistant</w:t>
      </w:r>
      <w:r w:rsidRPr="00E030DC">
        <w:rPr>
          <w:rFonts w:ascii="Arial" w:hAnsi="Arial" w:cs="Arial"/>
          <w:kern w:val="0"/>
          <w:sz w:val="22"/>
          <w:szCs w:val="22"/>
          <w14:ligatures w14:val="none"/>
        </w:rPr>
        <w:t xml:space="preserve"> TB, although access to such technologies </w:t>
      </w:r>
      <w:r w:rsidR="00852278" w:rsidRPr="00E030DC">
        <w:rPr>
          <w:rFonts w:ascii="Arial" w:hAnsi="Arial" w:cs="Arial"/>
          <w:kern w:val="0"/>
          <w:sz w:val="22"/>
          <w:szCs w:val="22"/>
          <w14:ligatures w14:val="none"/>
        </w:rPr>
        <w:t>is still</w:t>
      </w:r>
      <w:r w:rsidRPr="00E030DC">
        <w:rPr>
          <w:rFonts w:ascii="Arial" w:hAnsi="Arial" w:cs="Arial"/>
          <w:kern w:val="0"/>
          <w:sz w:val="22"/>
          <w:szCs w:val="22"/>
          <w14:ligatures w14:val="none"/>
        </w:rPr>
        <w:t xml:space="preserve"> uneven across different regions (</w:t>
      </w:r>
      <w:r w:rsidR="006D6D9F" w:rsidRPr="00E030DC">
        <w:rPr>
          <w:rFonts w:ascii="Arial" w:hAnsi="Arial" w:cs="Arial"/>
          <w:kern w:val="0"/>
          <w:sz w:val="22"/>
          <w:szCs w:val="22"/>
          <w14:ligatures w14:val="none"/>
        </w:rPr>
        <w:t>Centres for Disease Control and Prevention</w:t>
      </w:r>
      <w:r w:rsidRPr="00E030DC">
        <w:rPr>
          <w:rFonts w:ascii="Arial" w:hAnsi="Arial" w:cs="Arial"/>
          <w:kern w:val="0"/>
          <w:sz w:val="22"/>
          <w:szCs w:val="22"/>
          <w14:ligatures w14:val="none"/>
        </w:rPr>
        <w:t>, 2023).</w:t>
      </w:r>
    </w:p>
    <w:p w14:paraId="7E93525B" w14:textId="77777777" w:rsidR="003C56C2" w:rsidRPr="00E030DC" w:rsidRDefault="003C56C2" w:rsidP="00050AF4">
      <w:pPr>
        <w:spacing w:before="100" w:beforeAutospacing="1" w:after="100" w:afterAutospacing="1" w:line="360" w:lineRule="auto"/>
        <w:jc w:val="both"/>
        <w:rPr>
          <w:rFonts w:ascii="Arial" w:hAnsi="Arial" w:cs="Arial"/>
          <w:kern w:val="0"/>
          <w:sz w:val="22"/>
          <w:szCs w:val="22"/>
          <w14:ligatures w14:val="none"/>
        </w:rPr>
      </w:pPr>
    </w:p>
    <w:p w14:paraId="3AB2BA85" w14:textId="03011B4C" w:rsidR="003C56C2" w:rsidRPr="00E030DC" w:rsidRDefault="003C56C2" w:rsidP="00050AF4">
      <w:pPr>
        <w:spacing w:before="100" w:beforeAutospacing="1" w:after="100" w:afterAutospacing="1" w:line="360" w:lineRule="auto"/>
        <w:jc w:val="both"/>
        <w:rPr>
          <w:rFonts w:ascii="Arial" w:hAnsi="Arial" w:cs="Arial"/>
          <w:b/>
          <w:bCs/>
          <w:kern w:val="0"/>
          <w:sz w:val="22"/>
          <w:szCs w:val="22"/>
          <w14:ligatures w14:val="none"/>
        </w:rPr>
      </w:pPr>
      <w:r w:rsidRPr="00E030DC">
        <w:rPr>
          <w:rFonts w:ascii="Arial" w:hAnsi="Arial" w:cs="Arial"/>
          <w:b/>
          <w:bCs/>
          <w:kern w:val="0"/>
          <w:sz w:val="22"/>
          <w:szCs w:val="22"/>
          <w14:ligatures w14:val="none"/>
        </w:rPr>
        <w:t>The im</w:t>
      </w:r>
      <w:r w:rsidR="002B754D" w:rsidRPr="00E030DC">
        <w:rPr>
          <w:rFonts w:ascii="Arial" w:hAnsi="Arial" w:cs="Arial"/>
          <w:b/>
          <w:bCs/>
          <w:kern w:val="0"/>
          <w:sz w:val="22"/>
          <w:szCs w:val="22"/>
          <w14:ligatures w14:val="none"/>
        </w:rPr>
        <w:t>pact of TB globally and in the uk</w:t>
      </w:r>
      <w:r w:rsidR="002E0B4A" w:rsidRPr="00E030DC">
        <w:rPr>
          <w:rFonts w:ascii="Arial" w:hAnsi="Arial" w:cs="Arial"/>
          <w:b/>
          <w:bCs/>
          <w:kern w:val="0"/>
          <w:sz w:val="22"/>
          <w:szCs w:val="22"/>
          <w14:ligatures w14:val="none"/>
        </w:rPr>
        <w:t xml:space="preserve"> (consequences)</w:t>
      </w:r>
    </w:p>
    <w:p w14:paraId="63C60D4F" w14:textId="6117B6CB" w:rsidR="00361673" w:rsidRPr="00E030DC" w:rsidRDefault="00361673" w:rsidP="00050AF4">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t xml:space="preserve">The impact of tuberculosis extends far beyond physical illness, affecting individuals and communities in multiple ways. Economically, TB disproportionately affects individuals in their most productive years, leading to loss of income and reduced productivity. Patients undergoing treatment may be unable to work for extended periods, resulting in financial hardship. Additionally, the costs associated with healthcare, transportation and nutrition can place a significant burden on households. Research has shown that TB can push families into poverty, particularly in low-income settings where social protection systems </w:t>
      </w:r>
      <w:r w:rsidR="00F532F5" w:rsidRPr="00E030DC">
        <w:rPr>
          <w:rFonts w:ascii="Arial" w:hAnsi="Arial" w:cs="Arial"/>
          <w:kern w:val="0"/>
          <w:sz w:val="22"/>
          <w:szCs w:val="22"/>
          <w14:ligatures w14:val="none"/>
        </w:rPr>
        <w:t>limited.</w:t>
      </w:r>
      <w:r w:rsidRPr="00E030DC">
        <w:rPr>
          <w:rFonts w:ascii="Arial" w:hAnsi="Arial" w:cs="Arial"/>
          <w:kern w:val="0"/>
          <w:sz w:val="22"/>
          <w:szCs w:val="22"/>
          <w14:ligatures w14:val="none"/>
        </w:rPr>
        <w:t xml:space="preserve"> Even in developed countries, vulnerable populations may face economic challenges due to limited access to financial support.</w:t>
      </w:r>
    </w:p>
    <w:p w14:paraId="63C1E636" w14:textId="2678DD1B" w:rsidR="00361673" w:rsidRPr="00E030DC" w:rsidRDefault="00361673" w:rsidP="00050AF4">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lastRenderedPageBreak/>
        <w:t xml:space="preserve">Social stigma and discrimination remain significant barriers to TB control. The disease is often associated with poverty, overcrowding and poor living conditions, leading to negative </w:t>
      </w:r>
      <w:r w:rsidR="00590968" w:rsidRPr="00E030DC">
        <w:rPr>
          <w:rFonts w:ascii="Arial" w:hAnsi="Arial" w:cs="Arial"/>
          <w:kern w:val="0"/>
          <w:sz w:val="22"/>
          <w:szCs w:val="22"/>
          <w14:ligatures w14:val="none"/>
        </w:rPr>
        <w:t>beliefs</w:t>
      </w:r>
      <w:r w:rsidRPr="00E030DC">
        <w:rPr>
          <w:rFonts w:ascii="Arial" w:hAnsi="Arial" w:cs="Arial"/>
          <w:kern w:val="0"/>
          <w:sz w:val="22"/>
          <w:szCs w:val="22"/>
          <w14:ligatures w14:val="none"/>
        </w:rPr>
        <w:t xml:space="preserve"> and social exclusion. Individuals diagnosed with TB may experience discrimination in employment, </w:t>
      </w:r>
      <w:r w:rsidR="00590968" w:rsidRPr="00E030DC">
        <w:rPr>
          <w:rFonts w:ascii="Arial" w:hAnsi="Arial" w:cs="Arial"/>
          <w:kern w:val="0"/>
          <w:sz w:val="22"/>
          <w:szCs w:val="22"/>
          <w14:ligatures w14:val="none"/>
        </w:rPr>
        <w:t>education,</w:t>
      </w:r>
      <w:r w:rsidRPr="00E030DC">
        <w:rPr>
          <w:rFonts w:ascii="Arial" w:hAnsi="Arial" w:cs="Arial"/>
          <w:kern w:val="0"/>
          <w:sz w:val="22"/>
          <w:szCs w:val="22"/>
          <w14:ligatures w14:val="none"/>
        </w:rPr>
        <w:t xml:space="preserve"> and social relationships. This stigma can discourage people from seeking medical care, resulting in delayed diagnosis and increased transmission. Addressing stigma requires comprehensive public health education and community engagement to improve understanding and reduce misconceptions about the </w:t>
      </w:r>
      <w:r w:rsidR="00590968" w:rsidRPr="00E030DC">
        <w:rPr>
          <w:rFonts w:ascii="Arial" w:hAnsi="Arial" w:cs="Arial"/>
          <w:kern w:val="0"/>
          <w:sz w:val="22"/>
          <w:szCs w:val="22"/>
          <w14:ligatures w14:val="none"/>
        </w:rPr>
        <w:t>disease.</w:t>
      </w:r>
    </w:p>
    <w:p w14:paraId="2185BD70" w14:textId="2249C110" w:rsidR="00361673" w:rsidRPr="00E030DC" w:rsidRDefault="00361673" w:rsidP="00050AF4">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t xml:space="preserve">In addition to economic and social consequences, TB has a profound psychological impact on affected individuals. Patients may experience anxiety, depression and feelings of isolation due to the prolonged nature of treatment and the stigma associated with the disease. These psychological challenges can negatively affect treatment adherence, increasing the risk of poor outcomes and disease recurrence. Integrating mental health services into TB care is therefore essential to ensure holistic patient support and improve treatment success </w:t>
      </w:r>
      <w:r w:rsidR="006D6D9F" w:rsidRPr="00E030DC">
        <w:rPr>
          <w:rFonts w:ascii="Arial" w:hAnsi="Arial" w:cs="Arial"/>
          <w:kern w:val="0"/>
          <w:sz w:val="22"/>
          <w:szCs w:val="22"/>
          <w14:ligatures w14:val="none"/>
        </w:rPr>
        <w:t>rates.</w:t>
      </w:r>
    </w:p>
    <w:p w14:paraId="67E6807A" w14:textId="65CC6229" w:rsidR="00361673" w:rsidRPr="00E030DC" w:rsidRDefault="00361673" w:rsidP="00050AF4">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t xml:space="preserve">At the community level, tuberculosis places a significant burden on healthcare systems. High TB prevalence increases demand for diagnostic services, treatment </w:t>
      </w:r>
      <w:r w:rsidR="00852278" w:rsidRPr="00E030DC">
        <w:rPr>
          <w:rFonts w:ascii="Arial" w:hAnsi="Arial" w:cs="Arial"/>
          <w:kern w:val="0"/>
          <w:sz w:val="22"/>
          <w:szCs w:val="22"/>
          <w14:ligatures w14:val="none"/>
        </w:rPr>
        <w:t>programmes,</w:t>
      </w:r>
      <w:r w:rsidRPr="00E030DC">
        <w:rPr>
          <w:rFonts w:ascii="Arial" w:hAnsi="Arial" w:cs="Arial"/>
          <w:kern w:val="0"/>
          <w:sz w:val="22"/>
          <w:szCs w:val="22"/>
          <w14:ligatures w14:val="none"/>
        </w:rPr>
        <w:t xml:space="preserve"> and follow-up care, which can strain limited healthcare resources. Furthermore, TB reduces workforce productivity and contributes to economic instability. The disease </w:t>
      </w:r>
      <w:r w:rsidR="00852278" w:rsidRPr="00E030DC">
        <w:rPr>
          <w:rFonts w:ascii="Arial" w:hAnsi="Arial" w:cs="Arial"/>
          <w:kern w:val="0"/>
          <w:sz w:val="22"/>
          <w:szCs w:val="22"/>
          <w14:ligatures w14:val="none"/>
        </w:rPr>
        <w:t>linked</w:t>
      </w:r>
      <w:r w:rsidRPr="00E030DC">
        <w:rPr>
          <w:rFonts w:ascii="Arial" w:hAnsi="Arial" w:cs="Arial"/>
          <w:kern w:val="0"/>
          <w:sz w:val="22"/>
          <w:szCs w:val="22"/>
          <w14:ligatures w14:val="none"/>
        </w:rPr>
        <w:t xml:space="preserve"> to broader social determinants such as poverty, malnutrition, </w:t>
      </w:r>
      <w:r w:rsidR="00852278" w:rsidRPr="00E030DC">
        <w:rPr>
          <w:rFonts w:ascii="Arial" w:hAnsi="Arial" w:cs="Arial"/>
          <w:kern w:val="0"/>
          <w:sz w:val="22"/>
          <w:szCs w:val="22"/>
          <w14:ligatures w14:val="none"/>
        </w:rPr>
        <w:t>overcrowding,</w:t>
      </w:r>
      <w:r w:rsidRPr="00E030DC">
        <w:rPr>
          <w:rFonts w:ascii="Arial" w:hAnsi="Arial" w:cs="Arial"/>
          <w:kern w:val="0"/>
          <w:sz w:val="22"/>
          <w:szCs w:val="22"/>
          <w14:ligatures w14:val="none"/>
        </w:rPr>
        <w:t xml:space="preserve"> and limited access to healthcare. As a result, TB is not only a medical issue but also a social and economic concern that requires a comprehensive public health response (World Health </w:t>
      </w:r>
      <w:r w:rsidR="006D6D9F" w:rsidRPr="00E030DC">
        <w:rPr>
          <w:rFonts w:ascii="Arial" w:hAnsi="Arial" w:cs="Arial"/>
          <w:kern w:val="0"/>
          <w:sz w:val="22"/>
          <w:szCs w:val="22"/>
          <w14:ligatures w14:val="none"/>
        </w:rPr>
        <w:t>Organisation</w:t>
      </w:r>
      <w:r w:rsidRPr="00E030DC">
        <w:rPr>
          <w:rFonts w:ascii="Arial" w:hAnsi="Arial" w:cs="Arial"/>
          <w:kern w:val="0"/>
          <w:sz w:val="22"/>
          <w:szCs w:val="22"/>
          <w14:ligatures w14:val="none"/>
        </w:rPr>
        <w:t>, 2024).</w:t>
      </w:r>
    </w:p>
    <w:p w14:paraId="599A5A82" w14:textId="79D1D4F9" w:rsidR="00361673" w:rsidRPr="00E030DC" w:rsidRDefault="00361673" w:rsidP="00050AF4">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t xml:space="preserve">Addressing TB effectively requires an integrated approach that combines medical treatment with social and psychological support. Standard TB treatment involves a combination of antibiotics taken over a period of at least six months. Ensuring </w:t>
      </w:r>
      <w:r w:rsidR="00852278" w:rsidRPr="00E030DC">
        <w:rPr>
          <w:rFonts w:ascii="Arial" w:hAnsi="Arial" w:cs="Arial"/>
          <w:kern w:val="0"/>
          <w:sz w:val="22"/>
          <w:szCs w:val="22"/>
          <w14:ligatures w14:val="none"/>
        </w:rPr>
        <w:t>treatment adherence</w:t>
      </w:r>
      <w:r w:rsidRPr="00E030DC">
        <w:rPr>
          <w:rFonts w:ascii="Arial" w:hAnsi="Arial" w:cs="Arial"/>
          <w:kern w:val="0"/>
          <w:sz w:val="22"/>
          <w:szCs w:val="22"/>
          <w14:ligatures w14:val="none"/>
        </w:rPr>
        <w:t xml:space="preserve"> is critical to prevent relapse and the development of drug-resistant TB. One widely used strategy is Directly Observed Therapy (DOT), in which healthcare providers supervise patients taking their medication. This approach </w:t>
      </w:r>
      <w:r w:rsidR="00852278" w:rsidRPr="00E030DC">
        <w:rPr>
          <w:rFonts w:ascii="Arial" w:hAnsi="Arial" w:cs="Arial"/>
          <w:kern w:val="0"/>
          <w:sz w:val="22"/>
          <w:szCs w:val="22"/>
          <w14:ligatures w14:val="none"/>
        </w:rPr>
        <w:t>has shown</w:t>
      </w:r>
      <w:r w:rsidRPr="00E030DC">
        <w:rPr>
          <w:rFonts w:ascii="Arial" w:hAnsi="Arial" w:cs="Arial"/>
          <w:kern w:val="0"/>
          <w:sz w:val="22"/>
          <w:szCs w:val="22"/>
          <w14:ligatures w14:val="none"/>
        </w:rPr>
        <w:t xml:space="preserve"> to improve treatment outcomes and reduce transmission rates (</w:t>
      </w:r>
      <w:r w:rsidR="006D6D9F" w:rsidRPr="00E030DC">
        <w:rPr>
          <w:rFonts w:ascii="Arial" w:hAnsi="Arial" w:cs="Arial"/>
          <w:kern w:val="0"/>
          <w:sz w:val="22"/>
          <w:szCs w:val="22"/>
          <w14:ligatures w14:val="none"/>
        </w:rPr>
        <w:t>Centres</w:t>
      </w:r>
      <w:r w:rsidRPr="00E030DC">
        <w:rPr>
          <w:rFonts w:ascii="Arial" w:hAnsi="Arial" w:cs="Arial"/>
          <w:kern w:val="0"/>
          <w:sz w:val="22"/>
          <w:szCs w:val="22"/>
          <w14:ligatures w14:val="none"/>
        </w:rPr>
        <w:t xml:space="preserve"> for Disease Control and Prevention, 2023).</w:t>
      </w:r>
    </w:p>
    <w:p w14:paraId="378D6328" w14:textId="3715CB3E" w:rsidR="00361673" w:rsidRPr="00E030DC" w:rsidRDefault="00361673" w:rsidP="00050AF4">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t xml:space="preserve">Mental health support is a key </w:t>
      </w:r>
      <w:r w:rsidR="00852278" w:rsidRPr="00E030DC">
        <w:rPr>
          <w:rFonts w:ascii="Arial" w:hAnsi="Arial" w:cs="Arial"/>
          <w:kern w:val="0"/>
          <w:sz w:val="22"/>
          <w:szCs w:val="22"/>
          <w14:ligatures w14:val="none"/>
        </w:rPr>
        <w:t>part</w:t>
      </w:r>
      <w:r w:rsidRPr="00E030DC">
        <w:rPr>
          <w:rFonts w:ascii="Arial" w:hAnsi="Arial" w:cs="Arial"/>
          <w:kern w:val="0"/>
          <w:sz w:val="22"/>
          <w:szCs w:val="22"/>
          <w14:ligatures w14:val="none"/>
        </w:rPr>
        <w:t xml:space="preserve"> of TB care. Counselling and psychological services help patients cope with the emotional burden of the disease, improving both </w:t>
      </w:r>
      <w:r w:rsidR="00852278" w:rsidRPr="00E030DC">
        <w:rPr>
          <w:rFonts w:ascii="Arial" w:hAnsi="Arial" w:cs="Arial"/>
          <w:kern w:val="0"/>
          <w:sz w:val="22"/>
          <w:szCs w:val="22"/>
          <w14:ligatures w14:val="none"/>
        </w:rPr>
        <w:t>well-being</w:t>
      </w:r>
      <w:r w:rsidRPr="00E030DC">
        <w:rPr>
          <w:rFonts w:ascii="Arial" w:hAnsi="Arial" w:cs="Arial"/>
          <w:kern w:val="0"/>
          <w:sz w:val="22"/>
          <w:szCs w:val="22"/>
          <w14:ligatures w14:val="none"/>
        </w:rPr>
        <w:t xml:space="preserve"> and treatment adherence. In addition, social support services play a crucial role in addressing the broader determinants of health. Many TB patients </w:t>
      </w:r>
      <w:r w:rsidR="00852278" w:rsidRPr="00E030DC">
        <w:rPr>
          <w:rFonts w:ascii="Arial" w:hAnsi="Arial" w:cs="Arial"/>
          <w:kern w:val="0"/>
          <w:sz w:val="22"/>
          <w:szCs w:val="22"/>
          <w14:ligatures w14:val="none"/>
        </w:rPr>
        <w:t>need</w:t>
      </w:r>
      <w:r w:rsidRPr="00E030DC">
        <w:rPr>
          <w:rFonts w:ascii="Arial" w:hAnsi="Arial" w:cs="Arial"/>
          <w:kern w:val="0"/>
          <w:sz w:val="22"/>
          <w:szCs w:val="22"/>
          <w14:ligatures w14:val="none"/>
        </w:rPr>
        <w:t xml:space="preserve"> </w:t>
      </w:r>
      <w:r w:rsidR="00852278" w:rsidRPr="00E030DC">
        <w:rPr>
          <w:rFonts w:ascii="Arial" w:hAnsi="Arial" w:cs="Arial"/>
          <w:kern w:val="0"/>
          <w:sz w:val="22"/>
          <w:szCs w:val="22"/>
          <w14:ligatures w14:val="none"/>
        </w:rPr>
        <w:t>help</w:t>
      </w:r>
      <w:r w:rsidRPr="00E030DC">
        <w:rPr>
          <w:rFonts w:ascii="Arial" w:hAnsi="Arial" w:cs="Arial"/>
          <w:kern w:val="0"/>
          <w:sz w:val="22"/>
          <w:szCs w:val="22"/>
          <w14:ligatures w14:val="none"/>
        </w:rPr>
        <w:t xml:space="preserve"> with housing, </w:t>
      </w:r>
      <w:r w:rsidR="00852278" w:rsidRPr="00E030DC">
        <w:rPr>
          <w:rFonts w:ascii="Arial" w:hAnsi="Arial" w:cs="Arial"/>
          <w:kern w:val="0"/>
          <w:sz w:val="22"/>
          <w:szCs w:val="22"/>
          <w14:ligatures w14:val="none"/>
        </w:rPr>
        <w:t>nutrition,</w:t>
      </w:r>
      <w:r w:rsidRPr="00E030DC">
        <w:rPr>
          <w:rFonts w:ascii="Arial" w:hAnsi="Arial" w:cs="Arial"/>
          <w:kern w:val="0"/>
          <w:sz w:val="22"/>
          <w:szCs w:val="22"/>
          <w14:ligatures w14:val="none"/>
        </w:rPr>
        <w:t xml:space="preserve"> and financial support. Providing such services can significantly improve treatment outcomes and reduce health inequalities. For example, housing support can help reduce overcrowding, while </w:t>
      </w:r>
      <w:r w:rsidRPr="00E030DC">
        <w:rPr>
          <w:rFonts w:ascii="Arial" w:hAnsi="Arial" w:cs="Arial"/>
          <w:kern w:val="0"/>
          <w:sz w:val="22"/>
          <w:szCs w:val="22"/>
          <w14:ligatures w14:val="none"/>
        </w:rPr>
        <w:lastRenderedPageBreak/>
        <w:t>nutritional programmes can strengthen the immune system and support recovery (Public Health England, 2019).</w:t>
      </w:r>
    </w:p>
    <w:p w14:paraId="1B9E6FDB" w14:textId="61345811" w:rsidR="00361673" w:rsidRPr="00E030DC" w:rsidRDefault="00361673" w:rsidP="00050AF4">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t xml:space="preserve">Health education and community awareness are also essential in controlling TB. Public health campaigns can reduce stigma, promote early </w:t>
      </w:r>
      <w:r w:rsidR="00852278" w:rsidRPr="00E030DC">
        <w:rPr>
          <w:rFonts w:ascii="Arial" w:hAnsi="Arial" w:cs="Arial"/>
          <w:kern w:val="0"/>
          <w:sz w:val="22"/>
          <w:szCs w:val="22"/>
          <w14:ligatures w14:val="none"/>
        </w:rPr>
        <w:t>diagnosis,</w:t>
      </w:r>
      <w:r w:rsidRPr="00E030DC">
        <w:rPr>
          <w:rFonts w:ascii="Arial" w:hAnsi="Arial" w:cs="Arial"/>
          <w:kern w:val="0"/>
          <w:sz w:val="22"/>
          <w:szCs w:val="22"/>
          <w14:ligatures w14:val="none"/>
        </w:rPr>
        <w:t xml:space="preserve"> and encourage </w:t>
      </w:r>
      <w:r w:rsidR="00852278" w:rsidRPr="00E030DC">
        <w:rPr>
          <w:rFonts w:ascii="Arial" w:hAnsi="Arial" w:cs="Arial"/>
          <w:kern w:val="0"/>
          <w:sz w:val="22"/>
          <w:szCs w:val="22"/>
          <w14:ligatures w14:val="none"/>
        </w:rPr>
        <w:t>treatment adherence</w:t>
      </w:r>
      <w:r w:rsidRPr="00E030DC">
        <w:rPr>
          <w:rFonts w:ascii="Arial" w:hAnsi="Arial" w:cs="Arial"/>
          <w:kern w:val="0"/>
          <w:sz w:val="22"/>
          <w:szCs w:val="22"/>
          <w14:ligatures w14:val="none"/>
        </w:rPr>
        <w:t xml:space="preserve">. Educating communities about TB transmission, symptoms and prevention strategies empowers individuals to seek care promptly and reduces the spread of the disease. Community engagement is particularly important in ensuring that health messages are culturally </w:t>
      </w:r>
      <w:r w:rsidR="00852278" w:rsidRPr="00E030DC">
        <w:rPr>
          <w:rFonts w:ascii="Arial" w:hAnsi="Arial" w:cs="Arial"/>
          <w:kern w:val="0"/>
          <w:sz w:val="22"/>
          <w:szCs w:val="22"/>
          <w14:ligatures w14:val="none"/>
        </w:rPr>
        <w:t>right</w:t>
      </w:r>
      <w:r w:rsidRPr="00E030DC">
        <w:rPr>
          <w:rFonts w:ascii="Arial" w:hAnsi="Arial" w:cs="Arial"/>
          <w:kern w:val="0"/>
          <w:sz w:val="22"/>
          <w:szCs w:val="22"/>
          <w14:ligatures w14:val="none"/>
        </w:rPr>
        <w:t xml:space="preserve"> and accessible (World Health </w:t>
      </w:r>
      <w:r w:rsidR="006D6D9F" w:rsidRPr="00E030DC">
        <w:rPr>
          <w:rFonts w:ascii="Arial" w:hAnsi="Arial" w:cs="Arial"/>
          <w:kern w:val="0"/>
          <w:sz w:val="22"/>
          <w:szCs w:val="22"/>
          <w14:ligatures w14:val="none"/>
        </w:rPr>
        <w:t>Organisation</w:t>
      </w:r>
      <w:r w:rsidRPr="00E030DC">
        <w:rPr>
          <w:rFonts w:ascii="Arial" w:hAnsi="Arial" w:cs="Arial"/>
          <w:kern w:val="0"/>
          <w:sz w:val="22"/>
          <w:szCs w:val="22"/>
          <w14:ligatures w14:val="none"/>
        </w:rPr>
        <w:t>, 2024).</w:t>
      </w:r>
    </w:p>
    <w:p w14:paraId="5E164F58" w14:textId="79FA0C8D" w:rsidR="00852278" w:rsidRPr="00E030DC" w:rsidRDefault="00361673" w:rsidP="00050AF4">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t>In some cases, individuals who have completed TB treatment may experience long-term health complications, particularly lung damage. Pulmonary rehabilitation programmes can help improve respiratory function and overall quality of life. Ongoing medical care and monitoring are also important to detect potential relapse and manage chronic conditions associated with TB. Providing long-term support ensures that patients can fully recover and reintegrate into society (National Health Service, 2023).</w:t>
      </w:r>
    </w:p>
    <w:p w14:paraId="220BB7F9" w14:textId="77777777" w:rsidR="00852278" w:rsidRPr="00E030DC" w:rsidRDefault="00852278" w:rsidP="00050AF4">
      <w:pPr>
        <w:spacing w:before="100" w:beforeAutospacing="1" w:after="100" w:afterAutospacing="1" w:line="360" w:lineRule="auto"/>
        <w:jc w:val="both"/>
        <w:rPr>
          <w:rFonts w:ascii="Arial" w:hAnsi="Arial" w:cs="Arial"/>
          <w:kern w:val="0"/>
          <w:sz w:val="22"/>
          <w:szCs w:val="22"/>
          <w14:ligatures w14:val="none"/>
        </w:rPr>
      </w:pPr>
    </w:p>
    <w:p w14:paraId="5707F518" w14:textId="6297F611" w:rsidR="00852278" w:rsidRPr="00E030DC" w:rsidRDefault="00361673" w:rsidP="00050AF4">
      <w:pPr>
        <w:spacing w:before="100" w:beforeAutospacing="1" w:after="100" w:afterAutospacing="1" w:line="360" w:lineRule="auto"/>
        <w:jc w:val="both"/>
        <w:rPr>
          <w:rFonts w:ascii="Arial" w:hAnsi="Arial" w:cs="Arial"/>
          <w:b/>
          <w:bCs/>
          <w:kern w:val="0"/>
          <w:sz w:val="22"/>
          <w:szCs w:val="22"/>
          <w14:ligatures w14:val="none"/>
        </w:rPr>
      </w:pPr>
      <w:r w:rsidRPr="00E030DC">
        <w:rPr>
          <w:rFonts w:ascii="Arial" w:hAnsi="Arial" w:cs="Arial"/>
          <w:b/>
          <w:bCs/>
          <w:kern w:val="0"/>
          <w:sz w:val="22"/>
          <w:szCs w:val="22"/>
          <w14:ligatures w14:val="none"/>
        </w:rPr>
        <w:t xml:space="preserve"> </w:t>
      </w:r>
      <w:r w:rsidR="00852278" w:rsidRPr="00E030DC">
        <w:rPr>
          <w:rFonts w:ascii="Arial" w:hAnsi="Arial" w:cs="Arial"/>
          <w:b/>
          <w:bCs/>
          <w:kern w:val="0"/>
          <w:sz w:val="22"/>
          <w:szCs w:val="22"/>
          <w14:ligatures w14:val="none"/>
        </w:rPr>
        <w:t>C</w:t>
      </w:r>
      <w:r w:rsidRPr="00E030DC">
        <w:rPr>
          <w:rFonts w:ascii="Arial" w:hAnsi="Arial" w:cs="Arial"/>
          <w:b/>
          <w:bCs/>
          <w:kern w:val="0"/>
          <w:sz w:val="22"/>
          <w:szCs w:val="22"/>
          <w14:ligatures w14:val="none"/>
        </w:rPr>
        <w:t>onclusion</w:t>
      </w:r>
    </w:p>
    <w:p w14:paraId="4CA5E26C" w14:textId="0C178976" w:rsidR="00852278" w:rsidRDefault="00361673" w:rsidP="00E030DC">
      <w:pPr>
        <w:spacing w:before="100" w:beforeAutospacing="1" w:after="100" w:afterAutospacing="1" w:line="360" w:lineRule="auto"/>
        <w:jc w:val="both"/>
        <w:rPr>
          <w:rFonts w:ascii="Arial" w:hAnsi="Arial" w:cs="Arial"/>
          <w:kern w:val="0"/>
          <w:sz w:val="22"/>
          <w:szCs w:val="22"/>
          <w14:ligatures w14:val="none"/>
        </w:rPr>
      </w:pPr>
      <w:r w:rsidRPr="00E030DC">
        <w:rPr>
          <w:rFonts w:ascii="Arial" w:hAnsi="Arial" w:cs="Arial"/>
          <w:kern w:val="0"/>
          <w:sz w:val="22"/>
          <w:szCs w:val="22"/>
          <w14:ligatures w14:val="none"/>
        </w:rPr>
        <w:t xml:space="preserve"> </w:t>
      </w:r>
      <w:r w:rsidR="00852278" w:rsidRPr="00E030DC">
        <w:rPr>
          <w:rFonts w:ascii="Arial" w:hAnsi="Arial" w:cs="Arial"/>
          <w:kern w:val="0"/>
          <w:sz w:val="22"/>
          <w:szCs w:val="22"/>
          <w14:ligatures w14:val="none"/>
        </w:rPr>
        <w:t>TB is still</w:t>
      </w:r>
      <w:r w:rsidRPr="00E030DC">
        <w:rPr>
          <w:rFonts w:ascii="Arial" w:hAnsi="Arial" w:cs="Arial"/>
          <w:kern w:val="0"/>
          <w:sz w:val="22"/>
          <w:szCs w:val="22"/>
          <w14:ligatures w14:val="none"/>
        </w:rPr>
        <w:t xml:space="preserve"> a major global health challenge that requires a comprehensive and coordinated response. Effective monitoring through surveillance systems, screening programmes and advanced diagnostic tools is essential for controlling the spread of the disease. However, the impact of TB extends beyond physical illness, affecting psychological </w:t>
      </w:r>
      <w:r w:rsidR="00852278" w:rsidRPr="00E030DC">
        <w:rPr>
          <w:rFonts w:ascii="Arial" w:hAnsi="Arial" w:cs="Arial"/>
          <w:kern w:val="0"/>
          <w:sz w:val="22"/>
          <w:szCs w:val="22"/>
          <w14:ligatures w14:val="none"/>
        </w:rPr>
        <w:t>well-being</w:t>
      </w:r>
      <w:r w:rsidRPr="00E030DC">
        <w:rPr>
          <w:rFonts w:ascii="Arial" w:hAnsi="Arial" w:cs="Arial"/>
          <w:kern w:val="0"/>
          <w:sz w:val="22"/>
          <w:szCs w:val="22"/>
          <w14:ligatures w14:val="none"/>
        </w:rPr>
        <w:t xml:space="preserve">, social </w:t>
      </w:r>
      <w:r w:rsidR="00852278" w:rsidRPr="00E030DC">
        <w:rPr>
          <w:rFonts w:ascii="Arial" w:hAnsi="Arial" w:cs="Arial"/>
          <w:kern w:val="0"/>
          <w:sz w:val="22"/>
          <w:szCs w:val="22"/>
          <w14:ligatures w14:val="none"/>
        </w:rPr>
        <w:t>inclusion,</w:t>
      </w:r>
      <w:r w:rsidRPr="00E030DC">
        <w:rPr>
          <w:rFonts w:ascii="Arial" w:hAnsi="Arial" w:cs="Arial"/>
          <w:kern w:val="0"/>
          <w:sz w:val="22"/>
          <w:szCs w:val="22"/>
          <w14:ligatures w14:val="none"/>
        </w:rPr>
        <w:t xml:space="preserve"> and economic stability. Addressing these broader consequences requires an integrated approach that combines medical treatment with mental health support, social </w:t>
      </w:r>
      <w:r w:rsidR="00852278" w:rsidRPr="00E030DC">
        <w:rPr>
          <w:rFonts w:ascii="Arial" w:hAnsi="Arial" w:cs="Arial"/>
          <w:kern w:val="0"/>
          <w:sz w:val="22"/>
          <w:szCs w:val="22"/>
          <w14:ligatures w14:val="none"/>
        </w:rPr>
        <w:t>services,</w:t>
      </w:r>
      <w:r w:rsidRPr="00E030DC">
        <w:rPr>
          <w:rFonts w:ascii="Arial" w:hAnsi="Arial" w:cs="Arial"/>
          <w:kern w:val="0"/>
          <w:sz w:val="22"/>
          <w:szCs w:val="22"/>
          <w14:ligatures w14:val="none"/>
        </w:rPr>
        <w:t xml:space="preserve"> and community engagement. By tackling both the clinical and social determinants of tuberculosis, healthcare systems can reduce disease burden, improve patient </w:t>
      </w:r>
      <w:r w:rsidR="00852278" w:rsidRPr="00E030DC">
        <w:rPr>
          <w:rFonts w:ascii="Arial" w:hAnsi="Arial" w:cs="Arial"/>
          <w:kern w:val="0"/>
          <w:sz w:val="22"/>
          <w:szCs w:val="22"/>
          <w14:ligatures w14:val="none"/>
        </w:rPr>
        <w:t>outcomes,</w:t>
      </w:r>
      <w:r w:rsidRPr="00E030DC">
        <w:rPr>
          <w:rFonts w:ascii="Arial" w:hAnsi="Arial" w:cs="Arial"/>
          <w:kern w:val="0"/>
          <w:sz w:val="22"/>
          <w:szCs w:val="22"/>
          <w14:ligatures w14:val="none"/>
        </w:rPr>
        <w:t xml:space="preserve"> and move closer to the goal of TB </w:t>
      </w:r>
      <w:r w:rsidR="00B02568" w:rsidRPr="00E030DC">
        <w:rPr>
          <w:rFonts w:ascii="Arial" w:hAnsi="Arial" w:cs="Arial"/>
          <w:kern w:val="0"/>
          <w:sz w:val="22"/>
          <w:szCs w:val="22"/>
          <w14:ligatures w14:val="none"/>
        </w:rPr>
        <w:t xml:space="preserve">elimination. </w:t>
      </w:r>
      <w:r w:rsidR="00CC61E2" w:rsidRPr="00E030DC">
        <w:rPr>
          <w:rFonts w:ascii="Arial" w:hAnsi="Arial" w:cs="Arial"/>
          <w:kern w:val="0"/>
          <w:sz w:val="22"/>
          <w:szCs w:val="22"/>
          <w14:ligatures w14:val="none"/>
        </w:rPr>
        <w:t xml:space="preserve">Monitoring TB </w:t>
      </w:r>
      <w:r w:rsidR="0017778C" w:rsidRPr="00E030DC">
        <w:rPr>
          <w:rFonts w:ascii="Arial" w:hAnsi="Arial" w:cs="Arial"/>
          <w:kern w:val="0"/>
          <w:sz w:val="22"/>
          <w:szCs w:val="22"/>
          <w14:ligatures w14:val="none"/>
        </w:rPr>
        <w:t xml:space="preserve">involves a combination of </w:t>
      </w:r>
      <w:r w:rsidR="00347EA9" w:rsidRPr="00E030DC">
        <w:rPr>
          <w:rFonts w:ascii="Arial" w:hAnsi="Arial" w:cs="Arial"/>
          <w:kern w:val="0"/>
          <w:sz w:val="22"/>
          <w:szCs w:val="22"/>
          <w14:ligatures w14:val="none"/>
        </w:rPr>
        <w:t xml:space="preserve">epidemiological, </w:t>
      </w:r>
      <w:r w:rsidR="00E31920" w:rsidRPr="00E030DC">
        <w:rPr>
          <w:rFonts w:ascii="Arial" w:hAnsi="Arial" w:cs="Arial"/>
          <w:kern w:val="0"/>
          <w:sz w:val="22"/>
          <w:szCs w:val="22"/>
          <w14:ligatures w14:val="none"/>
        </w:rPr>
        <w:t>clinical,</w:t>
      </w:r>
      <w:r w:rsidR="00347EA9" w:rsidRPr="00E030DC">
        <w:rPr>
          <w:rFonts w:ascii="Arial" w:hAnsi="Arial" w:cs="Arial"/>
          <w:kern w:val="0"/>
          <w:sz w:val="22"/>
          <w:szCs w:val="22"/>
          <w14:ligatures w14:val="none"/>
        </w:rPr>
        <w:t xml:space="preserve"> and l</w:t>
      </w:r>
      <w:r w:rsidR="00E31920" w:rsidRPr="00E030DC">
        <w:rPr>
          <w:rFonts w:ascii="Arial" w:hAnsi="Arial" w:cs="Arial"/>
          <w:kern w:val="0"/>
          <w:sz w:val="22"/>
          <w:szCs w:val="22"/>
          <w14:ligatures w14:val="none"/>
        </w:rPr>
        <w:t>aboratory-based approaches</w:t>
      </w:r>
      <w:r w:rsidR="007C09B0" w:rsidRPr="00E030DC">
        <w:rPr>
          <w:rFonts w:ascii="Arial" w:hAnsi="Arial" w:cs="Arial"/>
          <w:kern w:val="0"/>
          <w:sz w:val="22"/>
          <w:szCs w:val="22"/>
          <w14:ligatures w14:val="none"/>
        </w:rPr>
        <w:t xml:space="preserve">, these methods are essential for tracking </w:t>
      </w:r>
      <w:r w:rsidR="004557AC" w:rsidRPr="00E030DC">
        <w:rPr>
          <w:rFonts w:ascii="Arial" w:hAnsi="Arial" w:cs="Arial"/>
          <w:kern w:val="0"/>
          <w:sz w:val="22"/>
          <w:szCs w:val="22"/>
          <w14:ligatures w14:val="none"/>
        </w:rPr>
        <w:t>the disease trends evalua</w:t>
      </w:r>
      <w:r w:rsidR="00D21291" w:rsidRPr="00E030DC">
        <w:rPr>
          <w:rFonts w:ascii="Arial" w:hAnsi="Arial" w:cs="Arial"/>
          <w:kern w:val="0"/>
          <w:sz w:val="22"/>
          <w:szCs w:val="22"/>
          <w14:ligatures w14:val="none"/>
        </w:rPr>
        <w:t>ting intervention and guiding policy</w:t>
      </w:r>
      <w:r w:rsidR="00AB4C20" w:rsidRPr="00E030DC">
        <w:rPr>
          <w:rFonts w:ascii="Arial" w:hAnsi="Arial" w:cs="Arial"/>
          <w:kern w:val="0"/>
          <w:sz w:val="22"/>
          <w:szCs w:val="22"/>
          <w14:ligatures w14:val="none"/>
        </w:rPr>
        <w:t xml:space="preserve"> decisions</w:t>
      </w:r>
    </w:p>
    <w:p w14:paraId="315AE72D" w14:textId="77777777" w:rsidR="002F7011" w:rsidRDefault="002F7011" w:rsidP="00E030DC">
      <w:pPr>
        <w:spacing w:before="100" w:beforeAutospacing="1" w:after="100" w:afterAutospacing="1" w:line="360" w:lineRule="auto"/>
        <w:jc w:val="both"/>
        <w:rPr>
          <w:rFonts w:ascii="Arial" w:hAnsi="Arial" w:cs="Arial"/>
          <w:kern w:val="0"/>
          <w:sz w:val="22"/>
          <w:szCs w:val="22"/>
          <w14:ligatures w14:val="none"/>
        </w:rPr>
      </w:pPr>
    </w:p>
    <w:p w14:paraId="0F4ADE82" w14:textId="77777777" w:rsidR="002F7011" w:rsidRDefault="002F7011" w:rsidP="00E030DC">
      <w:pPr>
        <w:spacing w:before="100" w:beforeAutospacing="1" w:after="100" w:afterAutospacing="1" w:line="360" w:lineRule="auto"/>
        <w:jc w:val="both"/>
        <w:rPr>
          <w:rFonts w:ascii="Arial" w:hAnsi="Arial" w:cs="Arial"/>
          <w:kern w:val="0"/>
          <w:sz w:val="22"/>
          <w:szCs w:val="22"/>
          <w14:ligatures w14:val="none"/>
        </w:rPr>
      </w:pPr>
    </w:p>
    <w:p w14:paraId="2A09A4A5" w14:textId="77777777" w:rsidR="002F7011" w:rsidRDefault="002F7011" w:rsidP="00E030DC">
      <w:pPr>
        <w:spacing w:before="100" w:beforeAutospacing="1" w:after="100" w:afterAutospacing="1" w:line="360" w:lineRule="auto"/>
        <w:jc w:val="both"/>
        <w:rPr>
          <w:rFonts w:ascii="Arial" w:hAnsi="Arial" w:cs="Arial"/>
          <w:kern w:val="0"/>
          <w:sz w:val="22"/>
          <w:szCs w:val="22"/>
          <w14:ligatures w14:val="none"/>
        </w:rPr>
      </w:pPr>
    </w:p>
    <w:p w14:paraId="05DEC5A1" w14:textId="77777777" w:rsidR="002F7011" w:rsidRDefault="002F7011" w:rsidP="00E030DC">
      <w:pPr>
        <w:spacing w:before="100" w:beforeAutospacing="1" w:after="100" w:afterAutospacing="1" w:line="360" w:lineRule="auto"/>
        <w:jc w:val="both"/>
        <w:rPr>
          <w:rFonts w:ascii="Arial" w:hAnsi="Arial" w:cs="Arial"/>
          <w:kern w:val="0"/>
          <w:sz w:val="22"/>
          <w:szCs w:val="22"/>
          <w14:ligatures w14:val="none"/>
        </w:rPr>
      </w:pPr>
    </w:p>
    <w:p w14:paraId="7A80C8F4" w14:textId="77777777" w:rsidR="002F7011" w:rsidRDefault="002F7011" w:rsidP="00E030DC">
      <w:pPr>
        <w:spacing w:before="100" w:beforeAutospacing="1" w:after="100" w:afterAutospacing="1" w:line="360" w:lineRule="auto"/>
        <w:jc w:val="both"/>
        <w:rPr>
          <w:rFonts w:ascii="Arial" w:hAnsi="Arial" w:cs="Arial"/>
          <w:kern w:val="0"/>
          <w:sz w:val="22"/>
          <w:szCs w:val="22"/>
          <w14:ligatures w14:val="none"/>
        </w:rPr>
      </w:pPr>
    </w:p>
    <w:p w14:paraId="5378BB06" w14:textId="77777777" w:rsidR="002F7011" w:rsidRPr="00E030DC" w:rsidRDefault="002F7011" w:rsidP="00E030DC">
      <w:pPr>
        <w:spacing w:before="100" w:beforeAutospacing="1" w:after="100" w:afterAutospacing="1" w:line="360" w:lineRule="auto"/>
        <w:jc w:val="both"/>
        <w:rPr>
          <w:rStyle w:val="s1"/>
          <w:rFonts w:ascii="Arial" w:hAnsi="Arial" w:cs="Arial"/>
          <w:b/>
          <w:bCs/>
          <w:kern w:val="0"/>
          <w:sz w:val="22"/>
          <w:szCs w:val="22"/>
          <w14:ligatures w14:val="none"/>
        </w:rPr>
      </w:pPr>
    </w:p>
    <w:p w14:paraId="35CF0E1F" w14:textId="635D8AD5" w:rsidR="00A30240" w:rsidRPr="00A30240" w:rsidRDefault="00544459" w:rsidP="00EC1BF1">
      <w:pPr>
        <w:pStyle w:val="p1"/>
        <w:rPr>
          <w:rStyle w:val="s1"/>
          <w:sz w:val="22"/>
          <w:szCs w:val="22"/>
        </w:rPr>
      </w:pPr>
      <w:r>
        <w:rPr>
          <w:rStyle w:val="s1"/>
        </w:rPr>
        <w:t>Reference L</w:t>
      </w:r>
      <w:r w:rsidR="00A30240">
        <w:rPr>
          <w:rStyle w:val="s1"/>
        </w:rPr>
        <w:t>ist</w:t>
      </w:r>
    </w:p>
    <w:p w14:paraId="0735BD9D" w14:textId="72945254" w:rsidR="008E5413" w:rsidRDefault="008E5413" w:rsidP="008E5413">
      <w:pPr>
        <w:pStyle w:val="p1"/>
      </w:pPr>
      <w:r>
        <w:rPr>
          <w:rStyle w:val="s1"/>
        </w:rPr>
        <w:t xml:space="preserve">Centres for Disease Control and Prevention (2023) </w:t>
      </w:r>
      <w:r>
        <w:rPr>
          <w:rStyle w:val="s2"/>
        </w:rPr>
        <w:t>Tuberculosis (TB)</w:t>
      </w:r>
      <w:r>
        <w:rPr>
          <w:rStyle w:val="s1"/>
        </w:rPr>
        <w:t xml:space="preserve">. Available at: </w:t>
      </w:r>
      <w:hyperlink r:id="rId7" w:history="1">
        <w:r w:rsidRPr="008C78A0">
          <w:rPr>
            <w:rStyle w:val="Hyperlink"/>
          </w:rPr>
          <w:t>https://www.cdc.gov/tb</w:t>
        </w:r>
      </w:hyperlink>
      <w:r>
        <w:rPr>
          <w:rStyle w:val="s1"/>
        </w:rPr>
        <w:t xml:space="preserve">  (Accessed: 12 April 2026).</w:t>
      </w:r>
    </w:p>
    <w:p w14:paraId="06D842B9" w14:textId="0BA137CA" w:rsidR="008E5413" w:rsidRDefault="008E5413" w:rsidP="008E5413">
      <w:pPr>
        <w:pStyle w:val="p1"/>
      </w:pPr>
      <w:r>
        <w:rPr>
          <w:rStyle w:val="s1"/>
        </w:rPr>
        <w:t xml:space="preserve">National Health Service (2023) </w:t>
      </w:r>
      <w:r>
        <w:rPr>
          <w:rStyle w:val="s2"/>
        </w:rPr>
        <w:t>Tuberculosis (TB)</w:t>
      </w:r>
      <w:r>
        <w:rPr>
          <w:rStyle w:val="s1"/>
        </w:rPr>
        <w:t xml:space="preserve">. Available at: </w:t>
      </w:r>
      <w:hyperlink r:id="rId8" w:history="1">
        <w:r w:rsidRPr="008C78A0">
          <w:rPr>
            <w:rStyle w:val="Hyperlink"/>
          </w:rPr>
          <w:t>https://www.nhs.uk/conditions/tuberculosis-tb/</w:t>
        </w:r>
      </w:hyperlink>
      <w:r>
        <w:rPr>
          <w:rStyle w:val="s1"/>
        </w:rPr>
        <w:t xml:space="preserve">  (Accessed: 10 April 2026).</w:t>
      </w:r>
    </w:p>
    <w:p w14:paraId="2F93C5EF" w14:textId="7DE87E84" w:rsidR="008E5413" w:rsidRDefault="008E5413" w:rsidP="008E5413">
      <w:pPr>
        <w:pStyle w:val="p1"/>
      </w:pPr>
      <w:r>
        <w:rPr>
          <w:rStyle w:val="s1"/>
        </w:rPr>
        <w:t xml:space="preserve">Public Health England (2019) </w:t>
      </w:r>
      <w:r>
        <w:rPr>
          <w:rStyle w:val="s2"/>
        </w:rPr>
        <w:t>Tuberculosis in England: 2019 report</w:t>
      </w:r>
      <w:r>
        <w:rPr>
          <w:rStyle w:val="s1"/>
        </w:rPr>
        <w:t xml:space="preserve">. Available at: </w:t>
      </w:r>
      <w:hyperlink r:id="rId9" w:history="1">
        <w:r w:rsidRPr="008C78A0">
          <w:rPr>
            <w:rStyle w:val="Hyperlink"/>
          </w:rPr>
          <w:t>https://www.gov.uk/government/publications/tuberculosis-in-england-annual-report</w:t>
        </w:r>
      </w:hyperlink>
      <w:r>
        <w:rPr>
          <w:rStyle w:val="s1"/>
        </w:rPr>
        <w:t xml:space="preserve">  (Accessed: 14 April 2026).</w:t>
      </w:r>
    </w:p>
    <w:p w14:paraId="223389B1" w14:textId="3A218709" w:rsidR="008E5413" w:rsidRDefault="008E5413" w:rsidP="008E5413">
      <w:pPr>
        <w:pStyle w:val="p1"/>
      </w:pPr>
      <w:r>
        <w:rPr>
          <w:rStyle w:val="s1"/>
        </w:rPr>
        <w:t xml:space="preserve">UK Health Security Agency (2024) </w:t>
      </w:r>
      <w:r>
        <w:rPr>
          <w:rStyle w:val="s2"/>
        </w:rPr>
        <w:t>Tuberculosis in England: 2024 report</w:t>
      </w:r>
      <w:r>
        <w:rPr>
          <w:rStyle w:val="s1"/>
        </w:rPr>
        <w:t xml:space="preserve">. Available at: </w:t>
      </w:r>
      <w:hyperlink r:id="rId10" w:history="1">
        <w:r w:rsidRPr="008C78A0">
          <w:rPr>
            <w:rStyle w:val="Hyperlink"/>
          </w:rPr>
          <w:t>https://www.gov.uk/government/publications/tuberculosis-in-england-annual-report</w:t>
        </w:r>
      </w:hyperlink>
      <w:r>
        <w:rPr>
          <w:rStyle w:val="s1"/>
        </w:rPr>
        <w:t xml:space="preserve">  (Accessed: 10 April 2026).</w:t>
      </w:r>
    </w:p>
    <w:p w14:paraId="6C4D3DFE" w14:textId="3D5024CD" w:rsidR="008E5413" w:rsidRDefault="008E5413" w:rsidP="008E5413">
      <w:pPr>
        <w:pStyle w:val="p1"/>
      </w:pPr>
      <w:r>
        <w:rPr>
          <w:rStyle w:val="s1"/>
        </w:rPr>
        <w:t xml:space="preserve">UK Health Security Agency (2024) </w:t>
      </w:r>
      <w:r>
        <w:rPr>
          <w:rStyle w:val="s2"/>
        </w:rPr>
        <w:t>Tuberculosis in England: 2024 report</w:t>
      </w:r>
      <w:r>
        <w:rPr>
          <w:rStyle w:val="s1"/>
        </w:rPr>
        <w:t xml:space="preserve">. Available at: </w:t>
      </w:r>
      <w:hyperlink r:id="rId11" w:history="1">
        <w:r w:rsidRPr="008C78A0">
          <w:rPr>
            <w:rStyle w:val="Hyperlink"/>
          </w:rPr>
          <w:t>https://www.gov.uk/government/publications/tuberculosis-in-england-annual-report</w:t>
        </w:r>
      </w:hyperlink>
      <w:r>
        <w:rPr>
          <w:rStyle w:val="s1"/>
        </w:rPr>
        <w:t xml:space="preserve">  (Accessed: 12 April 2026).</w:t>
      </w:r>
    </w:p>
    <w:p w14:paraId="6A5024F1" w14:textId="0E1BDA34" w:rsidR="008E5413" w:rsidRDefault="008E5413">
      <w:pPr>
        <w:pStyle w:val="p1"/>
      </w:pPr>
      <w:r>
        <w:rPr>
          <w:rStyle w:val="s1"/>
        </w:rPr>
        <w:t xml:space="preserve">World Health Organisation (2024) </w:t>
      </w:r>
      <w:r>
        <w:rPr>
          <w:rStyle w:val="s2"/>
        </w:rPr>
        <w:t>Global tuberculosis report 2024</w:t>
      </w:r>
      <w:r>
        <w:rPr>
          <w:rStyle w:val="s1"/>
        </w:rPr>
        <w:t xml:space="preserve">. Available at: </w:t>
      </w:r>
      <w:hyperlink r:id="rId12" w:history="1">
        <w:r w:rsidRPr="008C78A0">
          <w:rPr>
            <w:rStyle w:val="Hyperlink"/>
          </w:rPr>
          <w:t>https://www.who.int/teams/global-tuberculosis-programme/tb-reports</w:t>
        </w:r>
      </w:hyperlink>
      <w:r>
        <w:rPr>
          <w:rStyle w:val="s1"/>
        </w:rPr>
        <w:t xml:space="preserve">  (Accessed: 10 April 2026).</w:t>
      </w:r>
    </w:p>
    <w:p w14:paraId="02664B37" w14:textId="77777777" w:rsidR="00C35B2F" w:rsidRPr="00CB3DB6" w:rsidRDefault="00C35B2F">
      <w:pPr>
        <w:rPr>
          <w:sz w:val="22"/>
          <w:szCs w:val="22"/>
        </w:rPr>
      </w:pPr>
    </w:p>
    <w:sectPr w:rsidR="00C35B2F" w:rsidRPr="00CB3D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734A4" w14:textId="77777777" w:rsidR="000F70DE" w:rsidRDefault="000F70DE" w:rsidP="00115765">
      <w:pPr>
        <w:spacing w:after="0" w:line="240" w:lineRule="auto"/>
      </w:pPr>
      <w:r>
        <w:separator/>
      </w:r>
    </w:p>
  </w:endnote>
  <w:endnote w:type="continuationSeparator" w:id="0">
    <w:p w14:paraId="52A17F86" w14:textId="77777777" w:rsidR="000F70DE" w:rsidRDefault="000F70DE" w:rsidP="00115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F5DCC" w14:textId="77777777" w:rsidR="000F70DE" w:rsidRDefault="000F70DE" w:rsidP="00115765">
      <w:pPr>
        <w:spacing w:after="0" w:line="240" w:lineRule="auto"/>
      </w:pPr>
      <w:r>
        <w:separator/>
      </w:r>
    </w:p>
  </w:footnote>
  <w:footnote w:type="continuationSeparator" w:id="0">
    <w:p w14:paraId="0FE4E4DE" w14:textId="77777777" w:rsidR="000F70DE" w:rsidRDefault="000F70DE" w:rsidP="00115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848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CC25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3428A6"/>
    <w:multiLevelType w:val="hybridMultilevel"/>
    <w:tmpl w:val="CDF6E812"/>
    <w:lvl w:ilvl="0" w:tplc="FFFFFFFF">
      <w:start w:val="2"/>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7668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5684965">
    <w:abstractNumId w:val="3"/>
  </w:num>
  <w:num w:numId="2" w16cid:durableId="1945838618">
    <w:abstractNumId w:val="2"/>
  </w:num>
  <w:num w:numId="3" w16cid:durableId="314072831">
    <w:abstractNumId w:val="1"/>
  </w:num>
  <w:num w:numId="4" w16cid:durableId="1116220889">
    <w:abstractNumId w:val="4"/>
  </w:num>
  <w:num w:numId="5" w16cid:durableId="1708606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DB6"/>
    <w:rsid w:val="000006B7"/>
    <w:rsid w:val="00003E48"/>
    <w:rsid w:val="0001317F"/>
    <w:rsid w:val="00014BCA"/>
    <w:rsid w:val="00024CEE"/>
    <w:rsid w:val="0002772E"/>
    <w:rsid w:val="00034776"/>
    <w:rsid w:val="000416F7"/>
    <w:rsid w:val="0005074C"/>
    <w:rsid w:val="00050AF4"/>
    <w:rsid w:val="0005317D"/>
    <w:rsid w:val="00072BE2"/>
    <w:rsid w:val="00074CF9"/>
    <w:rsid w:val="00090FA6"/>
    <w:rsid w:val="000912EF"/>
    <w:rsid w:val="000A2F3E"/>
    <w:rsid w:val="000F70DE"/>
    <w:rsid w:val="00107470"/>
    <w:rsid w:val="001122E9"/>
    <w:rsid w:val="00115765"/>
    <w:rsid w:val="001209DB"/>
    <w:rsid w:val="00126453"/>
    <w:rsid w:val="00156D86"/>
    <w:rsid w:val="00156EF9"/>
    <w:rsid w:val="001601E9"/>
    <w:rsid w:val="0016424C"/>
    <w:rsid w:val="00171F8D"/>
    <w:rsid w:val="0017778C"/>
    <w:rsid w:val="001857BC"/>
    <w:rsid w:val="00186490"/>
    <w:rsid w:val="001A31AC"/>
    <w:rsid w:val="001B4CD2"/>
    <w:rsid w:val="001B72BB"/>
    <w:rsid w:val="001B7CE0"/>
    <w:rsid w:val="001C40D0"/>
    <w:rsid w:val="001D6DEF"/>
    <w:rsid w:val="001E1DB3"/>
    <w:rsid w:val="001E286C"/>
    <w:rsid w:val="001E5686"/>
    <w:rsid w:val="001E68C1"/>
    <w:rsid w:val="001F4053"/>
    <w:rsid w:val="001F60F8"/>
    <w:rsid w:val="001F61AB"/>
    <w:rsid w:val="002007E5"/>
    <w:rsid w:val="00214876"/>
    <w:rsid w:val="0021737D"/>
    <w:rsid w:val="002173B6"/>
    <w:rsid w:val="002222A0"/>
    <w:rsid w:val="002265E8"/>
    <w:rsid w:val="00253FE5"/>
    <w:rsid w:val="00254CC6"/>
    <w:rsid w:val="002618D2"/>
    <w:rsid w:val="002629E4"/>
    <w:rsid w:val="00267A64"/>
    <w:rsid w:val="00270195"/>
    <w:rsid w:val="00274FD2"/>
    <w:rsid w:val="00284D15"/>
    <w:rsid w:val="00291665"/>
    <w:rsid w:val="00294567"/>
    <w:rsid w:val="00295D02"/>
    <w:rsid w:val="002A468F"/>
    <w:rsid w:val="002A6B67"/>
    <w:rsid w:val="002A7BA4"/>
    <w:rsid w:val="002B61C1"/>
    <w:rsid w:val="002B754D"/>
    <w:rsid w:val="002C35F0"/>
    <w:rsid w:val="002C7A68"/>
    <w:rsid w:val="002D7504"/>
    <w:rsid w:val="002E0B4A"/>
    <w:rsid w:val="002F429C"/>
    <w:rsid w:val="002F7011"/>
    <w:rsid w:val="00310B8B"/>
    <w:rsid w:val="003218D2"/>
    <w:rsid w:val="003356C8"/>
    <w:rsid w:val="00335D6D"/>
    <w:rsid w:val="00335F24"/>
    <w:rsid w:val="003412F7"/>
    <w:rsid w:val="00347EA9"/>
    <w:rsid w:val="00351BF1"/>
    <w:rsid w:val="00361673"/>
    <w:rsid w:val="003738B5"/>
    <w:rsid w:val="00376137"/>
    <w:rsid w:val="003769BC"/>
    <w:rsid w:val="0038455E"/>
    <w:rsid w:val="00387E35"/>
    <w:rsid w:val="00390022"/>
    <w:rsid w:val="0039200B"/>
    <w:rsid w:val="00393497"/>
    <w:rsid w:val="003B2329"/>
    <w:rsid w:val="003C3DEE"/>
    <w:rsid w:val="003C56C2"/>
    <w:rsid w:val="003D562D"/>
    <w:rsid w:val="003E36B2"/>
    <w:rsid w:val="003E5049"/>
    <w:rsid w:val="003E5A3A"/>
    <w:rsid w:val="003F2F14"/>
    <w:rsid w:val="004127B7"/>
    <w:rsid w:val="00422361"/>
    <w:rsid w:val="004276D6"/>
    <w:rsid w:val="0044588A"/>
    <w:rsid w:val="00453C27"/>
    <w:rsid w:val="004557AC"/>
    <w:rsid w:val="004833AB"/>
    <w:rsid w:val="00483506"/>
    <w:rsid w:val="00487A7E"/>
    <w:rsid w:val="00494B07"/>
    <w:rsid w:val="00495877"/>
    <w:rsid w:val="004A198B"/>
    <w:rsid w:val="004A283E"/>
    <w:rsid w:val="004A3D36"/>
    <w:rsid w:val="004B50C8"/>
    <w:rsid w:val="004C25E7"/>
    <w:rsid w:val="004C36AA"/>
    <w:rsid w:val="004C392E"/>
    <w:rsid w:val="004D4B7B"/>
    <w:rsid w:val="004E156A"/>
    <w:rsid w:val="004E4CE4"/>
    <w:rsid w:val="00506808"/>
    <w:rsid w:val="00521875"/>
    <w:rsid w:val="00522343"/>
    <w:rsid w:val="00533DF6"/>
    <w:rsid w:val="00537D32"/>
    <w:rsid w:val="0054295B"/>
    <w:rsid w:val="00544459"/>
    <w:rsid w:val="00545DC9"/>
    <w:rsid w:val="00556147"/>
    <w:rsid w:val="0055745E"/>
    <w:rsid w:val="00560AE2"/>
    <w:rsid w:val="00563B8A"/>
    <w:rsid w:val="00570D30"/>
    <w:rsid w:val="005732BE"/>
    <w:rsid w:val="00583D02"/>
    <w:rsid w:val="005856E3"/>
    <w:rsid w:val="00590968"/>
    <w:rsid w:val="005A5F77"/>
    <w:rsid w:val="005B44B9"/>
    <w:rsid w:val="005C271F"/>
    <w:rsid w:val="005C2C81"/>
    <w:rsid w:val="005C44CA"/>
    <w:rsid w:val="005E29FC"/>
    <w:rsid w:val="00601E72"/>
    <w:rsid w:val="00602310"/>
    <w:rsid w:val="00605EA7"/>
    <w:rsid w:val="00613D85"/>
    <w:rsid w:val="00620C23"/>
    <w:rsid w:val="00624B52"/>
    <w:rsid w:val="00625086"/>
    <w:rsid w:val="00625416"/>
    <w:rsid w:val="00641F40"/>
    <w:rsid w:val="00651C7D"/>
    <w:rsid w:val="00656929"/>
    <w:rsid w:val="0066161D"/>
    <w:rsid w:val="00693C53"/>
    <w:rsid w:val="00695431"/>
    <w:rsid w:val="006A1269"/>
    <w:rsid w:val="006A3131"/>
    <w:rsid w:val="006A3832"/>
    <w:rsid w:val="006B3FE0"/>
    <w:rsid w:val="006C3B98"/>
    <w:rsid w:val="006C51E5"/>
    <w:rsid w:val="006D3ED2"/>
    <w:rsid w:val="006D6D9F"/>
    <w:rsid w:val="006E6B92"/>
    <w:rsid w:val="00701828"/>
    <w:rsid w:val="00704E5C"/>
    <w:rsid w:val="0071039D"/>
    <w:rsid w:val="0071788A"/>
    <w:rsid w:val="00724415"/>
    <w:rsid w:val="00737A1C"/>
    <w:rsid w:val="007429D5"/>
    <w:rsid w:val="007452FA"/>
    <w:rsid w:val="00745B94"/>
    <w:rsid w:val="0075735D"/>
    <w:rsid w:val="00773491"/>
    <w:rsid w:val="00783740"/>
    <w:rsid w:val="00783B04"/>
    <w:rsid w:val="00793A0F"/>
    <w:rsid w:val="007C035B"/>
    <w:rsid w:val="007C09B0"/>
    <w:rsid w:val="007C3877"/>
    <w:rsid w:val="007D35EA"/>
    <w:rsid w:val="007D4E61"/>
    <w:rsid w:val="007F3DD5"/>
    <w:rsid w:val="007F785D"/>
    <w:rsid w:val="008077F2"/>
    <w:rsid w:val="008102DD"/>
    <w:rsid w:val="00815501"/>
    <w:rsid w:val="00824DE0"/>
    <w:rsid w:val="00842308"/>
    <w:rsid w:val="00845D48"/>
    <w:rsid w:val="00852278"/>
    <w:rsid w:val="00876672"/>
    <w:rsid w:val="00892DA0"/>
    <w:rsid w:val="008B0365"/>
    <w:rsid w:val="008B1E17"/>
    <w:rsid w:val="008B7BAA"/>
    <w:rsid w:val="008B7BDD"/>
    <w:rsid w:val="008C1B13"/>
    <w:rsid w:val="008C2EAE"/>
    <w:rsid w:val="008D3C5E"/>
    <w:rsid w:val="008E5413"/>
    <w:rsid w:val="008F5AF6"/>
    <w:rsid w:val="00900778"/>
    <w:rsid w:val="009126C5"/>
    <w:rsid w:val="00913DC6"/>
    <w:rsid w:val="009144D0"/>
    <w:rsid w:val="0092004F"/>
    <w:rsid w:val="00925C45"/>
    <w:rsid w:val="00926A82"/>
    <w:rsid w:val="00933E7E"/>
    <w:rsid w:val="009543D3"/>
    <w:rsid w:val="0099040B"/>
    <w:rsid w:val="00996275"/>
    <w:rsid w:val="009A02B9"/>
    <w:rsid w:val="009A11FC"/>
    <w:rsid w:val="009A1C61"/>
    <w:rsid w:val="009C6D8A"/>
    <w:rsid w:val="009D32F9"/>
    <w:rsid w:val="009D7EE6"/>
    <w:rsid w:val="009E3290"/>
    <w:rsid w:val="009E3441"/>
    <w:rsid w:val="009E3700"/>
    <w:rsid w:val="009F185A"/>
    <w:rsid w:val="00A01B1A"/>
    <w:rsid w:val="00A03C25"/>
    <w:rsid w:val="00A041B6"/>
    <w:rsid w:val="00A04464"/>
    <w:rsid w:val="00A04867"/>
    <w:rsid w:val="00A04FA6"/>
    <w:rsid w:val="00A24386"/>
    <w:rsid w:val="00A30240"/>
    <w:rsid w:val="00A47EFF"/>
    <w:rsid w:val="00A5791C"/>
    <w:rsid w:val="00A65986"/>
    <w:rsid w:val="00A86AF4"/>
    <w:rsid w:val="00A94CD8"/>
    <w:rsid w:val="00A958F0"/>
    <w:rsid w:val="00AA3A9D"/>
    <w:rsid w:val="00AA5350"/>
    <w:rsid w:val="00AA54CF"/>
    <w:rsid w:val="00AA5AC1"/>
    <w:rsid w:val="00AA69DD"/>
    <w:rsid w:val="00AB12A3"/>
    <w:rsid w:val="00AB4C20"/>
    <w:rsid w:val="00AB4C81"/>
    <w:rsid w:val="00AD4844"/>
    <w:rsid w:val="00AD51B7"/>
    <w:rsid w:val="00AD5202"/>
    <w:rsid w:val="00AE07E6"/>
    <w:rsid w:val="00AE1CC7"/>
    <w:rsid w:val="00B02568"/>
    <w:rsid w:val="00B0387F"/>
    <w:rsid w:val="00B03A72"/>
    <w:rsid w:val="00B03CEF"/>
    <w:rsid w:val="00B062AE"/>
    <w:rsid w:val="00B06DC9"/>
    <w:rsid w:val="00B07A52"/>
    <w:rsid w:val="00B123AC"/>
    <w:rsid w:val="00B13B2E"/>
    <w:rsid w:val="00B21021"/>
    <w:rsid w:val="00B2141D"/>
    <w:rsid w:val="00B32891"/>
    <w:rsid w:val="00B35895"/>
    <w:rsid w:val="00B45964"/>
    <w:rsid w:val="00B52840"/>
    <w:rsid w:val="00B57550"/>
    <w:rsid w:val="00B652C8"/>
    <w:rsid w:val="00B674FB"/>
    <w:rsid w:val="00BC216C"/>
    <w:rsid w:val="00BC6FFF"/>
    <w:rsid w:val="00BC7517"/>
    <w:rsid w:val="00BD3D51"/>
    <w:rsid w:val="00BD6C1E"/>
    <w:rsid w:val="00BE3B26"/>
    <w:rsid w:val="00BE42A4"/>
    <w:rsid w:val="00BE6510"/>
    <w:rsid w:val="00BE7542"/>
    <w:rsid w:val="00BF4FFB"/>
    <w:rsid w:val="00C06DD3"/>
    <w:rsid w:val="00C20D0E"/>
    <w:rsid w:val="00C20E8E"/>
    <w:rsid w:val="00C35B2F"/>
    <w:rsid w:val="00C40385"/>
    <w:rsid w:val="00C43DF7"/>
    <w:rsid w:val="00C51891"/>
    <w:rsid w:val="00C716C1"/>
    <w:rsid w:val="00C82F23"/>
    <w:rsid w:val="00C917EE"/>
    <w:rsid w:val="00CB3DB6"/>
    <w:rsid w:val="00CB6FCB"/>
    <w:rsid w:val="00CB78F1"/>
    <w:rsid w:val="00CC474A"/>
    <w:rsid w:val="00CC61E2"/>
    <w:rsid w:val="00CD4D51"/>
    <w:rsid w:val="00CE7EC2"/>
    <w:rsid w:val="00CF0AB3"/>
    <w:rsid w:val="00D05BB3"/>
    <w:rsid w:val="00D122E8"/>
    <w:rsid w:val="00D12F1F"/>
    <w:rsid w:val="00D17E49"/>
    <w:rsid w:val="00D21291"/>
    <w:rsid w:val="00D23E8D"/>
    <w:rsid w:val="00D313A7"/>
    <w:rsid w:val="00D37DDD"/>
    <w:rsid w:val="00D446BB"/>
    <w:rsid w:val="00D5121F"/>
    <w:rsid w:val="00D527B1"/>
    <w:rsid w:val="00D554BB"/>
    <w:rsid w:val="00D74F39"/>
    <w:rsid w:val="00D93C97"/>
    <w:rsid w:val="00D96BEF"/>
    <w:rsid w:val="00D97D1E"/>
    <w:rsid w:val="00DB72CF"/>
    <w:rsid w:val="00DD02DA"/>
    <w:rsid w:val="00DE32EC"/>
    <w:rsid w:val="00DE3514"/>
    <w:rsid w:val="00DE7CA1"/>
    <w:rsid w:val="00DF546F"/>
    <w:rsid w:val="00E01858"/>
    <w:rsid w:val="00E030DC"/>
    <w:rsid w:val="00E06EEF"/>
    <w:rsid w:val="00E16BFD"/>
    <w:rsid w:val="00E31920"/>
    <w:rsid w:val="00E401D8"/>
    <w:rsid w:val="00E46B95"/>
    <w:rsid w:val="00E55ACF"/>
    <w:rsid w:val="00E62301"/>
    <w:rsid w:val="00E6755F"/>
    <w:rsid w:val="00E765E9"/>
    <w:rsid w:val="00E7784E"/>
    <w:rsid w:val="00E938C5"/>
    <w:rsid w:val="00EA1C1B"/>
    <w:rsid w:val="00EA49B0"/>
    <w:rsid w:val="00EB41EF"/>
    <w:rsid w:val="00EC1BF1"/>
    <w:rsid w:val="00EF19AC"/>
    <w:rsid w:val="00EF3BD4"/>
    <w:rsid w:val="00F047C5"/>
    <w:rsid w:val="00F12A75"/>
    <w:rsid w:val="00F20D63"/>
    <w:rsid w:val="00F4641B"/>
    <w:rsid w:val="00F532F5"/>
    <w:rsid w:val="00F61428"/>
    <w:rsid w:val="00F646CC"/>
    <w:rsid w:val="00F74C0E"/>
    <w:rsid w:val="00F801C2"/>
    <w:rsid w:val="00F81B5F"/>
    <w:rsid w:val="00F81ED7"/>
    <w:rsid w:val="00F97B3F"/>
    <w:rsid w:val="00FA1992"/>
    <w:rsid w:val="00FC340A"/>
    <w:rsid w:val="00FC470C"/>
    <w:rsid w:val="00FC537A"/>
    <w:rsid w:val="00FC771A"/>
    <w:rsid w:val="00FD6825"/>
    <w:rsid w:val="00FE106D"/>
    <w:rsid w:val="00FE2BD4"/>
    <w:rsid w:val="00FE5776"/>
    <w:rsid w:val="00FF3E85"/>
    <w:rsid w:val="00FF5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9D8843"/>
  <w15:chartTrackingRefBased/>
  <w15:docId w15:val="{799A62B6-5724-444A-A17A-2D9B4621D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D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3D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B3D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B3D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D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D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D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D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D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D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D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D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D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D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D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D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D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DB6"/>
    <w:rPr>
      <w:rFonts w:eastAsiaTheme="majorEastAsia" w:cstheme="majorBidi"/>
      <w:color w:val="272727" w:themeColor="text1" w:themeTint="D8"/>
    </w:rPr>
  </w:style>
  <w:style w:type="paragraph" w:styleId="Title">
    <w:name w:val="Title"/>
    <w:basedOn w:val="Normal"/>
    <w:next w:val="Normal"/>
    <w:link w:val="TitleChar"/>
    <w:uiPriority w:val="10"/>
    <w:qFormat/>
    <w:rsid w:val="00CB3D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D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D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D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DB6"/>
    <w:pPr>
      <w:spacing w:before="160"/>
      <w:jc w:val="center"/>
    </w:pPr>
    <w:rPr>
      <w:i/>
      <w:iCs/>
      <w:color w:val="404040" w:themeColor="text1" w:themeTint="BF"/>
    </w:rPr>
  </w:style>
  <w:style w:type="character" w:customStyle="1" w:styleId="QuoteChar">
    <w:name w:val="Quote Char"/>
    <w:basedOn w:val="DefaultParagraphFont"/>
    <w:link w:val="Quote"/>
    <w:uiPriority w:val="29"/>
    <w:rsid w:val="00CB3DB6"/>
    <w:rPr>
      <w:i/>
      <w:iCs/>
      <w:color w:val="404040" w:themeColor="text1" w:themeTint="BF"/>
    </w:rPr>
  </w:style>
  <w:style w:type="paragraph" w:styleId="ListParagraph">
    <w:name w:val="List Paragraph"/>
    <w:basedOn w:val="Normal"/>
    <w:uiPriority w:val="34"/>
    <w:qFormat/>
    <w:rsid w:val="00CB3DB6"/>
    <w:pPr>
      <w:ind w:left="720"/>
      <w:contextualSpacing/>
    </w:pPr>
  </w:style>
  <w:style w:type="character" w:styleId="IntenseEmphasis">
    <w:name w:val="Intense Emphasis"/>
    <w:basedOn w:val="DefaultParagraphFont"/>
    <w:uiPriority w:val="21"/>
    <w:qFormat/>
    <w:rsid w:val="00CB3DB6"/>
    <w:rPr>
      <w:i/>
      <w:iCs/>
      <w:color w:val="0F4761" w:themeColor="accent1" w:themeShade="BF"/>
    </w:rPr>
  </w:style>
  <w:style w:type="paragraph" w:styleId="IntenseQuote">
    <w:name w:val="Intense Quote"/>
    <w:basedOn w:val="Normal"/>
    <w:next w:val="Normal"/>
    <w:link w:val="IntenseQuoteChar"/>
    <w:uiPriority w:val="30"/>
    <w:qFormat/>
    <w:rsid w:val="00CB3D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DB6"/>
    <w:rPr>
      <w:i/>
      <w:iCs/>
      <w:color w:val="0F4761" w:themeColor="accent1" w:themeShade="BF"/>
    </w:rPr>
  </w:style>
  <w:style w:type="character" w:styleId="IntenseReference">
    <w:name w:val="Intense Reference"/>
    <w:basedOn w:val="DefaultParagraphFont"/>
    <w:uiPriority w:val="32"/>
    <w:qFormat/>
    <w:rsid w:val="00CB3DB6"/>
    <w:rPr>
      <w:b/>
      <w:bCs/>
      <w:smallCaps/>
      <w:color w:val="0F4761" w:themeColor="accent1" w:themeShade="BF"/>
      <w:spacing w:val="5"/>
    </w:rPr>
  </w:style>
  <w:style w:type="paragraph" w:customStyle="1" w:styleId="p1">
    <w:name w:val="p1"/>
    <w:basedOn w:val="Normal"/>
    <w:rsid w:val="002007E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007E5"/>
  </w:style>
  <w:style w:type="paragraph" w:customStyle="1" w:styleId="p2">
    <w:name w:val="p2"/>
    <w:basedOn w:val="Normal"/>
    <w:rsid w:val="002007E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007E5"/>
  </w:style>
  <w:style w:type="paragraph" w:customStyle="1" w:styleId="p3">
    <w:name w:val="p3"/>
    <w:basedOn w:val="Normal"/>
    <w:rsid w:val="002007E5"/>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2007E5"/>
  </w:style>
  <w:style w:type="character" w:customStyle="1" w:styleId="s4">
    <w:name w:val="s4"/>
    <w:basedOn w:val="DefaultParagraphFont"/>
    <w:rsid w:val="002007E5"/>
  </w:style>
  <w:style w:type="character" w:styleId="Hyperlink">
    <w:name w:val="Hyperlink"/>
    <w:basedOn w:val="DefaultParagraphFont"/>
    <w:uiPriority w:val="99"/>
    <w:unhideWhenUsed/>
    <w:rsid w:val="00F047C5"/>
    <w:rPr>
      <w:color w:val="467886" w:themeColor="hyperlink"/>
      <w:u w:val="single"/>
    </w:rPr>
  </w:style>
  <w:style w:type="character" w:styleId="UnresolvedMention">
    <w:name w:val="Unresolved Mention"/>
    <w:basedOn w:val="DefaultParagraphFont"/>
    <w:uiPriority w:val="99"/>
    <w:semiHidden/>
    <w:unhideWhenUsed/>
    <w:rsid w:val="00F047C5"/>
    <w:rPr>
      <w:color w:val="605E5C"/>
      <w:shd w:val="clear" w:color="auto" w:fill="E1DFDD"/>
    </w:rPr>
  </w:style>
  <w:style w:type="paragraph" w:styleId="Header">
    <w:name w:val="header"/>
    <w:basedOn w:val="Normal"/>
    <w:link w:val="HeaderChar"/>
    <w:uiPriority w:val="99"/>
    <w:unhideWhenUsed/>
    <w:rsid w:val="001157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765"/>
  </w:style>
  <w:style w:type="paragraph" w:styleId="Footer">
    <w:name w:val="footer"/>
    <w:basedOn w:val="Normal"/>
    <w:link w:val="FooterChar"/>
    <w:uiPriority w:val="99"/>
    <w:unhideWhenUsed/>
    <w:rsid w:val="001157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765"/>
  </w:style>
  <w:style w:type="character" w:styleId="FollowedHyperlink">
    <w:name w:val="FollowedHyperlink"/>
    <w:basedOn w:val="DefaultParagraphFont"/>
    <w:uiPriority w:val="99"/>
    <w:semiHidden/>
    <w:unhideWhenUsed/>
    <w:rsid w:val="006D6D9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uberculosis-tb/"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dc.gov/tb" TargetMode="External"/><Relationship Id="rId12" Type="http://schemas.openxmlformats.org/officeDocument/2006/relationships/hyperlink" Target="https://www.who.int/teams/global-tuberculosis-programme/tb-repor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tuberculosis-in-england-annual-report" TargetMode="External"/><Relationship Id="rId5" Type="http://schemas.openxmlformats.org/officeDocument/2006/relationships/footnotes" Target="footnotes.xml"/><Relationship Id="rId10" Type="http://schemas.openxmlformats.org/officeDocument/2006/relationships/hyperlink" Target="https://www.gov.uk/government/publications/tuberculosis-in-england-annual-report" TargetMode="External"/><Relationship Id="rId4" Type="http://schemas.openxmlformats.org/officeDocument/2006/relationships/webSettings" Target="webSettings.xml"/><Relationship Id="rId9" Type="http://schemas.openxmlformats.org/officeDocument/2006/relationships/hyperlink" Target="https://www.gov.uk/government/publications/tuberculosis-in-england-annual-repor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1785</Words>
  <Characters>10177</Characters>
  <Application>Microsoft Office Word</Application>
  <DocSecurity>0</DocSecurity>
  <Lines>84</Lines>
  <Paragraphs>23</Paragraphs>
  <ScaleCrop>false</ScaleCrop>
  <Company/>
  <LinksUpToDate>false</LinksUpToDate>
  <CharactersWithSpaces>11939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Damilola Oladele (2508847)</dc:creator>
  <cp:keywords/>
  <dc:description/>
  <cp:lastModifiedBy>Damilola Oladele (2508847)</cp:lastModifiedBy>
  <cp:revision>2</cp:revision>
  <dcterms:created xsi:type="dcterms:W3CDTF">2026-04-17T07:40:00Z</dcterms:created>
  <dcterms:modified xsi:type="dcterms:W3CDTF">2026-04-17T07:40:00Z</dcterms:modified>
</cp:coreProperties>
</file>