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95C1CA" w14:textId="77777777" w:rsidR="00A232CB" w:rsidRDefault="00EC24BA" w:rsidP="00A232CB">
      <w:pPr>
        <w:jc w:val="center"/>
        <w:rPr>
          <w:rFonts w:ascii="Times New Roman" w:hAnsi="Times New Roman" w:cs="Times New Roman"/>
          <w:sz w:val="28"/>
          <w:szCs w:val="28"/>
          <w:lang w:eastAsia="en-GB"/>
        </w:rPr>
      </w:pPr>
      <w:r w:rsidRPr="00A232CB">
        <w:rPr>
          <w:rFonts w:ascii="Times New Roman" w:hAnsi="Times New Roman" w:cs="Times New Roman"/>
          <w:sz w:val="28"/>
          <w:szCs w:val="28"/>
          <w:lang w:eastAsia="en-GB"/>
        </w:rPr>
        <w:t>Analysis of </w:t>
      </w:r>
      <w:r w:rsidRPr="00A232CB">
        <w:rPr>
          <w:rFonts w:ascii="Times New Roman" w:hAnsi="Times New Roman" w:cs="Times New Roman"/>
          <w:sz w:val="28"/>
          <w:szCs w:val="28"/>
        </w:rPr>
        <w:t xml:space="preserve">Crown v. Grogan, Bowker, Gray, </w:t>
      </w:r>
      <w:proofErr w:type="spellStart"/>
      <w:r w:rsidRPr="00A232CB">
        <w:rPr>
          <w:rFonts w:ascii="Times New Roman" w:hAnsi="Times New Roman" w:cs="Times New Roman"/>
          <w:sz w:val="28"/>
          <w:szCs w:val="28"/>
        </w:rPr>
        <w:t>Fichat</w:t>
      </w:r>
      <w:proofErr w:type="spellEnd"/>
      <w:r w:rsidRPr="00A232CB">
        <w:rPr>
          <w:rFonts w:ascii="Times New Roman" w:hAnsi="Times New Roman" w:cs="Times New Roman"/>
          <w:sz w:val="28"/>
          <w:szCs w:val="28"/>
        </w:rPr>
        <w:t xml:space="preserve"> and Low</w:t>
      </w:r>
      <w:r w:rsidRPr="00A232CB">
        <w:rPr>
          <w:rFonts w:ascii="Times New Roman" w:hAnsi="Times New Roman" w:cs="Times New Roman"/>
          <w:sz w:val="28"/>
          <w:szCs w:val="28"/>
          <w:lang w:eastAsia="en-GB"/>
        </w:rPr>
        <w:t> (Judgment, 2 April 1907)</w:t>
      </w:r>
    </w:p>
    <w:p w14:paraId="7C0018B7" w14:textId="77777777"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This primary source analysis will talk about the 1907 Nairobi judgment against European settlers who publicly flogged three Kikuyu men. Authored by Town Magistrate H.O.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the document is a formal colonial court judgment rendered on 2 April 1907. It falls within the legal genre of an official trial report, intended as a record of the outcome for colonial authorities.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condemns the defendants’ vigilante flogging as an unlawful assembly’s offence, yet ultimately convicts them only of illegal assembly, not assault under Section 143 of the Indian Penal Code, which was also applied in East Africa. Grogan and Bowker each received brief jail terms and fines; </w:t>
      </w:r>
      <w:proofErr w:type="spellStart"/>
      <w:r w:rsidRPr="008B2385">
        <w:rPr>
          <w:rFonts w:ascii="Times New Roman" w:hAnsi="Times New Roman" w:cs="Times New Roman"/>
          <w:lang w:eastAsia="en-GB"/>
        </w:rPr>
        <w:t>Fichat</w:t>
      </w:r>
      <w:proofErr w:type="spellEnd"/>
      <w:r w:rsidRPr="008B2385">
        <w:rPr>
          <w:rFonts w:ascii="Times New Roman" w:hAnsi="Times New Roman" w:cs="Times New Roman"/>
          <w:lang w:eastAsia="en-GB"/>
        </w:rPr>
        <w:t xml:space="preserve">, less; and Low, a mere messenger, a token sentence. However, all five were almost immediately released on a procedural technicality, deeply undermining the judgment’s effect. The document’s language and content emphasise settler defiance versus colonial law. It omits any African perspective and skirts questions of police or judicial inadequacy. Its strength lies in providing a detailed official narrative, but as a colonial source, it reflects only the magistrate’s viewpoint. The case reveals the fraught balance between imperial authority and settler violence, though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upholds law in words, the leniency of both charge and enforcement illustrates colonial accountability’s limits.</w:t>
      </w:r>
    </w:p>
    <w:p w14:paraId="0B583C10" w14:textId="6049A9FE" w:rsidR="008336CF"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The judgment was written by Hugh Owen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Town Magistrate of Nairobi.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was a British-trained lawyer, called to the Bar in 1901, who arrived in East Africa as a colonial magistrate. Records note he served briefly as Nairobi Town Magistrate in 1906 and was formally appointed in February 1907. (Kenya Gazette, Vol. 9, No. 172, 1907) The date is explicitly given as 2 April 1907. The setting is the British East Africa Protectorate, now Kenya, a new colonial regime in which European settlers’ influence was rising. The case arose amid tensions between settlers demanding harsh discipline of Africans and colonial officials trying to maintain legal order. (Privy Council Papers, n.d.) Notably, </w:t>
      </w:r>
      <w:proofErr w:type="spellStart"/>
      <w:r w:rsidRPr="008B2385">
        <w:rPr>
          <w:rFonts w:ascii="Times New Roman" w:hAnsi="Times New Roman" w:cs="Times New Roman"/>
          <w:lang w:eastAsia="en-GB"/>
        </w:rPr>
        <w:t>Dolbey’s</w:t>
      </w:r>
      <w:proofErr w:type="spellEnd"/>
      <w:r w:rsidRPr="008B2385">
        <w:rPr>
          <w:rFonts w:ascii="Times New Roman" w:hAnsi="Times New Roman" w:cs="Times New Roman"/>
          <w:lang w:eastAsia="en-GB"/>
        </w:rPr>
        <w:t xml:space="preserve"> background, London-educated, part of the colonial judiciary, likely predisposed him to uphold formal law and the Protectorate’s authority, even as public settler sentiment ran contrary. </w:t>
      </w:r>
    </w:p>
    <w:p w14:paraId="4C505A46" w14:textId="62688C4B"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The source is an official judicial judgment, reprinted in local publications such as the East Africa Standard, for transparency. As such, it serves multiple functions. First, it records the findings of fact and law, provides legal reasoning, and imposes a sentence. The genre implies an authoritative, factual tone, though filtered through the magistrate’s perspective. The implications for interpretation are that the judgment is meant to explain the legal rationale and, ostensibly, to set an example. The intended audience was primarily the colonial administration to demonstrate that justice was done, and, indirectly, the settler community as a warning, though in practice the European community took a keen interest. The African victims and wider Kikuyu community, however, had no access to this document and little say.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likely aimed to affirm the rule of law,</w:t>
      </w:r>
      <w:r w:rsidR="008336CF">
        <w:rPr>
          <w:rFonts w:ascii="Times New Roman" w:hAnsi="Times New Roman" w:cs="Times New Roman"/>
          <w:lang w:eastAsia="en-GB"/>
        </w:rPr>
        <w:t xml:space="preserve"> </w:t>
      </w:r>
      <w:r w:rsidRPr="008B2385">
        <w:rPr>
          <w:rFonts w:ascii="Times New Roman" w:hAnsi="Times New Roman" w:cs="Times New Roman"/>
          <w:lang w:eastAsia="en-GB"/>
        </w:rPr>
        <w:t>however, as later reactions showed, many settlers read the judgment with relief</w:t>
      </w:r>
      <w:r w:rsidR="00C1036F">
        <w:rPr>
          <w:rFonts w:ascii="Times New Roman" w:hAnsi="Times New Roman" w:cs="Times New Roman"/>
          <w:lang w:eastAsia="en-GB"/>
        </w:rPr>
        <w:t>,</w:t>
      </w:r>
      <w:r w:rsidRPr="008B2385">
        <w:rPr>
          <w:rFonts w:ascii="Times New Roman" w:hAnsi="Times New Roman" w:cs="Times New Roman"/>
          <w:lang w:eastAsia="en-GB"/>
        </w:rPr>
        <w:t xml:space="preserve"> </w:t>
      </w:r>
      <w:r w:rsidR="00C1036F">
        <w:rPr>
          <w:rFonts w:ascii="Times New Roman" w:hAnsi="Times New Roman" w:cs="Times New Roman"/>
          <w:lang w:eastAsia="en-GB"/>
        </w:rPr>
        <w:t xml:space="preserve">believing </w:t>
      </w:r>
      <w:r w:rsidRPr="008B2385">
        <w:rPr>
          <w:rFonts w:ascii="Times New Roman" w:hAnsi="Times New Roman" w:cs="Times New Roman"/>
          <w:lang w:eastAsia="en-GB"/>
        </w:rPr>
        <w:t>that violent assault was not prosecuted.</w:t>
      </w:r>
      <w:r w:rsidR="008336CF">
        <w:rPr>
          <w:rFonts w:ascii="Times New Roman" w:hAnsi="Times New Roman" w:cs="Times New Roman"/>
          <w:lang w:eastAsia="en-GB"/>
        </w:rPr>
        <w:t xml:space="preserve"> </w:t>
      </w:r>
      <w:proofErr w:type="spellStart"/>
      <w:r w:rsidRPr="008B2385">
        <w:rPr>
          <w:rFonts w:ascii="Times New Roman" w:hAnsi="Times New Roman" w:cs="Times New Roman"/>
          <w:lang w:eastAsia="en-GB"/>
        </w:rPr>
        <w:t>Dolbey’s</w:t>
      </w:r>
      <w:proofErr w:type="spellEnd"/>
      <w:r w:rsidRPr="008B2385">
        <w:rPr>
          <w:rFonts w:ascii="Times New Roman" w:hAnsi="Times New Roman" w:cs="Times New Roman"/>
          <w:lang w:eastAsia="en-GB"/>
        </w:rPr>
        <w:t xml:space="preserve"> success was thus mixed. He secured convictions, but only for </w:t>
      </w:r>
      <w:r w:rsidR="00C1036F">
        <w:rPr>
          <w:rFonts w:ascii="Times New Roman" w:hAnsi="Times New Roman" w:cs="Times New Roman"/>
          <w:lang w:eastAsia="en-GB"/>
        </w:rPr>
        <w:t xml:space="preserve">the </w:t>
      </w:r>
      <w:r w:rsidRPr="008B2385">
        <w:rPr>
          <w:rFonts w:ascii="Times New Roman" w:hAnsi="Times New Roman" w:cs="Times New Roman"/>
          <w:lang w:eastAsia="en-GB"/>
        </w:rPr>
        <w:t>assembly, not the assault itself</w:t>
      </w:r>
      <w:r w:rsidR="00C1036F">
        <w:rPr>
          <w:rFonts w:ascii="Times New Roman" w:hAnsi="Times New Roman" w:cs="Times New Roman"/>
          <w:lang w:eastAsia="en-GB"/>
        </w:rPr>
        <w:t>.</w:t>
      </w:r>
      <w:r w:rsidRPr="008B2385">
        <w:rPr>
          <w:rFonts w:ascii="Times New Roman" w:hAnsi="Times New Roman" w:cs="Times New Roman"/>
          <w:lang w:eastAsia="en-GB"/>
        </w:rPr>
        <w:t xml:space="preserve"> </w:t>
      </w:r>
    </w:p>
    <w:p w14:paraId="41A41A21" w14:textId="77777777"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The judgment’s content is narratively rich.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begins by citing the law (I.P.C. §§141–143 define unlawful assembly) and summarising the facts. On 14 March 1907, Grogan, Bowker, </w:t>
      </w:r>
      <w:r w:rsidRPr="008B2385">
        <w:rPr>
          <w:rFonts w:ascii="Times New Roman" w:hAnsi="Times New Roman" w:cs="Times New Roman"/>
          <w:lang w:eastAsia="en-GB"/>
        </w:rPr>
        <w:lastRenderedPageBreak/>
        <w:t xml:space="preserve">Gray and associates marched three bound Kikuyu men to Nairobi’s courthouse and publicly flogged them with sjamboks, seemingly for insulting white women. The text meticulously recounts each accused’s role, as Grogan was the ringleader, </w:t>
      </w:r>
      <w:proofErr w:type="spellStart"/>
      <w:r w:rsidRPr="008B2385">
        <w:rPr>
          <w:rFonts w:ascii="Times New Roman" w:hAnsi="Times New Roman" w:cs="Times New Roman"/>
          <w:lang w:eastAsia="en-GB"/>
        </w:rPr>
        <w:t>Fichat</w:t>
      </w:r>
      <w:proofErr w:type="spellEnd"/>
      <w:r w:rsidRPr="008B2385">
        <w:rPr>
          <w:rFonts w:ascii="Times New Roman" w:hAnsi="Times New Roman" w:cs="Times New Roman"/>
          <w:lang w:eastAsia="en-GB"/>
        </w:rPr>
        <w:t xml:space="preserve"> stirred up the crowd, and Low merely carried messages.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quotes courtroom exchanges like Grogan admitting, “I am going to beat these boys…because I want to.” Crucial themes emerge as law vs vigilante justice, and white supremacy ideology.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explicitly labels this a criminal assembly, “It is this flogging that constitutes the offence which is the essence of the unlawful assembly” (par.11). He dismisses Grogan’s justification, protection of women, as baseless, saying “I cannot find the slightest foundation in fact for his statement that the offence…was committed in furtherance of a revolt”. He notes approvingly that no real emergency occurred and warns that such spectacles “set a bad example” to others. The language is formal-legal but also moralistic when addressing the settler defendants, such as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who calls Grogan’s act “the worst case” and stresses Grogan’s duty by virtue of his position.</w:t>
      </w:r>
    </w:p>
    <w:p w14:paraId="4F8B30A4" w14:textId="77777777"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However, the judgment also downplays the severity of the cruelty. Not once does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characterise the victims or consider the African viewpoint. The Kikuyu men are anonymous “natives,” and the violence is framed only as a legal technicality, unlawful assembly, rather than a brutal assault. The sentencing language, which includes fines and short jail terms, reflects leniency. Even </w:t>
      </w:r>
      <w:proofErr w:type="spellStart"/>
      <w:r w:rsidRPr="008B2385">
        <w:rPr>
          <w:rFonts w:ascii="Times New Roman" w:hAnsi="Times New Roman" w:cs="Times New Roman"/>
          <w:lang w:eastAsia="en-GB"/>
        </w:rPr>
        <w:t>Dolbey’s</w:t>
      </w:r>
      <w:proofErr w:type="spellEnd"/>
      <w:r w:rsidRPr="008B2385">
        <w:rPr>
          <w:rFonts w:ascii="Times New Roman" w:hAnsi="Times New Roman" w:cs="Times New Roman"/>
          <w:lang w:eastAsia="en-GB"/>
        </w:rPr>
        <w:t xml:space="preserve"> condemnation is undermined by the light charges. The text omits any detailed description of the victims’ injuries or their own testimony, focusing entirely on settler actions and justifications. It also omits any discussion of systemic settler violence, treating this as an isolated incident. In sum, content-wise, the judgment foregrounds law and order and implicitly upholds settler prerogatives, deciding that only minimal punishment is deemed “just”, which reflects colonial bias.</w:t>
      </w:r>
    </w:p>
    <w:p w14:paraId="29D5D673" w14:textId="0BF5EF2C"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The immediate purpose was punitive and declaratory, to punish the named Europeans and to reinforce the fact that even privileged settlers must obey the Protectorate’s laws. However, the limited charges suggest that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and colonial authorities were cautious not to alienate the powerful settler lobby. The audience included the Colonial Office via reports and the local public. White settlers likely read it as a cautionary tale, but with relief at light punishment. African communities learned indirectly that the colonial state failed to protect them by the fact that the official response was an assembly fine, not assault charges. (Hansard, 1907).</w:t>
      </w:r>
      <w:r w:rsidR="00C1036F">
        <w:rPr>
          <w:rFonts w:ascii="Times New Roman" w:hAnsi="Times New Roman" w:cs="Times New Roman"/>
          <w:lang w:eastAsia="en-GB"/>
        </w:rPr>
        <w:t xml:space="preserve"> </w:t>
      </w:r>
      <w:r w:rsidRPr="008B2385">
        <w:rPr>
          <w:rFonts w:ascii="Times New Roman" w:hAnsi="Times New Roman" w:cs="Times New Roman"/>
          <w:lang w:eastAsia="en-GB"/>
        </w:rPr>
        <w:t xml:space="preserve">The judgment clearly provoked a split: colonial authorities felt they had to show they had acted, even as they complained in Parliament about settlers’ defiance, whereas many settlers felt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had overstepped. In the wake of the trial, a settlers’ defence fund was even raised for Grogan, indicating broad support. (Hansard, 1907) Thus, the judgment’s effect was ambiguous. It demonstrated that colonial courts applied the law to whites, but its ostensible failure enraged colonial critics and emboldened settlers.</w:t>
      </w:r>
    </w:p>
    <w:p w14:paraId="0B90CF93" w14:textId="77777777"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To illustrate </w:t>
      </w:r>
      <w:proofErr w:type="spellStart"/>
      <w:r w:rsidRPr="008B2385">
        <w:rPr>
          <w:rFonts w:ascii="Times New Roman" w:hAnsi="Times New Roman" w:cs="Times New Roman"/>
          <w:lang w:eastAsia="en-GB"/>
        </w:rPr>
        <w:t>Dolbey’s</w:t>
      </w:r>
      <w:proofErr w:type="spellEnd"/>
      <w:r w:rsidRPr="008B2385">
        <w:rPr>
          <w:rFonts w:ascii="Times New Roman" w:hAnsi="Times New Roman" w:cs="Times New Roman"/>
          <w:lang w:eastAsia="en-GB"/>
        </w:rPr>
        <w:t xml:space="preserve"> reasoning, let’s consider two excerpts from the text.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stresses the actual act: “It is this flogging that constitutes the offence which is the essence of the unlawful assembly.” (Judgment, par.11). This underscores that the physical violence, not mere intent, created the crime. He rebuts Grogan’s defence, “I cannot find the slightest foundation in fact for his statement that the offence was committed in furtherance of a revolt.” (Judgment, par.37).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thus rejects any notion that the flogging was warlike or defensive. These lines highlight </w:t>
      </w:r>
      <w:proofErr w:type="spellStart"/>
      <w:r w:rsidRPr="008B2385">
        <w:rPr>
          <w:rFonts w:ascii="Times New Roman" w:hAnsi="Times New Roman" w:cs="Times New Roman"/>
          <w:lang w:eastAsia="en-GB"/>
        </w:rPr>
        <w:lastRenderedPageBreak/>
        <w:t>Dolbey’s</w:t>
      </w:r>
      <w:proofErr w:type="spellEnd"/>
      <w:r w:rsidRPr="008B2385">
        <w:rPr>
          <w:rFonts w:ascii="Times New Roman" w:hAnsi="Times New Roman" w:cs="Times New Roman"/>
          <w:lang w:eastAsia="en-GB"/>
        </w:rPr>
        <w:t xml:space="preserve"> emphasis on sober legal definition and his dismissal of settler self-justification. Both are reported in Shadle’s research on the case, which provides the exact phrasing in its endnotes. Notably, </w:t>
      </w:r>
      <w:proofErr w:type="spellStart"/>
      <w:r w:rsidRPr="008B2385">
        <w:rPr>
          <w:rFonts w:ascii="Times New Roman" w:hAnsi="Times New Roman" w:cs="Times New Roman"/>
          <w:lang w:eastAsia="en-GB"/>
        </w:rPr>
        <w:t>Dolbey’s</w:t>
      </w:r>
      <w:proofErr w:type="spellEnd"/>
      <w:r w:rsidRPr="008B2385">
        <w:rPr>
          <w:rFonts w:ascii="Times New Roman" w:hAnsi="Times New Roman" w:cs="Times New Roman"/>
          <w:lang w:eastAsia="en-GB"/>
        </w:rPr>
        <w:t xml:space="preserve"> phrasing can be described as formal and detached, as he never calls Grogan’s actions murder or assault, only an “offence” under assembly law.</w:t>
      </w:r>
    </w:p>
    <w:p w14:paraId="4D77ED0E" w14:textId="77777777"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The judgment is silent on several crucial aspects. It never records the Kikuyu victims’ perspective. We hear nothing of what happened to them or how they felt. There is no mention of whether actual insults to the women occurred, and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points out that none were sexual, contrary to rumours. The settler mob’s motive, fear of “black peril” or vigilante racism, is mentioned only in passing as Grogan’s and others’ claim, then quickly dismissed. (Anderson, 2010, pp. 47-74) In summary, </w:t>
      </w:r>
      <w:proofErr w:type="spellStart"/>
      <w:r w:rsidRPr="008B2385">
        <w:rPr>
          <w:rFonts w:ascii="Times New Roman" w:hAnsi="Times New Roman" w:cs="Times New Roman"/>
          <w:lang w:eastAsia="en-GB"/>
        </w:rPr>
        <w:t>Dolbey’s</w:t>
      </w:r>
      <w:proofErr w:type="spellEnd"/>
      <w:r w:rsidRPr="008B2385">
        <w:rPr>
          <w:rFonts w:ascii="Times New Roman" w:hAnsi="Times New Roman" w:cs="Times New Roman"/>
          <w:lang w:eastAsia="en-GB"/>
        </w:rPr>
        <w:t xml:space="preserve"> text omits the debate over African legal status, any sympathy for victims, and any structural causes. This lack means that, as a historical source, it must be read alongside other accounts to understand the broader picture.</w:t>
      </w:r>
    </w:p>
    <w:p w14:paraId="0CCE03D6" w14:textId="77777777"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As an official document, the judgment’s strengths include its detailed chronology, named actors, and direct quotes from the proceedings. It gives insight into how colonial law was framed and applied. It also reveals the colonial judiciary's mindset.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is clearly uneasy with settler violence and wants to assert some authority. The language, though restrained, indicates the seriousness with which at least one magistrate regarded the spectacle. However, its weaknesses are significant. It is unequivocally the perspective of a colonial official, as it omits any African viewpoint or any critique of the racial regime. The source also only addresses legal guilt in narrow terms, showing that the most violent elements, physical assault, go unpunished. Thus, it underrepresents the brutality of the events.</w:t>
      </w:r>
    </w:p>
    <w:p w14:paraId="5675E2BC" w14:textId="10EF59C8"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This case and its documentation reveal much about colonial Kenya’s legal order. First, it shows that colonial law theoretically applied to Europeans, as the magistrate did not simply ignore a public flogging. Yet the law itself was inadequate to punish settler violence severely. The outcome of light penalties and early release </w:t>
      </w:r>
      <w:r w:rsidR="00C1036F">
        <w:rPr>
          <w:rFonts w:ascii="Times New Roman" w:hAnsi="Times New Roman" w:cs="Times New Roman"/>
          <w:lang w:eastAsia="en-GB"/>
        </w:rPr>
        <w:t>suggest</w:t>
      </w:r>
      <w:r w:rsidRPr="008B2385">
        <w:rPr>
          <w:rFonts w:ascii="Times New Roman" w:hAnsi="Times New Roman" w:cs="Times New Roman"/>
          <w:lang w:eastAsia="en-GB"/>
        </w:rPr>
        <w:t xml:space="preserve">s that, in practice, settlers often flouted the law with impunity and </w:t>
      </w:r>
      <w:r w:rsidR="00C1036F">
        <w:rPr>
          <w:rFonts w:ascii="Times New Roman" w:hAnsi="Times New Roman" w:cs="Times New Roman"/>
          <w:lang w:eastAsia="en-GB"/>
        </w:rPr>
        <w:t xml:space="preserve">that </w:t>
      </w:r>
      <w:r w:rsidRPr="008B2385">
        <w:rPr>
          <w:rFonts w:ascii="Times New Roman" w:hAnsi="Times New Roman" w:cs="Times New Roman"/>
          <w:lang w:eastAsia="en-GB"/>
        </w:rPr>
        <w:t xml:space="preserve">such acts were seen as normal discipline. (Shadle, 2015) Second, the document illustrates how racial violence was rationalised. Even while condemning Grogan’s show,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echoes colonial tropes, assuming Africans’ “insolence” and that they need stern discipline. The judgment, read together with settler writings, shows how violence against Africans was justified as protecting white supremacy. Only the manner, not the fact of Grogan’s act, was challenged. (Anderson, 2010, pp. 47-74)</w:t>
      </w:r>
    </w:p>
    <w:p w14:paraId="038836C5" w14:textId="77777777"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Finally, the case highlights the limits of accountability. The very fact that the incident prompted a trial and debate in London shows some imperial oversight. Yet the practical result tells us that early colonial Kenya had a de facto system in which settler law often trumped formal law. (Shadle, 2010, pp. 510-524) For modern analysts, the judgment is a window into the contradictions of the “rule of law” under colonialism. On paper, colonial courts sat in judgment of brutal racism, </w:t>
      </w:r>
      <w:proofErr w:type="gramStart"/>
      <w:r w:rsidRPr="008B2385">
        <w:rPr>
          <w:rFonts w:ascii="Times New Roman" w:hAnsi="Times New Roman" w:cs="Times New Roman"/>
          <w:lang w:eastAsia="en-GB"/>
        </w:rPr>
        <w:t>but in reality, they</w:t>
      </w:r>
      <w:proofErr w:type="gramEnd"/>
      <w:r w:rsidRPr="008B2385">
        <w:rPr>
          <w:rFonts w:ascii="Times New Roman" w:hAnsi="Times New Roman" w:cs="Times New Roman"/>
          <w:lang w:eastAsia="en-GB"/>
        </w:rPr>
        <w:t xml:space="preserve"> often protected it.</w:t>
      </w:r>
    </w:p>
    <w:p w14:paraId="5B9D8A55" w14:textId="1E8CFE05" w:rsid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In my conclusion, the 1907 Grogan et al. judgment is a rich document for understanding colonial justice. Authored by Magistrate </w:t>
      </w:r>
      <w:proofErr w:type="spellStart"/>
      <w:r w:rsidRPr="008B2385">
        <w:rPr>
          <w:rFonts w:ascii="Times New Roman" w:hAnsi="Times New Roman" w:cs="Times New Roman"/>
          <w:lang w:eastAsia="en-GB"/>
        </w:rPr>
        <w:t>Dolbey</w:t>
      </w:r>
      <w:proofErr w:type="spellEnd"/>
      <w:r w:rsidRPr="008B2385">
        <w:rPr>
          <w:rFonts w:ascii="Times New Roman" w:hAnsi="Times New Roman" w:cs="Times New Roman"/>
          <w:lang w:eastAsia="en-GB"/>
        </w:rPr>
        <w:t xml:space="preserve"> at Nairobi, it reflects the ideals and limits of British law in Kenya. The ruling did prosecute violent settlers, yet only to a point. Its diction shows the magistrate’s disapproval, but its narrow focus and trivial penalties reveal the power </w:t>
      </w:r>
      <w:r w:rsidRPr="008B2385">
        <w:rPr>
          <w:rFonts w:ascii="Times New Roman" w:hAnsi="Times New Roman" w:cs="Times New Roman"/>
          <w:lang w:eastAsia="en-GB"/>
        </w:rPr>
        <w:lastRenderedPageBreak/>
        <w:t>imbalance</w:t>
      </w:r>
      <w:r w:rsidR="00C1036F">
        <w:rPr>
          <w:rFonts w:ascii="Times New Roman" w:hAnsi="Times New Roman" w:cs="Times New Roman"/>
          <w:lang w:eastAsia="en-GB"/>
        </w:rPr>
        <w:t xml:space="preserve">, and </w:t>
      </w:r>
      <w:r w:rsidRPr="008B2385">
        <w:rPr>
          <w:rFonts w:ascii="Times New Roman" w:hAnsi="Times New Roman" w:cs="Times New Roman"/>
          <w:lang w:eastAsia="en-GB"/>
        </w:rPr>
        <w:t>settlers effectively exercised unchecked de facto authority. For historians</w:t>
      </w:r>
      <w:r w:rsidR="00C1036F">
        <w:rPr>
          <w:rFonts w:ascii="Times New Roman" w:hAnsi="Times New Roman" w:cs="Times New Roman"/>
          <w:lang w:eastAsia="en-GB"/>
        </w:rPr>
        <w:t>, I think</w:t>
      </w:r>
      <w:r w:rsidRPr="008B2385">
        <w:rPr>
          <w:rFonts w:ascii="Times New Roman" w:hAnsi="Times New Roman" w:cs="Times New Roman"/>
          <w:lang w:eastAsia="en-GB"/>
        </w:rPr>
        <w:t>, the judgment’s value lies in its contemporaneous detail and tone. It reveals how the colonial state publicly managed one of its first major challenges. However, by itself, it omits African voices and sidesteps settler motives, meaning it must be read critically alongside other sources. The case exposes the uneasy compromise of colonial rule, meaning law did restrain settlers in theory, but settler solidarity and racism often loosened those restraints.</w:t>
      </w:r>
    </w:p>
    <w:p w14:paraId="0D242D14" w14:textId="77777777" w:rsidR="008336CF" w:rsidRPr="008B2385" w:rsidRDefault="008336CF" w:rsidP="008B2385">
      <w:pPr>
        <w:jc w:val="both"/>
        <w:rPr>
          <w:rFonts w:ascii="Times New Roman" w:hAnsi="Times New Roman" w:cs="Times New Roman"/>
          <w:lang w:eastAsia="en-GB"/>
        </w:rPr>
      </w:pPr>
    </w:p>
    <w:p w14:paraId="7702B1B5" w14:textId="5EE8D28E" w:rsidR="008B2385" w:rsidRPr="008B2385" w:rsidRDefault="008B2385" w:rsidP="008B2385">
      <w:pPr>
        <w:jc w:val="both"/>
        <w:rPr>
          <w:rFonts w:ascii="Times New Roman" w:hAnsi="Times New Roman" w:cs="Times New Roman"/>
          <w:sz w:val="28"/>
          <w:szCs w:val="28"/>
          <w:lang w:eastAsia="en-GB"/>
        </w:rPr>
      </w:pPr>
      <w:r w:rsidRPr="008B2385">
        <w:rPr>
          <w:rFonts w:ascii="Times New Roman" w:hAnsi="Times New Roman" w:cs="Times New Roman"/>
          <w:sz w:val="28"/>
          <w:szCs w:val="28"/>
          <w:lang w:eastAsia="en-GB"/>
        </w:rPr>
        <w:t>Bibliography</w:t>
      </w:r>
    </w:p>
    <w:p w14:paraId="66E44A4F" w14:textId="4AAC06EE"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(January 1, 1907). Kenya Gazette, Vol. 9, No. 172. Kenya Gazette, Vol. 9, No. 172. </w:t>
      </w:r>
      <w:hyperlink r:id="rId5" w:history="1">
        <w:r w:rsidRPr="008B2385">
          <w:rPr>
            <w:rStyle w:val="Hyperlink"/>
            <w:rFonts w:ascii="Times New Roman" w:hAnsi="Times New Roman" w:cs="Times New Roman"/>
            <w:lang w:eastAsia="en-GB"/>
          </w:rPr>
          <w:t>https://boo</w:t>
        </w:r>
        <w:r w:rsidRPr="008B2385">
          <w:rPr>
            <w:rStyle w:val="Hyperlink"/>
            <w:rFonts w:ascii="Times New Roman" w:hAnsi="Times New Roman" w:cs="Times New Roman"/>
            <w:lang w:eastAsia="en-GB"/>
          </w:rPr>
          <w:t>k</w:t>
        </w:r>
        <w:r w:rsidRPr="008B2385">
          <w:rPr>
            <w:rStyle w:val="Hyperlink"/>
            <w:rFonts w:ascii="Times New Roman" w:hAnsi="Times New Roman" w:cs="Times New Roman"/>
            <w:lang w:eastAsia="en-GB"/>
          </w:rPr>
          <w:t>s.goog</w:t>
        </w:r>
        <w:r w:rsidRPr="008B2385">
          <w:rPr>
            <w:rStyle w:val="Hyperlink"/>
            <w:rFonts w:ascii="Times New Roman" w:hAnsi="Times New Roman" w:cs="Times New Roman"/>
            <w:lang w:eastAsia="en-GB"/>
          </w:rPr>
          <w:t>l</w:t>
        </w:r>
        <w:r w:rsidRPr="008B2385">
          <w:rPr>
            <w:rStyle w:val="Hyperlink"/>
            <w:rFonts w:ascii="Times New Roman" w:hAnsi="Times New Roman" w:cs="Times New Roman"/>
            <w:lang w:eastAsia="en-GB"/>
          </w:rPr>
          <w:t>e.com/books?id=xUdbz1qsVRQC</w:t>
        </w:r>
      </w:hyperlink>
      <w:r>
        <w:rPr>
          <w:rFonts w:ascii="Times New Roman" w:hAnsi="Times New Roman" w:cs="Times New Roman"/>
          <w:lang w:eastAsia="en-GB"/>
        </w:rPr>
        <w:t xml:space="preserve"> </w:t>
      </w:r>
    </w:p>
    <w:p w14:paraId="01CF27E2" w14:textId="2968CBB0"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(n.d.). Law and the British Empire – Privy Council Papers. Privy Council Papers. </w:t>
      </w:r>
      <w:hyperlink r:id="rId6" w:history="1">
        <w:r w:rsidRPr="008B2385">
          <w:rPr>
            <w:rStyle w:val="Hyperlink"/>
            <w:rFonts w:ascii="Times New Roman" w:hAnsi="Times New Roman" w:cs="Times New Roman"/>
            <w:lang w:eastAsia="en-GB"/>
          </w:rPr>
          <w:t>https://privycouncilpap</w:t>
        </w:r>
        <w:r w:rsidRPr="008B2385">
          <w:rPr>
            <w:rStyle w:val="Hyperlink"/>
            <w:rFonts w:ascii="Times New Roman" w:hAnsi="Times New Roman" w:cs="Times New Roman"/>
            <w:lang w:eastAsia="en-GB"/>
          </w:rPr>
          <w:t>e</w:t>
        </w:r>
        <w:r w:rsidRPr="008B2385">
          <w:rPr>
            <w:rStyle w:val="Hyperlink"/>
            <w:rFonts w:ascii="Times New Roman" w:hAnsi="Times New Roman" w:cs="Times New Roman"/>
            <w:lang w:eastAsia="en-GB"/>
          </w:rPr>
          <w:t>rs.</w:t>
        </w:r>
        <w:r w:rsidRPr="008B2385">
          <w:rPr>
            <w:rStyle w:val="Hyperlink"/>
            <w:rFonts w:ascii="Times New Roman" w:hAnsi="Times New Roman" w:cs="Times New Roman"/>
            <w:lang w:eastAsia="en-GB"/>
          </w:rPr>
          <w:t>e</w:t>
        </w:r>
        <w:r w:rsidRPr="008B2385">
          <w:rPr>
            <w:rStyle w:val="Hyperlink"/>
            <w:rFonts w:ascii="Times New Roman" w:hAnsi="Times New Roman" w:cs="Times New Roman"/>
            <w:lang w:eastAsia="en-GB"/>
          </w:rPr>
          <w:t>xeter.ac.uk/contexts/law-and-the-british-empire/</w:t>
        </w:r>
      </w:hyperlink>
      <w:r>
        <w:rPr>
          <w:rFonts w:ascii="Times New Roman" w:hAnsi="Times New Roman" w:cs="Times New Roman"/>
          <w:lang w:eastAsia="en-GB"/>
        </w:rPr>
        <w:t xml:space="preserve">   </w:t>
      </w:r>
    </w:p>
    <w:p w14:paraId="5B3D71D5" w14:textId="772A4798"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Hansard. (March 18, 1907). British East Africa—Native Unrest. HC Deb 18 March 1907 vol 171 c459 459. </w:t>
      </w:r>
      <w:hyperlink r:id="rId7" w:history="1">
        <w:r w:rsidRPr="008B2385">
          <w:rPr>
            <w:rStyle w:val="Hyperlink"/>
            <w:rFonts w:ascii="Times New Roman" w:hAnsi="Times New Roman" w:cs="Times New Roman"/>
            <w:lang w:eastAsia="en-GB"/>
          </w:rPr>
          <w:t>https://a</w:t>
        </w:r>
        <w:r w:rsidRPr="008B2385">
          <w:rPr>
            <w:rStyle w:val="Hyperlink"/>
            <w:rFonts w:ascii="Times New Roman" w:hAnsi="Times New Roman" w:cs="Times New Roman"/>
            <w:lang w:eastAsia="en-GB"/>
          </w:rPr>
          <w:t>p</w:t>
        </w:r>
        <w:r w:rsidRPr="008B2385">
          <w:rPr>
            <w:rStyle w:val="Hyperlink"/>
            <w:rFonts w:ascii="Times New Roman" w:hAnsi="Times New Roman" w:cs="Times New Roman"/>
            <w:lang w:eastAsia="en-GB"/>
          </w:rPr>
          <w:t>i.pa</w:t>
        </w:r>
        <w:r w:rsidRPr="008B2385">
          <w:rPr>
            <w:rStyle w:val="Hyperlink"/>
            <w:rFonts w:ascii="Times New Roman" w:hAnsi="Times New Roman" w:cs="Times New Roman"/>
            <w:lang w:eastAsia="en-GB"/>
          </w:rPr>
          <w:t>r</w:t>
        </w:r>
        <w:r w:rsidRPr="008B2385">
          <w:rPr>
            <w:rStyle w:val="Hyperlink"/>
            <w:rFonts w:ascii="Times New Roman" w:hAnsi="Times New Roman" w:cs="Times New Roman"/>
            <w:lang w:eastAsia="en-GB"/>
          </w:rPr>
          <w:t>liament.uk/historic-hansard/commons/1907/mar/18/british-east-africa-native-unrest</w:t>
        </w:r>
      </w:hyperlink>
      <w:r>
        <w:rPr>
          <w:rFonts w:ascii="Times New Roman" w:hAnsi="Times New Roman" w:cs="Times New Roman"/>
          <w:lang w:eastAsia="en-GB"/>
        </w:rPr>
        <w:t xml:space="preserve"> </w:t>
      </w:r>
    </w:p>
    <w:p w14:paraId="7015DCED" w14:textId="2BDF7596" w:rsidR="008B2385" w:rsidRP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Hansard. (April 11, 1907). Imprisonment of British Subjects in East Africa—Cases of Captain Grogan and Mr. Bowker. HC Deb 11 April 1907 vol 172 cc355-8. </w:t>
      </w:r>
      <w:hyperlink r:id="rId8" w:history="1">
        <w:r w:rsidRPr="008B2385">
          <w:rPr>
            <w:rStyle w:val="Hyperlink"/>
            <w:rFonts w:ascii="Times New Roman" w:hAnsi="Times New Roman" w:cs="Times New Roman"/>
            <w:lang w:eastAsia="en-GB"/>
          </w:rPr>
          <w:t>https://api.parliament.uk/historic-hansard/commons/1907/apr/11/imprisonment-of-british-subjec</w:t>
        </w:r>
        <w:r w:rsidRPr="008B2385">
          <w:rPr>
            <w:rStyle w:val="Hyperlink"/>
            <w:rFonts w:ascii="Times New Roman" w:hAnsi="Times New Roman" w:cs="Times New Roman"/>
            <w:lang w:eastAsia="en-GB"/>
          </w:rPr>
          <w:t>t</w:t>
        </w:r>
        <w:r w:rsidRPr="008B2385">
          <w:rPr>
            <w:rStyle w:val="Hyperlink"/>
            <w:rFonts w:ascii="Times New Roman" w:hAnsi="Times New Roman" w:cs="Times New Roman"/>
            <w:lang w:eastAsia="en-GB"/>
          </w:rPr>
          <w:t>s</w:t>
        </w:r>
        <w:r w:rsidRPr="008B2385">
          <w:rPr>
            <w:rStyle w:val="Hyperlink"/>
            <w:rFonts w:ascii="Times New Roman" w:hAnsi="Times New Roman" w:cs="Times New Roman"/>
            <w:lang w:eastAsia="en-GB"/>
          </w:rPr>
          <w:t>-</w:t>
        </w:r>
        <w:r w:rsidRPr="008B2385">
          <w:rPr>
            <w:rStyle w:val="Hyperlink"/>
            <w:rFonts w:ascii="Times New Roman" w:hAnsi="Times New Roman" w:cs="Times New Roman"/>
            <w:lang w:eastAsia="en-GB"/>
          </w:rPr>
          <w:t>in-east</w:t>
        </w:r>
      </w:hyperlink>
      <w:r>
        <w:rPr>
          <w:rFonts w:ascii="Times New Roman" w:hAnsi="Times New Roman" w:cs="Times New Roman"/>
          <w:lang w:eastAsia="en-GB"/>
        </w:rPr>
        <w:t xml:space="preserve"> </w:t>
      </w:r>
    </w:p>
    <w:p w14:paraId="6E1B0A80" w14:textId="06B542DF" w:rsid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Anderson, D. M. (2010). Sexual Threat and Settler Society: ‘Black Perils’ in Kenya, c. 1907–30. The Journal of Imperial and Commonwealth History 38(1), pp. 47-74. </w:t>
      </w:r>
      <w:hyperlink r:id="rId9" w:history="1">
        <w:r w:rsidRPr="008B2385">
          <w:rPr>
            <w:rStyle w:val="Hyperlink"/>
            <w:rFonts w:ascii="Times New Roman" w:hAnsi="Times New Roman" w:cs="Times New Roman"/>
            <w:lang w:eastAsia="en-GB"/>
          </w:rPr>
          <w:t>https://doi.org/1</w:t>
        </w:r>
        <w:r w:rsidRPr="008B2385">
          <w:rPr>
            <w:rStyle w:val="Hyperlink"/>
            <w:rFonts w:ascii="Times New Roman" w:hAnsi="Times New Roman" w:cs="Times New Roman"/>
            <w:lang w:eastAsia="en-GB"/>
          </w:rPr>
          <w:t>0</w:t>
        </w:r>
        <w:r w:rsidRPr="008B2385">
          <w:rPr>
            <w:rStyle w:val="Hyperlink"/>
            <w:rFonts w:ascii="Times New Roman" w:hAnsi="Times New Roman" w:cs="Times New Roman"/>
            <w:lang w:eastAsia="en-GB"/>
          </w:rPr>
          <w:t>.1080</w:t>
        </w:r>
        <w:r w:rsidRPr="008B2385">
          <w:rPr>
            <w:rStyle w:val="Hyperlink"/>
            <w:rFonts w:ascii="Times New Roman" w:hAnsi="Times New Roman" w:cs="Times New Roman"/>
            <w:lang w:eastAsia="en-GB"/>
          </w:rPr>
          <w:t>/</w:t>
        </w:r>
        <w:r w:rsidRPr="008B2385">
          <w:rPr>
            <w:rStyle w:val="Hyperlink"/>
            <w:rFonts w:ascii="Times New Roman" w:hAnsi="Times New Roman" w:cs="Times New Roman"/>
            <w:lang w:eastAsia="en-GB"/>
          </w:rPr>
          <w:t>03086530903538194</w:t>
        </w:r>
      </w:hyperlink>
    </w:p>
    <w:p w14:paraId="4D1D5F08" w14:textId="5294EB52" w:rsidR="008B2385" w:rsidRDefault="008B2385" w:rsidP="008B2385">
      <w:pPr>
        <w:jc w:val="both"/>
        <w:rPr>
          <w:rFonts w:ascii="Times New Roman" w:hAnsi="Times New Roman" w:cs="Times New Roman"/>
          <w:lang w:eastAsia="en-GB"/>
        </w:rPr>
      </w:pPr>
      <w:r w:rsidRPr="008B2385">
        <w:rPr>
          <w:rFonts w:ascii="Times New Roman" w:hAnsi="Times New Roman" w:cs="Times New Roman"/>
          <w:lang w:eastAsia="en-GB"/>
        </w:rPr>
        <w:t xml:space="preserve">Shadle, B. L. (2015). The Souls of White Folk: White settlers in Kenya, 1900s-20s. Manchester University Press. </w:t>
      </w:r>
      <w:hyperlink r:id="rId10" w:history="1">
        <w:r w:rsidRPr="008B2385">
          <w:rPr>
            <w:rStyle w:val="Hyperlink"/>
            <w:rFonts w:ascii="Times New Roman" w:hAnsi="Times New Roman" w:cs="Times New Roman"/>
            <w:lang w:eastAsia="en-GB"/>
          </w:rPr>
          <w:t>https://academ</w:t>
        </w:r>
        <w:r w:rsidRPr="008B2385">
          <w:rPr>
            <w:rStyle w:val="Hyperlink"/>
            <w:rFonts w:ascii="Times New Roman" w:hAnsi="Times New Roman" w:cs="Times New Roman"/>
            <w:lang w:eastAsia="en-GB"/>
          </w:rPr>
          <w:t>i</w:t>
        </w:r>
        <w:r w:rsidRPr="008B2385">
          <w:rPr>
            <w:rStyle w:val="Hyperlink"/>
            <w:rFonts w:ascii="Times New Roman" w:hAnsi="Times New Roman" w:cs="Times New Roman"/>
            <w:lang w:eastAsia="en-GB"/>
          </w:rPr>
          <w:t>c.oup.com/manchester-scholarship-online/book/16660/c</w:t>
        </w:r>
        <w:r w:rsidRPr="008B2385">
          <w:rPr>
            <w:rStyle w:val="Hyperlink"/>
            <w:rFonts w:ascii="Times New Roman" w:hAnsi="Times New Roman" w:cs="Times New Roman"/>
            <w:lang w:eastAsia="en-GB"/>
          </w:rPr>
          <w:t>h</w:t>
        </w:r>
        <w:r w:rsidRPr="008B2385">
          <w:rPr>
            <w:rStyle w:val="Hyperlink"/>
            <w:rFonts w:ascii="Times New Roman" w:hAnsi="Times New Roman" w:cs="Times New Roman"/>
            <w:lang w:eastAsia="en-GB"/>
          </w:rPr>
          <w:t>apter/173756253</w:t>
        </w:r>
      </w:hyperlink>
    </w:p>
    <w:p w14:paraId="72027B69" w14:textId="51A18705" w:rsidR="000C50A1" w:rsidRPr="008336CF" w:rsidRDefault="008B2385" w:rsidP="008336CF">
      <w:pPr>
        <w:jc w:val="both"/>
        <w:rPr>
          <w:rFonts w:ascii="Times New Roman" w:hAnsi="Times New Roman" w:cs="Times New Roman"/>
          <w:lang w:eastAsia="en-GB"/>
        </w:rPr>
      </w:pPr>
      <w:r w:rsidRPr="008B2385">
        <w:rPr>
          <w:rFonts w:ascii="Times New Roman" w:hAnsi="Times New Roman" w:cs="Times New Roman"/>
          <w:lang w:eastAsia="en-GB"/>
        </w:rPr>
        <w:t>Shadle, B. (2010). White settlers and the law in early colonial Kenya. Journal of Eastern African</w:t>
      </w:r>
      <w:r w:rsidR="008336CF">
        <w:rPr>
          <w:rFonts w:ascii="Times New Roman" w:hAnsi="Times New Roman" w:cs="Times New Roman"/>
          <w:lang w:eastAsia="en-GB"/>
        </w:rPr>
        <w:t xml:space="preserve"> </w:t>
      </w:r>
      <w:r w:rsidRPr="008B2385">
        <w:rPr>
          <w:rFonts w:ascii="Times New Roman" w:hAnsi="Times New Roman" w:cs="Times New Roman"/>
          <w:lang w:eastAsia="en-GB"/>
        </w:rPr>
        <w:t>Studies 4(3), pp. 510-524.</w:t>
      </w:r>
      <w:r w:rsidR="008336CF">
        <w:rPr>
          <w:rFonts w:ascii="Times New Roman" w:hAnsi="Times New Roman" w:cs="Times New Roman"/>
          <w:lang w:eastAsia="en-GB"/>
        </w:rPr>
        <w:t xml:space="preserve"> </w:t>
      </w:r>
      <w:hyperlink r:id="rId11" w:history="1">
        <w:r w:rsidR="008336CF" w:rsidRPr="000A08D1">
          <w:rPr>
            <w:rStyle w:val="Hyperlink"/>
            <w:rFonts w:ascii="Times New Roman" w:hAnsi="Times New Roman" w:cs="Times New Roman"/>
            <w:lang w:eastAsia="en-GB"/>
          </w:rPr>
          <w:t>https://www</w:t>
        </w:r>
        <w:r w:rsidR="008336CF" w:rsidRPr="000A08D1">
          <w:rPr>
            <w:rStyle w:val="Hyperlink"/>
            <w:rFonts w:ascii="Times New Roman" w:hAnsi="Times New Roman" w:cs="Times New Roman"/>
            <w:lang w:eastAsia="en-GB"/>
          </w:rPr>
          <w:t>.</w:t>
        </w:r>
        <w:r w:rsidR="008336CF" w:rsidRPr="000A08D1">
          <w:rPr>
            <w:rStyle w:val="Hyperlink"/>
            <w:rFonts w:ascii="Times New Roman" w:hAnsi="Times New Roman" w:cs="Times New Roman"/>
            <w:lang w:eastAsia="en-GB"/>
          </w:rPr>
          <w:t>tandfonline.c</w:t>
        </w:r>
        <w:r w:rsidR="008336CF" w:rsidRPr="000A08D1">
          <w:rPr>
            <w:rStyle w:val="Hyperlink"/>
            <w:rFonts w:ascii="Times New Roman" w:hAnsi="Times New Roman" w:cs="Times New Roman"/>
            <w:lang w:eastAsia="en-GB"/>
          </w:rPr>
          <w:t>o</w:t>
        </w:r>
        <w:r w:rsidR="008336CF" w:rsidRPr="000A08D1">
          <w:rPr>
            <w:rStyle w:val="Hyperlink"/>
            <w:rFonts w:ascii="Times New Roman" w:hAnsi="Times New Roman" w:cs="Times New Roman"/>
            <w:lang w:eastAsia="en-GB"/>
          </w:rPr>
          <w:t>m/doi/abs/10.1080/1753</w:t>
        </w:r>
        <w:r w:rsidR="008336CF" w:rsidRPr="000A08D1">
          <w:rPr>
            <w:rStyle w:val="Hyperlink"/>
            <w:rFonts w:ascii="Times New Roman" w:hAnsi="Times New Roman" w:cs="Times New Roman"/>
            <w:lang w:eastAsia="en-GB"/>
          </w:rPr>
          <w:t>1</w:t>
        </w:r>
        <w:r w:rsidR="008336CF" w:rsidRPr="000A08D1">
          <w:rPr>
            <w:rStyle w:val="Hyperlink"/>
            <w:rFonts w:ascii="Times New Roman" w:hAnsi="Times New Roman" w:cs="Times New Roman"/>
            <w:lang w:eastAsia="en-GB"/>
          </w:rPr>
          <w:t>055.2010.517418</w:t>
        </w:r>
      </w:hyperlink>
      <w:r w:rsidR="008336CF">
        <w:rPr>
          <w:rFonts w:ascii="Times New Roman" w:hAnsi="Times New Roman" w:cs="Times New Roman"/>
          <w:lang w:eastAsia="en-GB"/>
        </w:rPr>
        <w:t xml:space="preserve"> </w:t>
      </w:r>
    </w:p>
    <w:sectPr w:rsidR="000C50A1" w:rsidRPr="008336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2D5640"/>
    <w:multiLevelType w:val="multilevel"/>
    <w:tmpl w:val="5A109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FC5D51"/>
    <w:multiLevelType w:val="hybridMultilevel"/>
    <w:tmpl w:val="6F56C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EB1971"/>
    <w:multiLevelType w:val="hybridMultilevel"/>
    <w:tmpl w:val="58E266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5799408">
    <w:abstractNumId w:val="1"/>
  </w:num>
  <w:num w:numId="2" w16cid:durableId="797450968">
    <w:abstractNumId w:val="2"/>
  </w:num>
  <w:num w:numId="3" w16cid:durableId="1836334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0A1"/>
    <w:rsid w:val="000C50A1"/>
    <w:rsid w:val="006571A7"/>
    <w:rsid w:val="008336CF"/>
    <w:rsid w:val="008B2385"/>
    <w:rsid w:val="008C782D"/>
    <w:rsid w:val="009E0497"/>
    <w:rsid w:val="00A232CB"/>
    <w:rsid w:val="00A4381F"/>
    <w:rsid w:val="00AF5724"/>
    <w:rsid w:val="00BC51EC"/>
    <w:rsid w:val="00C1036F"/>
    <w:rsid w:val="00C627A4"/>
    <w:rsid w:val="00C705DB"/>
    <w:rsid w:val="00EC24BA"/>
    <w:rsid w:val="00F3401A"/>
    <w:rsid w:val="00FE66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956F7"/>
  <w15:chartTrackingRefBased/>
  <w15:docId w15:val="{1B4965F9-BB0A-4ABB-90C6-780EDC45B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0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50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50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50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50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50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50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50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50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0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50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50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50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50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50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50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50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50A1"/>
    <w:rPr>
      <w:rFonts w:eastAsiaTheme="majorEastAsia" w:cstheme="majorBidi"/>
      <w:color w:val="272727" w:themeColor="text1" w:themeTint="D8"/>
    </w:rPr>
  </w:style>
  <w:style w:type="paragraph" w:styleId="Title">
    <w:name w:val="Title"/>
    <w:basedOn w:val="Normal"/>
    <w:next w:val="Normal"/>
    <w:link w:val="TitleChar"/>
    <w:uiPriority w:val="10"/>
    <w:qFormat/>
    <w:rsid w:val="000C50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0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0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0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50A1"/>
    <w:pPr>
      <w:spacing w:before="160"/>
      <w:jc w:val="center"/>
    </w:pPr>
    <w:rPr>
      <w:i/>
      <w:iCs/>
      <w:color w:val="404040" w:themeColor="text1" w:themeTint="BF"/>
    </w:rPr>
  </w:style>
  <w:style w:type="character" w:customStyle="1" w:styleId="QuoteChar">
    <w:name w:val="Quote Char"/>
    <w:basedOn w:val="DefaultParagraphFont"/>
    <w:link w:val="Quote"/>
    <w:uiPriority w:val="29"/>
    <w:rsid w:val="000C50A1"/>
    <w:rPr>
      <w:i/>
      <w:iCs/>
      <w:color w:val="404040" w:themeColor="text1" w:themeTint="BF"/>
    </w:rPr>
  </w:style>
  <w:style w:type="paragraph" w:styleId="ListParagraph">
    <w:name w:val="List Paragraph"/>
    <w:basedOn w:val="Normal"/>
    <w:uiPriority w:val="34"/>
    <w:qFormat/>
    <w:rsid w:val="000C50A1"/>
    <w:pPr>
      <w:ind w:left="720"/>
      <w:contextualSpacing/>
    </w:pPr>
  </w:style>
  <w:style w:type="character" w:styleId="IntenseEmphasis">
    <w:name w:val="Intense Emphasis"/>
    <w:basedOn w:val="DefaultParagraphFont"/>
    <w:uiPriority w:val="21"/>
    <w:qFormat/>
    <w:rsid w:val="000C50A1"/>
    <w:rPr>
      <w:i/>
      <w:iCs/>
      <w:color w:val="0F4761" w:themeColor="accent1" w:themeShade="BF"/>
    </w:rPr>
  </w:style>
  <w:style w:type="paragraph" w:styleId="IntenseQuote">
    <w:name w:val="Intense Quote"/>
    <w:basedOn w:val="Normal"/>
    <w:next w:val="Normal"/>
    <w:link w:val="IntenseQuoteChar"/>
    <w:uiPriority w:val="30"/>
    <w:qFormat/>
    <w:rsid w:val="000C50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0A1"/>
    <w:rPr>
      <w:i/>
      <w:iCs/>
      <w:color w:val="0F4761" w:themeColor="accent1" w:themeShade="BF"/>
    </w:rPr>
  </w:style>
  <w:style w:type="character" w:styleId="IntenseReference">
    <w:name w:val="Intense Reference"/>
    <w:basedOn w:val="DefaultParagraphFont"/>
    <w:uiPriority w:val="32"/>
    <w:qFormat/>
    <w:rsid w:val="000C50A1"/>
    <w:rPr>
      <w:b/>
      <w:bCs/>
      <w:smallCaps/>
      <w:color w:val="0F4761" w:themeColor="accent1" w:themeShade="BF"/>
      <w:spacing w:val="5"/>
    </w:rPr>
  </w:style>
  <w:style w:type="character" w:customStyle="1" w:styleId="apple-converted-space">
    <w:name w:val="apple-converted-space"/>
    <w:basedOn w:val="DefaultParagraphFont"/>
    <w:rsid w:val="00EC24BA"/>
  </w:style>
  <w:style w:type="character" w:styleId="Emphasis">
    <w:name w:val="Emphasis"/>
    <w:basedOn w:val="DefaultParagraphFont"/>
    <w:uiPriority w:val="20"/>
    <w:qFormat/>
    <w:rsid w:val="00EC24BA"/>
    <w:rPr>
      <w:i/>
      <w:iCs/>
    </w:rPr>
  </w:style>
  <w:style w:type="paragraph" w:customStyle="1" w:styleId="text-token-text-primary">
    <w:name w:val="text-token-text-primary"/>
    <w:basedOn w:val="Normal"/>
    <w:rsid w:val="00EC24B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C24BA"/>
    <w:rPr>
      <w:b/>
      <w:bCs/>
    </w:rPr>
  </w:style>
  <w:style w:type="paragraph" w:styleId="NoSpacing">
    <w:name w:val="No Spacing"/>
    <w:uiPriority w:val="1"/>
    <w:qFormat/>
    <w:rsid w:val="00EC24BA"/>
    <w:pPr>
      <w:spacing w:after="0" w:line="240" w:lineRule="auto"/>
    </w:pPr>
  </w:style>
  <w:style w:type="character" w:styleId="Hyperlink">
    <w:name w:val="Hyperlink"/>
    <w:basedOn w:val="DefaultParagraphFont"/>
    <w:uiPriority w:val="99"/>
    <w:unhideWhenUsed/>
    <w:rsid w:val="008B2385"/>
    <w:rPr>
      <w:color w:val="467886" w:themeColor="hyperlink"/>
      <w:u w:val="single"/>
    </w:rPr>
  </w:style>
  <w:style w:type="character" w:styleId="UnresolvedMention">
    <w:name w:val="Unresolved Mention"/>
    <w:basedOn w:val="DefaultParagraphFont"/>
    <w:uiPriority w:val="99"/>
    <w:semiHidden/>
    <w:unhideWhenUsed/>
    <w:rsid w:val="008B2385"/>
    <w:rPr>
      <w:color w:val="605E5C"/>
      <w:shd w:val="clear" w:color="auto" w:fill="E1DFDD"/>
    </w:rPr>
  </w:style>
  <w:style w:type="character" w:styleId="FollowedHyperlink">
    <w:name w:val="FollowedHyperlink"/>
    <w:basedOn w:val="DefaultParagraphFont"/>
    <w:uiPriority w:val="99"/>
    <w:semiHidden/>
    <w:unhideWhenUsed/>
    <w:rsid w:val="008B238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649100">
      <w:bodyDiv w:val="1"/>
      <w:marLeft w:val="0"/>
      <w:marRight w:val="0"/>
      <w:marTop w:val="0"/>
      <w:marBottom w:val="0"/>
      <w:divBdr>
        <w:top w:val="none" w:sz="0" w:space="0" w:color="auto"/>
        <w:left w:val="none" w:sz="0" w:space="0" w:color="auto"/>
        <w:bottom w:val="none" w:sz="0" w:space="0" w:color="auto"/>
        <w:right w:val="none" w:sz="0" w:space="0" w:color="auto"/>
      </w:divBdr>
    </w:div>
    <w:div w:id="1160073976">
      <w:bodyDiv w:val="1"/>
      <w:marLeft w:val="0"/>
      <w:marRight w:val="0"/>
      <w:marTop w:val="0"/>
      <w:marBottom w:val="0"/>
      <w:divBdr>
        <w:top w:val="none" w:sz="0" w:space="0" w:color="auto"/>
        <w:left w:val="none" w:sz="0" w:space="0" w:color="auto"/>
        <w:bottom w:val="none" w:sz="0" w:space="0" w:color="auto"/>
        <w:right w:val="none" w:sz="0" w:space="0" w:color="auto"/>
      </w:divBdr>
    </w:div>
    <w:div w:id="1800143147">
      <w:bodyDiv w:val="1"/>
      <w:marLeft w:val="0"/>
      <w:marRight w:val="0"/>
      <w:marTop w:val="0"/>
      <w:marBottom w:val="0"/>
      <w:divBdr>
        <w:top w:val="none" w:sz="0" w:space="0" w:color="auto"/>
        <w:left w:val="none" w:sz="0" w:space="0" w:color="auto"/>
        <w:bottom w:val="none" w:sz="0" w:space="0" w:color="auto"/>
        <w:right w:val="none" w:sz="0" w:space="0" w:color="auto"/>
      </w:divBdr>
      <w:divsChild>
        <w:div w:id="1149052934">
          <w:marLeft w:val="0"/>
          <w:marRight w:val="0"/>
          <w:marTop w:val="120"/>
          <w:marBottom w:val="120"/>
          <w:divBdr>
            <w:top w:val="none" w:sz="0" w:space="0" w:color="auto"/>
            <w:left w:val="none" w:sz="0" w:space="0" w:color="auto"/>
            <w:bottom w:val="none" w:sz="0" w:space="0" w:color="auto"/>
            <w:right w:val="none" w:sz="0" w:space="0" w:color="auto"/>
          </w:divBdr>
        </w:div>
        <w:div w:id="215774070">
          <w:marLeft w:val="0"/>
          <w:marRight w:val="0"/>
          <w:marTop w:val="120"/>
          <w:marBottom w:val="120"/>
          <w:divBdr>
            <w:top w:val="none" w:sz="0" w:space="0" w:color="auto"/>
            <w:left w:val="none" w:sz="0" w:space="0" w:color="auto"/>
            <w:bottom w:val="none" w:sz="0" w:space="0" w:color="auto"/>
            <w:right w:val="none" w:sz="0" w:space="0" w:color="auto"/>
          </w:divBdr>
        </w:div>
        <w:div w:id="661086933">
          <w:marLeft w:val="0"/>
          <w:marRight w:val="0"/>
          <w:marTop w:val="120"/>
          <w:marBottom w:val="120"/>
          <w:divBdr>
            <w:top w:val="none" w:sz="0" w:space="0" w:color="auto"/>
            <w:left w:val="none" w:sz="0" w:space="0" w:color="auto"/>
            <w:bottom w:val="none" w:sz="0" w:space="0" w:color="auto"/>
            <w:right w:val="none" w:sz="0" w:space="0" w:color="auto"/>
          </w:divBdr>
        </w:div>
        <w:div w:id="619920600">
          <w:marLeft w:val="0"/>
          <w:marRight w:val="0"/>
          <w:marTop w:val="120"/>
          <w:marBottom w:val="120"/>
          <w:divBdr>
            <w:top w:val="none" w:sz="0" w:space="0" w:color="auto"/>
            <w:left w:val="none" w:sz="0" w:space="0" w:color="auto"/>
            <w:bottom w:val="none" w:sz="0" w:space="0" w:color="auto"/>
            <w:right w:val="none" w:sz="0" w:space="0" w:color="auto"/>
          </w:divBdr>
        </w:div>
        <w:div w:id="1271470328">
          <w:marLeft w:val="0"/>
          <w:marRight w:val="0"/>
          <w:marTop w:val="120"/>
          <w:marBottom w:val="120"/>
          <w:divBdr>
            <w:top w:val="none" w:sz="0" w:space="0" w:color="auto"/>
            <w:left w:val="none" w:sz="0" w:space="0" w:color="auto"/>
            <w:bottom w:val="none" w:sz="0" w:space="0" w:color="auto"/>
            <w:right w:val="none" w:sz="0" w:space="0" w:color="auto"/>
          </w:divBdr>
        </w:div>
        <w:div w:id="1813978848">
          <w:marLeft w:val="0"/>
          <w:marRight w:val="0"/>
          <w:marTop w:val="120"/>
          <w:marBottom w:val="120"/>
          <w:divBdr>
            <w:top w:val="none" w:sz="0" w:space="0" w:color="auto"/>
            <w:left w:val="none" w:sz="0" w:space="0" w:color="auto"/>
            <w:bottom w:val="none" w:sz="0" w:space="0" w:color="auto"/>
            <w:right w:val="none" w:sz="0" w:space="0" w:color="auto"/>
          </w:divBdr>
        </w:div>
        <w:div w:id="32732525">
          <w:marLeft w:val="0"/>
          <w:marRight w:val="0"/>
          <w:marTop w:val="120"/>
          <w:marBottom w:val="120"/>
          <w:divBdr>
            <w:top w:val="none" w:sz="0" w:space="0" w:color="auto"/>
            <w:left w:val="none" w:sz="0" w:space="0" w:color="auto"/>
            <w:bottom w:val="none" w:sz="0" w:space="0" w:color="auto"/>
            <w:right w:val="none" w:sz="0" w:space="0" w:color="auto"/>
          </w:divBdr>
        </w:div>
        <w:div w:id="2068724262">
          <w:marLeft w:val="0"/>
          <w:marRight w:val="0"/>
          <w:marTop w:val="120"/>
          <w:marBottom w:val="120"/>
          <w:divBdr>
            <w:top w:val="none" w:sz="0" w:space="0" w:color="auto"/>
            <w:left w:val="none" w:sz="0" w:space="0" w:color="auto"/>
            <w:bottom w:val="none" w:sz="0" w:space="0" w:color="auto"/>
            <w:right w:val="none" w:sz="0" w:space="0" w:color="auto"/>
          </w:divBdr>
        </w:div>
        <w:div w:id="1703090548">
          <w:marLeft w:val="0"/>
          <w:marRight w:val="0"/>
          <w:marTop w:val="120"/>
          <w:marBottom w:val="120"/>
          <w:divBdr>
            <w:top w:val="none" w:sz="0" w:space="0" w:color="auto"/>
            <w:left w:val="none" w:sz="0" w:space="0" w:color="auto"/>
            <w:bottom w:val="none" w:sz="0" w:space="0" w:color="auto"/>
            <w:right w:val="none" w:sz="0" w:space="0" w:color="auto"/>
          </w:divBdr>
        </w:div>
        <w:div w:id="1999381830">
          <w:marLeft w:val="0"/>
          <w:marRight w:val="0"/>
          <w:marTop w:val="120"/>
          <w:marBottom w:val="120"/>
          <w:divBdr>
            <w:top w:val="none" w:sz="0" w:space="0" w:color="auto"/>
            <w:left w:val="none" w:sz="0" w:space="0" w:color="auto"/>
            <w:bottom w:val="none" w:sz="0" w:space="0" w:color="auto"/>
            <w:right w:val="none" w:sz="0" w:space="0" w:color="auto"/>
          </w:divBdr>
        </w:div>
        <w:div w:id="1879974098">
          <w:marLeft w:val="0"/>
          <w:marRight w:val="0"/>
          <w:marTop w:val="120"/>
          <w:marBottom w:val="120"/>
          <w:divBdr>
            <w:top w:val="none" w:sz="0" w:space="0" w:color="auto"/>
            <w:left w:val="none" w:sz="0" w:space="0" w:color="auto"/>
            <w:bottom w:val="none" w:sz="0" w:space="0" w:color="auto"/>
            <w:right w:val="none" w:sz="0" w:space="0" w:color="auto"/>
          </w:divBdr>
        </w:div>
        <w:div w:id="627202436">
          <w:marLeft w:val="0"/>
          <w:marRight w:val="0"/>
          <w:marTop w:val="120"/>
          <w:marBottom w:val="120"/>
          <w:divBdr>
            <w:top w:val="none" w:sz="0" w:space="0" w:color="auto"/>
            <w:left w:val="none" w:sz="0" w:space="0" w:color="auto"/>
            <w:bottom w:val="none" w:sz="0" w:space="0" w:color="auto"/>
            <w:right w:val="none" w:sz="0" w:space="0" w:color="auto"/>
          </w:divBdr>
        </w:div>
        <w:div w:id="1100829952">
          <w:marLeft w:val="0"/>
          <w:marRight w:val="0"/>
          <w:marTop w:val="120"/>
          <w:marBottom w:val="120"/>
          <w:divBdr>
            <w:top w:val="none" w:sz="0" w:space="0" w:color="auto"/>
            <w:left w:val="none" w:sz="0" w:space="0" w:color="auto"/>
            <w:bottom w:val="none" w:sz="0" w:space="0" w:color="auto"/>
            <w:right w:val="none" w:sz="0" w:space="0" w:color="auto"/>
          </w:divBdr>
        </w:div>
        <w:div w:id="209460226">
          <w:marLeft w:val="0"/>
          <w:marRight w:val="0"/>
          <w:marTop w:val="120"/>
          <w:marBottom w:val="120"/>
          <w:divBdr>
            <w:top w:val="none" w:sz="0" w:space="0" w:color="auto"/>
            <w:left w:val="none" w:sz="0" w:space="0" w:color="auto"/>
            <w:bottom w:val="none" w:sz="0" w:space="0" w:color="auto"/>
            <w:right w:val="none" w:sz="0" w:space="0" w:color="auto"/>
          </w:divBdr>
        </w:div>
        <w:div w:id="418523945">
          <w:marLeft w:val="0"/>
          <w:marRight w:val="0"/>
          <w:marTop w:val="120"/>
          <w:marBottom w:val="120"/>
          <w:divBdr>
            <w:top w:val="none" w:sz="0" w:space="0" w:color="auto"/>
            <w:left w:val="none" w:sz="0" w:space="0" w:color="auto"/>
            <w:bottom w:val="none" w:sz="0" w:space="0" w:color="auto"/>
            <w:right w:val="none" w:sz="0" w:space="0" w:color="auto"/>
          </w:divBdr>
        </w:div>
        <w:div w:id="1246958675">
          <w:marLeft w:val="0"/>
          <w:marRight w:val="0"/>
          <w:marTop w:val="120"/>
          <w:marBottom w:val="120"/>
          <w:divBdr>
            <w:top w:val="none" w:sz="0" w:space="0" w:color="auto"/>
            <w:left w:val="none" w:sz="0" w:space="0" w:color="auto"/>
            <w:bottom w:val="none" w:sz="0" w:space="0" w:color="auto"/>
            <w:right w:val="none" w:sz="0" w:space="0" w:color="auto"/>
          </w:divBdr>
        </w:div>
        <w:div w:id="931157566">
          <w:marLeft w:val="0"/>
          <w:marRight w:val="0"/>
          <w:marTop w:val="120"/>
          <w:marBottom w:val="120"/>
          <w:divBdr>
            <w:top w:val="none" w:sz="0" w:space="0" w:color="auto"/>
            <w:left w:val="none" w:sz="0" w:space="0" w:color="auto"/>
            <w:bottom w:val="none" w:sz="0" w:space="0" w:color="auto"/>
            <w:right w:val="none" w:sz="0" w:space="0" w:color="auto"/>
          </w:divBdr>
        </w:div>
        <w:div w:id="536628333">
          <w:marLeft w:val="0"/>
          <w:marRight w:val="0"/>
          <w:marTop w:val="120"/>
          <w:marBottom w:val="120"/>
          <w:divBdr>
            <w:top w:val="none" w:sz="0" w:space="0" w:color="auto"/>
            <w:left w:val="none" w:sz="0" w:space="0" w:color="auto"/>
            <w:bottom w:val="none" w:sz="0" w:space="0" w:color="auto"/>
            <w:right w:val="none" w:sz="0" w:space="0" w:color="auto"/>
          </w:divBdr>
        </w:div>
        <w:div w:id="453981215">
          <w:marLeft w:val="0"/>
          <w:marRight w:val="0"/>
          <w:marTop w:val="120"/>
          <w:marBottom w:val="120"/>
          <w:divBdr>
            <w:top w:val="none" w:sz="0" w:space="0" w:color="auto"/>
            <w:left w:val="none" w:sz="0" w:space="0" w:color="auto"/>
            <w:bottom w:val="none" w:sz="0" w:space="0" w:color="auto"/>
            <w:right w:val="none" w:sz="0" w:space="0" w:color="auto"/>
          </w:divBdr>
        </w:div>
        <w:div w:id="730351818">
          <w:marLeft w:val="0"/>
          <w:marRight w:val="0"/>
          <w:marTop w:val="120"/>
          <w:marBottom w:val="120"/>
          <w:divBdr>
            <w:top w:val="none" w:sz="0" w:space="0" w:color="auto"/>
            <w:left w:val="none" w:sz="0" w:space="0" w:color="auto"/>
            <w:bottom w:val="none" w:sz="0" w:space="0" w:color="auto"/>
            <w:right w:val="none" w:sz="0" w:space="0" w:color="auto"/>
          </w:divBdr>
        </w:div>
        <w:div w:id="99029178">
          <w:marLeft w:val="0"/>
          <w:marRight w:val="0"/>
          <w:marTop w:val="120"/>
          <w:marBottom w:val="120"/>
          <w:divBdr>
            <w:top w:val="none" w:sz="0" w:space="0" w:color="auto"/>
            <w:left w:val="none" w:sz="0" w:space="0" w:color="auto"/>
            <w:bottom w:val="none" w:sz="0" w:space="0" w:color="auto"/>
            <w:right w:val="none" w:sz="0" w:space="0" w:color="auto"/>
          </w:divBdr>
        </w:div>
        <w:div w:id="932590081">
          <w:marLeft w:val="0"/>
          <w:marRight w:val="0"/>
          <w:marTop w:val="120"/>
          <w:marBottom w:val="120"/>
          <w:divBdr>
            <w:top w:val="none" w:sz="0" w:space="0" w:color="auto"/>
            <w:left w:val="none" w:sz="0" w:space="0" w:color="auto"/>
            <w:bottom w:val="none" w:sz="0" w:space="0" w:color="auto"/>
            <w:right w:val="none" w:sz="0" w:space="0" w:color="auto"/>
          </w:divBdr>
        </w:div>
        <w:div w:id="2048288549">
          <w:marLeft w:val="0"/>
          <w:marRight w:val="0"/>
          <w:marTop w:val="120"/>
          <w:marBottom w:val="120"/>
          <w:divBdr>
            <w:top w:val="none" w:sz="0" w:space="0" w:color="auto"/>
            <w:left w:val="none" w:sz="0" w:space="0" w:color="auto"/>
            <w:bottom w:val="none" w:sz="0" w:space="0" w:color="auto"/>
            <w:right w:val="none" w:sz="0" w:space="0" w:color="auto"/>
          </w:divBdr>
        </w:div>
        <w:div w:id="261494529">
          <w:marLeft w:val="0"/>
          <w:marRight w:val="0"/>
          <w:marTop w:val="120"/>
          <w:marBottom w:val="120"/>
          <w:divBdr>
            <w:top w:val="none" w:sz="0" w:space="0" w:color="auto"/>
            <w:left w:val="none" w:sz="0" w:space="0" w:color="auto"/>
            <w:bottom w:val="none" w:sz="0" w:space="0" w:color="auto"/>
            <w:right w:val="none" w:sz="0" w:space="0" w:color="auto"/>
          </w:divBdr>
        </w:div>
        <w:div w:id="2140150603">
          <w:marLeft w:val="0"/>
          <w:marRight w:val="0"/>
          <w:marTop w:val="120"/>
          <w:marBottom w:val="120"/>
          <w:divBdr>
            <w:top w:val="none" w:sz="0" w:space="0" w:color="auto"/>
            <w:left w:val="none" w:sz="0" w:space="0" w:color="auto"/>
            <w:bottom w:val="none" w:sz="0" w:space="0" w:color="auto"/>
            <w:right w:val="none" w:sz="0" w:space="0" w:color="auto"/>
          </w:divBdr>
        </w:div>
        <w:div w:id="197938789">
          <w:marLeft w:val="0"/>
          <w:marRight w:val="0"/>
          <w:marTop w:val="120"/>
          <w:marBottom w:val="120"/>
          <w:divBdr>
            <w:top w:val="none" w:sz="0" w:space="0" w:color="auto"/>
            <w:left w:val="none" w:sz="0" w:space="0" w:color="auto"/>
            <w:bottom w:val="none" w:sz="0" w:space="0" w:color="auto"/>
            <w:right w:val="none" w:sz="0" w:space="0" w:color="auto"/>
          </w:divBdr>
        </w:div>
        <w:div w:id="704215876">
          <w:marLeft w:val="0"/>
          <w:marRight w:val="0"/>
          <w:marTop w:val="120"/>
          <w:marBottom w:val="120"/>
          <w:divBdr>
            <w:top w:val="none" w:sz="0" w:space="0" w:color="auto"/>
            <w:left w:val="none" w:sz="0" w:space="0" w:color="auto"/>
            <w:bottom w:val="none" w:sz="0" w:space="0" w:color="auto"/>
            <w:right w:val="none" w:sz="0" w:space="0" w:color="auto"/>
          </w:divBdr>
        </w:div>
        <w:div w:id="104927059">
          <w:marLeft w:val="0"/>
          <w:marRight w:val="0"/>
          <w:marTop w:val="120"/>
          <w:marBottom w:val="120"/>
          <w:divBdr>
            <w:top w:val="none" w:sz="0" w:space="0" w:color="auto"/>
            <w:left w:val="none" w:sz="0" w:space="0" w:color="auto"/>
            <w:bottom w:val="none" w:sz="0" w:space="0" w:color="auto"/>
            <w:right w:val="none" w:sz="0" w:space="0" w:color="auto"/>
          </w:divBdr>
        </w:div>
        <w:div w:id="2048605333">
          <w:marLeft w:val="0"/>
          <w:marRight w:val="0"/>
          <w:marTop w:val="120"/>
          <w:marBottom w:val="120"/>
          <w:divBdr>
            <w:top w:val="none" w:sz="0" w:space="0" w:color="auto"/>
            <w:left w:val="none" w:sz="0" w:space="0" w:color="auto"/>
            <w:bottom w:val="none" w:sz="0" w:space="0" w:color="auto"/>
            <w:right w:val="none" w:sz="0" w:space="0" w:color="auto"/>
          </w:divBdr>
        </w:div>
        <w:div w:id="1160193075">
          <w:marLeft w:val="0"/>
          <w:marRight w:val="0"/>
          <w:marTop w:val="120"/>
          <w:marBottom w:val="120"/>
          <w:divBdr>
            <w:top w:val="none" w:sz="0" w:space="0" w:color="auto"/>
            <w:left w:val="none" w:sz="0" w:space="0" w:color="auto"/>
            <w:bottom w:val="none" w:sz="0" w:space="0" w:color="auto"/>
            <w:right w:val="none" w:sz="0" w:space="0" w:color="auto"/>
          </w:divBdr>
        </w:div>
        <w:div w:id="1053388310">
          <w:marLeft w:val="0"/>
          <w:marRight w:val="0"/>
          <w:marTop w:val="120"/>
          <w:marBottom w:val="120"/>
          <w:divBdr>
            <w:top w:val="none" w:sz="0" w:space="0" w:color="auto"/>
            <w:left w:val="none" w:sz="0" w:space="0" w:color="auto"/>
            <w:bottom w:val="none" w:sz="0" w:space="0" w:color="auto"/>
            <w:right w:val="none" w:sz="0" w:space="0" w:color="auto"/>
          </w:divBdr>
        </w:div>
        <w:div w:id="1892768575">
          <w:marLeft w:val="0"/>
          <w:marRight w:val="0"/>
          <w:marTop w:val="120"/>
          <w:marBottom w:val="120"/>
          <w:divBdr>
            <w:top w:val="none" w:sz="0" w:space="0" w:color="auto"/>
            <w:left w:val="none" w:sz="0" w:space="0" w:color="auto"/>
            <w:bottom w:val="none" w:sz="0" w:space="0" w:color="auto"/>
            <w:right w:val="none" w:sz="0" w:space="0" w:color="auto"/>
          </w:divBdr>
        </w:div>
        <w:div w:id="499085152">
          <w:marLeft w:val="0"/>
          <w:marRight w:val="0"/>
          <w:marTop w:val="120"/>
          <w:marBottom w:val="120"/>
          <w:divBdr>
            <w:top w:val="none" w:sz="0" w:space="0" w:color="auto"/>
            <w:left w:val="none" w:sz="0" w:space="0" w:color="auto"/>
            <w:bottom w:val="none" w:sz="0" w:space="0" w:color="auto"/>
            <w:right w:val="none" w:sz="0" w:space="0" w:color="auto"/>
          </w:divBdr>
        </w:div>
        <w:div w:id="1290428896">
          <w:marLeft w:val="0"/>
          <w:marRight w:val="0"/>
          <w:marTop w:val="120"/>
          <w:marBottom w:val="120"/>
          <w:divBdr>
            <w:top w:val="none" w:sz="0" w:space="0" w:color="auto"/>
            <w:left w:val="none" w:sz="0" w:space="0" w:color="auto"/>
            <w:bottom w:val="none" w:sz="0" w:space="0" w:color="auto"/>
            <w:right w:val="none" w:sz="0" w:space="0" w:color="auto"/>
          </w:divBdr>
        </w:div>
      </w:divsChild>
    </w:div>
    <w:div w:id="1939825467">
      <w:bodyDiv w:val="1"/>
      <w:marLeft w:val="0"/>
      <w:marRight w:val="0"/>
      <w:marTop w:val="0"/>
      <w:marBottom w:val="0"/>
      <w:divBdr>
        <w:top w:val="none" w:sz="0" w:space="0" w:color="auto"/>
        <w:left w:val="none" w:sz="0" w:space="0" w:color="auto"/>
        <w:bottom w:val="none" w:sz="0" w:space="0" w:color="auto"/>
        <w:right w:val="none" w:sz="0" w:space="0" w:color="auto"/>
      </w:divBdr>
      <w:divsChild>
        <w:div w:id="1180391043">
          <w:marLeft w:val="0"/>
          <w:marRight w:val="0"/>
          <w:marTop w:val="120"/>
          <w:marBottom w:val="120"/>
          <w:divBdr>
            <w:top w:val="none" w:sz="0" w:space="0" w:color="auto"/>
            <w:left w:val="none" w:sz="0" w:space="0" w:color="auto"/>
            <w:bottom w:val="none" w:sz="0" w:space="0" w:color="auto"/>
            <w:right w:val="none" w:sz="0" w:space="0" w:color="auto"/>
          </w:divBdr>
        </w:div>
        <w:div w:id="2085177070">
          <w:marLeft w:val="0"/>
          <w:marRight w:val="0"/>
          <w:marTop w:val="120"/>
          <w:marBottom w:val="120"/>
          <w:divBdr>
            <w:top w:val="none" w:sz="0" w:space="0" w:color="auto"/>
            <w:left w:val="none" w:sz="0" w:space="0" w:color="auto"/>
            <w:bottom w:val="none" w:sz="0" w:space="0" w:color="auto"/>
            <w:right w:val="none" w:sz="0" w:space="0" w:color="auto"/>
          </w:divBdr>
        </w:div>
        <w:div w:id="1081757930">
          <w:marLeft w:val="0"/>
          <w:marRight w:val="0"/>
          <w:marTop w:val="120"/>
          <w:marBottom w:val="120"/>
          <w:divBdr>
            <w:top w:val="none" w:sz="0" w:space="0" w:color="auto"/>
            <w:left w:val="none" w:sz="0" w:space="0" w:color="auto"/>
            <w:bottom w:val="none" w:sz="0" w:space="0" w:color="auto"/>
            <w:right w:val="none" w:sz="0" w:space="0" w:color="auto"/>
          </w:divBdr>
        </w:div>
        <w:div w:id="1159074556">
          <w:marLeft w:val="0"/>
          <w:marRight w:val="0"/>
          <w:marTop w:val="120"/>
          <w:marBottom w:val="120"/>
          <w:divBdr>
            <w:top w:val="none" w:sz="0" w:space="0" w:color="auto"/>
            <w:left w:val="none" w:sz="0" w:space="0" w:color="auto"/>
            <w:bottom w:val="none" w:sz="0" w:space="0" w:color="auto"/>
            <w:right w:val="none" w:sz="0" w:space="0" w:color="auto"/>
          </w:divBdr>
        </w:div>
        <w:div w:id="1513842043">
          <w:marLeft w:val="0"/>
          <w:marRight w:val="0"/>
          <w:marTop w:val="120"/>
          <w:marBottom w:val="120"/>
          <w:divBdr>
            <w:top w:val="none" w:sz="0" w:space="0" w:color="auto"/>
            <w:left w:val="none" w:sz="0" w:space="0" w:color="auto"/>
            <w:bottom w:val="none" w:sz="0" w:space="0" w:color="auto"/>
            <w:right w:val="none" w:sz="0" w:space="0" w:color="auto"/>
          </w:divBdr>
        </w:div>
        <w:div w:id="1403288879">
          <w:marLeft w:val="0"/>
          <w:marRight w:val="0"/>
          <w:marTop w:val="120"/>
          <w:marBottom w:val="120"/>
          <w:divBdr>
            <w:top w:val="none" w:sz="0" w:space="0" w:color="auto"/>
            <w:left w:val="none" w:sz="0" w:space="0" w:color="auto"/>
            <w:bottom w:val="none" w:sz="0" w:space="0" w:color="auto"/>
            <w:right w:val="none" w:sz="0" w:space="0" w:color="auto"/>
          </w:divBdr>
        </w:div>
        <w:div w:id="502861084">
          <w:marLeft w:val="0"/>
          <w:marRight w:val="0"/>
          <w:marTop w:val="120"/>
          <w:marBottom w:val="120"/>
          <w:divBdr>
            <w:top w:val="none" w:sz="0" w:space="0" w:color="auto"/>
            <w:left w:val="none" w:sz="0" w:space="0" w:color="auto"/>
            <w:bottom w:val="none" w:sz="0" w:space="0" w:color="auto"/>
            <w:right w:val="none" w:sz="0" w:space="0" w:color="auto"/>
          </w:divBdr>
        </w:div>
        <w:div w:id="1767996612">
          <w:marLeft w:val="0"/>
          <w:marRight w:val="0"/>
          <w:marTop w:val="120"/>
          <w:marBottom w:val="120"/>
          <w:divBdr>
            <w:top w:val="none" w:sz="0" w:space="0" w:color="auto"/>
            <w:left w:val="none" w:sz="0" w:space="0" w:color="auto"/>
            <w:bottom w:val="none" w:sz="0" w:space="0" w:color="auto"/>
            <w:right w:val="none" w:sz="0" w:space="0" w:color="auto"/>
          </w:divBdr>
        </w:div>
        <w:div w:id="376046587">
          <w:marLeft w:val="0"/>
          <w:marRight w:val="0"/>
          <w:marTop w:val="120"/>
          <w:marBottom w:val="120"/>
          <w:divBdr>
            <w:top w:val="none" w:sz="0" w:space="0" w:color="auto"/>
            <w:left w:val="none" w:sz="0" w:space="0" w:color="auto"/>
            <w:bottom w:val="none" w:sz="0" w:space="0" w:color="auto"/>
            <w:right w:val="none" w:sz="0" w:space="0" w:color="auto"/>
          </w:divBdr>
        </w:div>
        <w:div w:id="1275476592">
          <w:marLeft w:val="0"/>
          <w:marRight w:val="0"/>
          <w:marTop w:val="120"/>
          <w:marBottom w:val="120"/>
          <w:divBdr>
            <w:top w:val="none" w:sz="0" w:space="0" w:color="auto"/>
            <w:left w:val="none" w:sz="0" w:space="0" w:color="auto"/>
            <w:bottom w:val="none" w:sz="0" w:space="0" w:color="auto"/>
            <w:right w:val="none" w:sz="0" w:space="0" w:color="auto"/>
          </w:divBdr>
        </w:div>
        <w:div w:id="1937904833">
          <w:marLeft w:val="0"/>
          <w:marRight w:val="0"/>
          <w:marTop w:val="120"/>
          <w:marBottom w:val="120"/>
          <w:divBdr>
            <w:top w:val="none" w:sz="0" w:space="0" w:color="auto"/>
            <w:left w:val="none" w:sz="0" w:space="0" w:color="auto"/>
            <w:bottom w:val="none" w:sz="0" w:space="0" w:color="auto"/>
            <w:right w:val="none" w:sz="0" w:space="0" w:color="auto"/>
          </w:divBdr>
        </w:div>
        <w:div w:id="801076281">
          <w:marLeft w:val="0"/>
          <w:marRight w:val="0"/>
          <w:marTop w:val="120"/>
          <w:marBottom w:val="120"/>
          <w:divBdr>
            <w:top w:val="none" w:sz="0" w:space="0" w:color="auto"/>
            <w:left w:val="none" w:sz="0" w:space="0" w:color="auto"/>
            <w:bottom w:val="none" w:sz="0" w:space="0" w:color="auto"/>
            <w:right w:val="none" w:sz="0" w:space="0" w:color="auto"/>
          </w:divBdr>
        </w:div>
        <w:div w:id="1803039136">
          <w:marLeft w:val="0"/>
          <w:marRight w:val="0"/>
          <w:marTop w:val="120"/>
          <w:marBottom w:val="120"/>
          <w:divBdr>
            <w:top w:val="none" w:sz="0" w:space="0" w:color="auto"/>
            <w:left w:val="none" w:sz="0" w:space="0" w:color="auto"/>
            <w:bottom w:val="none" w:sz="0" w:space="0" w:color="auto"/>
            <w:right w:val="none" w:sz="0" w:space="0" w:color="auto"/>
          </w:divBdr>
        </w:div>
        <w:div w:id="1373577384">
          <w:marLeft w:val="0"/>
          <w:marRight w:val="0"/>
          <w:marTop w:val="120"/>
          <w:marBottom w:val="120"/>
          <w:divBdr>
            <w:top w:val="none" w:sz="0" w:space="0" w:color="auto"/>
            <w:left w:val="none" w:sz="0" w:space="0" w:color="auto"/>
            <w:bottom w:val="none" w:sz="0" w:space="0" w:color="auto"/>
            <w:right w:val="none" w:sz="0" w:space="0" w:color="auto"/>
          </w:divBdr>
        </w:div>
        <w:div w:id="1659923354">
          <w:marLeft w:val="0"/>
          <w:marRight w:val="0"/>
          <w:marTop w:val="120"/>
          <w:marBottom w:val="120"/>
          <w:divBdr>
            <w:top w:val="none" w:sz="0" w:space="0" w:color="auto"/>
            <w:left w:val="none" w:sz="0" w:space="0" w:color="auto"/>
            <w:bottom w:val="none" w:sz="0" w:space="0" w:color="auto"/>
            <w:right w:val="none" w:sz="0" w:space="0" w:color="auto"/>
          </w:divBdr>
        </w:div>
        <w:div w:id="651755790">
          <w:marLeft w:val="0"/>
          <w:marRight w:val="0"/>
          <w:marTop w:val="120"/>
          <w:marBottom w:val="120"/>
          <w:divBdr>
            <w:top w:val="none" w:sz="0" w:space="0" w:color="auto"/>
            <w:left w:val="none" w:sz="0" w:space="0" w:color="auto"/>
            <w:bottom w:val="none" w:sz="0" w:space="0" w:color="auto"/>
            <w:right w:val="none" w:sz="0" w:space="0" w:color="auto"/>
          </w:divBdr>
        </w:div>
        <w:div w:id="2092848046">
          <w:marLeft w:val="0"/>
          <w:marRight w:val="0"/>
          <w:marTop w:val="120"/>
          <w:marBottom w:val="120"/>
          <w:divBdr>
            <w:top w:val="none" w:sz="0" w:space="0" w:color="auto"/>
            <w:left w:val="none" w:sz="0" w:space="0" w:color="auto"/>
            <w:bottom w:val="none" w:sz="0" w:space="0" w:color="auto"/>
            <w:right w:val="none" w:sz="0" w:space="0" w:color="auto"/>
          </w:divBdr>
        </w:div>
        <w:div w:id="1647667086">
          <w:marLeft w:val="0"/>
          <w:marRight w:val="0"/>
          <w:marTop w:val="120"/>
          <w:marBottom w:val="120"/>
          <w:divBdr>
            <w:top w:val="none" w:sz="0" w:space="0" w:color="auto"/>
            <w:left w:val="none" w:sz="0" w:space="0" w:color="auto"/>
            <w:bottom w:val="none" w:sz="0" w:space="0" w:color="auto"/>
            <w:right w:val="none" w:sz="0" w:space="0" w:color="auto"/>
          </w:divBdr>
        </w:div>
        <w:div w:id="1288782457">
          <w:marLeft w:val="0"/>
          <w:marRight w:val="0"/>
          <w:marTop w:val="120"/>
          <w:marBottom w:val="120"/>
          <w:divBdr>
            <w:top w:val="none" w:sz="0" w:space="0" w:color="auto"/>
            <w:left w:val="none" w:sz="0" w:space="0" w:color="auto"/>
            <w:bottom w:val="none" w:sz="0" w:space="0" w:color="auto"/>
            <w:right w:val="none" w:sz="0" w:space="0" w:color="auto"/>
          </w:divBdr>
        </w:div>
        <w:div w:id="1234975062">
          <w:marLeft w:val="0"/>
          <w:marRight w:val="0"/>
          <w:marTop w:val="120"/>
          <w:marBottom w:val="120"/>
          <w:divBdr>
            <w:top w:val="none" w:sz="0" w:space="0" w:color="auto"/>
            <w:left w:val="none" w:sz="0" w:space="0" w:color="auto"/>
            <w:bottom w:val="none" w:sz="0" w:space="0" w:color="auto"/>
            <w:right w:val="none" w:sz="0" w:space="0" w:color="auto"/>
          </w:divBdr>
        </w:div>
        <w:div w:id="619919198">
          <w:marLeft w:val="0"/>
          <w:marRight w:val="0"/>
          <w:marTop w:val="120"/>
          <w:marBottom w:val="120"/>
          <w:divBdr>
            <w:top w:val="none" w:sz="0" w:space="0" w:color="auto"/>
            <w:left w:val="none" w:sz="0" w:space="0" w:color="auto"/>
            <w:bottom w:val="none" w:sz="0" w:space="0" w:color="auto"/>
            <w:right w:val="none" w:sz="0" w:space="0" w:color="auto"/>
          </w:divBdr>
        </w:div>
        <w:div w:id="494567272">
          <w:marLeft w:val="0"/>
          <w:marRight w:val="0"/>
          <w:marTop w:val="120"/>
          <w:marBottom w:val="120"/>
          <w:divBdr>
            <w:top w:val="none" w:sz="0" w:space="0" w:color="auto"/>
            <w:left w:val="none" w:sz="0" w:space="0" w:color="auto"/>
            <w:bottom w:val="none" w:sz="0" w:space="0" w:color="auto"/>
            <w:right w:val="none" w:sz="0" w:space="0" w:color="auto"/>
          </w:divBdr>
        </w:div>
        <w:div w:id="1588419809">
          <w:marLeft w:val="0"/>
          <w:marRight w:val="0"/>
          <w:marTop w:val="120"/>
          <w:marBottom w:val="120"/>
          <w:divBdr>
            <w:top w:val="none" w:sz="0" w:space="0" w:color="auto"/>
            <w:left w:val="none" w:sz="0" w:space="0" w:color="auto"/>
            <w:bottom w:val="none" w:sz="0" w:space="0" w:color="auto"/>
            <w:right w:val="none" w:sz="0" w:space="0" w:color="auto"/>
          </w:divBdr>
        </w:div>
        <w:div w:id="1141195252">
          <w:marLeft w:val="0"/>
          <w:marRight w:val="0"/>
          <w:marTop w:val="120"/>
          <w:marBottom w:val="120"/>
          <w:divBdr>
            <w:top w:val="none" w:sz="0" w:space="0" w:color="auto"/>
            <w:left w:val="none" w:sz="0" w:space="0" w:color="auto"/>
            <w:bottom w:val="none" w:sz="0" w:space="0" w:color="auto"/>
            <w:right w:val="none" w:sz="0" w:space="0" w:color="auto"/>
          </w:divBdr>
        </w:div>
        <w:div w:id="1433041489">
          <w:marLeft w:val="0"/>
          <w:marRight w:val="0"/>
          <w:marTop w:val="120"/>
          <w:marBottom w:val="120"/>
          <w:divBdr>
            <w:top w:val="none" w:sz="0" w:space="0" w:color="auto"/>
            <w:left w:val="none" w:sz="0" w:space="0" w:color="auto"/>
            <w:bottom w:val="none" w:sz="0" w:space="0" w:color="auto"/>
            <w:right w:val="none" w:sz="0" w:space="0" w:color="auto"/>
          </w:divBdr>
        </w:div>
        <w:div w:id="709065657">
          <w:marLeft w:val="0"/>
          <w:marRight w:val="0"/>
          <w:marTop w:val="120"/>
          <w:marBottom w:val="120"/>
          <w:divBdr>
            <w:top w:val="none" w:sz="0" w:space="0" w:color="auto"/>
            <w:left w:val="none" w:sz="0" w:space="0" w:color="auto"/>
            <w:bottom w:val="none" w:sz="0" w:space="0" w:color="auto"/>
            <w:right w:val="none" w:sz="0" w:space="0" w:color="auto"/>
          </w:divBdr>
        </w:div>
        <w:div w:id="72703859">
          <w:marLeft w:val="0"/>
          <w:marRight w:val="0"/>
          <w:marTop w:val="120"/>
          <w:marBottom w:val="120"/>
          <w:divBdr>
            <w:top w:val="none" w:sz="0" w:space="0" w:color="auto"/>
            <w:left w:val="none" w:sz="0" w:space="0" w:color="auto"/>
            <w:bottom w:val="none" w:sz="0" w:space="0" w:color="auto"/>
            <w:right w:val="none" w:sz="0" w:space="0" w:color="auto"/>
          </w:divBdr>
        </w:div>
        <w:div w:id="1803618606">
          <w:marLeft w:val="0"/>
          <w:marRight w:val="0"/>
          <w:marTop w:val="120"/>
          <w:marBottom w:val="120"/>
          <w:divBdr>
            <w:top w:val="none" w:sz="0" w:space="0" w:color="auto"/>
            <w:left w:val="none" w:sz="0" w:space="0" w:color="auto"/>
            <w:bottom w:val="none" w:sz="0" w:space="0" w:color="auto"/>
            <w:right w:val="none" w:sz="0" w:space="0" w:color="auto"/>
          </w:divBdr>
        </w:div>
        <w:div w:id="1145660305">
          <w:marLeft w:val="0"/>
          <w:marRight w:val="0"/>
          <w:marTop w:val="120"/>
          <w:marBottom w:val="120"/>
          <w:divBdr>
            <w:top w:val="none" w:sz="0" w:space="0" w:color="auto"/>
            <w:left w:val="none" w:sz="0" w:space="0" w:color="auto"/>
            <w:bottom w:val="none" w:sz="0" w:space="0" w:color="auto"/>
            <w:right w:val="none" w:sz="0" w:space="0" w:color="auto"/>
          </w:divBdr>
        </w:div>
        <w:div w:id="1489787592">
          <w:marLeft w:val="0"/>
          <w:marRight w:val="0"/>
          <w:marTop w:val="120"/>
          <w:marBottom w:val="120"/>
          <w:divBdr>
            <w:top w:val="none" w:sz="0" w:space="0" w:color="auto"/>
            <w:left w:val="none" w:sz="0" w:space="0" w:color="auto"/>
            <w:bottom w:val="none" w:sz="0" w:space="0" w:color="auto"/>
            <w:right w:val="none" w:sz="0" w:space="0" w:color="auto"/>
          </w:divBdr>
        </w:div>
        <w:div w:id="1410693271">
          <w:marLeft w:val="0"/>
          <w:marRight w:val="0"/>
          <w:marTop w:val="120"/>
          <w:marBottom w:val="120"/>
          <w:divBdr>
            <w:top w:val="none" w:sz="0" w:space="0" w:color="auto"/>
            <w:left w:val="none" w:sz="0" w:space="0" w:color="auto"/>
            <w:bottom w:val="none" w:sz="0" w:space="0" w:color="auto"/>
            <w:right w:val="none" w:sz="0" w:space="0" w:color="auto"/>
          </w:divBdr>
        </w:div>
        <w:div w:id="1964070899">
          <w:marLeft w:val="0"/>
          <w:marRight w:val="0"/>
          <w:marTop w:val="120"/>
          <w:marBottom w:val="120"/>
          <w:divBdr>
            <w:top w:val="none" w:sz="0" w:space="0" w:color="auto"/>
            <w:left w:val="none" w:sz="0" w:space="0" w:color="auto"/>
            <w:bottom w:val="none" w:sz="0" w:space="0" w:color="auto"/>
            <w:right w:val="none" w:sz="0" w:space="0" w:color="auto"/>
          </w:divBdr>
        </w:div>
        <w:div w:id="858855363">
          <w:marLeft w:val="0"/>
          <w:marRight w:val="0"/>
          <w:marTop w:val="120"/>
          <w:marBottom w:val="120"/>
          <w:divBdr>
            <w:top w:val="none" w:sz="0" w:space="0" w:color="auto"/>
            <w:left w:val="none" w:sz="0" w:space="0" w:color="auto"/>
            <w:bottom w:val="none" w:sz="0" w:space="0" w:color="auto"/>
            <w:right w:val="none" w:sz="0" w:space="0" w:color="auto"/>
          </w:divBdr>
        </w:div>
        <w:div w:id="423645563">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i.parliament.uk/historic-hansard/commons/1907/apr/11/imprisonment-of-british-subjects-in-eas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pi.parliament.uk/historic-hansard/commons/1907/mar/18/british-east-africa-native-unres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rivycouncilpapers.exeter.ac.uk/contexts/law-and-the-british-empire/" TargetMode="External"/><Relationship Id="rId11" Type="http://schemas.openxmlformats.org/officeDocument/2006/relationships/hyperlink" Target="https://www.tandfonline.com/doi/abs/10.1080/17531055.2010.517418" TargetMode="External"/><Relationship Id="rId5" Type="http://schemas.openxmlformats.org/officeDocument/2006/relationships/hyperlink" Target="https://books.google.com/books?id=xUdbz1qsVRQC" TargetMode="External"/><Relationship Id="rId10" Type="http://schemas.openxmlformats.org/officeDocument/2006/relationships/hyperlink" Target="https://academic.oup.com/manchester-scholarship-online/book/16660/chapter/173756253" TargetMode="External"/><Relationship Id="rId4" Type="http://schemas.openxmlformats.org/officeDocument/2006/relationships/webSettings" Target="webSettings.xml"/><Relationship Id="rId9" Type="http://schemas.openxmlformats.org/officeDocument/2006/relationships/hyperlink" Target="https://doi.org/10.1080/030865309035381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80</TotalTime>
  <Pages>4</Pages>
  <Words>2038</Words>
  <Characters>11619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Narantsatsralt Ganbaatar (2124049)</cp:lastModifiedBy>
  <cp:revision>4</cp:revision>
  <dcterms:created xsi:type="dcterms:W3CDTF">2026-04-12T17:42:00Z</dcterms:created>
  <dcterms:modified xsi:type="dcterms:W3CDTF">2026-04-20T00:36:00Z</dcterms:modified>
</cp:coreProperties>
</file>