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17DD7" w14:textId="03BF7D01" w:rsidR="008E087E" w:rsidRPr="00C94FAE" w:rsidRDefault="00910BF1" w:rsidP="00C94FAE">
      <w:pPr>
        <w:spacing w:after="120" w:line="360" w:lineRule="auto"/>
        <w:jc w:val="center"/>
        <w:rPr>
          <w:sz w:val="32"/>
          <w:szCs w:val="32"/>
        </w:rPr>
      </w:pPr>
      <w:r w:rsidRPr="00C94FAE">
        <w:rPr>
          <w:b/>
          <w:bCs/>
          <w:sz w:val="32"/>
          <w:szCs w:val="32"/>
        </w:rPr>
        <w:t>UNIVERSITY OF WALES TRINITY SAINT DAVID</w:t>
      </w:r>
    </w:p>
    <w:p w14:paraId="3EC09BBD" w14:textId="77777777" w:rsidR="00BC385E" w:rsidRPr="00C94FAE" w:rsidRDefault="00BC385E" w:rsidP="00C94FAE">
      <w:pPr>
        <w:spacing w:after="120" w:line="360" w:lineRule="auto"/>
        <w:jc w:val="center"/>
        <w:rPr>
          <w:b/>
          <w:bCs/>
          <w:sz w:val="32"/>
          <w:szCs w:val="32"/>
        </w:rPr>
      </w:pPr>
    </w:p>
    <w:p w14:paraId="04117DDA" w14:textId="187795F5" w:rsidR="008E087E" w:rsidRPr="00C94FAE" w:rsidRDefault="00586B8A" w:rsidP="00C94FAE">
      <w:pPr>
        <w:spacing w:after="120" w:line="360" w:lineRule="auto"/>
        <w:jc w:val="center"/>
        <w:rPr>
          <w:sz w:val="32"/>
          <w:szCs w:val="32"/>
        </w:rPr>
      </w:pPr>
      <w:r w:rsidRPr="00C94FAE">
        <w:rPr>
          <w:b/>
          <w:bCs/>
          <w:sz w:val="32"/>
          <w:szCs w:val="32"/>
        </w:rPr>
        <w:t>MSc Public Health and Social Care in Practice</w:t>
      </w:r>
    </w:p>
    <w:p w14:paraId="04117DDB" w14:textId="77777777" w:rsidR="008E087E" w:rsidRPr="00C94FAE" w:rsidRDefault="008E087E" w:rsidP="00C94FAE">
      <w:pPr>
        <w:spacing w:after="360" w:line="360" w:lineRule="auto"/>
        <w:jc w:val="center"/>
        <w:rPr>
          <w:sz w:val="32"/>
          <w:szCs w:val="32"/>
        </w:rPr>
      </w:pPr>
    </w:p>
    <w:p w14:paraId="04117DDC" w14:textId="77777777" w:rsidR="008E087E" w:rsidRPr="00C94FAE" w:rsidRDefault="00586B8A" w:rsidP="00C94FAE">
      <w:pPr>
        <w:spacing w:after="120" w:line="360" w:lineRule="auto"/>
        <w:jc w:val="center"/>
        <w:rPr>
          <w:sz w:val="32"/>
          <w:szCs w:val="32"/>
        </w:rPr>
      </w:pPr>
      <w:r w:rsidRPr="00C94FAE">
        <w:rPr>
          <w:b/>
          <w:bCs/>
          <w:sz w:val="32"/>
          <w:szCs w:val="32"/>
        </w:rPr>
        <w:t>Component 2: Service Improvement Report</w:t>
      </w:r>
    </w:p>
    <w:p w14:paraId="04117DDD" w14:textId="77777777" w:rsidR="008E087E" w:rsidRPr="00C94FAE" w:rsidRDefault="008E087E" w:rsidP="00C94FAE">
      <w:pPr>
        <w:spacing w:after="360" w:line="360" w:lineRule="auto"/>
        <w:jc w:val="center"/>
        <w:rPr>
          <w:sz w:val="32"/>
          <w:szCs w:val="32"/>
        </w:rPr>
      </w:pPr>
    </w:p>
    <w:p w14:paraId="04117DDE" w14:textId="77777777" w:rsidR="008E087E" w:rsidRPr="00C94FAE" w:rsidRDefault="00586B8A" w:rsidP="00C94FAE">
      <w:pPr>
        <w:spacing w:after="120" w:line="360" w:lineRule="auto"/>
        <w:jc w:val="center"/>
        <w:rPr>
          <w:sz w:val="32"/>
          <w:szCs w:val="32"/>
        </w:rPr>
      </w:pPr>
      <w:r w:rsidRPr="00C94FAE">
        <w:rPr>
          <w:b/>
          <w:bCs/>
          <w:sz w:val="32"/>
          <w:szCs w:val="32"/>
        </w:rPr>
        <w:t>A Critical Analysis of Quality Failure and Service Improvement</w:t>
      </w:r>
    </w:p>
    <w:p w14:paraId="04117DDF" w14:textId="77777777" w:rsidR="008E087E" w:rsidRPr="00C94FAE" w:rsidRDefault="00586B8A" w:rsidP="00C94FAE">
      <w:pPr>
        <w:spacing w:after="120" w:line="360" w:lineRule="auto"/>
        <w:jc w:val="center"/>
        <w:rPr>
          <w:sz w:val="32"/>
          <w:szCs w:val="32"/>
        </w:rPr>
      </w:pPr>
      <w:r w:rsidRPr="00C94FAE">
        <w:rPr>
          <w:b/>
          <w:bCs/>
          <w:sz w:val="32"/>
          <w:szCs w:val="32"/>
        </w:rPr>
        <w:t>at Mid Staffordshire NHS Foundation Trust</w:t>
      </w:r>
    </w:p>
    <w:p w14:paraId="04117DE2" w14:textId="77777777" w:rsidR="008E087E" w:rsidRPr="00C94FAE" w:rsidRDefault="008E087E" w:rsidP="00C94FAE">
      <w:pPr>
        <w:spacing w:after="720" w:line="360" w:lineRule="auto"/>
        <w:jc w:val="center"/>
        <w:rPr>
          <w:sz w:val="32"/>
          <w:szCs w:val="32"/>
        </w:rPr>
      </w:pPr>
    </w:p>
    <w:p w14:paraId="04117DE3" w14:textId="77777777" w:rsidR="008E087E" w:rsidRPr="00C94FAE" w:rsidRDefault="00586B8A" w:rsidP="00C94FAE">
      <w:pPr>
        <w:spacing w:after="120" w:line="360" w:lineRule="auto"/>
        <w:jc w:val="center"/>
        <w:rPr>
          <w:sz w:val="32"/>
          <w:szCs w:val="32"/>
        </w:rPr>
      </w:pPr>
      <w:r w:rsidRPr="00C94FAE">
        <w:rPr>
          <w:b/>
          <w:bCs/>
          <w:sz w:val="32"/>
          <w:szCs w:val="32"/>
        </w:rPr>
        <w:t>Student Name:   Krishna Snehalgiri Goswami</w:t>
      </w:r>
    </w:p>
    <w:p w14:paraId="04117DE4" w14:textId="2178E0D9" w:rsidR="008E087E" w:rsidRPr="00C94FAE" w:rsidRDefault="00586B8A" w:rsidP="00C94FAE">
      <w:pPr>
        <w:spacing w:after="120" w:line="360" w:lineRule="auto"/>
        <w:jc w:val="center"/>
        <w:rPr>
          <w:sz w:val="32"/>
          <w:szCs w:val="32"/>
        </w:rPr>
      </w:pPr>
      <w:r w:rsidRPr="00C94FAE">
        <w:rPr>
          <w:sz w:val="32"/>
          <w:szCs w:val="32"/>
        </w:rPr>
        <w:t>Student ID: 2436890</w:t>
      </w:r>
    </w:p>
    <w:p w14:paraId="3370A1B9" w14:textId="77777777" w:rsidR="00BC385E" w:rsidRPr="00C94FAE" w:rsidRDefault="00BC385E" w:rsidP="00C94FAE">
      <w:pPr>
        <w:spacing w:after="120" w:line="360" w:lineRule="auto"/>
        <w:jc w:val="center"/>
        <w:rPr>
          <w:sz w:val="32"/>
          <w:szCs w:val="32"/>
        </w:rPr>
      </w:pPr>
    </w:p>
    <w:p w14:paraId="04117DE5" w14:textId="7E23834A" w:rsidR="008E087E" w:rsidRPr="00C94FAE" w:rsidRDefault="00586B8A" w:rsidP="00C94FAE">
      <w:pPr>
        <w:spacing w:after="120" w:line="360" w:lineRule="auto"/>
        <w:jc w:val="center"/>
        <w:rPr>
          <w:sz w:val="32"/>
          <w:szCs w:val="32"/>
        </w:rPr>
      </w:pPr>
      <w:r w:rsidRPr="00C94FAE">
        <w:rPr>
          <w:sz w:val="32"/>
          <w:szCs w:val="32"/>
        </w:rPr>
        <w:t>Module Code: LCHS7006</w:t>
      </w:r>
    </w:p>
    <w:p w14:paraId="04117DE6" w14:textId="46CDF86A" w:rsidR="008E087E" w:rsidRPr="00C94FAE" w:rsidRDefault="00586B8A" w:rsidP="00C94FAE">
      <w:pPr>
        <w:spacing w:after="120" w:line="360" w:lineRule="auto"/>
        <w:jc w:val="center"/>
        <w:rPr>
          <w:sz w:val="32"/>
          <w:szCs w:val="32"/>
        </w:rPr>
      </w:pPr>
      <w:r w:rsidRPr="00C94FAE">
        <w:rPr>
          <w:sz w:val="32"/>
          <w:szCs w:val="32"/>
        </w:rPr>
        <w:t>Module Title: Quality Assurance and Service Improvements</w:t>
      </w:r>
    </w:p>
    <w:p w14:paraId="04117DE7" w14:textId="09B6F037" w:rsidR="008E087E" w:rsidRPr="00C94FAE" w:rsidRDefault="00586B8A" w:rsidP="00C94FAE">
      <w:pPr>
        <w:spacing w:after="120" w:line="360" w:lineRule="auto"/>
        <w:jc w:val="center"/>
        <w:rPr>
          <w:sz w:val="32"/>
          <w:szCs w:val="32"/>
        </w:rPr>
      </w:pPr>
      <w:r w:rsidRPr="00C94FAE">
        <w:rPr>
          <w:sz w:val="32"/>
          <w:szCs w:val="32"/>
        </w:rPr>
        <w:t>Lecturer: Arif Ahmed / Brian Mashumba</w:t>
      </w:r>
    </w:p>
    <w:p w14:paraId="04117DE8" w14:textId="25AC1601" w:rsidR="008E087E" w:rsidRPr="00C94FAE" w:rsidRDefault="00586B8A" w:rsidP="00C94FAE">
      <w:pPr>
        <w:spacing w:after="120" w:line="360" w:lineRule="auto"/>
        <w:jc w:val="center"/>
        <w:rPr>
          <w:sz w:val="32"/>
          <w:szCs w:val="32"/>
        </w:rPr>
      </w:pPr>
      <w:r w:rsidRPr="00C94FAE">
        <w:rPr>
          <w:sz w:val="32"/>
          <w:szCs w:val="32"/>
        </w:rPr>
        <w:t>Submission: 17th April 2026</w:t>
      </w:r>
    </w:p>
    <w:p w14:paraId="04117DE9" w14:textId="77777777" w:rsidR="008E087E" w:rsidRPr="00C94FAE" w:rsidRDefault="008E087E" w:rsidP="00C94FAE">
      <w:pPr>
        <w:spacing w:after="720" w:line="360" w:lineRule="auto"/>
        <w:jc w:val="center"/>
        <w:rPr>
          <w:sz w:val="32"/>
          <w:szCs w:val="32"/>
        </w:rPr>
      </w:pPr>
    </w:p>
    <w:p w14:paraId="04117DEA" w14:textId="77777777" w:rsidR="008E087E" w:rsidRPr="00C94FAE" w:rsidRDefault="00586B8A" w:rsidP="00C94FAE">
      <w:pPr>
        <w:spacing w:line="360" w:lineRule="auto"/>
        <w:jc w:val="both"/>
      </w:pPr>
      <w:r w:rsidRPr="00C94FAE">
        <w:br w:type="page"/>
      </w:r>
    </w:p>
    <w:p w14:paraId="04117DEB" w14:textId="77777777" w:rsidR="008E087E" w:rsidRPr="00C94FAE" w:rsidRDefault="008E087E" w:rsidP="00C94FAE">
      <w:pPr>
        <w:spacing w:line="360" w:lineRule="auto"/>
        <w:jc w:val="both"/>
        <w:sectPr w:rsidR="008E087E" w:rsidRPr="00C94FAE">
          <w:footerReference w:type="default" r:id="rId8"/>
          <w:pgSz w:w="11906" w:h="16838"/>
          <w:pgMar w:top="1440" w:right="1440" w:bottom="1440" w:left="1440" w:header="708" w:footer="708" w:gutter="0"/>
          <w:cols w:space="720"/>
          <w:docGrid w:linePitch="360"/>
        </w:sectPr>
      </w:pPr>
    </w:p>
    <w:sdt>
      <w:sdtPr>
        <w:rPr>
          <w:rFonts w:ascii="Arial" w:eastAsia="Arial" w:hAnsi="Arial" w:cs="Arial"/>
          <w:color w:val="auto"/>
          <w:sz w:val="22"/>
          <w:szCs w:val="22"/>
        </w:rPr>
        <w:id w:val="2002226781"/>
        <w:docPartObj>
          <w:docPartGallery w:val="Table of Contents"/>
          <w:docPartUnique/>
        </w:docPartObj>
      </w:sdtPr>
      <w:sdtEndPr>
        <w:rPr>
          <w:b/>
          <w:bCs/>
          <w:noProof/>
        </w:rPr>
      </w:sdtEndPr>
      <w:sdtContent>
        <w:p w14:paraId="6B4D8AD5" w14:textId="3938308F" w:rsidR="00D827E9" w:rsidRPr="00C94FAE" w:rsidRDefault="00D827E9" w:rsidP="00C94FAE">
          <w:pPr>
            <w:pStyle w:val="TOCHeading"/>
            <w:spacing w:line="360" w:lineRule="auto"/>
            <w:jc w:val="both"/>
            <w:rPr>
              <w:rFonts w:ascii="Arial" w:hAnsi="Arial" w:cs="Arial"/>
              <w:sz w:val="22"/>
              <w:szCs w:val="22"/>
            </w:rPr>
          </w:pPr>
          <w:r w:rsidRPr="00C94FAE">
            <w:rPr>
              <w:rFonts w:ascii="Arial" w:hAnsi="Arial" w:cs="Arial"/>
              <w:sz w:val="22"/>
              <w:szCs w:val="22"/>
            </w:rPr>
            <w:t>Table of Contents</w:t>
          </w:r>
        </w:p>
        <w:p w14:paraId="67368253" w14:textId="1111EC19" w:rsidR="00C94FAE" w:rsidRDefault="00D827E9">
          <w:pPr>
            <w:pStyle w:val="TOC1"/>
            <w:tabs>
              <w:tab w:val="right" w:leader="dot" w:pos="9016"/>
            </w:tabs>
            <w:rPr>
              <w:rFonts w:asciiTheme="minorHAnsi" w:eastAsiaTheme="minorEastAsia" w:hAnsiTheme="minorHAnsi" w:cstheme="minorBidi"/>
              <w:noProof/>
              <w:kern w:val="2"/>
              <w:sz w:val="24"/>
              <w:szCs w:val="24"/>
              <w14:ligatures w14:val="standardContextual"/>
            </w:rPr>
          </w:pPr>
          <w:r w:rsidRPr="00C94FAE">
            <w:fldChar w:fldCharType="begin"/>
          </w:r>
          <w:r w:rsidRPr="00C94FAE">
            <w:instrText xml:space="preserve"> TOC \o "1-3" \h \z \u </w:instrText>
          </w:r>
          <w:r w:rsidRPr="00C94FAE">
            <w:fldChar w:fldCharType="separate"/>
          </w:r>
          <w:hyperlink w:anchor="_Toc226930631" w:history="1">
            <w:r w:rsidR="00C94FAE" w:rsidRPr="000B1A7A">
              <w:rPr>
                <w:rStyle w:val="Hyperlink"/>
                <w:noProof/>
              </w:rPr>
              <w:t>1. Introduction</w:t>
            </w:r>
            <w:r w:rsidR="00C94FAE">
              <w:rPr>
                <w:noProof/>
                <w:webHidden/>
              </w:rPr>
              <w:tab/>
            </w:r>
            <w:r w:rsidR="00C94FAE">
              <w:rPr>
                <w:noProof/>
                <w:webHidden/>
              </w:rPr>
              <w:fldChar w:fldCharType="begin"/>
            </w:r>
            <w:r w:rsidR="00C94FAE">
              <w:rPr>
                <w:noProof/>
                <w:webHidden/>
              </w:rPr>
              <w:instrText xml:space="preserve"> PAGEREF _Toc226930631 \h </w:instrText>
            </w:r>
            <w:r w:rsidR="00C94FAE">
              <w:rPr>
                <w:noProof/>
                <w:webHidden/>
              </w:rPr>
            </w:r>
            <w:r w:rsidR="00C94FAE">
              <w:rPr>
                <w:noProof/>
                <w:webHidden/>
              </w:rPr>
              <w:fldChar w:fldCharType="separate"/>
            </w:r>
            <w:r w:rsidR="00C94FAE">
              <w:rPr>
                <w:noProof/>
                <w:webHidden/>
              </w:rPr>
              <w:t>3</w:t>
            </w:r>
            <w:r w:rsidR="00C94FAE">
              <w:rPr>
                <w:noProof/>
                <w:webHidden/>
              </w:rPr>
              <w:fldChar w:fldCharType="end"/>
            </w:r>
          </w:hyperlink>
        </w:p>
        <w:p w14:paraId="3132A051" w14:textId="191F0110" w:rsidR="00C94FAE" w:rsidRDefault="00C94FA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930632" w:history="1">
            <w:r w:rsidRPr="000B1A7A">
              <w:rPr>
                <w:rStyle w:val="Hyperlink"/>
                <w:noProof/>
              </w:rPr>
              <w:t>2. Main Body</w:t>
            </w:r>
            <w:r>
              <w:rPr>
                <w:noProof/>
                <w:webHidden/>
              </w:rPr>
              <w:tab/>
            </w:r>
            <w:r>
              <w:rPr>
                <w:noProof/>
                <w:webHidden/>
              </w:rPr>
              <w:fldChar w:fldCharType="begin"/>
            </w:r>
            <w:r>
              <w:rPr>
                <w:noProof/>
                <w:webHidden/>
              </w:rPr>
              <w:instrText xml:space="preserve"> PAGEREF _Toc226930632 \h </w:instrText>
            </w:r>
            <w:r>
              <w:rPr>
                <w:noProof/>
                <w:webHidden/>
              </w:rPr>
            </w:r>
            <w:r>
              <w:rPr>
                <w:noProof/>
                <w:webHidden/>
              </w:rPr>
              <w:fldChar w:fldCharType="separate"/>
            </w:r>
            <w:r>
              <w:rPr>
                <w:noProof/>
                <w:webHidden/>
              </w:rPr>
              <w:t>4</w:t>
            </w:r>
            <w:r>
              <w:rPr>
                <w:noProof/>
                <w:webHidden/>
              </w:rPr>
              <w:fldChar w:fldCharType="end"/>
            </w:r>
          </w:hyperlink>
        </w:p>
        <w:p w14:paraId="7E3D080E" w14:textId="08DA8C82"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3" w:history="1">
            <w:r w:rsidRPr="000B1A7A">
              <w:rPr>
                <w:rStyle w:val="Hyperlink"/>
                <w:noProof/>
              </w:rPr>
              <w:t>2.1 Rationale for Framework Selection</w:t>
            </w:r>
            <w:r>
              <w:rPr>
                <w:noProof/>
                <w:webHidden/>
              </w:rPr>
              <w:tab/>
            </w:r>
            <w:r>
              <w:rPr>
                <w:noProof/>
                <w:webHidden/>
              </w:rPr>
              <w:fldChar w:fldCharType="begin"/>
            </w:r>
            <w:r>
              <w:rPr>
                <w:noProof/>
                <w:webHidden/>
              </w:rPr>
              <w:instrText xml:space="preserve"> PAGEREF _Toc226930633 \h </w:instrText>
            </w:r>
            <w:r>
              <w:rPr>
                <w:noProof/>
                <w:webHidden/>
              </w:rPr>
            </w:r>
            <w:r>
              <w:rPr>
                <w:noProof/>
                <w:webHidden/>
              </w:rPr>
              <w:fldChar w:fldCharType="separate"/>
            </w:r>
            <w:r>
              <w:rPr>
                <w:noProof/>
                <w:webHidden/>
              </w:rPr>
              <w:t>4</w:t>
            </w:r>
            <w:r>
              <w:rPr>
                <w:noProof/>
                <w:webHidden/>
              </w:rPr>
              <w:fldChar w:fldCharType="end"/>
            </w:r>
          </w:hyperlink>
        </w:p>
        <w:p w14:paraId="066B0FFA" w14:textId="7D38F1B7"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4" w:history="1">
            <w:r w:rsidRPr="000B1A7A">
              <w:rPr>
                <w:rStyle w:val="Hyperlink"/>
                <w:noProof/>
              </w:rPr>
              <w:t>2.2 Fishbone Diagram Analysis</w:t>
            </w:r>
            <w:r>
              <w:rPr>
                <w:noProof/>
                <w:webHidden/>
              </w:rPr>
              <w:tab/>
            </w:r>
            <w:r>
              <w:rPr>
                <w:noProof/>
                <w:webHidden/>
              </w:rPr>
              <w:fldChar w:fldCharType="begin"/>
            </w:r>
            <w:r>
              <w:rPr>
                <w:noProof/>
                <w:webHidden/>
              </w:rPr>
              <w:instrText xml:space="preserve"> PAGEREF _Toc226930634 \h </w:instrText>
            </w:r>
            <w:r>
              <w:rPr>
                <w:noProof/>
                <w:webHidden/>
              </w:rPr>
            </w:r>
            <w:r>
              <w:rPr>
                <w:noProof/>
                <w:webHidden/>
              </w:rPr>
              <w:fldChar w:fldCharType="separate"/>
            </w:r>
            <w:r>
              <w:rPr>
                <w:noProof/>
                <w:webHidden/>
              </w:rPr>
              <w:t>4</w:t>
            </w:r>
            <w:r>
              <w:rPr>
                <w:noProof/>
                <w:webHidden/>
              </w:rPr>
              <w:fldChar w:fldCharType="end"/>
            </w:r>
          </w:hyperlink>
        </w:p>
        <w:p w14:paraId="5450AC48" w14:textId="22ABC9E5"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5" w:history="1">
            <w:r w:rsidRPr="000B1A7A">
              <w:rPr>
                <w:rStyle w:val="Hyperlink"/>
                <w:noProof/>
              </w:rPr>
              <w:t>2.3 Five Whys Analysis</w:t>
            </w:r>
            <w:r>
              <w:rPr>
                <w:noProof/>
                <w:webHidden/>
              </w:rPr>
              <w:tab/>
            </w:r>
            <w:r>
              <w:rPr>
                <w:noProof/>
                <w:webHidden/>
              </w:rPr>
              <w:fldChar w:fldCharType="begin"/>
            </w:r>
            <w:r>
              <w:rPr>
                <w:noProof/>
                <w:webHidden/>
              </w:rPr>
              <w:instrText xml:space="preserve"> PAGEREF _Toc226930635 \h </w:instrText>
            </w:r>
            <w:r>
              <w:rPr>
                <w:noProof/>
                <w:webHidden/>
              </w:rPr>
            </w:r>
            <w:r>
              <w:rPr>
                <w:noProof/>
                <w:webHidden/>
              </w:rPr>
              <w:fldChar w:fldCharType="separate"/>
            </w:r>
            <w:r>
              <w:rPr>
                <w:noProof/>
                <w:webHidden/>
              </w:rPr>
              <w:t>5</w:t>
            </w:r>
            <w:r>
              <w:rPr>
                <w:noProof/>
                <w:webHidden/>
              </w:rPr>
              <w:fldChar w:fldCharType="end"/>
            </w:r>
          </w:hyperlink>
        </w:p>
        <w:p w14:paraId="35EE246B" w14:textId="79C80EE7"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6" w:history="1">
            <w:r w:rsidRPr="000B1A7A">
              <w:rPr>
                <w:rStyle w:val="Hyperlink"/>
                <w:noProof/>
              </w:rPr>
              <w:t>2.4 Donabedian Model Analysis</w:t>
            </w:r>
            <w:r>
              <w:rPr>
                <w:noProof/>
                <w:webHidden/>
              </w:rPr>
              <w:tab/>
            </w:r>
            <w:r>
              <w:rPr>
                <w:noProof/>
                <w:webHidden/>
              </w:rPr>
              <w:fldChar w:fldCharType="begin"/>
            </w:r>
            <w:r>
              <w:rPr>
                <w:noProof/>
                <w:webHidden/>
              </w:rPr>
              <w:instrText xml:space="preserve"> PAGEREF _Toc226930636 \h </w:instrText>
            </w:r>
            <w:r>
              <w:rPr>
                <w:noProof/>
                <w:webHidden/>
              </w:rPr>
            </w:r>
            <w:r>
              <w:rPr>
                <w:noProof/>
                <w:webHidden/>
              </w:rPr>
              <w:fldChar w:fldCharType="separate"/>
            </w:r>
            <w:r>
              <w:rPr>
                <w:noProof/>
                <w:webHidden/>
              </w:rPr>
              <w:t>7</w:t>
            </w:r>
            <w:r>
              <w:rPr>
                <w:noProof/>
                <w:webHidden/>
              </w:rPr>
              <w:fldChar w:fldCharType="end"/>
            </w:r>
          </w:hyperlink>
        </w:p>
        <w:p w14:paraId="0BF7E3AF" w14:textId="4BFC2075"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7" w:history="1">
            <w:r w:rsidRPr="000B1A7A">
              <w:rPr>
                <w:rStyle w:val="Hyperlink"/>
                <w:noProof/>
              </w:rPr>
              <w:t>2.5 SWOT Analysis</w:t>
            </w:r>
            <w:r>
              <w:rPr>
                <w:noProof/>
                <w:webHidden/>
              </w:rPr>
              <w:tab/>
            </w:r>
            <w:r>
              <w:rPr>
                <w:noProof/>
                <w:webHidden/>
              </w:rPr>
              <w:fldChar w:fldCharType="begin"/>
            </w:r>
            <w:r>
              <w:rPr>
                <w:noProof/>
                <w:webHidden/>
              </w:rPr>
              <w:instrText xml:space="preserve"> PAGEREF _Toc226930637 \h </w:instrText>
            </w:r>
            <w:r>
              <w:rPr>
                <w:noProof/>
                <w:webHidden/>
              </w:rPr>
            </w:r>
            <w:r>
              <w:rPr>
                <w:noProof/>
                <w:webHidden/>
              </w:rPr>
              <w:fldChar w:fldCharType="separate"/>
            </w:r>
            <w:r>
              <w:rPr>
                <w:noProof/>
                <w:webHidden/>
              </w:rPr>
              <w:t>8</w:t>
            </w:r>
            <w:r>
              <w:rPr>
                <w:noProof/>
                <w:webHidden/>
              </w:rPr>
              <w:fldChar w:fldCharType="end"/>
            </w:r>
          </w:hyperlink>
        </w:p>
        <w:p w14:paraId="3FE656A3" w14:textId="268C4164"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8" w:history="1">
            <w:r w:rsidRPr="000B1A7A">
              <w:rPr>
                <w:rStyle w:val="Hyperlink"/>
                <w:noProof/>
              </w:rPr>
              <w:t>2.6 Policy Context</w:t>
            </w:r>
            <w:r>
              <w:rPr>
                <w:noProof/>
                <w:webHidden/>
              </w:rPr>
              <w:tab/>
            </w:r>
            <w:r>
              <w:rPr>
                <w:noProof/>
                <w:webHidden/>
              </w:rPr>
              <w:fldChar w:fldCharType="begin"/>
            </w:r>
            <w:r>
              <w:rPr>
                <w:noProof/>
                <w:webHidden/>
              </w:rPr>
              <w:instrText xml:space="preserve"> PAGEREF _Toc226930638 \h </w:instrText>
            </w:r>
            <w:r>
              <w:rPr>
                <w:noProof/>
                <w:webHidden/>
              </w:rPr>
            </w:r>
            <w:r>
              <w:rPr>
                <w:noProof/>
                <w:webHidden/>
              </w:rPr>
              <w:fldChar w:fldCharType="separate"/>
            </w:r>
            <w:r>
              <w:rPr>
                <w:noProof/>
                <w:webHidden/>
              </w:rPr>
              <w:t>9</w:t>
            </w:r>
            <w:r>
              <w:rPr>
                <w:noProof/>
                <w:webHidden/>
              </w:rPr>
              <w:fldChar w:fldCharType="end"/>
            </w:r>
          </w:hyperlink>
        </w:p>
        <w:p w14:paraId="02968F8C" w14:textId="605BA07B"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39" w:history="1">
            <w:r w:rsidRPr="000B1A7A">
              <w:rPr>
                <w:rStyle w:val="Hyperlink"/>
                <w:noProof/>
              </w:rPr>
              <w:t>2.7 Synthesis and Transition</w:t>
            </w:r>
            <w:r>
              <w:rPr>
                <w:noProof/>
                <w:webHidden/>
              </w:rPr>
              <w:tab/>
            </w:r>
            <w:r>
              <w:rPr>
                <w:noProof/>
                <w:webHidden/>
              </w:rPr>
              <w:fldChar w:fldCharType="begin"/>
            </w:r>
            <w:r>
              <w:rPr>
                <w:noProof/>
                <w:webHidden/>
              </w:rPr>
              <w:instrText xml:space="preserve"> PAGEREF _Toc226930639 \h </w:instrText>
            </w:r>
            <w:r>
              <w:rPr>
                <w:noProof/>
                <w:webHidden/>
              </w:rPr>
            </w:r>
            <w:r>
              <w:rPr>
                <w:noProof/>
                <w:webHidden/>
              </w:rPr>
              <w:fldChar w:fldCharType="separate"/>
            </w:r>
            <w:r>
              <w:rPr>
                <w:noProof/>
                <w:webHidden/>
              </w:rPr>
              <w:t>9</w:t>
            </w:r>
            <w:r>
              <w:rPr>
                <w:noProof/>
                <w:webHidden/>
              </w:rPr>
              <w:fldChar w:fldCharType="end"/>
            </w:r>
          </w:hyperlink>
        </w:p>
        <w:p w14:paraId="650DA9A6" w14:textId="473EAE5A" w:rsidR="00C94FAE" w:rsidRDefault="00C94FA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930640" w:history="1">
            <w:r w:rsidRPr="000B1A7A">
              <w:rPr>
                <w:rStyle w:val="Hyperlink"/>
                <w:noProof/>
              </w:rPr>
              <w:t>3. Recommendations</w:t>
            </w:r>
            <w:r>
              <w:rPr>
                <w:noProof/>
                <w:webHidden/>
              </w:rPr>
              <w:tab/>
            </w:r>
            <w:r>
              <w:rPr>
                <w:noProof/>
                <w:webHidden/>
              </w:rPr>
              <w:fldChar w:fldCharType="begin"/>
            </w:r>
            <w:r>
              <w:rPr>
                <w:noProof/>
                <w:webHidden/>
              </w:rPr>
              <w:instrText xml:space="preserve"> PAGEREF _Toc226930640 \h </w:instrText>
            </w:r>
            <w:r>
              <w:rPr>
                <w:noProof/>
                <w:webHidden/>
              </w:rPr>
            </w:r>
            <w:r>
              <w:rPr>
                <w:noProof/>
                <w:webHidden/>
              </w:rPr>
              <w:fldChar w:fldCharType="separate"/>
            </w:r>
            <w:r>
              <w:rPr>
                <w:noProof/>
                <w:webHidden/>
              </w:rPr>
              <w:t>9</w:t>
            </w:r>
            <w:r>
              <w:rPr>
                <w:noProof/>
                <w:webHidden/>
              </w:rPr>
              <w:fldChar w:fldCharType="end"/>
            </w:r>
          </w:hyperlink>
        </w:p>
        <w:p w14:paraId="5832438F" w14:textId="6511F637"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41" w:history="1">
            <w:r w:rsidRPr="000B1A7A">
              <w:rPr>
                <w:rStyle w:val="Hyperlink"/>
                <w:noProof/>
              </w:rPr>
              <w:t>Recommendation 1: Strengthening Clinical Governance Through the PDSA Cycle</w:t>
            </w:r>
            <w:r>
              <w:rPr>
                <w:noProof/>
                <w:webHidden/>
              </w:rPr>
              <w:tab/>
            </w:r>
            <w:r>
              <w:rPr>
                <w:noProof/>
                <w:webHidden/>
              </w:rPr>
              <w:fldChar w:fldCharType="begin"/>
            </w:r>
            <w:r>
              <w:rPr>
                <w:noProof/>
                <w:webHidden/>
              </w:rPr>
              <w:instrText xml:space="preserve"> PAGEREF _Toc226930641 \h </w:instrText>
            </w:r>
            <w:r>
              <w:rPr>
                <w:noProof/>
                <w:webHidden/>
              </w:rPr>
            </w:r>
            <w:r>
              <w:rPr>
                <w:noProof/>
                <w:webHidden/>
              </w:rPr>
              <w:fldChar w:fldCharType="separate"/>
            </w:r>
            <w:r>
              <w:rPr>
                <w:noProof/>
                <w:webHidden/>
              </w:rPr>
              <w:t>10</w:t>
            </w:r>
            <w:r>
              <w:rPr>
                <w:noProof/>
                <w:webHidden/>
              </w:rPr>
              <w:fldChar w:fldCharType="end"/>
            </w:r>
          </w:hyperlink>
        </w:p>
        <w:p w14:paraId="1B56B844" w14:textId="3E9B210F"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42" w:history="1">
            <w:r w:rsidRPr="000B1A7A">
              <w:rPr>
                <w:rStyle w:val="Hyperlink"/>
                <w:noProof/>
              </w:rPr>
              <w:t>Recommendation 2: Workforce Reform Using Lean Methodology</w:t>
            </w:r>
            <w:r>
              <w:rPr>
                <w:noProof/>
                <w:webHidden/>
              </w:rPr>
              <w:tab/>
            </w:r>
            <w:r>
              <w:rPr>
                <w:noProof/>
                <w:webHidden/>
              </w:rPr>
              <w:fldChar w:fldCharType="begin"/>
            </w:r>
            <w:r>
              <w:rPr>
                <w:noProof/>
                <w:webHidden/>
              </w:rPr>
              <w:instrText xml:space="preserve"> PAGEREF _Toc226930642 \h </w:instrText>
            </w:r>
            <w:r>
              <w:rPr>
                <w:noProof/>
                <w:webHidden/>
              </w:rPr>
            </w:r>
            <w:r>
              <w:rPr>
                <w:noProof/>
                <w:webHidden/>
              </w:rPr>
              <w:fldChar w:fldCharType="separate"/>
            </w:r>
            <w:r>
              <w:rPr>
                <w:noProof/>
                <w:webHidden/>
              </w:rPr>
              <w:t>10</w:t>
            </w:r>
            <w:r>
              <w:rPr>
                <w:noProof/>
                <w:webHidden/>
              </w:rPr>
              <w:fldChar w:fldCharType="end"/>
            </w:r>
          </w:hyperlink>
        </w:p>
        <w:p w14:paraId="68E7D115" w14:textId="7C87DA23"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43" w:history="1">
            <w:r w:rsidRPr="000B1A7A">
              <w:rPr>
                <w:rStyle w:val="Hyperlink"/>
                <w:noProof/>
              </w:rPr>
              <w:t>Recommendation 3: Rebuilding Incident Reporting Culture Through PDCA</w:t>
            </w:r>
            <w:r>
              <w:rPr>
                <w:noProof/>
                <w:webHidden/>
              </w:rPr>
              <w:tab/>
            </w:r>
            <w:r>
              <w:rPr>
                <w:noProof/>
                <w:webHidden/>
              </w:rPr>
              <w:fldChar w:fldCharType="begin"/>
            </w:r>
            <w:r>
              <w:rPr>
                <w:noProof/>
                <w:webHidden/>
              </w:rPr>
              <w:instrText xml:space="preserve"> PAGEREF _Toc226930643 \h </w:instrText>
            </w:r>
            <w:r>
              <w:rPr>
                <w:noProof/>
                <w:webHidden/>
              </w:rPr>
            </w:r>
            <w:r>
              <w:rPr>
                <w:noProof/>
                <w:webHidden/>
              </w:rPr>
              <w:fldChar w:fldCharType="separate"/>
            </w:r>
            <w:r>
              <w:rPr>
                <w:noProof/>
                <w:webHidden/>
              </w:rPr>
              <w:t>11</w:t>
            </w:r>
            <w:r>
              <w:rPr>
                <w:noProof/>
                <w:webHidden/>
              </w:rPr>
              <w:fldChar w:fldCharType="end"/>
            </w:r>
          </w:hyperlink>
        </w:p>
        <w:p w14:paraId="204CFE4E" w14:textId="5CC38E96" w:rsidR="00C94FAE" w:rsidRDefault="00C94FAE">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26930644" w:history="1">
            <w:r w:rsidRPr="000B1A7A">
              <w:rPr>
                <w:rStyle w:val="Hyperlink"/>
                <w:noProof/>
              </w:rPr>
              <w:t>Recommendation 4: Embedding Patient-Centred Care Using Six Sigma</w:t>
            </w:r>
            <w:r>
              <w:rPr>
                <w:noProof/>
                <w:webHidden/>
              </w:rPr>
              <w:tab/>
            </w:r>
            <w:r>
              <w:rPr>
                <w:noProof/>
                <w:webHidden/>
              </w:rPr>
              <w:fldChar w:fldCharType="begin"/>
            </w:r>
            <w:r>
              <w:rPr>
                <w:noProof/>
                <w:webHidden/>
              </w:rPr>
              <w:instrText xml:space="preserve"> PAGEREF _Toc226930644 \h </w:instrText>
            </w:r>
            <w:r>
              <w:rPr>
                <w:noProof/>
                <w:webHidden/>
              </w:rPr>
            </w:r>
            <w:r>
              <w:rPr>
                <w:noProof/>
                <w:webHidden/>
              </w:rPr>
              <w:fldChar w:fldCharType="separate"/>
            </w:r>
            <w:r>
              <w:rPr>
                <w:noProof/>
                <w:webHidden/>
              </w:rPr>
              <w:t>11</w:t>
            </w:r>
            <w:r>
              <w:rPr>
                <w:noProof/>
                <w:webHidden/>
              </w:rPr>
              <w:fldChar w:fldCharType="end"/>
            </w:r>
          </w:hyperlink>
        </w:p>
        <w:p w14:paraId="44C4AA7C" w14:textId="5CCA876C" w:rsidR="00C94FAE" w:rsidRDefault="00C94FA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930645" w:history="1">
            <w:r w:rsidRPr="000B1A7A">
              <w:rPr>
                <w:rStyle w:val="Hyperlink"/>
                <w:noProof/>
              </w:rPr>
              <w:t>4. Conclusion</w:t>
            </w:r>
            <w:r>
              <w:rPr>
                <w:noProof/>
                <w:webHidden/>
              </w:rPr>
              <w:tab/>
            </w:r>
            <w:r>
              <w:rPr>
                <w:noProof/>
                <w:webHidden/>
              </w:rPr>
              <w:fldChar w:fldCharType="begin"/>
            </w:r>
            <w:r>
              <w:rPr>
                <w:noProof/>
                <w:webHidden/>
              </w:rPr>
              <w:instrText xml:space="preserve"> PAGEREF _Toc226930645 \h </w:instrText>
            </w:r>
            <w:r>
              <w:rPr>
                <w:noProof/>
                <w:webHidden/>
              </w:rPr>
            </w:r>
            <w:r>
              <w:rPr>
                <w:noProof/>
                <w:webHidden/>
              </w:rPr>
              <w:fldChar w:fldCharType="separate"/>
            </w:r>
            <w:r>
              <w:rPr>
                <w:noProof/>
                <w:webHidden/>
              </w:rPr>
              <w:t>12</w:t>
            </w:r>
            <w:r>
              <w:rPr>
                <w:noProof/>
                <w:webHidden/>
              </w:rPr>
              <w:fldChar w:fldCharType="end"/>
            </w:r>
          </w:hyperlink>
        </w:p>
        <w:p w14:paraId="47CD4112" w14:textId="615583E5" w:rsidR="00C94FAE" w:rsidRDefault="00C94FAE">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6930646" w:history="1">
            <w:r w:rsidRPr="000B1A7A">
              <w:rPr>
                <w:rStyle w:val="Hyperlink"/>
                <w:noProof/>
              </w:rPr>
              <w:t>Reference List</w:t>
            </w:r>
            <w:r>
              <w:rPr>
                <w:noProof/>
                <w:webHidden/>
              </w:rPr>
              <w:tab/>
            </w:r>
            <w:r>
              <w:rPr>
                <w:noProof/>
                <w:webHidden/>
              </w:rPr>
              <w:fldChar w:fldCharType="begin"/>
            </w:r>
            <w:r>
              <w:rPr>
                <w:noProof/>
                <w:webHidden/>
              </w:rPr>
              <w:instrText xml:space="preserve"> PAGEREF _Toc226930646 \h </w:instrText>
            </w:r>
            <w:r>
              <w:rPr>
                <w:noProof/>
                <w:webHidden/>
              </w:rPr>
            </w:r>
            <w:r>
              <w:rPr>
                <w:noProof/>
                <w:webHidden/>
              </w:rPr>
              <w:fldChar w:fldCharType="separate"/>
            </w:r>
            <w:r>
              <w:rPr>
                <w:noProof/>
                <w:webHidden/>
              </w:rPr>
              <w:t>13</w:t>
            </w:r>
            <w:r>
              <w:rPr>
                <w:noProof/>
                <w:webHidden/>
              </w:rPr>
              <w:fldChar w:fldCharType="end"/>
            </w:r>
          </w:hyperlink>
        </w:p>
        <w:p w14:paraId="18D3FC93" w14:textId="28462A34" w:rsidR="00D827E9" w:rsidRPr="00C94FAE" w:rsidRDefault="00D827E9" w:rsidP="00C94FAE">
          <w:pPr>
            <w:spacing w:line="360" w:lineRule="auto"/>
            <w:jc w:val="both"/>
          </w:pPr>
          <w:r w:rsidRPr="00C94FAE">
            <w:rPr>
              <w:b/>
              <w:bCs/>
              <w:noProof/>
            </w:rPr>
            <w:fldChar w:fldCharType="end"/>
          </w:r>
        </w:p>
      </w:sdtContent>
    </w:sdt>
    <w:p w14:paraId="5D78B78E" w14:textId="77777777" w:rsidR="00D827E9" w:rsidRPr="00C94FAE" w:rsidRDefault="00D827E9" w:rsidP="00C94FAE">
      <w:pPr>
        <w:spacing w:line="360" w:lineRule="auto"/>
        <w:jc w:val="both"/>
        <w:rPr>
          <w:b/>
          <w:bCs/>
          <w:color w:val="000000"/>
        </w:rPr>
      </w:pPr>
      <w:r w:rsidRPr="00C94FAE">
        <w:br w:type="page"/>
      </w:r>
    </w:p>
    <w:p w14:paraId="04117DEC" w14:textId="36CFD059" w:rsidR="008E087E" w:rsidRPr="00C94FAE" w:rsidRDefault="00586B8A" w:rsidP="00C94FAE">
      <w:pPr>
        <w:pStyle w:val="Heading1"/>
        <w:spacing w:line="360" w:lineRule="auto"/>
        <w:jc w:val="both"/>
        <w:rPr>
          <w:sz w:val="22"/>
          <w:szCs w:val="22"/>
        </w:rPr>
      </w:pPr>
      <w:bookmarkStart w:id="0" w:name="_Toc226930631"/>
      <w:r w:rsidRPr="00C94FAE">
        <w:rPr>
          <w:sz w:val="22"/>
          <w:szCs w:val="22"/>
        </w:rPr>
        <w:lastRenderedPageBreak/>
        <w:t>1. Introduction</w:t>
      </w:r>
      <w:bookmarkEnd w:id="0"/>
    </w:p>
    <w:p w14:paraId="5A41517E" w14:textId="1363220D" w:rsidR="00E4634C" w:rsidRPr="00C94FAE" w:rsidRDefault="00E4634C" w:rsidP="00C94FAE">
      <w:pPr>
        <w:spacing w:after="160" w:line="360" w:lineRule="auto"/>
        <w:jc w:val="both"/>
      </w:pPr>
      <w:r w:rsidRPr="00C94FAE">
        <w:t>Failure to avert patient safety issues is one of the most impactful issues in the modern health and social care systems. In the case of quality breakdown in healthcare organisations, the damages go well beyond the individual patient, to the destruction of trust, institutional legitimacy and the sustainability of service delivery in the long term (Walshe and Shortell, 2004). It is the reason why learning how and why such failures take place is central to the field of quality assurance and service improvement. According to Kohn, Corrigan and Donaldson (2000), mistakes that occur in a complex system are hardly due to personal negligence but are instead indicative of underlying organisational and structural failures that are not easily detectable until they combine to produce disastrous effects.</w:t>
      </w:r>
    </w:p>
    <w:p w14:paraId="16E028FD" w14:textId="445C6A13" w:rsidR="00E4634C" w:rsidRPr="00C94FAE" w:rsidRDefault="00A776B3" w:rsidP="00C94FAE">
      <w:pPr>
        <w:spacing w:after="160" w:line="360" w:lineRule="auto"/>
        <w:jc w:val="both"/>
      </w:pPr>
      <w:r w:rsidRPr="00C94FAE">
        <w:t>The Mid Staffordshire NHS Foundation Trust scandal, which took place between 2005 and 2009, is exactly such an intersection. The Trust is in Stafford, England, where, after the discovery of widespread patient neglect, poor standards of care, and preventable deaths at Stafford Hospital, a significant public inquiry was conducted (Dixon-Woods et al., 2014). Patients had systemic failures in the most basic areas of care hygiene, nutrition, hydration, pain management, and dignity failures so systemic that they suggested a total breakdown of organisational quality governance as opposed to an isolated clinical error. It is estimated that there were between 400 and 1,200 excess deaths in the process, a discovery that led to one of the biggest healthcare investigations in the history of the NHS (Berwick, 2013). The following inquiry, led by Robert Francis QC, found that root causes were systemic and were due to an institutional culture that emphasized financial performance and achievement of foundation trust status over patient welfare (Mannion and Davies, 2015).</w:t>
      </w:r>
    </w:p>
    <w:p w14:paraId="30914010" w14:textId="2ED856EA" w:rsidR="00E4634C" w:rsidRPr="00C94FAE" w:rsidRDefault="00E4634C" w:rsidP="00C94FAE">
      <w:pPr>
        <w:spacing w:after="160" w:line="360" w:lineRule="auto"/>
        <w:jc w:val="both"/>
      </w:pPr>
      <w:r w:rsidRPr="00C94FAE">
        <w:t>The importance of the case is far greater than Staffordshire. The scandal revealed deep flaws in the structures by which NHS organisations are responsible for care quality - flaws in clinical governance, regulatory control, incident reporting and leadership (Scally and Donaldson, 1998). An organisational culture was also found to be the cause of failure and the obstacle to its timely detection, as a culture of defensiveness and blame prevailed, stifling transparency and whistleblowing (Mannion and Davies, 2018). These dynamics mirror the international health issues in healthcare, where the interaction between organisational structure, care processes, and patient outcomes is not simple and disputed (Donabedian, 1988). More crucially, the Morecambe Bay Investigation (Kirkup, 2015) found that the most pronounced governance and cultural lapses in a different NHS organisation, which proved the circumstances that enabled Mid Staffordshire, were not unique but had lasting implications on the quality improvement practice today.</w:t>
      </w:r>
    </w:p>
    <w:p w14:paraId="04117DF1" w14:textId="3FC7F43B" w:rsidR="008E087E" w:rsidRPr="00C94FAE" w:rsidRDefault="00E4634C" w:rsidP="00C94FAE">
      <w:pPr>
        <w:spacing w:after="160" w:line="360" w:lineRule="auto"/>
        <w:jc w:val="both"/>
      </w:pPr>
      <w:r w:rsidRPr="00C94FAE">
        <w:lastRenderedPageBreak/>
        <w:t>The report is a continuation of the systems-based analysis in Component 1 that uses Fishbone Diagram, 5 Whys, Donabedian Model, and SWOT analysis to critically examine root causes and strategic considerations. The PDSA, Lean, PDCA, and Six Sigma methodologies are then used to develop evidence-based recommendations based on peer-reviewed literature, real-world organisational evidence, and recent national care quality assessments across England (Care Quality Commission, 2023).</w:t>
      </w:r>
    </w:p>
    <w:p w14:paraId="04117DF2" w14:textId="77777777" w:rsidR="008E087E" w:rsidRPr="00C94FAE" w:rsidRDefault="00586B8A" w:rsidP="00C94FAE">
      <w:pPr>
        <w:pStyle w:val="Heading1"/>
        <w:spacing w:line="360" w:lineRule="auto"/>
        <w:jc w:val="both"/>
        <w:rPr>
          <w:sz w:val="22"/>
          <w:szCs w:val="22"/>
        </w:rPr>
      </w:pPr>
      <w:bookmarkStart w:id="1" w:name="_Toc226930632"/>
      <w:r w:rsidRPr="00C94FAE">
        <w:rPr>
          <w:sz w:val="22"/>
          <w:szCs w:val="22"/>
        </w:rPr>
        <w:t>2. Main Body</w:t>
      </w:r>
      <w:bookmarkEnd w:id="1"/>
    </w:p>
    <w:p w14:paraId="04117DF3" w14:textId="77777777" w:rsidR="008E087E" w:rsidRPr="00C94FAE" w:rsidRDefault="00586B8A" w:rsidP="00C94FAE">
      <w:pPr>
        <w:pStyle w:val="Heading2"/>
        <w:spacing w:line="360" w:lineRule="auto"/>
        <w:jc w:val="both"/>
        <w:rPr>
          <w:sz w:val="22"/>
          <w:szCs w:val="22"/>
        </w:rPr>
      </w:pPr>
      <w:bookmarkStart w:id="2" w:name="_Toc226930633"/>
      <w:r w:rsidRPr="00C94FAE">
        <w:rPr>
          <w:sz w:val="22"/>
          <w:szCs w:val="22"/>
        </w:rPr>
        <w:t>2.1 Rationale for Framework Selection</w:t>
      </w:r>
      <w:bookmarkEnd w:id="2"/>
    </w:p>
    <w:p w14:paraId="597603C2" w14:textId="52C76AD1" w:rsidR="00F851BD" w:rsidRPr="00C94FAE" w:rsidRDefault="001A042D" w:rsidP="00C94FAE">
      <w:pPr>
        <w:spacing w:after="160" w:line="360" w:lineRule="auto"/>
        <w:jc w:val="both"/>
      </w:pPr>
      <w:r w:rsidRPr="00C94FAE">
        <w:t>The Fishbone Diagram, 5 Whys, Donabedian Model, and SWOT analysis were chosen since they consider causation, iterative root cause interrogation, quality assessment, and strategy, respectively. The Fishbone Diagram is a systematic classification of contributory causes whose analysis takes analysis past the symptoms to systemic causes (Nicolini, Waring and Mengis, 2011). The 5 Whys builds upon it by asking questions about each cause in an iterative process (Peerally et al., 2017). The Donabedian Model evaluates quality in the structure, process, and outcome - a model that is regarded as one of the cornerstones internationally (Donabedian, 1988; Ayanian and Markel, 2016). SWOT analysis allows discussing the internal and external environmental pressures at the same time (Siddiqui, 2021). Collectively, these frameworks include a stringent, multi-dimensional, evidence-based base that is relevant to the Mid Staffordshire setting.</w:t>
      </w:r>
    </w:p>
    <w:p w14:paraId="1F7B1587" w14:textId="77777777" w:rsidR="00F851BD" w:rsidRPr="00C94FAE" w:rsidRDefault="00F851BD" w:rsidP="00C94FAE">
      <w:pPr>
        <w:pStyle w:val="Heading2"/>
        <w:spacing w:line="360" w:lineRule="auto"/>
        <w:jc w:val="both"/>
        <w:rPr>
          <w:sz w:val="22"/>
          <w:szCs w:val="22"/>
        </w:rPr>
      </w:pPr>
      <w:bookmarkStart w:id="3" w:name="_Toc226930634"/>
      <w:r w:rsidRPr="00C94FAE">
        <w:rPr>
          <w:sz w:val="22"/>
          <w:szCs w:val="22"/>
        </w:rPr>
        <w:t>2.2 Fishbone Diagram Analysis</w:t>
      </w:r>
      <w:bookmarkEnd w:id="3"/>
    </w:p>
    <w:p w14:paraId="1F30C737" w14:textId="5532B7F8" w:rsidR="00565E63" w:rsidRPr="00C94FAE" w:rsidRDefault="00AA53AD" w:rsidP="00C94FAE">
      <w:pPr>
        <w:spacing w:after="160" w:line="360" w:lineRule="auto"/>
        <w:jc w:val="both"/>
      </w:pPr>
      <w:r w:rsidRPr="00C94FAE">
        <w:t>The Fishbone Diagram helps define the underlying causes of a quality issue in the form of various categories (Peerally et al., 2017). At Mid Staffordshire, the failures in people, processes, management and policy led to systemic patient harm - validation that no one cause of failure acts individually (Nicolini, Waring and Mengis, 2011).</w:t>
      </w:r>
    </w:p>
    <w:p w14:paraId="2D575A04" w14:textId="72DFDC07" w:rsidR="00565E63" w:rsidRPr="00C94FAE" w:rsidRDefault="00565E63" w:rsidP="00C94FAE">
      <w:pPr>
        <w:spacing w:after="160" w:line="360" w:lineRule="auto"/>
        <w:jc w:val="both"/>
      </w:pPr>
      <w:r w:rsidRPr="00C94FAE">
        <w:t xml:space="preserve">The main cause was understaffing, which was chronic among people. In an attempt to achieve foundation trust status, about 150 posts in nursing establishments were cut between 2006 and 2008 (Vincent, Taylor-Adams and Stanhope, 1998). Aiken et al. (2014) illustrated that every extra patient per nurse corresponded with a 7% rise in the odds of inpatient mortality, and these decreases were a clinically predictable and measurable risk. The Trust board, under management, placed a greater emphasis on financial performance indicators at the expense of clinical safety and meaningful engagement with care quality (Scally and Donaldson, 1998). Defensive organisational culture was under process, and it proactively inhibited the escalation of adverse events (Mannion and Davies, 2015). National financial systems under policy </w:t>
      </w:r>
      <w:r w:rsidRPr="00C94FAE">
        <w:lastRenderedPageBreak/>
        <w:t>encouraged throughput, rather than patient security (Walshe and Shortell, 2004). These findings were echoed in the Morecambe Bay Investigation (Kirkup, 2015), which revealed alarmingly similar governance and reporting errors, indicating that these trends were not limited to Mid Staffordshire.</w:t>
      </w:r>
    </w:p>
    <w:p w14:paraId="4764097E" w14:textId="217A5829" w:rsidR="00F851BD" w:rsidRPr="00C94FAE" w:rsidRDefault="00565E63" w:rsidP="00C94FAE">
      <w:pPr>
        <w:spacing w:after="160" w:line="360" w:lineRule="auto"/>
        <w:jc w:val="both"/>
      </w:pPr>
      <w:r w:rsidRPr="00C94FAE">
        <w:t>Critiques of the Fishbone Diagram have decried it as promoting a reductionist perspective of causation - that is, of discrete, amenable categories, as opposed to the complex systemic interactions (Peerally et al., 2017). However, Nicolini, Waring and Mengis (2011) maintain that RCA tools do not lose much value when organisational learning goals are well defined and well resourced. This conflict should not be ignored when using the framework in complicated healthcare environments.</w:t>
      </w:r>
    </w:p>
    <w:p w14:paraId="5B6C7A04" w14:textId="589C889D" w:rsidR="00F624A1" w:rsidRPr="00C94FAE" w:rsidRDefault="004E7A7E" w:rsidP="00C94FAE">
      <w:pPr>
        <w:spacing w:after="160" w:line="360" w:lineRule="auto"/>
        <w:jc w:val="center"/>
      </w:pPr>
      <w:r w:rsidRPr="00C94FAE">
        <w:rPr>
          <w:noProof/>
        </w:rPr>
        <w:drawing>
          <wp:inline distT="0" distB="0" distL="0" distR="0" wp14:anchorId="0D217488" wp14:editId="5B93163E">
            <wp:extent cx="5731510" cy="2418715"/>
            <wp:effectExtent l="0" t="0" r="2540" b="635"/>
            <wp:docPr id="444406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18715"/>
                    </a:xfrm>
                    <a:prstGeom prst="rect">
                      <a:avLst/>
                    </a:prstGeom>
                    <a:noFill/>
                    <a:ln>
                      <a:noFill/>
                    </a:ln>
                  </pic:spPr>
                </pic:pic>
              </a:graphicData>
            </a:graphic>
          </wp:inline>
        </w:drawing>
      </w:r>
    </w:p>
    <w:p w14:paraId="7ADF9443" w14:textId="166D5453" w:rsidR="006A6605" w:rsidRPr="00C94FAE" w:rsidRDefault="006A6605" w:rsidP="00C94FAE">
      <w:pPr>
        <w:spacing w:after="160" w:line="360" w:lineRule="auto"/>
        <w:jc w:val="center"/>
      </w:pPr>
      <w:r w:rsidRPr="00C94FAE">
        <w:rPr>
          <w:b/>
          <w:bCs/>
        </w:rPr>
        <w:t>Figure 1:</w:t>
      </w:r>
      <w:r w:rsidR="00927F4F" w:rsidRPr="00C94FAE">
        <w:t xml:space="preserve"> </w:t>
      </w:r>
      <w:r w:rsidRPr="00C94FAE">
        <w:rPr>
          <w:i/>
          <w:iCs/>
        </w:rPr>
        <w:t>Fishbone Diagram illustrating root causes of quality failure at Mid Staffordshire NHS Foundation Trust (Author's own, adapted from Peerally et al., 2017)</w:t>
      </w:r>
    </w:p>
    <w:p w14:paraId="63CD0542" w14:textId="77777777" w:rsidR="00F851BD" w:rsidRPr="00C94FAE" w:rsidRDefault="00F851BD" w:rsidP="00C94FAE">
      <w:pPr>
        <w:pStyle w:val="Heading2"/>
        <w:spacing w:line="360" w:lineRule="auto"/>
        <w:jc w:val="both"/>
        <w:rPr>
          <w:sz w:val="22"/>
          <w:szCs w:val="22"/>
        </w:rPr>
      </w:pPr>
      <w:bookmarkStart w:id="4" w:name="_Toc226930635"/>
      <w:r w:rsidRPr="00C94FAE">
        <w:rPr>
          <w:sz w:val="22"/>
          <w:szCs w:val="22"/>
        </w:rPr>
        <w:t>2.3 Five Whys Analysis</w:t>
      </w:r>
      <w:bookmarkEnd w:id="4"/>
    </w:p>
    <w:p w14:paraId="466E965D" w14:textId="2A307AE4" w:rsidR="00F851BD" w:rsidRPr="00C94FAE" w:rsidRDefault="000016D8" w:rsidP="00C94FAE">
      <w:pPr>
        <w:spacing w:after="160" w:line="360" w:lineRule="auto"/>
        <w:jc w:val="both"/>
      </w:pPr>
      <w:r w:rsidRPr="00C94FAE">
        <w:t xml:space="preserve">The 5 Whys assists in setting the deepest level of a problem by asking five successive questions (Why) (Peerally et al., 2017). Applied to Mid Staffordshire: patients suffered harm because fundamental care was not delivered; care was not delivered because nursing staff were critically insufficient; staffing was insufficient because the board reduced nursing posts to achieve financial targets; the board prioritised finance because governance frameworks rewarded cost reduction over clinical quality; governance frameworks were misaligned because national policy incentivised foundation trust status without adequate safety safeguards. The root cause as supported by this chain is that it was not just clinical incompetence but failure of structural policy that is directly translated into the governance and cultural recommendations in the Section 3. Peerally et al. (2017) acknowledge that when used together with the Fishbone Diagram, the 5 Whys provides an iterative degree of depth of </w:t>
      </w:r>
      <w:r w:rsidRPr="00C94FAE">
        <w:lastRenderedPageBreak/>
        <w:t>causal inquiry which adds significantly to root cause inquiry. One of its known weaknesses, though, is that it tends to form single linear chains, which may cause an overlooking of parallel causal pathways discovered during the Fishbone analysis (Peerally et al., 2017). The two tools are complementary in the sense that when they are combined they provide a thorough and detailed concept of causality.</w:t>
      </w:r>
    </w:p>
    <w:p w14:paraId="6B91D001" w14:textId="77777777" w:rsidR="00F624A1" w:rsidRPr="00C94FAE" w:rsidRDefault="00B233C9" w:rsidP="00C94FAE">
      <w:pPr>
        <w:spacing w:after="160" w:line="360" w:lineRule="auto"/>
        <w:jc w:val="center"/>
      </w:pPr>
      <w:r w:rsidRPr="00C94FAE">
        <w:rPr>
          <w:noProof/>
        </w:rPr>
        <w:drawing>
          <wp:inline distT="0" distB="0" distL="0" distR="0" wp14:anchorId="61B626B8" wp14:editId="5505A3AF">
            <wp:extent cx="4513885" cy="6823364"/>
            <wp:effectExtent l="0" t="0" r="1270" b="0"/>
            <wp:docPr id="2" name="FiveWhys"/>
            <wp:cNvGraphicFramePr/>
            <a:graphic xmlns:a="http://schemas.openxmlformats.org/drawingml/2006/main">
              <a:graphicData uri="http://schemas.openxmlformats.org/drawingml/2006/picture">
                <pic:pic xmlns:pic="http://schemas.openxmlformats.org/drawingml/2006/picture">
                  <pic:nvPicPr>
                    <pic:cNvPr id="2" name="FiveWhys"/>
                    <pic:cNvPicPr/>
                  </pic:nvPicPr>
                  <pic:blipFill rotWithShape="1">
                    <a:blip r:embed="rId10"/>
                    <a:srcRect l="-1074" t="5356" r="1074" b="9331"/>
                    <a:stretch>
                      <a:fillRect/>
                    </a:stretch>
                  </pic:blipFill>
                  <pic:spPr bwMode="auto">
                    <a:xfrm>
                      <a:off x="0" y="0"/>
                      <a:ext cx="4515000" cy="6825049"/>
                    </a:xfrm>
                    <a:prstGeom prst="rect">
                      <a:avLst/>
                    </a:prstGeom>
                    <a:ln>
                      <a:noFill/>
                    </a:ln>
                    <a:extLst>
                      <a:ext uri="{53640926-AAD7-44D8-BBD7-CCE9431645EC}">
                        <a14:shadowObscured xmlns:a14="http://schemas.microsoft.com/office/drawing/2010/main"/>
                      </a:ext>
                    </a:extLst>
                  </pic:spPr>
                </pic:pic>
              </a:graphicData>
            </a:graphic>
          </wp:inline>
        </w:drawing>
      </w:r>
    </w:p>
    <w:p w14:paraId="745133B6" w14:textId="4AEB17F6" w:rsidR="006A6605" w:rsidRPr="00C94FAE" w:rsidRDefault="003E5325" w:rsidP="00C94FAE">
      <w:pPr>
        <w:spacing w:after="160" w:line="360" w:lineRule="auto"/>
        <w:jc w:val="center"/>
      </w:pPr>
      <w:r w:rsidRPr="00C94FAE">
        <w:rPr>
          <w:b/>
          <w:bCs/>
        </w:rPr>
        <w:t>Figure 2:</w:t>
      </w:r>
      <w:r w:rsidRPr="00C94FAE">
        <w:t xml:space="preserve"> </w:t>
      </w:r>
      <w:r w:rsidRPr="00C94FAE">
        <w:rPr>
          <w:i/>
          <w:iCs/>
        </w:rPr>
        <w:t>Whys causal chain applied to Mid Staffordshire NHS Foundation Trust (Author's own, adapted from Peerally et al., 2017)</w:t>
      </w:r>
    </w:p>
    <w:p w14:paraId="1B8B533E" w14:textId="77777777" w:rsidR="00F851BD" w:rsidRPr="00C94FAE" w:rsidRDefault="00F851BD" w:rsidP="00C94FAE">
      <w:pPr>
        <w:pStyle w:val="Heading2"/>
        <w:spacing w:line="360" w:lineRule="auto"/>
        <w:jc w:val="both"/>
        <w:rPr>
          <w:sz w:val="22"/>
          <w:szCs w:val="22"/>
        </w:rPr>
      </w:pPr>
      <w:bookmarkStart w:id="5" w:name="_Toc226930636"/>
      <w:r w:rsidRPr="00C94FAE">
        <w:rPr>
          <w:sz w:val="22"/>
          <w:szCs w:val="22"/>
        </w:rPr>
        <w:lastRenderedPageBreak/>
        <w:t>2.4 Donabedian Model Analysis</w:t>
      </w:r>
      <w:bookmarkEnd w:id="5"/>
    </w:p>
    <w:p w14:paraId="10EBFCA1" w14:textId="77777777" w:rsidR="0032277E" w:rsidRPr="00C94FAE" w:rsidRDefault="0032277E" w:rsidP="00C94FAE">
      <w:pPr>
        <w:spacing w:after="160" w:line="360" w:lineRule="auto"/>
        <w:jc w:val="both"/>
      </w:pPr>
      <w:r w:rsidRPr="00C94FAE">
        <w:t>The Donabedian Model is used to assess the quality of healthcare in terms of structure, process, and outcome (Donabedian, 1988; Ayanian and Markel, 2016). Mid Staffordshire experienced a simultaneous breakdown of all three dimensions, which proved that the systemic and not episodic character of the breakdown.</w:t>
      </w:r>
    </w:p>
    <w:p w14:paraId="48475732" w14:textId="36233FC3" w:rsidR="0032277E" w:rsidRPr="00C94FAE" w:rsidRDefault="0032277E" w:rsidP="00C94FAE">
      <w:pPr>
        <w:spacing w:after="160" w:line="360" w:lineRule="auto"/>
        <w:jc w:val="both"/>
      </w:pPr>
      <w:r w:rsidRPr="00C94FAE">
        <w:t xml:space="preserve">Structure is defined as the level of staffing, leadership capability and governance structures (Donabedian, 1988). The nursing facilities were severely understaffed at Mid Staffordshire, the leadership lacked control, and the governance systems were not able to create credible care quality intelligence (Scally and </w:t>
      </w:r>
      <w:r w:rsidRPr="004048D0">
        <w:t>Donaldson</w:t>
      </w:r>
      <w:r w:rsidRPr="00C94FAE">
        <w:t xml:space="preserve">, 1998). Process includes the ways of care delivery and reporting. Routine gaps in basic nursing interventions, hydration monitoring, pain management, and personal cleanliness were overlooked, and reporting of incidents could not raise concerns (Nicolini, Waring and Mengis, 2011). Outcome is the impact of care on patient health. In addition to the number of estimated excess deaths (400-1200), there was a severe impairment in </w:t>
      </w:r>
      <w:r w:rsidR="000574F9" w:rsidRPr="00C94FAE">
        <w:t>patient experience outcomes including dignity, comfort, and responsiveness</w:t>
      </w:r>
      <w:r w:rsidRPr="00C94FAE">
        <w:t xml:space="preserve"> (Walshe and Shortell, 2004). Most importantly, the failures were not evenly distributed; vulnerable and elderly patients, as well as those with cognitive impairments, were disproportionately impacted, which proves that equity should be an evaluative aspect clearly expressed in the quality improvement models (Dixon-Woods et al., 2014).</w:t>
      </w:r>
    </w:p>
    <w:p w14:paraId="6E3D8E84" w14:textId="6DEA7D8F" w:rsidR="00F851BD" w:rsidRPr="00C94FAE" w:rsidRDefault="0032277E" w:rsidP="00C94FAE">
      <w:pPr>
        <w:spacing w:after="160" w:line="360" w:lineRule="auto"/>
        <w:jc w:val="both"/>
      </w:pPr>
      <w:r w:rsidRPr="00C94FAE">
        <w:t>The main weakness of the Donabedian Model that remains critical is its approach of linear causality - that improvements in the structure will inevitably lead to an improvement in the processes and, as a result, to the outcome. Ayanian and Markel (2016) note that these relationships are contextually dependent and non-linear. Donabedian (1988) himself realised that the framework was an evaluative prism as opposed to a prescriptive mechanism. The model remains the most popular international instrument for assessing healthcare quality due to its conceptual transparency and empirical flexibility.</w:t>
      </w:r>
    </w:p>
    <w:p w14:paraId="53E5AD6C" w14:textId="193527F5" w:rsidR="00F624A1" w:rsidRPr="00C94FAE" w:rsidRDefault="00C2728E" w:rsidP="00C94FAE">
      <w:pPr>
        <w:spacing w:after="160" w:line="360" w:lineRule="auto"/>
        <w:jc w:val="center"/>
      </w:pPr>
      <w:r w:rsidRPr="00C94FAE">
        <w:rPr>
          <w:noProof/>
        </w:rPr>
        <w:drawing>
          <wp:inline distT="0" distB="0" distL="0" distR="0" wp14:anchorId="77194BBF" wp14:editId="013FA950">
            <wp:extent cx="5731510" cy="2047240"/>
            <wp:effectExtent l="0" t="0" r="2540" b="0"/>
            <wp:docPr id="4259896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47240"/>
                    </a:xfrm>
                    <a:prstGeom prst="rect">
                      <a:avLst/>
                    </a:prstGeom>
                    <a:noFill/>
                    <a:ln>
                      <a:noFill/>
                    </a:ln>
                  </pic:spPr>
                </pic:pic>
              </a:graphicData>
            </a:graphic>
          </wp:inline>
        </w:drawing>
      </w:r>
    </w:p>
    <w:p w14:paraId="6B3FB182" w14:textId="1E5E91E7" w:rsidR="003E5325" w:rsidRPr="00C94FAE" w:rsidRDefault="003E5325" w:rsidP="00C94FAE">
      <w:pPr>
        <w:spacing w:after="160" w:line="360" w:lineRule="auto"/>
        <w:jc w:val="center"/>
      </w:pPr>
      <w:r w:rsidRPr="00C94FAE">
        <w:rPr>
          <w:b/>
          <w:bCs/>
        </w:rPr>
        <w:lastRenderedPageBreak/>
        <w:t>Figure 3:</w:t>
      </w:r>
      <w:r w:rsidRPr="00C94FAE">
        <w:t xml:space="preserve"> </w:t>
      </w:r>
      <w:r w:rsidRPr="00C94FAE">
        <w:rPr>
          <w:i/>
          <w:iCs/>
        </w:rPr>
        <w:t>Donabedian Model applied to Mid Staffordshire NHS Foundation Trust (Author's own, adapted from Donabedian, 1988)</w:t>
      </w:r>
    </w:p>
    <w:p w14:paraId="4A9146A1" w14:textId="77777777" w:rsidR="00F851BD" w:rsidRPr="00C94FAE" w:rsidRDefault="00F851BD" w:rsidP="00C94FAE">
      <w:pPr>
        <w:pStyle w:val="Heading2"/>
        <w:spacing w:line="360" w:lineRule="auto"/>
        <w:jc w:val="both"/>
        <w:rPr>
          <w:sz w:val="22"/>
          <w:szCs w:val="22"/>
        </w:rPr>
      </w:pPr>
      <w:bookmarkStart w:id="6" w:name="_Toc226930637"/>
      <w:r w:rsidRPr="00C94FAE">
        <w:rPr>
          <w:sz w:val="22"/>
          <w:szCs w:val="22"/>
        </w:rPr>
        <w:t>2.5 SWOT Analysis</w:t>
      </w:r>
      <w:bookmarkEnd w:id="6"/>
    </w:p>
    <w:p w14:paraId="79F8007B" w14:textId="313E49DE" w:rsidR="00F851BD" w:rsidRPr="00C94FAE" w:rsidRDefault="008A3F27" w:rsidP="00C94FAE">
      <w:pPr>
        <w:spacing w:after="160" w:line="360" w:lineRule="auto"/>
        <w:jc w:val="both"/>
      </w:pPr>
      <w:r w:rsidRPr="00C94FAE">
        <w:t>According to Mannion and Davies (2018), SWOT analysis offers a crucial contextual overview allowing organisations to develop quality improvement interventions that are sensitive to their internal and external unique situation. SWOT analysis examines internal strengths and weaknesses as well as external opportunities and threats (Siddiqui, 2021), connecting root cause analysis with actionable strategy (Mannion and Davies, 2018). Among the strengths, there are the developed NHS infrastructure, post-Francis regulating changes, and national patient safety models (NHS England, 2019; Care Quality Commission, 2023). Among the weaknesses are long-standing staffing shortages, the culture of non-transparency, and governance systems that traditionally have valued financial performance over care quality (Mannion and Davies, 2015). There are opportunities via the NHS People Plan (NHS England, 2020), digital monitoring programmes, and Freedom to Speak Up Guardian mechanisms (NHS England, 2016). Challenges involve continuous financial stress, worsening labour shortage, and the possibility that quality improvement is merely superficial without focus on cultural determinants (Walshe and Shortell, 2004; Ham, Dixon and Brooke, 2012). One drawback of SWOT is that it is descriptive, not predictive, i.e. it identifies factors without prioritizing them by probability or prescribing a sequence of action (Siddiqui, 2021), which highlights the importance of using it with iterative approaches like PDSA and PDCA.</w:t>
      </w:r>
    </w:p>
    <w:p w14:paraId="2D3AFA34" w14:textId="13958C8A" w:rsidR="00F624A1" w:rsidRPr="00C94FAE" w:rsidRDefault="00C2728E" w:rsidP="00C94FAE">
      <w:pPr>
        <w:spacing w:after="160" w:line="360" w:lineRule="auto"/>
        <w:jc w:val="center"/>
      </w:pPr>
      <w:r w:rsidRPr="00C94FAE">
        <w:rPr>
          <w:noProof/>
        </w:rPr>
        <w:drawing>
          <wp:inline distT="0" distB="0" distL="0" distR="0" wp14:anchorId="6237E665" wp14:editId="1B2B423B">
            <wp:extent cx="5731510" cy="3148330"/>
            <wp:effectExtent l="0" t="0" r="2540" b="0"/>
            <wp:docPr id="1404342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148330"/>
                    </a:xfrm>
                    <a:prstGeom prst="rect">
                      <a:avLst/>
                    </a:prstGeom>
                    <a:noFill/>
                    <a:ln>
                      <a:noFill/>
                    </a:ln>
                  </pic:spPr>
                </pic:pic>
              </a:graphicData>
            </a:graphic>
          </wp:inline>
        </w:drawing>
      </w:r>
    </w:p>
    <w:p w14:paraId="0E1596CA" w14:textId="63540A2C" w:rsidR="00074109" w:rsidRPr="00C94FAE" w:rsidRDefault="00074109" w:rsidP="00C94FAE">
      <w:pPr>
        <w:spacing w:after="160" w:line="360" w:lineRule="auto"/>
        <w:jc w:val="center"/>
      </w:pPr>
      <w:r w:rsidRPr="00C94FAE">
        <w:rPr>
          <w:b/>
          <w:bCs/>
        </w:rPr>
        <w:lastRenderedPageBreak/>
        <w:t>Figure 4:</w:t>
      </w:r>
      <w:r w:rsidRPr="00C94FAE">
        <w:t xml:space="preserve"> </w:t>
      </w:r>
      <w:r w:rsidRPr="00C94FAE">
        <w:rPr>
          <w:i/>
          <w:iCs/>
        </w:rPr>
        <w:t>SWOT Analysis of quality improvement context at Mid Staffordshire NHS Foundation Trust (Author's own, adapted from Siddiqui, 2021)</w:t>
      </w:r>
    </w:p>
    <w:p w14:paraId="3A375C9B" w14:textId="77777777" w:rsidR="00F851BD" w:rsidRPr="00C94FAE" w:rsidRDefault="00F851BD" w:rsidP="00C94FAE">
      <w:pPr>
        <w:pStyle w:val="Heading2"/>
        <w:spacing w:line="360" w:lineRule="auto"/>
        <w:jc w:val="both"/>
        <w:rPr>
          <w:sz w:val="22"/>
          <w:szCs w:val="22"/>
        </w:rPr>
      </w:pPr>
      <w:bookmarkStart w:id="7" w:name="_Toc226930638"/>
      <w:r w:rsidRPr="00C94FAE">
        <w:rPr>
          <w:sz w:val="22"/>
          <w:szCs w:val="22"/>
        </w:rPr>
        <w:t>2.6 Policy Context</w:t>
      </w:r>
      <w:bookmarkEnd w:id="7"/>
    </w:p>
    <w:p w14:paraId="077B26A8" w14:textId="0815D33F" w:rsidR="00F851BD" w:rsidRPr="00C94FAE" w:rsidRDefault="0092792F" w:rsidP="00C94FAE">
      <w:pPr>
        <w:spacing w:after="160" w:line="360" w:lineRule="auto"/>
        <w:jc w:val="both"/>
      </w:pPr>
      <w:r w:rsidRPr="00C94FAE">
        <w:t>These incentives were not accidental — they reflected a deliberate national policy agenda that positioned organisational efficiency above clinical quality, with regulators insufficiently empowered to challenge this hierarchy</w:t>
      </w:r>
      <w:r w:rsidR="00DD1E01" w:rsidRPr="00C94FAE">
        <w:t xml:space="preserve"> (Walshe and Shortell, 2004).</w:t>
      </w:r>
      <w:r w:rsidR="008C55EC" w:rsidRPr="00C94FAE">
        <w:t xml:space="preserve">The reform after Francis was made: NHS Patient Safety Strategy (NHS England, 2019) promised a safety learning culture; Freedom to Speak Up (NHS England, 2016) provided Guardian mechanisms; and CQC inspection was significantly increased (Care Quality Commission, 2023). NHS People Plan (NHS England, 2020) covers workforce sustainability. Nevertheless, the State of Care report published by CQC (2023) reports widespread staffing strains, cultural obstacles, and governance disparity among NHS providers - meaning that, policy architecture has been enhanced since 2013, but </w:t>
      </w:r>
      <w:r w:rsidR="000574F9" w:rsidRPr="00C94FAE">
        <w:t>its translation into consistent frontline practice remains incomplete</w:t>
      </w:r>
      <w:r w:rsidR="008C55EC" w:rsidRPr="00C94FAE">
        <w:t>. Berwick (2013) cautioned that regulatory compliance may replace actual improvement as opposed to motivating it. It is still debatable whether post-Francis reforms have brought long-term improvement (Ham, Dixon and Brooke, 2012), and critical policy evaluation is a key component of a continued quality improvement strategy.</w:t>
      </w:r>
    </w:p>
    <w:p w14:paraId="1A86B69A" w14:textId="77777777" w:rsidR="00F851BD" w:rsidRPr="00C94FAE" w:rsidRDefault="00F851BD" w:rsidP="00C94FAE">
      <w:pPr>
        <w:pStyle w:val="Heading2"/>
        <w:spacing w:line="360" w:lineRule="auto"/>
        <w:jc w:val="both"/>
        <w:rPr>
          <w:sz w:val="22"/>
          <w:szCs w:val="22"/>
        </w:rPr>
      </w:pPr>
      <w:bookmarkStart w:id="8" w:name="_Toc226930639"/>
      <w:r w:rsidRPr="00C94FAE">
        <w:rPr>
          <w:sz w:val="22"/>
          <w:szCs w:val="22"/>
        </w:rPr>
        <w:t>2.7 Synthesis and Transition</w:t>
      </w:r>
      <w:bookmarkEnd w:id="8"/>
    </w:p>
    <w:p w14:paraId="04117E10" w14:textId="28C5FA08" w:rsidR="008E087E" w:rsidRPr="00C94FAE" w:rsidRDefault="00A30A9E" w:rsidP="004048D0">
      <w:pPr>
        <w:spacing w:after="160" w:line="360" w:lineRule="auto"/>
        <w:jc w:val="both"/>
      </w:pPr>
      <w:r w:rsidRPr="00C94FAE">
        <w:t xml:space="preserve">Fishbone Diagram, 5 Whys, Donabedian Model, and SWOT analysis are all demonstrations of interconnected systemic malfunctions that no one framework can clearly present. The 5 Whys addresses cause and effect chains to the policy level; the Donabedian Model shows how the cause translates to all three quality dimensions; and the SWOT analysis places improvement in the context of strategic deployment. The overlap of results proves that Mid Staffordshire's failures were </w:t>
      </w:r>
      <w:r w:rsidR="00E2098E" w:rsidRPr="00C94FAE">
        <w:t>recognisable</w:t>
      </w:r>
      <w:r w:rsidRPr="00C94FAE">
        <w:t xml:space="preserve"> and remediable - </w:t>
      </w:r>
      <w:r w:rsidR="009A5FE7" w:rsidRPr="00C94FAE">
        <w:t>deficiencies that quality improvement science has developed robust tools to address</w:t>
      </w:r>
      <w:r w:rsidRPr="00C94FAE">
        <w:t xml:space="preserve"> (Berwick, 2013; Kohn, Corrigan and Donaldson, 2000). This synthesis represents the inherent basis behind the recommendations that ensue (Taylor et al., 2014).</w:t>
      </w:r>
    </w:p>
    <w:p w14:paraId="04117E11" w14:textId="77777777" w:rsidR="008E087E" w:rsidRPr="00C94FAE" w:rsidRDefault="00586B8A" w:rsidP="00C94FAE">
      <w:pPr>
        <w:pStyle w:val="Heading1"/>
        <w:spacing w:line="360" w:lineRule="auto"/>
        <w:jc w:val="both"/>
        <w:rPr>
          <w:sz w:val="22"/>
          <w:szCs w:val="22"/>
        </w:rPr>
      </w:pPr>
      <w:bookmarkStart w:id="9" w:name="_Toc226930640"/>
      <w:r w:rsidRPr="00C94FAE">
        <w:rPr>
          <w:sz w:val="22"/>
          <w:szCs w:val="22"/>
        </w:rPr>
        <w:t>3. Recommendations</w:t>
      </w:r>
      <w:bookmarkEnd w:id="9"/>
    </w:p>
    <w:p w14:paraId="3BEC4A02" w14:textId="21B9687E" w:rsidR="00A63E3F" w:rsidRPr="00C94FAE" w:rsidRDefault="00010CF0" w:rsidP="00C94FAE">
      <w:pPr>
        <w:spacing w:after="160" w:line="360" w:lineRule="auto"/>
        <w:jc w:val="both"/>
      </w:pPr>
      <w:r w:rsidRPr="00C94FAE">
        <w:t>T</w:t>
      </w:r>
      <w:r w:rsidR="00B46FC7" w:rsidRPr="00C94FAE">
        <w:t>The analysis identifies four principal areas requiring targeted intervention</w:t>
      </w:r>
      <w:r w:rsidRPr="00C94FAE">
        <w:t xml:space="preserve"> of intervention, which are clinical governance, staffing, incident reporting culture, and patient-centred care. All the recommendations are reactive to determined root causes and underpinned by quality improvement methodologies.</w:t>
      </w:r>
    </w:p>
    <w:p w14:paraId="4A9D5AEE" w14:textId="3C29A88E" w:rsidR="00F624A1" w:rsidRPr="00C94FAE" w:rsidRDefault="00C2728E" w:rsidP="00C94FAE">
      <w:pPr>
        <w:spacing w:after="160" w:line="360" w:lineRule="auto"/>
        <w:jc w:val="center"/>
      </w:pPr>
      <w:r w:rsidRPr="00C94FAE">
        <w:rPr>
          <w:noProof/>
        </w:rPr>
        <w:lastRenderedPageBreak/>
        <w:drawing>
          <wp:inline distT="0" distB="0" distL="0" distR="0" wp14:anchorId="6E95B4DE" wp14:editId="6C098958">
            <wp:extent cx="5731510" cy="3037205"/>
            <wp:effectExtent l="0" t="0" r="2540" b="0"/>
            <wp:docPr id="16520865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37205"/>
                    </a:xfrm>
                    <a:prstGeom prst="rect">
                      <a:avLst/>
                    </a:prstGeom>
                    <a:noFill/>
                    <a:ln>
                      <a:noFill/>
                    </a:ln>
                  </pic:spPr>
                </pic:pic>
              </a:graphicData>
            </a:graphic>
          </wp:inline>
        </w:drawing>
      </w:r>
    </w:p>
    <w:p w14:paraId="553D5658" w14:textId="42153EFB" w:rsidR="00074109" w:rsidRPr="00C94FAE" w:rsidRDefault="00074109" w:rsidP="00C94FAE">
      <w:pPr>
        <w:spacing w:after="160" w:line="360" w:lineRule="auto"/>
        <w:jc w:val="center"/>
      </w:pPr>
      <w:r w:rsidRPr="00C94FAE">
        <w:rPr>
          <w:b/>
          <w:bCs/>
        </w:rPr>
        <w:t>Figure 5:</w:t>
      </w:r>
      <w:r w:rsidRPr="00C94FAE">
        <w:t xml:space="preserve"> </w:t>
      </w:r>
      <w:r w:rsidRPr="00C94FAE">
        <w:rPr>
          <w:i/>
          <w:iCs/>
        </w:rPr>
        <w:t>Summary of evidence-based recommendations with QI methodologies, responsible leads and implementation timeframes (Author's own)</w:t>
      </w:r>
    </w:p>
    <w:p w14:paraId="72E003C4" w14:textId="77777777" w:rsidR="00A63E3F" w:rsidRPr="00C94FAE" w:rsidRDefault="00A63E3F" w:rsidP="00C94FAE">
      <w:pPr>
        <w:pStyle w:val="Heading2"/>
        <w:spacing w:line="360" w:lineRule="auto"/>
        <w:jc w:val="both"/>
        <w:rPr>
          <w:sz w:val="22"/>
          <w:szCs w:val="22"/>
        </w:rPr>
      </w:pPr>
      <w:bookmarkStart w:id="10" w:name="_Toc226930641"/>
      <w:r w:rsidRPr="00C94FAE">
        <w:rPr>
          <w:sz w:val="22"/>
          <w:szCs w:val="22"/>
        </w:rPr>
        <w:t>Recommendation 1: Strengthening Clinical Governance Through the PDSA Cycle</w:t>
      </w:r>
      <w:bookmarkEnd w:id="10"/>
    </w:p>
    <w:p w14:paraId="15A2DADF" w14:textId="5BFF0E36" w:rsidR="00A63E3F" w:rsidRPr="00C94FAE" w:rsidRDefault="00433D4E" w:rsidP="00C94FAE">
      <w:pPr>
        <w:spacing w:after="160" w:line="360" w:lineRule="auto"/>
        <w:jc w:val="both"/>
      </w:pPr>
      <w:r w:rsidRPr="00C94FAE">
        <w:t>The failures at Mid Staffordshire were the lack of board-level interest in patient safety and subordination of clinical performance to financial performance (Scally and Donaldson, 1998). The PDSA cycle is an iterative approach to testing and scaling interventions that should be used to develop clinical governance reform (Taylor et al., 2014). During the Plan phase, a governance audit in relation to national standards must reveal shortcomings at a board level. During the Do phase, real-time data should be piloted on a monthly review of safety in one clinical division of the facility. During the Study phase, the effects of the reporting rates and outcomes must be assessed. During the Act phase, those models that are successful need to be scaled on an organisational-wide basis (Reed and Card, 2016). West and Dawson (2012) provide evidence that NHS trusts that exhibit a greater level of staff engagement have a statistically lower rate of mortality, proving that governance reform can deliver a quantifiable impact. Reed and Card (2016) warn that PDSA cycles need to be applied with rigidity as opposed to being only adhered to. The Chief Nursing Officer and the Director of Quality should spearhead this, and the pilot process will be done in six months, and the trust-wide implementation will be done in twelve months.</w:t>
      </w:r>
    </w:p>
    <w:p w14:paraId="23B36133" w14:textId="77777777" w:rsidR="00A63E3F" w:rsidRPr="00C94FAE" w:rsidRDefault="00A63E3F" w:rsidP="00C94FAE">
      <w:pPr>
        <w:pStyle w:val="Heading2"/>
        <w:spacing w:line="360" w:lineRule="auto"/>
        <w:jc w:val="both"/>
        <w:rPr>
          <w:sz w:val="22"/>
          <w:szCs w:val="22"/>
        </w:rPr>
      </w:pPr>
      <w:bookmarkStart w:id="11" w:name="_Toc226930642"/>
      <w:r w:rsidRPr="00C94FAE">
        <w:rPr>
          <w:sz w:val="22"/>
          <w:szCs w:val="22"/>
        </w:rPr>
        <w:t>Recommendation 2: Workforce Reform Using Lean Methodology</w:t>
      </w:r>
      <w:bookmarkEnd w:id="11"/>
    </w:p>
    <w:p w14:paraId="4DA445A3" w14:textId="0BF4B8B1" w:rsidR="00A63E3F" w:rsidRPr="00C94FAE" w:rsidRDefault="00F959A0" w:rsidP="00C94FAE">
      <w:pPr>
        <w:spacing w:after="160" w:line="360" w:lineRule="auto"/>
        <w:jc w:val="both"/>
      </w:pPr>
      <w:r w:rsidRPr="00C94FAE">
        <w:t xml:space="preserve">Aiken et al. (2014) revealed that workforce sufficiency is a patient safety issue addressed directly, as the odds of mortality rise by 7% with each extra patient per nurse. Lean </w:t>
      </w:r>
      <w:r w:rsidRPr="00C94FAE">
        <w:lastRenderedPageBreak/>
        <w:t>methodology - maximisation of value and minimisation of waste - provides a systematic method of workforce utilisation without spurring resource growth (Radnor, Holweg and Waring, 2012). Patterns of deployment should be subjected to analysis using lean principles and come up with safe staffing ratios in line with NICE (2014) guidelines as standards that are nonnegotiable. West, Eckert, Collins and Chowla (2017) testify to the fact that empathetic leadership should be considered one of the background conditions to the successful implementation of Lean, and the commitment of the staff members defines the preservation of the gains. Radnor, Holweg and Waring (2012) warn that Lean often can lead to localised short-term benefits when it is instituted as a standalone tool as opposed to a system-wide philosophy. The Director of Nursing should spearhead this, and the staffing ratios must be functional within three months, and a total review of the workforce must be achieved within nine months.</w:t>
      </w:r>
    </w:p>
    <w:p w14:paraId="32105342" w14:textId="77777777" w:rsidR="00A63E3F" w:rsidRPr="00C94FAE" w:rsidRDefault="00A63E3F" w:rsidP="00C94FAE">
      <w:pPr>
        <w:pStyle w:val="Heading2"/>
        <w:spacing w:line="360" w:lineRule="auto"/>
        <w:jc w:val="both"/>
        <w:rPr>
          <w:sz w:val="22"/>
          <w:szCs w:val="22"/>
        </w:rPr>
      </w:pPr>
      <w:bookmarkStart w:id="12" w:name="_Toc226930643"/>
      <w:r w:rsidRPr="00C94FAE">
        <w:rPr>
          <w:sz w:val="22"/>
          <w:szCs w:val="22"/>
        </w:rPr>
        <w:t>Recommendation 3: Rebuilding Incident Reporting Culture Through PDCA</w:t>
      </w:r>
      <w:bookmarkEnd w:id="12"/>
    </w:p>
    <w:p w14:paraId="1C838CDE" w14:textId="78D696A4" w:rsidR="00A63E3F" w:rsidRPr="00C94FAE" w:rsidRDefault="00323BB0" w:rsidP="00C94FAE">
      <w:pPr>
        <w:spacing w:after="160" w:line="360" w:lineRule="auto"/>
        <w:jc w:val="both"/>
      </w:pPr>
      <w:r w:rsidRPr="00C94FAE">
        <w:t xml:space="preserve">One of the most detrimental process failures at Mid Staffordshire was the hiding of incident reporting (Mannion and Davies, 2015). They need structural and behavioural intervention (PDCA cycle) to rebuild psychological safety (Langley et al., 2009). At the Plan stage, </w:t>
      </w:r>
      <w:r w:rsidR="00B84729" w:rsidRPr="00C94FAE">
        <w:t>anonymous digital reporting systems should be introduced and Freedom to Speak Up Guardians appointed</w:t>
      </w:r>
      <w:r w:rsidRPr="00C94FAE">
        <w:t xml:space="preserve"> (NHS England, 2016). All the staff grades should receive training on psychological safety since it is a mandatory phase, given under the Do phase. During the Check phase, the reporting rate and the data on near misses are to be observed every quarter. During the Act phase, the infrastructure and training must be updated, respectively (Berwick, 2013). Based on an investigation by Berwick (2013), it was reported that NHS organisations with developing speaking-up cultures after Francis showed significant improvements in incident capture rates. The Freedom to Speak Up Guardian and the Director of People must lead this, with the systems in place within three months, and better rates manifested within six months.</w:t>
      </w:r>
    </w:p>
    <w:p w14:paraId="7DBFD6E5" w14:textId="77777777" w:rsidR="00A63E3F" w:rsidRPr="00C94FAE" w:rsidRDefault="00A63E3F" w:rsidP="00C94FAE">
      <w:pPr>
        <w:pStyle w:val="Heading2"/>
        <w:spacing w:line="360" w:lineRule="auto"/>
        <w:jc w:val="both"/>
        <w:rPr>
          <w:sz w:val="22"/>
          <w:szCs w:val="22"/>
        </w:rPr>
      </w:pPr>
      <w:bookmarkStart w:id="13" w:name="_Toc226930644"/>
      <w:r w:rsidRPr="00C94FAE">
        <w:rPr>
          <w:sz w:val="22"/>
          <w:szCs w:val="22"/>
        </w:rPr>
        <w:t>Recommendation 4: Embedding Patient-Centred Care Using Six Sigma</w:t>
      </w:r>
      <w:bookmarkEnd w:id="13"/>
    </w:p>
    <w:p w14:paraId="04117E1F" w14:textId="7F8B9A32" w:rsidR="008E087E" w:rsidRPr="00C94FAE" w:rsidRDefault="00B372DD" w:rsidP="00C94FAE">
      <w:pPr>
        <w:spacing w:after="160" w:line="360" w:lineRule="auto"/>
        <w:jc w:val="both"/>
      </w:pPr>
      <w:r w:rsidRPr="00C94FAE">
        <w:t xml:space="preserve">In Mid Staffordshire, patient-centred care was formally unavailable, and dignity, hydration and nutrition were regularly not met (Kohn, Corrigan and Donaldson, 2000). The data-backed DMAIC framework proposed by Six Sigma, namely Define, Measure, Analyse, Improve, Control, offers an approach to eradicating the point of care delivery defects (Antony et al., 2019). The mapping of patient experience deficits should be done during the Define phase. The stage of Measure is when the baseline data on care in all wards should be obtained. Variation during Analyse phase must point out high-risk processes. During the Improve stage, </w:t>
      </w:r>
      <w:r w:rsidRPr="00C94FAE">
        <w:lastRenderedPageBreak/>
        <w:t>hydration, nutrition, hygiene, and pain care bundle tests need to be conducted. Monitoring dashboards are supposed to be maintained in the Control phase (McDermott et al., 2022). McDermott et al. (2022) show substantial differences in care variation decrease with Six Sigma; Antony et al. (2019) warn that statistical knowledge and willingness are a requirement. The Head of Patient Experience should spearhead this, with baseline data collected within two months, and measurable results of the implementation recorded in 12 months.</w:t>
      </w:r>
    </w:p>
    <w:p w14:paraId="04117E20" w14:textId="77777777" w:rsidR="008E087E" w:rsidRPr="00C94FAE" w:rsidRDefault="00586B8A" w:rsidP="00C94FAE">
      <w:pPr>
        <w:pStyle w:val="Heading1"/>
        <w:spacing w:line="360" w:lineRule="auto"/>
        <w:jc w:val="both"/>
        <w:rPr>
          <w:sz w:val="22"/>
          <w:szCs w:val="22"/>
        </w:rPr>
      </w:pPr>
      <w:bookmarkStart w:id="14" w:name="_Toc226930645"/>
      <w:r w:rsidRPr="00C94FAE">
        <w:rPr>
          <w:sz w:val="22"/>
          <w:szCs w:val="22"/>
        </w:rPr>
        <w:t>4. Conclusion</w:t>
      </w:r>
      <w:bookmarkEnd w:id="14"/>
    </w:p>
    <w:p w14:paraId="4E02D8F2" w14:textId="77777777" w:rsidR="00620C94" w:rsidRPr="00C94FAE" w:rsidRDefault="00620C94" w:rsidP="00C94FAE">
      <w:pPr>
        <w:spacing w:after="160" w:line="360" w:lineRule="auto"/>
        <w:jc w:val="both"/>
      </w:pPr>
      <w:r w:rsidRPr="00C94FAE">
        <w:t>This report has critically discussed the systemic quality failures at Mid Staffordshire NHS Foundation Trust using the Fishbone Diagram, 5 Whys, Donabedian Model, and SWOT analysis and has formulated four evidence-based recommendations using proven quality improvement methodologies.</w:t>
      </w:r>
    </w:p>
    <w:p w14:paraId="5E49959A" w14:textId="6815C758" w:rsidR="00620C94" w:rsidRPr="00C94FAE" w:rsidRDefault="00620C94" w:rsidP="00C94FAE">
      <w:pPr>
        <w:spacing w:after="160" w:line="360" w:lineRule="auto"/>
        <w:jc w:val="both"/>
      </w:pPr>
      <w:r w:rsidRPr="00C94FAE">
        <w:t>It is in the analysis that the failures at Mid Staffordshire were not isolated or accidental. Root causes in the Fishbone Diagram were found under people, management, processes, and policy. The 5 Whys followed the causes through to the deepest systemic root cause - structural policy misalignment, rewarding financial performance rather than patient welfare. The Donabedian Model revealed the way root causes appeared concurrently on the structural, process, and outcome dimensions, with circumstances where patient harm (estimated at 400-1,200 excess deaths) became predictable and preventable. Most importantly, those failures were not equally distributed, which proved that equity should also be a key aspect of any quality improvement model. The policy situation and SWOT analysis placed these results in the wider context of NHS reform, recognising the obstacles and opportunities that have to be negotiated in the development of plausible improvement responses.</w:t>
      </w:r>
    </w:p>
    <w:p w14:paraId="47FD1F0B" w14:textId="77777777" w:rsidR="00620C94" w:rsidRPr="00C94FAE" w:rsidRDefault="00620C94" w:rsidP="00C94FAE">
      <w:pPr>
        <w:spacing w:after="160" w:line="360" w:lineRule="auto"/>
        <w:jc w:val="both"/>
      </w:pPr>
      <w:r w:rsidRPr="00C94FAE">
        <w:t>The four recommendations of governance reform based on PDSA, workforce restructuring based on Lean, cultural transformation based on PDCA and patient-centred care based on Six Sigma cover the entire range of the identified deficiencies. They are all meant to be part of a more comprehensive strategy of improvement, understanding that the failures of a system are to be addressed with a systemic solution (Berwick, 2013).</w:t>
      </w:r>
    </w:p>
    <w:p w14:paraId="06B0F603" w14:textId="44469CE3" w:rsidR="00264260" w:rsidRPr="00C94FAE" w:rsidRDefault="00620C94" w:rsidP="00C94FAE">
      <w:pPr>
        <w:spacing w:after="160" w:line="360" w:lineRule="auto"/>
        <w:jc w:val="both"/>
      </w:pPr>
      <w:r w:rsidRPr="00C94FAE">
        <w:t xml:space="preserve">The history of Mid Staffordshire serves as a constant reminder that quality assurance in health and social care is a moral imperative. </w:t>
      </w:r>
      <w:r w:rsidR="004B73EB" w:rsidRPr="00C94FAE">
        <w:t>Sustained improvement requires unwavering commitment to</w:t>
      </w:r>
      <w:r w:rsidRPr="00C94FAE">
        <w:t xml:space="preserve"> transparency, accountability, and patient well-being at all organisational levels (Walshe and Shortell, 2004; Dixon-Woods et al., 2014).</w:t>
      </w:r>
      <w:r w:rsidRPr="00C94FAE">
        <w:br w:type="page"/>
      </w:r>
    </w:p>
    <w:p w14:paraId="04117E26" w14:textId="05B804C8" w:rsidR="008E087E" w:rsidRPr="00C94FAE" w:rsidRDefault="00586B8A" w:rsidP="00C94FAE">
      <w:pPr>
        <w:pStyle w:val="Heading1"/>
        <w:spacing w:line="360" w:lineRule="auto"/>
        <w:jc w:val="both"/>
        <w:rPr>
          <w:sz w:val="22"/>
          <w:szCs w:val="22"/>
        </w:rPr>
      </w:pPr>
      <w:bookmarkStart w:id="15" w:name="_Toc226930646"/>
      <w:r w:rsidRPr="00C94FAE">
        <w:rPr>
          <w:sz w:val="22"/>
          <w:szCs w:val="22"/>
        </w:rPr>
        <w:lastRenderedPageBreak/>
        <w:t>Reference List</w:t>
      </w:r>
      <w:bookmarkEnd w:id="15"/>
    </w:p>
    <w:p w14:paraId="2A65D403" w14:textId="77777777" w:rsidR="00E32327" w:rsidRPr="00C94FAE" w:rsidRDefault="00E32327" w:rsidP="004048D0">
      <w:pPr>
        <w:spacing w:after="120" w:line="360" w:lineRule="auto"/>
        <w:jc w:val="both"/>
      </w:pPr>
      <w:r w:rsidRPr="00C94FAE">
        <w:t xml:space="preserve">Aiken, L.H., Sloane, D.M., Bruyneel, L., Van den Heede, K., Griffiths, P., Busse, R., Diomidous, M., Kinnunen, J., Kozka, M., Lesaffre, E., McHugh, M.D., Moreno-Casbas, M.T., Rafferty, A.M., Schwendimann, R., Scott, P.A., Tishelman, C., Van Achterberg, T. and Sermeus, W. (2014) 'Nurse staffing and education and hospital mortality in nine European countries: a retrospective observational study', </w:t>
      </w:r>
      <w:r w:rsidRPr="004048D0">
        <w:rPr>
          <w:i/>
          <w:iCs/>
        </w:rPr>
        <w:t>The Lancet</w:t>
      </w:r>
      <w:r w:rsidRPr="00C94FAE">
        <w:t>, 383(9931), pp.1824-1830.</w:t>
      </w:r>
    </w:p>
    <w:p w14:paraId="1F833EF3" w14:textId="1A24AEF7" w:rsidR="00E32327" w:rsidRPr="00C94FAE" w:rsidRDefault="00E32327" w:rsidP="004048D0">
      <w:pPr>
        <w:spacing w:after="120" w:line="360" w:lineRule="auto"/>
        <w:jc w:val="both"/>
      </w:pPr>
      <w:r w:rsidRPr="00C94FAE">
        <w:t xml:space="preserve">Antony, J., Sunder, M.V., Sreedharan, R., Chakraborty, A. and Gunasekaran, A. (2019) 'A systematic review of lean in healthcare: a global </w:t>
      </w:r>
      <w:r w:rsidR="004B5395" w:rsidRPr="00C94FAE">
        <w:t>prospective</w:t>
      </w:r>
      <w:r w:rsidR="00F07658" w:rsidRPr="00C94FAE">
        <w:t>'</w:t>
      </w:r>
      <w:r w:rsidRPr="00C94FAE">
        <w:t xml:space="preserve">, </w:t>
      </w:r>
      <w:r w:rsidRPr="004048D0">
        <w:rPr>
          <w:i/>
          <w:iCs/>
        </w:rPr>
        <w:t>International Journal of Quality and Reliability Management</w:t>
      </w:r>
      <w:r w:rsidRPr="00C94FAE">
        <w:t>, 36(8), pp.1370-1391.</w:t>
      </w:r>
    </w:p>
    <w:p w14:paraId="0912AB2D" w14:textId="77777777" w:rsidR="00E32327" w:rsidRPr="00C94FAE" w:rsidRDefault="00E32327" w:rsidP="004048D0">
      <w:pPr>
        <w:spacing w:after="120" w:line="360" w:lineRule="auto"/>
        <w:jc w:val="both"/>
      </w:pPr>
      <w:r w:rsidRPr="00C94FAE">
        <w:t xml:space="preserve">Ayanian, J.Z. and Markel, H. (2016) 'Donabedian's lasting framework for health care quality', </w:t>
      </w:r>
      <w:r w:rsidRPr="004048D0">
        <w:rPr>
          <w:i/>
          <w:iCs/>
        </w:rPr>
        <w:t>New England Journal of Medicine</w:t>
      </w:r>
      <w:r w:rsidRPr="00C94FAE">
        <w:t>, 375(3), pp.205-207.</w:t>
      </w:r>
    </w:p>
    <w:p w14:paraId="61082FD3" w14:textId="6C3E2EF5" w:rsidR="007B0B05" w:rsidRPr="00C94FAE" w:rsidRDefault="00E32327" w:rsidP="004048D0">
      <w:pPr>
        <w:spacing w:after="120" w:line="360" w:lineRule="auto"/>
        <w:jc w:val="both"/>
      </w:pPr>
      <w:r w:rsidRPr="004048D0">
        <w:t xml:space="preserve">Berwick, D. (2013) </w:t>
      </w:r>
      <w:r w:rsidRPr="004048D0">
        <w:rPr>
          <w:i/>
          <w:iCs/>
        </w:rPr>
        <w:t>A Promise to Learn - A Commitment to Act: Improving the Safety of Patients in England</w:t>
      </w:r>
      <w:r w:rsidRPr="004048D0">
        <w:t>. London: NHS England.</w:t>
      </w:r>
    </w:p>
    <w:p w14:paraId="4F968F96" w14:textId="77777777" w:rsidR="00E32327" w:rsidRPr="00C94FAE" w:rsidRDefault="00E32327" w:rsidP="004048D0">
      <w:pPr>
        <w:spacing w:after="120" w:line="360" w:lineRule="auto"/>
        <w:jc w:val="both"/>
      </w:pPr>
      <w:r w:rsidRPr="00C94FAE">
        <w:t xml:space="preserve">Care Quality Commission (2023) </w:t>
      </w:r>
      <w:r w:rsidRPr="004048D0">
        <w:rPr>
          <w:i/>
          <w:iCs/>
        </w:rPr>
        <w:t>The State of Health Care and Adult Social Care in England 2022/23</w:t>
      </w:r>
      <w:r w:rsidRPr="00C94FAE">
        <w:t>. London: Care Quality Commission.</w:t>
      </w:r>
    </w:p>
    <w:p w14:paraId="5E0F3A71" w14:textId="77777777" w:rsidR="00E32327" w:rsidRPr="00C94FAE" w:rsidRDefault="00E32327" w:rsidP="004048D0">
      <w:pPr>
        <w:spacing w:after="120" w:line="360" w:lineRule="auto"/>
        <w:jc w:val="both"/>
      </w:pPr>
      <w:r w:rsidRPr="00C94FAE">
        <w:t xml:space="preserve">Department of Health and Social Care (2023) </w:t>
      </w:r>
      <w:r w:rsidRPr="004048D0">
        <w:rPr>
          <w:i/>
          <w:iCs/>
        </w:rPr>
        <w:t>Major Conditions Strategy: Case for Change and Our Strategic Framework</w:t>
      </w:r>
      <w:r w:rsidRPr="00C94FAE">
        <w:t>. London: Department of Health and Social Care.</w:t>
      </w:r>
    </w:p>
    <w:p w14:paraId="0941EFCC" w14:textId="77777777" w:rsidR="00E32327" w:rsidRPr="00C94FAE" w:rsidRDefault="00E32327" w:rsidP="004048D0">
      <w:pPr>
        <w:spacing w:after="120" w:line="360" w:lineRule="auto"/>
        <w:jc w:val="both"/>
      </w:pPr>
      <w:r w:rsidRPr="00C94FAE">
        <w:t xml:space="preserve">Dixon-Woods, M., Baker, R., Charles, K., Dawson, J., Jerzembek, G., Martin, G., McCarthy, I., McKee, L., Minion, J., Ozieranski, P., Willars, J., Wilkie, P. and West, M. (2014) 'Culture and behaviour in the English National Health Service: overview of lessons from a large multimethod study', </w:t>
      </w:r>
      <w:r w:rsidRPr="004048D0">
        <w:rPr>
          <w:i/>
          <w:iCs/>
        </w:rPr>
        <w:t>BMJ Quality and Safety</w:t>
      </w:r>
      <w:r w:rsidRPr="00C94FAE">
        <w:t>, 23(2), pp.106-115.</w:t>
      </w:r>
    </w:p>
    <w:p w14:paraId="41992A6B" w14:textId="77777777" w:rsidR="00E32327" w:rsidRPr="00C94FAE" w:rsidRDefault="00E32327" w:rsidP="004048D0">
      <w:pPr>
        <w:spacing w:after="120" w:line="360" w:lineRule="auto"/>
        <w:jc w:val="both"/>
      </w:pPr>
      <w:r w:rsidRPr="00C94FAE">
        <w:t xml:space="preserve">Donabedian, A. (1988) 'The quality of care: how can it be assessed?', </w:t>
      </w:r>
      <w:r w:rsidRPr="004048D0">
        <w:rPr>
          <w:i/>
          <w:iCs/>
        </w:rPr>
        <w:t>JAMA</w:t>
      </w:r>
      <w:r w:rsidRPr="00C94FAE">
        <w:t>, 260(12), pp.1743-1748.</w:t>
      </w:r>
    </w:p>
    <w:p w14:paraId="2BFD2563" w14:textId="77777777" w:rsidR="00E32327" w:rsidRPr="00C94FAE" w:rsidRDefault="00E32327" w:rsidP="004048D0">
      <w:pPr>
        <w:spacing w:after="120" w:line="360" w:lineRule="auto"/>
        <w:jc w:val="both"/>
      </w:pPr>
      <w:r w:rsidRPr="00C94FAE">
        <w:t xml:space="preserve">Ham, C., Dixon, A. and Brooke, B. (2012) </w:t>
      </w:r>
      <w:r w:rsidRPr="004048D0">
        <w:rPr>
          <w:i/>
          <w:iCs/>
        </w:rPr>
        <w:t>Transforming the Delivery of Health and Social Care: The Case for Fundamental Change</w:t>
      </w:r>
      <w:r w:rsidRPr="00C94FAE">
        <w:t>. London: King's Fund.</w:t>
      </w:r>
    </w:p>
    <w:p w14:paraId="29900AA0" w14:textId="77777777" w:rsidR="00E32327" w:rsidRPr="00C94FAE" w:rsidRDefault="00E32327" w:rsidP="004048D0">
      <w:pPr>
        <w:spacing w:after="120" w:line="360" w:lineRule="auto"/>
        <w:jc w:val="both"/>
      </w:pPr>
      <w:r w:rsidRPr="00C94FAE">
        <w:t xml:space="preserve">Kirkup, B. (2015) </w:t>
      </w:r>
      <w:r w:rsidRPr="004048D0">
        <w:rPr>
          <w:i/>
          <w:iCs/>
        </w:rPr>
        <w:t>The Report of the Morecambe Bay Investigation</w:t>
      </w:r>
      <w:r w:rsidRPr="00C94FAE">
        <w:t>. London: The Stationery Office.</w:t>
      </w:r>
    </w:p>
    <w:p w14:paraId="15F476CB" w14:textId="77777777" w:rsidR="00E32327" w:rsidRPr="00C94FAE" w:rsidRDefault="00E32327" w:rsidP="004048D0">
      <w:pPr>
        <w:spacing w:after="120" w:line="360" w:lineRule="auto"/>
        <w:jc w:val="both"/>
      </w:pPr>
      <w:r w:rsidRPr="00C94FAE">
        <w:t xml:space="preserve">Kohn, L.T., Corrigan, J.M. and Donaldson, M.S. (eds.) (2000) </w:t>
      </w:r>
      <w:r w:rsidRPr="004048D0">
        <w:rPr>
          <w:i/>
          <w:iCs/>
        </w:rPr>
        <w:t>To Err Is Human: Building a Safer Health System</w:t>
      </w:r>
      <w:r w:rsidRPr="00C94FAE">
        <w:t>. Washington DC: National Academies Press.</w:t>
      </w:r>
    </w:p>
    <w:p w14:paraId="5E7DF4FA" w14:textId="77777777" w:rsidR="00E32327" w:rsidRPr="00C94FAE" w:rsidRDefault="00E32327" w:rsidP="004048D0">
      <w:pPr>
        <w:spacing w:after="120" w:line="360" w:lineRule="auto"/>
        <w:jc w:val="both"/>
      </w:pPr>
      <w:r w:rsidRPr="00C94FAE">
        <w:t xml:space="preserve">Langley, G.J., Moen, R.D., Nolan, K.M., Nolan, T.W., Norman, C.L. and Provost, L.P. (2009) </w:t>
      </w:r>
      <w:r w:rsidRPr="004048D0">
        <w:rPr>
          <w:i/>
          <w:iCs/>
        </w:rPr>
        <w:t>The Improvement Guide: A Practical Approach to Enhancing Organisational Performance</w:t>
      </w:r>
      <w:r w:rsidRPr="00C94FAE">
        <w:t>. 2nd edn. San Francisco: Jossey-Bass.</w:t>
      </w:r>
    </w:p>
    <w:p w14:paraId="212C139B" w14:textId="77777777" w:rsidR="00E32327" w:rsidRPr="00C94FAE" w:rsidRDefault="00E32327" w:rsidP="004048D0">
      <w:pPr>
        <w:spacing w:after="120" w:line="360" w:lineRule="auto"/>
        <w:jc w:val="both"/>
      </w:pPr>
      <w:r w:rsidRPr="00C94FAE">
        <w:lastRenderedPageBreak/>
        <w:t xml:space="preserve">Mannion, R. and Davies, H.T. (2015) 'Cultures of silence and cultures of voice: the role of whistleblowing in healthcare organisations', </w:t>
      </w:r>
      <w:r w:rsidRPr="004048D0">
        <w:rPr>
          <w:i/>
          <w:iCs/>
        </w:rPr>
        <w:t>International Journal of Health Policy and Management</w:t>
      </w:r>
      <w:r w:rsidRPr="00C94FAE">
        <w:t>, 4(8), pp.503-505.</w:t>
      </w:r>
    </w:p>
    <w:p w14:paraId="32F8F3A8" w14:textId="77777777" w:rsidR="00E32327" w:rsidRPr="00C94FAE" w:rsidRDefault="00E32327" w:rsidP="004048D0">
      <w:pPr>
        <w:spacing w:after="120" w:line="360" w:lineRule="auto"/>
        <w:jc w:val="both"/>
      </w:pPr>
      <w:r w:rsidRPr="00C94FAE">
        <w:t xml:space="preserve">Mannion, R. and Davies, H. (2018) 'Understanding organisational culture for healthcare quality improvement', </w:t>
      </w:r>
      <w:r w:rsidRPr="004048D0">
        <w:rPr>
          <w:i/>
          <w:iCs/>
        </w:rPr>
        <w:t>BMJ</w:t>
      </w:r>
      <w:r w:rsidRPr="00C94FAE">
        <w:t>, 363, p.k4907.</w:t>
      </w:r>
    </w:p>
    <w:p w14:paraId="13A83F6A" w14:textId="77777777" w:rsidR="00E32327" w:rsidRPr="00C94FAE" w:rsidRDefault="00E32327" w:rsidP="004048D0">
      <w:pPr>
        <w:spacing w:after="120" w:line="360" w:lineRule="auto"/>
        <w:jc w:val="both"/>
      </w:pPr>
      <w:r w:rsidRPr="00C94FAE">
        <w:t xml:space="preserve">McDermott, O., Antony, J., Bhat, S., Jayaraman, R., Rosa, A., Marolla, G. and Parida, R. (2022) 'Lean Six Sigma in healthcare: a systematic literature review on motivations and benefits', </w:t>
      </w:r>
      <w:r w:rsidRPr="004048D0">
        <w:rPr>
          <w:i/>
          <w:iCs/>
        </w:rPr>
        <w:t>Processes</w:t>
      </w:r>
      <w:r w:rsidRPr="00C94FAE">
        <w:t>, 10(10), p.1910.</w:t>
      </w:r>
    </w:p>
    <w:p w14:paraId="38956EA5" w14:textId="77777777" w:rsidR="00E32327" w:rsidRPr="00C94FAE" w:rsidRDefault="00E32327" w:rsidP="004048D0">
      <w:pPr>
        <w:spacing w:after="120" w:line="360" w:lineRule="auto"/>
        <w:jc w:val="both"/>
      </w:pPr>
      <w:r w:rsidRPr="00C94FAE">
        <w:t xml:space="preserve">NHS England (2016) </w:t>
      </w:r>
      <w:r w:rsidRPr="004048D0">
        <w:rPr>
          <w:i/>
          <w:iCs/>
        </w:rPr>
        <w:t>Freedom to Speak Up: Raising Concerns (Whistleblowing) Policy for the NHS</w:t>
      </w:r>
      <w:r w:rsidRPr="00C94FAE">
        <w:t>. London: NHS England.</w:t>
      </w:r>
    </w:p>
    <w:p w14:paraId="57C27F11" w14:textId="77777777" w:rsidR="00E32327" w:rsidRPr="00C94FAE" w:rsidRDefault="00E32327" w:rsidP="004048D0">
      <w:pPr>
        <w:spacing w:after="120" w:line="360" w:lineRule="auto"/>
        <w:jc w:val="both"/>
      </w:pPr>
      <w:r w:rsidRPr="00C94FAE">
        <w:t xml:space="preserve">NHS England (2019) </w:t>
      </w:r>
      <w:r w:rsidRPr="004048D0">
        <w:rPr>
          <w:i/>
          <w:iCs/>
        </w:rPr>
        <w:t>The NHS Patient Safety Strategy: Safer Culture, Safer Systems, Safer Patients</w:t>
      </w:r>
      <w:r w:rsidRPr="00C94FAE">
        <w:t>. London: NHS England.</w:t>
      </w:r>
    </w:p>
    <w:p w14:paraId="5B9181D2" w14:textId="77777777" w:rsidR="00E32327" w:rsidRPr="00C94FAE" w:rsidRDefault="00E32327" w:rsidP="004048D0">
      <w:pPr>
        <w:spacing w:after="120" w:line="360" w:lineRule="auto"/>
        <w:jc w:val="both"/>
      </w:pPr>
      <w:r w:rsidRPr="00C94FAE">
        <w:t xml:space="preserve">NHS England (2020) </w:t>
      </w:r>
      <w:r w:rsidRPr="004048D0">
        <w:rPr>
          <w:i/>
          <w:iCs/>
        </w:rPr>
        <w:t>We Are the NHS: People Plan 2020/21 - Action for Us All</w:t>
      </w:r>
      <w:r w:rsidRPr="00C94FAE">
        <w:t>. London: NHS England.</w:t>
      </w:r>
    </w:p>
    <w:p w14:paraId="782E3C8A" w14:textId="77777777" w:rsidR="00E32327" w:rsidRPr="00C94FAE" w:rsidRDefault="00E32327" w:rsidP="004048D0">
      <w:pPr>
        <w:spacing w:after="120" w:line="360" w:lineRule="auto"/>
        <w:jc w:val="both"/>
      </w:pPr>
      <w:r w:rsidRPr="00C94FAE">
        <w:t xml:space="preserve">NICE (2014) </w:t>
      </w:r>
      <w:r w:rsidRPr="004048D0">
        <w:rPr>
          <w:i/>
          <w:iCs/>
        </w:rPr>
        <w:t>Safe Staffing for Nursing in Adult Inpatient Wards in Acute Hospitals</w:t>
      </w:r>
      <w:r w:rsidRPr="00C94FAE">
        <w:t>. London: National Institute for Health and Care Excellence.</w:t>
      </w:r>
    </w:p>
    <w:p w14:paraId="20D55F83" w14:textId="77777777" w:rsidR="00E32327" w:rsidRPr="00C94FAE" w:rsidRDefault="00E32327" w:rsidP="004048D0">
      <w:pPr>
        <w:spacing w:after="120" w:line="360" w:lineRule="auto"/>
        <w:jc w:val="both"/>
      </w:pPr>
      <w:r w:rsidRPr="00C94FAE">
        <w:t xml:space="preserve">Nicolini, D., Waring, J. and Mengis, J. (2011) 'Policy and practice in the use of root cause analysis to investigate clinical adverse events: mind the gap', </w:t>
      </w:r>
      <w:r w:rsidRPr="004048D0">
        <w:rPr>
          <w:i/>
          <w:iCs/>
        </w:rPr>
        <w:t>Social Science and Medicine</w:t>
      </w:r>
      <w:r w:rsidRPr="00C94FAE">
        <w:t>, 73(2), pp.217-225.</w:t>
      </w:r>
    </w:p>
    <w:p w14:paraId="34BDF54A" w14:textId="77777777" w:rsidR="00E32327" w:rsidRPr="00C94FAE" w:rsidRDefault="00E32327" w:rsidP="004048D0">
      <w:pPr>
        <w:spacing w:after="120" w:line="360" w:lineRule="auto"/>
        <w:jc w:val="both"/>
      </w:pPr>
      <w:r w:rsidRPr="00C94FAE">
        <w:t xml:space="preserve">Peerally, M.F., Carr, S., Waring, J. and Dixon-Woods, M. (2017) 'The problem with root cause analysis', </w:t>
      </w:r>
      <w:r w:rsidRPr="004048D0">
        <w:rPr>
          <w:i/>
          <w:iCs/>
        </w:rPr>
        <w:t>BMJ Quality and Safety</w:t>
      </w:r>
      <w:r w:rsidRPr="00C94FAE">
        <w:t>, 26(5), pp.417-422.</w:t>
      </w:r>
    </w:p>
    <w:p w14:paraId="7677E368" w14:textId="77777777" w:rsidR="00E32327" w:rsidRPr="00C94FAE" w:rsidRDefault="00E32327" w:rsidP="004048D0">
      <w:pPr>
        <w:spacing w:after="120" w:line="360" w:lineRule="auto"/>
        <w:jc w:val="both"/>
      </w:pPr>
      <w:r w:rsidRPr="00C94FAE">
        <w:t xml:space="preserve">Radnor, Z.J., Holweg, M. and Waring, J. (2012) 'Lean in healthcare: the unfilled promise?', </w:t>
      </w:r>
      <w:r w:rsidRPr="004048D0">
        <w:rPr>
          <w:i/>
          <w:iCs/>
        </w:rPr>
        <w:t>Social Science and Medicine</w:t>
      </w:r>
      <w:r w:rsidRPr="00C94FAE">
        <w:t>, 74(3), pp.364-371.</w:t>
      </w:r>
    </w:p>
    <w:p w14:paraId="705C1094" w14:textId="77777777" w:rsidR="00E32327" w:rsidRPr="00C94FAE" w:rsidRDefault="00E32327" w:rsidP="004048D0">
      <w:pPr>
        <w:spacing w:after="120" w:line="360" w:lineRule="auto"/>
        <w:jc w:val="both"/>
      </w:pPr>
      <w:r w:rsidRPr="00C94FAE">
        <w:t xml:space="preserve">Reed, J.E. and Card, A.J. (2016) 'The problem with Plan-Do-Study-Act cycles', </w:t>
      </w:r>
      <w:r w:rsidRPr="004048D0">
        <w:rPr>
          <w:i/>
          <w:iCs/>
        </w:rPr>
        <w:t>BMJ Quality and Safety</w:t>
      </w:r>
      <w:r w:rsidRPr="00C94FAE">
        <w:t>, 25(3), pp.147-152.</w:t>
      </w:r>
    </w:p>
    <w:p w14:paraId="16F4EB17" w14:textId="77777777" w:rsidR="00E32327" w:rsidRPr="00C94FAE" w:rsidRDefault="00E32327" w:rsidP="004048D0">
      <w:pPr>
        <w:spacing w:after="120" w:line="360" w:lineRule="auto"/>
        <w:jc w:val="both"/>
      </w:pPr>
      <w:r w:rsidRPr="00C94FAE">
        <w:t xml:space="preserve">Scally, G. and Donaldson, L.J. (1998) 'Clinical governance and the drive for quality improvement in the new NHS in England', </w:t>
      </w:r>
      <w:r w:rsidRPr="004048D0">
        <w:rPr>
          <w:i/>
          <w:iCs/>
        </w:rPr>
        <w:t>BMJ</w:t>
      </w:r>
      <w:r w:rsidRPr="00C94FAE">
        <w:t>, 317(7150), pp.61-65.</w:t>
      </w:r>
    </w:p>
    <w:p w14:paraId="4CEB856E" w14:textId="77777777" w:rsidR="00E32327" w:rsidRPr="00C94FAE" w:rsidRDefault="00E32327" w:rsidP="004048D0">
      <w:pPr>
        <w:spacing w:after="120" w:line="360" w:lineRule="auto"/>
        <w:jc w:val="both"/>
      </w:pPr>
      <w:r w:rsidRPr="00C94FAE">
        <w:t xml:space="preserve">Siddiqui, A. (2021) 'SWOT analysis (or SWOT matrix) tool as a strategic planning and management technique in the health care industry and its advantages', </w:t>
      </w:r>
      <w:r w:rsidRPr="004048D0">
        <w:rPr>
          <w:i/>
          <w:iCs/>
        </w:rPr>
        <w:t>Biomedical Journal of Scientific and Technical Research</w:t>
      </w:r>
      <w:r w:rsidRPr="00C94FAE">
        <w:t>, 40(2), pp.32035-32042.</w:t>
      </w:r>
    </w:p>
    <w:p w14:paraId="026AB005" w14:textId="77777777" w:rsidR="00E32327" w:rsidRPr="00C94FAE" w:rsidRDefault="00E32327" w:rsidP="004048D0">
      <w:pPr>
        <w:spacing w:after="120" w:line="360" w:lineRule="auto"/>
        <w:jc w:val="both"/>
      </w:pPr>
      <w:r w:rsidRPr="00C94FAE">
        <w:t xml:space="preserve">Taylor, M.J., McNicholas, C., Nicolay, C., Darzi, A., Bell, D. and Reed, J.E. (2014) 'Systematic review of the application of the plan-do-study-act method to improve quality in healthcare', </w:t>
      </w:r>
      <w:r w:rsidRPr="004048D0">
        <w:rPr>
          <w:i/>
          <w:iCs/>
        </w:rPr>
        <w:t>BMJ Quality and Safety</w:t>
      </w:r>
      <w:r w:rsidRPr="00C94FAE">
        <w:t>, 23(4), pp.290-298.</w:t>
      </w:r>
    </w:p>
    <w:p w14:paraId="51EF683D" w14:textId="77777777" w:rsidR="00E32327" w:rsidRPr="00C94FAE" w:rsidRDefault="00E32327" w:rsidP="004048D0">
      <w:pPr>
        <w:spacing w:after="120" w:line="360" w:lineRule="auto"/>
        <w:jc w:val="both"/>
      </w:pPr>
      <w:r w:rsidRPr="00C94FAE">
        <w:lastRenderedPageBreak/>
        <w:t xml:space="preserve">Vincent, C., Taylor-Adams, S. and Stanhope, N. (1998) 'Framework for analysing risk and safety in clinical medicine', </w:t>
      </w:r>
      <w:r w:rsidRPr="004048D0">
        <w:rPr>
          <w:i/>
          <w:iCs/>
        </w:rPr>
        <w:t>BMJ</w:t>
      </w:r>
      <w:r w:rsidRPr="00C94FAE">
        <w:t>, 316(7138), pp.1154-1157.</w:t>
      </w:r>
    </w:p>
    <w:p w14:paraId="687EBD62" w14:textId="77777777" w:rsidR="00E32327" w:rsidRPr="00C94FAE" w:rsidRDefault="00E32327" w:rsidP="004048D0">
      <w:pPr>
        <w:spacing w:after="120" w:line="360" w:lineRule="auto"/>
        <w:jc w:val="both"/>
      </w:pPr>
      <w:r w:rsidRPr="00C94FAE">
        <w:t xml:space="preserve">Walshe, K. and Shortell, S.M. (2004) 'When things go wrong: how health care organizations deal with major failures', </w:t>
      </w:r>
      <w:r w:rsidRPr="004048D0">
        <w:rPr>
          <w:i/>
          <w:iCs/>
        </w:rPr>
        <w:t>Health Affairs</w:t>
      </w:r>
      <w:r w:rsidRPr="00C94FAE">
        <w:t>, 23(3), pp.103-111.</w:t>
      </w:r>
    </w:p>
    <w:p w14:paraId="6134458C" w14:textId="77777777" w:rsidR="00E32327" w:rsidRPr="00C94FAE" w:rsidRDefault="00E32327" w:rsidP="004048D0">
      <w:pPr>
        <w:spacing w:after="120" w:line="360" w:lineRule="auto"/>
        <w:jc w:val="both"/>
      </w:pPr>
      <w:r w:rsidRPr="00C94FAE">
        <w:t xml:space="preserve">West, M. and Dawson, J. (2012) </w:t>
      </w:r>
      <w:r w:rsidRPr="004048D0">
        <w:rPr>
          <w:i/>
          <w:iCs/>
        </w:rPr>
        <w:t>Employee Engagement and NHS Performance</w:t>
      </w:r>
      <w:r w:rsidRPr="00C94FAE">
        <w:t>. London: King's Fund.</w:t>
      </w:r>
    </w:p>
    <w:p w14:paraId="2D5CE9BF" w14:textId="77777777" w:rsidR="00E32327" w:rsidRPr="00C94FAE" w:rsidRDefault="00E32327" w:rsidP="004048D0">
      <w:pPr>
        <w:spacing w:after="120" w:line="360" w:lineRule="auto"/>
        <w:jc w:val="both"/>
      </w:pPr>
      <w:r w:rsidRPr="00C94FAE">
        <w:t xml:space="preserve">West, M., Eckert, R., Collins, B. and Chowla, R. (2017) </w:t>
      </w:r>
      <w:r w:rsidRPr="004048D0">
        <w:rPr>
          <w:i/>
          <w:iCs/>
        </w:rPr>
        <w:t>Caring to Change: How Compassionate Leadership Can Stimulate Innovation in Health Care</w:t>
      </w:r>
      <w:r w:rsidRPr="00C94FAE">
        <w:t>. London: King's Fund.</w:t>
      </w:r>
    </w:p>
    <w:p w14:paraId="04117E44" w14:textId="26551DD2" w:rsidR="008E087E" w:rsidRPr="00C94FAE" w:rsidRDefault="008E087E" w:rsidP="00C94FAE">
      <w:pPr>
        <w:spacing w:after="120" w:line="360" w:lineRule="auto"/>
        <w:jc w:val="both"/>
      </w:pPr>
    </w:p>
    <w:sectPr w:rsidR="008E087E" w:rsidRPr="00C94FAE">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779AC9" w14:textId="77777777" w:rsidR="00E36C1F" w:rsidRDefault="00E36C1F" w:rsidP="00A1256F">
      <w:r>
        <w:separator/>
      </w:r>
    </w:p>
  </w:endnote>
  <w:endnote w:type="continuationSeparator" w:id="0">
    <w:p w14:paraId="1795DE38" w14:textId="77777777" w:rsidR="00E36C1F" w:rsidRDefault="00E36C1F" w:rsidP="00A125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5464872"/>
      <w:docPartObj>
        <w:docPartGallery w:val="Page Numbers (Bottom of Page)"/>
        <w:docPartUnique/>
      </w:docPartObj>
    </w:sdtPr>
    <w:sdtEndPr>
      <w:rPr>
        <w:noProof/>
      </w:rPr>
    </w:sdtEndPr>
    <w:sdtContent>
      <w:p w14:paraId="24F0BD16" w14:textId="29E36835" w:rsidR="00A1256F" w:rsidRDefault="00A125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E0DC34" w14:textId="77777777" w:rsidR="00A1256F" w:rsidRDefault="00A125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0F4B5F" w14:textId="77777777" w:rsidR="00E36C1F" w:rsidRDefault="00E36C1F" w:rsidP="00A1256F">
      <w:r>
        <w:separator/>
      </w:r>
    </w:p>
  </w:footnote>
  <w:footnote w:type="continuationSeparator" w:id="0">
    <w:p w14:paraId="030F40F6" w14:textId="77777777" w:rsidR="00E36C1F" w:rsidRDefault="00E36C1F" w:rsidP="00A125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44C51"/>
    <w:multiLevelType w:val="hybridMultilevel"/>
    <w:tmpl w:val="1A929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147EC4"/>
    <w:multiLevelType w:val="hybridMultilevel"/>
    <w:tmpl w:val="33221D94"/>
    <w:lvl w:ilvl="0" w:tplc="108887DC">
      <w:start w:val="1"/>
      <w:numFmt w:val="bullet"/>
      <w:lvlText w:val="●"/>
      <w:lvlJc w:val="left"/>
      <w:pPr>
        <w:ind w:left="720" w:hanging="360"/>
      </w:pPr>
    </w:lvl>
    <w:lvl w:ilvl="1" w:tplc="9FEED95C">
      <w:start w:val="1"/>
      <w:numFmt w:val="bullet"/>
      <w:lvlText w:val="○"/>
      <w:lvlJc w:val="left"/>
      <w:pPr>
        <w:ind w:left="1440" w:hanging="360"/>
      </w:pPr>
    </w:lvl>
    <w:lvl w:ilvl="2" w:tplc="1EBC5AC8">
      <w:start w:val="1"/>
      <w:numFmt w:val="bullet"/>
      <w:lvlText w:val="■"/>
      <w:lvlJc w:val="left"/>
      <w:pPr>
        <w:ind w:left="2160" w:hanging="360"/>
      </w:pPr>
    </w:lvl>
    <w:lvl w:ilvl="3" w:tplc="34CA826E">
      <w:start w:val="1"/>
      <w:numFmt w:val="bullet"/>
      <w:lvlText w:val="●"/>
      <w:lvlJc w:val="left"/>
      <w:pPr>
        <w:ind w:left="2880" w:hanging="360"/>
      </w:pPr>
    </w:lvl>
    <w:lvl w:ilvl="4" w:tplc="1DA0FC06">
      <w:start w:val="1"/>
      <w:numFmt w:val="bullet"/>
      <w:lvlText w:val="○"/>
      <w:lvlJc w:val="left"/>
      <w:pPr>
        <w:ind w:left="3600" w:hanging="360"/>
      </w:pPr>
    </w:lvl>
    <w:lvl w:ilvl="5" w:tplc="3022FB94">
      <w:start w:val="1"/>
      <w:numFmt w:val="bullet"/>
      <w:lvlText w:val="■"/>
      <w:lvlJc w:val="left"/>
      <w:pPr>
        <w:ind w:left="4320" w:hanging="360"/>
      </w:pPr>
    </w:lvl>
    <w:lvl w:ilvl="6" w:tplc="E1F0689E">
      <w:start w:val="1"/>
      <w:numFmt w:val="bullet"/>
      <w:lvlText w:val="●"/>
      <w:lvlJc w:val="left"/>
      <w:pPr>
        <w:ind w:left="5040" w:hanging="360"/>
      </w:pPr>
    </w:lvl>
    <w:lvl w:ilvl="7" w:tplc="D95EA680">
      <w:start w:val="1"/>
      <w:numFmt w:val="bullet"/>
      <w:lvlText w:val="●"/>
      <w:lvlJc w:val="left"/>
      <w:pPr>
        <w:ind w:left="5760" w:hanging="360"/>
      </w:pPr>
    </w:lvl>
    <w:lvl w:ilvl="8" w:tplc="1616A0A4">
      <w:start w:val="1"/>
      <w:numFmt w:val="bullet"/>
      <w:lvlText w:val="●"/>
      <w:lvlJc w:val="left"/>
      <w:pPr>
        <w:ind w:left="6480" w:hanging="360"/>
      </w:pPr>
    </w:lvl>
  </w:abstractNum>
  <w:abstractNum w:abstractNumId="2" w15:restartNumberingAfterBreak="0">
    <w:nsid w:val="5F3843D4"/>
    <w:multiLevelType w:val="hybridMultilevel"/>
    <w:tmpl w:val="B02C3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AC30AF"/>
    <w:multiLevelType w:val="hybridMultilevel"/>
    <w:tmpl w:val="CA6624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53331163">
    <w:abstractNumId w:val="1"/>
    <w:lvlOverride w:ilvl="0">
      <w:startOverride w:val="1"/>
    </w:lvlOverride>
  </w:num>
  <w:num w:numId="2" w16cid:durableId="1210649252">
    <w:abstractNumId w:val="3"/>
  </w:num>
  <w:num w:numId="3" w16cid:durableId="1260600157">
    <w:abstractNumId w:val="0"/>
  </w:num>
  <w:num w:numId="4" w16cid:durableId="12955234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087E"/>
    <w:rsid w:val="000016D8"/>
    <w:rsid w:val="00010CF0"/>
    <w:rsid w:val="000574F9"/>
    <w:rsid w:val="00072726"/>
    <w:rsid w:val="00074109"/>
    <w:rsid w:val="000835A7"/>
    <w:rsid w:val="000953B2"/>
    <w:rsid w:val="000A6337"/>
    <w:rsid w:val="000B6D2D"/>
    <w:rsid w:val="000D0EB2"/>
    <w:rsid w:val="000E2314"/>
    <w:rsid w:val="001502FA"/>
    <w:rsid w:val="001A042D"/>
    <w:rsid w:val="001A2034"/>
    <w:rsid w:val="001A5BA6"/>
    <w:rsid w:val="001C3EBC"/>
    <w:rsid w:val="001D4FCE"/>
    <w:rsid w:val="001F03E2"/>
    <w:rsid w:val="0020075C"/>
    <w:rsid w:val="00252286"/>
    <w:rsid w:val="00264260"/>
    <w:rsid w:val="002849DA"/>
    <w:rsid w:val="00295C4F"/>
    <w:rsid w:val="002A3409"/>
    <w:rsid w:val="002F0ED5"/>
    <w:rsid w:val="002F5DEE"/>
    <w:rsid w:val="002F60D5"/>
    <w:rsid w:val="0032277E"/>
    <w:rsid w:val="00323BB0"/>
    <w:rsid w:val="00330C85"/>
    <w:rsid w:val="0033108E"/>
    <w:rsid w:val="0037248A"/>
    <w:rsid w:val="003E5325"/>
    <w:rsid w:val="004048D0"/>
    <w:rsid w:val="00433D4E"/>
    <w:rsid w:val="00443FEA"/>
    <w:rsid w:val="0045192A"/>
    <w:rsid w:val="004575C4"/>
    <w:rsid w:val="004A0760"/>
    <w:rsid w:val="004A3764"/>
    <w:rsid w:val="004B5395"/>
    <w:rsid w:val="004B73EB"/>
    <w:rsid w:val="004E7A7E"/>
    <w:rsid w:val="00501F44"/>
    <w:rsid w:val="0051085B"/>
    <w:rsid w:val="00565E63"/>
    <w:rsid w:val="005726A0"/>
    <w:rsid w:val="00586B8A"/>
    <w:rsid w:val="005F2518"/>
    <w:rsid w:val="00614135"/>
    <w:rsid w:val="00620C94"/>
    <w:rsid w:val="00656BF9"/>
    <w:rsid w:val="006A6605"/>
    <w:rsid w:val="006F4207"/>
    <w:rsid w:val="00717743"/>
    <w:rsid w:val="00742E5E"/>
    <w:rsid w:val="007548F4"/>
    <w:rsid w:val="00793182"/>
    <w:rsid w:val="007B0B05"/>
    <w:rsid w:val="007C437C"/>
    <w:rsid w:val="007E11A6"/>
    <w:rsid w:val="007E4033"/>
    <w:rsid w:val="007F49EF"/>
    <w:rsid w:val="008219BE"/>
    <w:rsid w:val="00832AB2"/>
    <w:rsid w:val="0084503A"/>
    <w:rsid w:val="0088500A"/>
    <w:rsid w:val="00897B24"/>
    <w:rsid w:val="008A3F27"/>
    <w:rsid w:val="008C55EC"/>
    <w:rsid w:val="008E087E"/>
    <w:rsid w:val="00910BF1"/>
    <w:rsid w:val="0092792F"/>
    <w:rsid w:val="00927F4F"/>
    <w:rsid w:val="00941C6D"/>
    <w:rsid w:val="0095136C"/>
    <w:rsid w:val="009A414F"/>
    <w:rsid w:val="009A5FE7"/>
    <w:rsid w:val="009D1B28"/>
    <w:rsid w:val="009F3EC7"/>
    <w:rsid w:val="009F4091"/>
    <w:rsid w:val="00A1256F"/>
    <w:rsid w:val="00A30A9E"/>
    <w:rsid w:val="00A522D6"/>
    <w:rsid w:val="00A6015E"/>
    <w:rsid w:val="00A63E3F"/>
    <w:rsid w:val="00A776B3"/>
    <w:rsid w:val="00A82699"/>
    <w:rsid w:val="00AA53AD"/>
    <w:rsid w:val="00AD15D3"/>
    <w:rsid w:val="00AD3108"/>
    <w:rsid w:val="00AF5A99"/>
    <w:rsid w:val="00B233C9"/>
    <w:rsid w:val="00B372DD"/>
    <w:rsid w:val="00B43CB4"/>
    <w:rsid w:val="00B46FC7"/>
    <w:rsid w:val="00B60812"/>
    <w:rsid w:val="00B61898"/>
    <w:rsid w:val="00B84729"/>
    <w:rsid w:val="00BB7759"/>
    <w:rsid w:val="00BC385E"/>
    <w:rsid w:val="00C2728E"/>
    <w:rsid w:val="00C3748B"/>
    <w:rsid w:val="00C77B03"/>
    <w:rsid w:val="00C94FAE"/>
    <w:rsid w:val="00D47507"/>
    <w:rsid w:val="00D614E7"/>
    <w:rsid w:val="00D827E9"/>
    <w:rsid w:val="00DD1E01"/>
    <w:rsid w:val="00DF57A1"/>
    <w:rsid w:val="00E1397B"/>
    <w:rsid w:val="00E2098E"/>
    <w:rsid w:val="00E32327"/>
    <w:rsid w:val="00E36C1F"/>
    <w:rsid w:val="00E4504E"/>
    <w:rsid w:val="00E4634C"/>
    <w:rsid w:val="00E51CEC"/>
    <w:rsid w:val="00E51F1D"/>
    <w:rsid w:val="00E53BAF"/>
    <w:rsid w:val="00E85384"/>
    <w:rsid w:val="00E93FC1"/>
    <w:rsid w:val="00E9612F"/>
    <w:rsid w:val="00F07658"/>
    <w:rsid w:val="00F277EA"/>
    <w:rsid w:val="00F32981"/>
    <w:rsid w:val="00F624A1"/>
    <w:rsid w:val="00F851BD"/>
    <w:rsid w:val="00F959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117D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D827E9"/>
    <w:pPr>
      <w:spacing w:before="360" w:after="200"/>
      <w:outlineLvl w:val="0"/>
    </w:pPr>
    <w:rPr>
      <w:b/>
      <w:bCs/>
      <w:color w:val="000000"/>
      <w:sz w:val="24"/>
      <w:szCs w:val="24"/>
    </w:rPr>
  </w:style>
  <w:style w:type="paragraph" w:styleId="Heading2">
    <w:name w:val="heading 2"/>
    <w:uiPriority w:val="9"/>
    <w:unhideWhenUsed/>
    <w:qFormat/>
    <w:pPr>
      <w:spacing w:before="280" w:after="160"/>
      <w:outlineLvl w:val="1"/>
    </w:pPr>
    <w:rPr>
      <w:b/>
      <w:bCs/>
      <w:color w:val="000000"/>
      <w:sz w:val="24"/>
      <w:szCs w:val="24"/>
    </w:rPr>
  </w:style>
  <w:style w:type="paragraph" w:styleId="Heading3">
    <w:name w:val="heading 3"/>
    <w:uiPriority w:val="9"/>
    <w:unhideWhenUsed/>
    <w:qFormat/>
    <w:pPr>
      <w:spacing w:before="200" w:after="120"/>
      <w:outlineLvl w:val="2"/>
    </w:pPr>
    <w:rPr>
      <w:b/>
      <w:bCs/>
      <w:color w:val="00000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D827E9"/>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TOC1">
    <w:name w:val="toc 1"/>
    <w:basedOn w:val="Normal"/>
    <w:next w:val="Normal"/>
    <w:autoRedefine/>
    <w:uiPriority w:val="39"/>
    <w:unhideWhenUsed/>
    <w:rsid w:val="00D827E9"/>
    <w:pPr>
      <w:spacing w:after="100"/>
    </w:pPr>
  </w:style>
  <w:style w:type="paragraph" w:styleId="TOC2">
    <w:name w:val="toc 2"/>
    <w:basedOn w:val="Normal"/>
    <w:next w:val="Normal"/>
    <w:autoRedefine/>
    <w:uiPriority w:val="39"/>
    <w:unhideWhenUsed/>
    <w:rsid w:val="00D827E9"/>
    <w:pPr>
      <w:spacing w:after="100"/>
      <w:ind w:left="220"/>
    </w:pPr>
  </w:style>
  <w:style w:type="paragraph" w:styleId="Header">
    <w:name w:val="header"/>
    <w:basedOn w:val="Normal"/>
    <w:link w:val="HeaderChar"/>
    <w:uiPriority w:val="99"/>
    <w:unhideWhenUsed/>
    <w:rsid w:val="00A1256F"/>
    <w:pPr>
      <w:tabs>
        <w:tab w:val="center" w:pos="4680"/>
        <w:tab w:val="right" w:pos="9360"/>
      </w:tabs>
    </w:pPr>
  </w:style>
  <w:style w:type="character" w:customStyle="1" w:styleId="HeaderChar">
    <w:name w:val="Header Char"/>
    <w:basedOn w:val="DefaultParagraphFont"/>
    <w:link w:val="Header"/>
    <w:uiPriority w:val="99"/>
    <w:rsid w:val="00A1256F"/>
  </w:style>
  <w:style w:type="paragraph" w:styleId="Footer">
    <w:name w:val="footer"/>
    <w:basedOn w:val="Normal"/>
    <w:link w:val="FooterChar"/>
    <w:uiPriority w:val="99"/>
    <w:unhideWhenUsed/>
    <w:rsid w:val="00A1256F"/>
    <w:pPr>
      <w:tabs>
        <w:tab w:val="center" w:pos="4680"/>
        <w:tab w:val="right" w:pos="9360"/>
      </w:tabs>
    </w:pPr>
  </w:style>
  <w:style w:type="character" w:customStyle="1" w:styleId="FooterChar">
    <w:name w:val="Footer Char"/>
    <w:basedOn w:val="DefaultParagraphFont"/>
    <w:link w:val="Footer"/>
    <w:uiPriority w:val="99"/>
    <w:rsid w:val="00A125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FD4FE6-5B42-4E20-86C4-4709FC61D15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4278</Words>
  <Characters>24391</Characters>
  <Application>Microsoft Office Word</Application>
  <DocSecurity>0</DocSecurity>
  <Lines>203</Lines>
  <Paragraphs>57</Paragraphs>
  <ScaleCrop>false</ScaleCrop>
  <Company/>
  <LinksUpToDate>false</LinksUpToDate>
  <CharactersWithSpaces>28612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2026-04-16T21:18:00Z</dcterms:created>
  <dcterms:modified xsi:type="dcterms:W3CDTF">2026-04-16T21:18:00Z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961e5940-2522-495e-a2a7-4563517e9911</vt:lpwstr>
  </property>
</Properties>
</file>