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41947F" w14:textId="0D4445A4" w:rsidR="0072229D" w:rsidRPr="00222436" w:rsidRDefault="0072229D" w:rsidP="0072229D">
      <w:pPr>
        <w:spacing w:before="120" w:after="120"/>
        <w:rPr>
          <w:rFonts w:ascii="Arial" w:hAnsi="Arial" w:cs="Arial"/>
          <w:sz w:val="22"/>
          <w:szCs w:val="22"/>
        </w:rPr>
      </w:pPr>
      <w:r w:rsidRPr="0072229D">
        <w:rPr>
          <w:rFonts w:ascii="Arial" w:hAnsi="Arial" w:cs="Arial"/>
          <w:b/>
          <w:bCs/>
          <w:sz w:val="22"/>
          <w:szCs w:val="22"/>
        </w:rPr>
        <w:t>Student Name:</w:t>
      </w:r>
      <w:r w:rsidRPr="0072229D">
        <w:rPr>
          <w:rFonts w:ascii="Arial" w:hAnsi="Arial" w:cs="Arial"/>
          <w:sz w:val="22"/>
          <w:szCs w:val="22"/>
        </w:rPr>
        <w:t xml:space="preserve"> </w:t>
      </w:r>
      <w:r w:rsidRPr="00222436">
        <w:rPr>
          <w:rFonts w:ascii="Arial" w:hAnsi="Arial" w:cs="Arial"/>
          <w:sz w:val="22"/>
          <w:szCs w:val="22"/>
        </w:rPr>
        <w:tab/>
        <w:t>Salma Begum</w:t>
      </w:r>
      <w:r w:rsidRPr="0072229D">
        <w:rPr>
          <w:rFonts w:ascii="Arial" w:hAnsi="Arial" w:cs="Arial"/>
          <w:sz w:val="22"/>
          <w:szCs w:val="22"/>
        </w:rPr>
        <w:br/>
      </w:r>
      <w:r w:rsidRPr="0072229D">
        <w:rPr>
          <w:rFonts w:ascii="Arial" w:hAnsi="Arial" w:cs="Arial"/>
          <w:b/>
          <w:bCs/>
          <w:sz w:val="22"/>
          <w:szCs w:val="22"/>
        </w:rPr>
        <w:t>Student Number:</w:t>
      </w:r>
      <w:r w:rsidRPr="0072229D">
        <w:rPr>
          <w:rFonts w:ascii="Arial" w:hAnsi="Arial" w:cs="Arial"/>
          <w:sz w:val="22"/>
          <w:szCs w:val="22"/>
        </w:rPr>
        <w:t xml:space="preserve"> </w:t>
      </w:r>
      <w:r w:rsidRPr="00222436">
        <w:rPr>
          <w:rFonts w:ascii="Arial" w:hAnsi="Arial" w:cs="Arial"/>
          <w:sz w:val="22"/>
          <w:szCs w:val="22"/>
        </w:rPr>
        <w:tab/>
      </w:r>
      <w:r w:rsidR="002F54C6">
        <w:rPr>
          <w:rFonts w:ascii="Arial" w:hAnsi="Arial" w:cs="Arial"/>
          <w:sz w:val="22"/>
          <w:szCs w:val="22"/>
        </w:rPr>
        <w:t>240</w:t>
      </w:r>
      <w:r w:rsidR="00F8449C">
        <w:rPr>
          <w:rFonts w:ascii="Arial" w:hAnsi="Arial" w:cs="Arial"/>
          <w:sz w:val="22"/>
          <w:szCs w:val="22"/>
        </w:rPr>
        <w:t>9645</w:t>
      </w:r>
      <w:r w:rsidRPr="0072229D">
        <w:rPr>
          <w:rFonts w:ascii="Arial" w:hAnsi="Arial" w:cs="Arial"/>
          <w:sz w:val="22"/>
          <w:szCs w:val="22"/>
        </w:rPr>
        <w:br/>
      </w:r>
      <w:r w:rsidRPr="0072229D">
        <w:rPr>
          <w:rFonts w:ascii="Arial" w:hAnsi="Arial" w:cs="Arial"/>
          <w:b/>
          <w:bCs/>
          <w:sz w:val="22"/>
          <w:szCs w:val="22"/>
        </w:rPr>
        <w:t>Module Code:</w:t>
      </w:r>
      <w:r w:rsidRPr="0072229D">
        <w:rPr>
          <w:rFonts w:ascii="Arial" w:hAnsi="Arial" w:cs="Arial"/>
          <w:sz w:val="22"/>
          <w:szCs w:val="22"/>
        </w:rPr>
        <w:t xml:space="preserve"> </w:t>
      </w:r>
      <w:r w:rsidRPr="00222436">
        <w:rPr>
          <w:rFonts w:ascii="Arial" w:hAnsi="Arial" w:cs="Arial"/>
          <w:sz w:val="22"/>
          <w:szCs w:val="22"/>
        </w:rPr>
        <w:tab/>
        <w:t xml:space="preserve">BMHP5021 C2 </w:t>
      </w:r>
      <w:r w:rsidRPr="0072229D">
        <w:rPr>
          <w:rFonts w:ascii="Arial" w:hAnsi="Arial" w:cs="Arial"/>
          <w:sz w:val="22"/>
          <w:szCs w:val="22"/>
        </w:rPr>
        <w:br/>
      </w:r>
      <w:r w:rsidRPr="0072229D">
        <w:rPr>
          <w:rFonts w:ascii="Arial" w:hAnsi="Arial" w:cs="Arial"/>
          <w:b/>
          <w:bCs/>
          <w:sz w:val="22"/>
          <w:szCs w:val="22"/>
        </w:rPr>
        <w:t>Module Title:</w:t>
      </w:r>
      <w:r w:rsidRPr="0072229D">
        <w:rPr>
          <w:rFonts w:ascii="Arial" w:hAnsi="Arial" w:cs="Arial"/>
          <w:sz w:val="22"/>
          <w:szCs w:val="22"/>
        </w:rPr>
        <w:t xml:space="preserve"> </w:t>
      </w:r>
      <w:r w:rsidRPr="00222436">
        <w:rPr>
          <w:rFonts w:ascii="Arial" w:hAnsi="Arial" w:cs="Arial"/>
          <w:sz w:val="22"/>
          <w:szCs w:val="22"/>
        </w:rPr>
        <w:tab/>
      </w:r>
      <w:r w:rsidR="00222436">
        <w:rPr>
          <w:rFonts w:ascii="Arial" w:hAnsi="Arial" w:cs="Arial"/>
          <w:sz w:val="22"/>
          <w:szCs w:val="22"/>
        </w:rPr>
        <w:tab/>
      </w:r>
      <w:r w:rsidRPr="00222436">
        <w:rPr>
          <w:rFonts w:ascii="Arial" w:hAnsi="Arial" w:cs="Arial"/>
          <w:bCs/>
          <w:sz w:val="22"/>
          <w:szCs w:val="22"/>
        </w:rPr>
        <w:t>Protecting and Supporting Families in Health and Care</w:t>
      </w:r>
      <w:r w:rsidRPr="00222436">
        <w:rPr>
          <w:rFonts w:ascii="Arial" w:hAnsi="Arial" w:cs="Arial"/>
          <w:sz w:val="22"/>
          <w:szCs w:val="22"/>
        </w:rPr>
        <w:t xml:space="preserve"> </w:t>
      </w:r>
      <w:r w:rsidRPr="0072229D">
        <w:rPr>
          <w:rFonts w:ascii="Arial" w:hAnsi="Arial" w:cs="Arial"/>
          <w:sz w:val="22"/>
          <w:szCs w:val="22"/>
        </w:rPr>
        <w:br/>
      </w:r>
      <w:r w:rsidR="00F87D99" w:rsidRPr="00F87D99">
        <w:rPr>
          <w:rFonts w:ascii="Arial" w:hAnsi="Arial" w:cs="Arial"/>
          <w:b/>
          <w:bCs/>
          <w:sz w:val="22"/>
          <w:szCs w:val="22"/>
        </w:rPr>
        <w:t>Lecturer:</w:t>
      </w:r>
      <w:r w:rsidR="00F87D99">
        <w:rPr>
          <w:rFonts w:ascii="Arial" w:hAnsi="Arial" w:cs="Arial"/>
          <w:b/>
          <w:bCs/>
          <w:sz w:val="22"/>
          <w:szCs w:val="22"/>
        </w:rPr>
        <w:tab/>
      </w:r>
      <w:r w:rsidR="00F87D99">
        <w:rPr>
          <w:rFonts w:ascii="Arial" w:hAnsi="Arial" w:cs="Arial"/>
          <w:b/>
          <w:bCs/>
          <w:sz w:val="22"/>
          <w:szCs w:val="22"/>
        </w:rPr>
        <w:tab/>
      </w:r>
      <w:r w:rsidR="00F87D99" w:rsidRPr="008D6C4B">
        <w:rPr>
          <w:rFonts w:ascii="Arial" w:hAnsi="Arial" w:cs="Arial"/>
          <w:sz w:val="22"/>
          <w:szCs w:val="22"/>
        </w:rPr>
        <w:t>Gil</w:t>
      </w:r>
      <w:r w:rsidR="008D6C4B" w:rsidRPr="008D6C4B">
        <w:rPr>
          <w:rFonts w:ascii="Arial" w:hAnsi="Arial" w:cs="Arial"/>
          <w:sz w:val="22"/>
          <w:szCs w:val="22"/>
        </w:rPr>
        <w:t>l</w:t>
      </w:r>
      <w:r w:rsidR="00F87D99" w:rsidRPr="008D6C4B">
        <w:rPr>
          <w:rFonts w:ascii="Arial" w:hAnsi="Arial" w:cs="Arial"/>
          <w:sz w:val="22"/>
          <w:szCs w:val="22"/>
        </w:rPr>
        <w:t xml:space="preserve">ian </w:t>
      </w:r>
      <w:r w:rsidR="008D6C4B" w:rsidRPr="008D6C4B">
        <w:rPr>
          <w:rFonts w:ascii="Arial" w:hAnsi="Arial" w:cs="Arial"/>
          <w:sz w:val="22"/>
          <w:szCs w:val="22"/>
        </w:rPr>
        <w:t>Weaver</w:t>
      </w:r>
    </w:p>
    <w:p w14:paraId="08D8BD6C" w14:textId="7D8CD7D9" w:rsidR="0072229D" w:rsidRPr="00222436" w:rsidRDefault="0072229D" w:rsidP="0072229D">
      <w:pPr>
        <w:spacing w:before="120" w:after="120"/>
        <w:rPr>
          <w:rFonts w:ascii="Arial" w:hAnsi="Arial" w:cs="Arial"/>
          <w:sz w:val="22"/>
          <w:szCs w:val="22"/>
        </w:rPr>
      </w:pPr>
      <w:r w:rsidRPr="0072229D">
        <w:rPr>
          <w:rFonts w:ascii="Arial" w:hAnsi="Arial" w:cs="Arial"/>
          <w:sz w:val="22"/>
          <w:szCs w:val="22"/>
        </w:rPr>
        <w:t>Assignment Title:</w:t>
      </w:r>
      <w:r w:rsidRPr="00222436">
        <w:rPr>
          <w:rFonts w:ascii="Arial" w:hAnsi="Arial" w:cs="Arial"/>
          <w:sz w:val="22"/>
          <w:szCs w:val="22"/>
        </w:rPr>
        <w:tab/>
      </w:r>
    </w:p>
    <w:p w14:paraId="32F729C5" w14:textId="49EF9FF8" w:rsidR="0072229D" w:rsidRPr="0072229D" w:rsidRDefault="0072229D" w:rsidP="0072229D">
      <w:pPr>
        <w:spacing w:before="120" w:after="120"/>
        <w:rPr>
          <w:rFonts w:ascii="Arial" w:hAnsi="Arial" w:cs="Arial"/>
          <w:b/>
          <w:bCs/>
          <w:sz w:val="22"/>
          <w:szCs w:val="22"/>
        </w:rPr>
      </w:pPr>
      <w:r w:rsidRPr="0072229D">
        <w:rPr>
          <w:rFonts w:ascii="Arial" w:hAnsi="Arial" w:cs="Arial"/>
          <w:b/>
          <w:bCs/>
          <w:sz w:val="22"/>
          <w:szCs w:val="22"/>
        </w:rPr>
        <w:t xml:space="preserve">An Examination and Analysis of How the ‘Early Help’ System is </w:t>
      </w:r>
      <w:r w:rsidRPr="00222436">
        <w:rPr>
          <w:rFonts w:ascii="Arial" w:hAnsi="Arial" w:cs="Arial"/>
          <w:b/>
          <w:bCs/>
          <w:sz w:val="22"/>
          <w:szCs w:val="22"/>
        </w:rPr>
        <w:t xml:space="preserve">  </w:t>
      </w:r>
      <w:r w:rsidRPr="0072229D">
        <w:rPr>
          <w:rFonts w:ascii="Arial" w:hAnsi="Arial" w:cs="Arial"/>
          <w:b/>
          <w:bCs/>
          <w:sz w:val="22"/>
          <w:szCs w:val="22"/>
        </w:rPr>
        <w:t>Signposted to UK Families Through Local Authority Websites</w:t>
      </w:r>
    </w:p>
    <w:p w14:paraId="4F0A3F89" w14:textId="77777777" w:rsidR="0072229D" w:rsidRPr="0072229D" w:rsidRDefault="00000000" w:rsidP="0072229D">
      <w:pPr>
        <w:rPr>
          <w:rFonts w:ascii="Arial" w:hAnsi="Arial" w:cs="Arial"/>
          <w:sz w:val="22"/>
          <w:szCs w:val="22"/>
        </w:rPr>
      </w:pPr>
      <w:r>
        <w:rPr>
          <w:rFonts w:ascii="Arial" w:hAnsi="Arial" w:cs="Arial"/>
          <w:sz w:val="22"/>
          <w:szCs w:val="22"/>
        </w:rPr>
        <w:pict w14:anchorId="67F9A4B2">
          <v:rect id="_x0000_i1025" style="width:0;height:1.5pt" o:hralign="center" o:hrstd="t" o:hr="t" fillcolor="#a0a0a0" stroked="f"/>
        </w:pict>
      </w:r>
    </w:p>
    <w:p w14:paraId="573443DC" w14:textId="77777777" w:rsidR="0072229D" w:rsidRPr="0072229D" w:rsidRDefault="0072229D" w:rsidP="0072229D">
      <w:pPr>
        <w:rPr>
          <w:rFonts w:ascii="Arial" w:hAnsi="Arial" w:cs="Arial"/>
          <w:b/>
          <w:bCs/>
          <w:sz w:val="22"/>
          <w:szCs w:val="22"/>
        </w:rPr>
      </w:pPr>
      <w:r w:rsidRPr="0072229D">
        <w:rPr>
          <w:rFonts w:ascii="Arial" w:hAnsi="Arial" w:cs="Arial"/>
          <w:b/>
          <w:bCs/>
          <w:sz w:val="22"/>
          <w:szCs w:val="22"/>
        </w:rPr>
        <w:t>Table of Contents</w:t>
      </w:r>
    </w:p>
    <w:p w14:paraId="0B1C27A4" w14:textId="77777777" w:rsidR="0072229D" w:rsidRPr="0072229D" w:rsidRDefault="0072229D" w:rsidP="0072229D">
      <w:pPr>
        <w:numPr>
          <w:ilvl w:val="0"/>
          <w:numId w:val="1"/>
        </w:numPr>
        <w:rPr>
          <w:rFonts w:ascii="Arial" w:hAnsi="Arial" w:cs="Arial"/>
          <w:sz w:val="22"/>
          <w:szCs w:val="22"/>
        </w:rPr>
      </w:pPr>
      <w:r w:rsidRPr="0072229D">
        <w:rPr>
          <w:rFonts w:ascii="Arial" w:hAnsi="Arial" w:cs="Arial"/>
          <w:sz w:val="22"/>
          <w:szCs w:val="22"/>
        </w:rPr>
        <w:t>Introduction</w:t>
      </w:r>
    </w:p>
    <w:p w14:paraId="52297473" w14:textId="77777777" w:rsidR="0072229D" w:rsidRPr="0072229D" w:rsidRDefault="0072229D" w:rsidP="0072229D">
      <w:pPr>
        <w:numPr>
          <w:ilvl w:val="0"/>
          <w:numId w:val="1"/>
        </w:numPr>
        <w:rPr>
          <w:rFonts w:ascii="Arial" w:hAnsi="Arial" w:cs="Arial"/>
          <w:sz w:val="22"/>
          <w:szCs w:val="22"/>
        </w:rPr>
      </w:pPr>
      <w:r w:rsidRPr="0072229D">
        <w:rPr>
          <w:rFonts w:ascii="Arial" w:hAnsi="Arial" w:cs="Arial"/>
          <w:sz w:val="22"/>
          <w:szCs w:val="22"/>
        </w:rPr>
        <w:t>Methodology</w:t>
      </w:r>
    </w:p>
    <w:p w14:paraId="1B65509F" w14:textId="77777777" w:rsidR="0072229D" w:rsidRPr="0072229D" w:rsidRDefault="0072229D" w:rsidP="0072229D">
      <w:pPr>
        <w:numPr>
          <w:ilvl w:val="0"/>
          <w:numId w:val="1"/>
        </w:numPr>
        <w:rPr>
          <w:rFonts w:ascii="Arial" w:hAnsi="Arial" w:cs="Arial"/>
          <w:sz w:val="22"/>
          <w:szCs w:val="22"/>
        </w:rPr>
      </w:pPr>
      <w:r w:rsidRPr="0072229D">
        <w:rPr>
          <w:rFonts w:ascii="Arial" w:hAnsi="Arial" w:cs="Arial"/>
          <w:sz w:val="22"/>
          <w:szCs w:val="22"/>
        </w:rPr>
        <w:t>The Early Help System</w:t>
      </w:r>
    </w:p>
    <w:p w14:paraId="18D2AC5F" w14:textId="77777777" w:rsidR="0072229D" w:rsidRPr="0072229D" w:rsidRDefault="0072229D" w:rsidP="0072229D">
      <w:pPr>
        <w:numPr>
          <w:ilvl w:val="0"/>
          <w:numId w:val="1"/>
        </w:numPr>
        <w:rPr>
          <w:rFonts w:ascii="Arial" w:hAnsi="Arial" w:cs="Arial"/>
          <w:sz w:val="22"/>
          <w:szCs w:val="22"/>
        </w:rPr>
      </w:pPr>
      <w:r w:rsidRPr="0072229D">
        <w:rPr>
          <w:rFonts w:ascii="Arial" w:hAnsi="Arial" w:cs="Arial"/>
          <w:sz w:val="22"/>
          <w:szCs w:val="22"/>
        </w:rPr>
        <w:t>Multi-Agency Working in Early Help</w:t>
      </w:r>
    </w:p>
    <w:p w14:paraId="652B6C5C" w14:textId="77777777" w:rsidR="0072229D" w:rsidRPr="0072229D" w:rsidRDefault="0072229D" w:rsidP="0072229D">
      <w:pPr>
        <w:numPr>
          <w:ilvl w:val="0"/>
          <w:numId w:val="1"/>
        </w:numPr>
        <w:rPr>
          <w:rFonts w:ascii="Arial" w:hAnsi="Arial" w:cs="Arial"/>
          <w:sz w:val="22"/>
          <w:szCs w:val="22"/>
        </w:rPr>
      </w:pPr>
      <w:r w:rsidRPr="0072229D">
        <w:rPr>
          <w:rFonts w:ascii="Arial" w:hAnsi="Arial" w:cs="Arial"/>
          <w:sz w:val="22"/>
          <w:szCs w:val="22"/>
        </w:rPr>
        <w:t>Evaluation of Local Authority Websites</w:t>
      </w:r>
      <w:r w:rsidRPr="0072229D">
        <w:rPr>
          <w:rFonts w:ascii="Arial" w:hAnsi="Arial" w:cs="Arial"/>
          <w:sz w:val="22"/>
          <w:szCs w:val="22"/>
        </w:rPr>
        <w:br/>
      </w:r>
      <w:r w:rsidRPr="0072229D">
        <w:rPr>
          <w:rFonts w:ascii="Arial" w:hAnsi="Arial" w:cs="Arial"/>
          <w:sz w:val="22"/>
          <w:szCs w:val="22"/>
        </w:rPr>
        <w:t> </w:t>
      </w:r>
      <w:r w:rsidRPr="0072229D">
        <w:rPr>
          <w:rFonts w:ascii="Arial" w:hAnsi="Arial" w:cs="Arial"/>
          <w:sz w:val="22"/>
          <w:szCs w:val="22"/>
        </w:rPr>
        <w:t>5.1 Leicester City Council</w:t>
      </w:r>
      <w:r w:rsidRPr="0072229D">
        <w:rPr>
          <w:rFonts w:ascii="Arial" w:hAnsi="Arial" w:cs="Arial"/>
          <w:sz w:val="22"/>
          <w:szCs w:val="22"/>
        </w:rPr>
        <w:br/>
      </w:r>
      <w:r w:rsidRPr="0072229D">
        <w:rPr>
          <w:rFonts w:ascii="Arial" w:hAnsi="Arial" w:cs="Arial"/>
          <w:sz w:val="22"/>
          <w:szCs w:val="22"/>
        </w:rPr>
        <w:t> </w:t>
      </w:r>
      <w:r w:rsidRPr="0072229D">
        <w:rPr>
          <w:rFonts w:ascii="Arial" w:hAnsi="Arial" w:cs="Arial"/>
          <w:sz w:val="22"/>
          <w:szCs w:val="22"/>
        </w:rPr>
        <w:t>5.2 Staffordshire County Council</w:t>
      </w:r>
      <w:r w:rsidRPr="0072229D">
        <w:rPr>
          <w:rFonts w:ascii="Arial" w:hAnsi="Arial" w:cs="Arial"/>
          <w:sz w:val="22"/>
          <w:szCs w:val="22"/>
        </w:rPr>
        <w:br/>
      </w:r>
      <w:r w:rsidRPr="0072229D">
        <w:rPr>
          <w:rFonts w:ascii="Arial" w:hAnsi="Arial" w:cs="Arial"/>
          <w:sz w:val="22"/>
          <w:szCs w:val="22"/>
        </w:rPr>
        <w:t> </w:t>
      </w:r>
      <w:r w:rsidRPr="0072229D">
        <w:rPr>
          <w:rFonts w:ascii="Arial" w:hAnsi="Arial" w:cs="Arial"/>
          <w:sz w:val="22"/>
          <w:szCs w:val="22"/>
        </w:rPr>
        <w:t>5.3 Tower Hamlets Council</w:t>
      </w:r>
    </w:p>
    <w:p w14:paraId="4DE8F9EF" w14:textId="77777777" w:rsidR="0072229D" w:rsidRPr="0072229D" w:rsidRDefault="0072229D" w:rsidP="0072229D">
      <w:pPr>
        <w:numPr>
          <w:ilvl w:val="0"/>
          <w:numId w:val="1"/>
        </w:numPr>
        <w:rPr>
          <w:rFonts w:ascii="Arial" w:hAnsi="Arial" w:cs="Arial"/>
          <w:sz w:val="22"/>
          <w:szCs w:val="22"/>
        </w:rPr>
      </w:pPr>
      <w:r w:rsidRPr="0072229D">
        <w:rPr>
          <w:rFonts w:ascii="Arial" w:hAnsi="Arial" w:cs="Arial"/>
          <w:sz w:val="22"/>
          <w:szCs w:val="22"/>
        </w:rPr>
        <w:t>Comparative Analysis</w:t>
      </w:r>
    </w:p>
    <w:p w14:paraId="7DC930F8" w14:textId="77777777" w:rsidR="0072229D" w:rsidRPr="0072229D" w:rsidRDefault="0072229D" w:rsidP="0072229D">
      <w:pPr>
        <w:numPr>
          <w:ilvl w:val="0"/>
          <w:numId w:val="1"/>
        </w:numPr>
        <w:rPr>
          <w:rFonts w:ascii="Arial" w:hAnsi="Arial" w:cs="Arial"/>
          <w:sz w:val="22"/>
          <w:szCs w:val="22"/>
        </w:rPr>
      </w:pPr>
      <w:r w:rsidRPr="0072229D">
        <w:rPr>
          <w:rFonts w:ascii="Arial" w:hAnsi="Arial" w:cs="Arial"/>
          <w:sz w:val="22"/>
          <w:szCs w:val="22"/>
        </w:rPr>
        <w:t>Conclusion and Recommendations</w:t>
      </w:r>
    </w:p>
    <w:p w14:paraId="2A68908F" w14:textId="77777777" w:rsidR="0072229D" w:rsidRPr="0072229D" w:rsidRDefault="0072229D" w:rsidP="0072229D">
      <w:pPr>
        <w:numPr>
          <w:ilvl w:val="0"/>
          <w:numId w:val="1"/>
        </w:numPr>
        <w:rPr>
          <w:rFonts w:ascii="Arial" w:hAnsi="Arial" w:cs="Arial"/>
          <w:sz w:val="22"/>
          <w:szCs w:val="22"/>
        </w:rPr>
      </w:pPr>
      <w:r w:rsidRPr="0072229D">
        <w:rPr>
          <w:rFonts w:ascii="Arial" w:hAnsi="Arial" w:cs="Arial"/>
          <w:sz w:val="22"/>
          <w:szCs w:val="22"/>
        </w:rPr>
        <w:t>References</w:t>
      </w:r>
    </w:p>
    <w:p w14:paraId="087E782C" w14:textId="77777777" w:rsidR="0072229D" w:rsidRPr="0072229D" w:rsidRDefault="00000000" w:rsidP="0072229D">
      <w:pPr>
        <w:rPr>
          <w:rFonts w:ascii="Arial" w:hAnsi="Arial" w:cs="Arial"/>
          <w:sz w:val="22"/>
          <w:szCs w:val="22"/>
        </w:rPr>
      </w:pPr>
      <w:r>
        <w:rPr>
          <w:rFonts w:ascii="Arial" w:hAnsi="Arial" w:cs="Arial"/>
          <w:sz w:val="22"/>
          <w:szCs w:val="22"/>
        </w:rPr>
        <w:pict w14:anchorId="6F3041EA">
          <v:rect id="_x0000_i1026" style="width:0;height:1.5pt" o:hralign="center" o:hrstd="t" o:hr="t" fillcolor="#a0a0a0" stroked="f"/>
        </w:pict>
      </w:r>
    </w:p>
    <w:p w14:paraId="1C0E4F43" w14:textId="77777777" w:rsidR="004611F7" w:rsidRPr="004611F7" w:rsidRDefault="004611F7" w:rsidP="004611F7">
      <w:pPr>
        <w:jc w:val="both"/>
        <w:rPr>
          <w:rFonts w:ascii="Arial" w:hAnsi="Arial" w:cs="Arial"/>
          <w:b/>
          <w:bCs/>
          <w:sz w:val="22"/>
          <w:szCs w:val="22"/>
        </w:rPr>
      </w:pPr>
      <w:r w:rsidRPr="004611F7">
        <w:rPr>
          <w:rFonts w:ascii="Arial" w:hAnsi="Arial" w:cs="Arial"/>
          <w:b/>
          <w:bCs/>
          <w:sz w:val="22"/>
          <w:szCs w:val="22"/>
        </w:rPr>
        <w:t>1. Introduction</w:t>
      </w:r>
    </w:p>
    <w:p w14:paraId="6C0383FF"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Safeguarding children and supporting families are central responsibilities within the United Kingdom’s health and social care system. Early intervention has become a key strategy for preventing family difficulties from escalating into serious safeguarding concerns that may require statutory intervention. The Early Help system plays an important role within this preventative framework by providing support to children, young people and families when problems first begin to emerge (HM Government, 2020).</w:t>
      </w:r>
    </w:p>
    <w:p w14:paraId="5DEBB27D"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Early Help services address issues such as parenting difficulties, financial hardship, domestic abuse, behavioural challenges and parental mental health concerns before they develop into more complex safeguarding situations. By identifying needs early and providing targeted support, Early Help aims to strengthen family resilience and improve long-term outcomes for children (Department for Education, 2022).</w:t>
      </w:r>
    </w:p>
    <w:p w14:paraId="362B5222"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 xml:space="preserve">Local authorities are responsible for coordinating Early Help services and ensuring that families can access appropriate support. In the contemporary digital environment, local authority websites have become a primary gateway through which families seek information about available services. Many parents and carers rely on online platforms to understand what </w:t>
      </w:r>
      <w:r w:rsidRPr="004611F7">
        <w:rPr>
          <w:rFonts w:ascii="Arial" w:hAnsi="Arial" w:cs="Arial"/>
          <w:sz w:val="22"/>
          <w:szCs w:val="22"/>
        </w:rPr>
        <w:lastRenderedPageBreak/>
        <w:t xml:space="preserve">support is available and how to access it. Consequently, the clarity, accessibility and usability of these websites play a crucial role in determining whether families </w:t>
      </w:r>
      <w:proofErr w:type="gramStart"/>
      <w:r w:rsidRPr="004611F7">
        <w:rPr>
          <w:rFonts w:ascii="Arial" w:hAnsi="Arial" w:cs="Arial"/>
          <w:sz w:val="22"/>
          <w:szCs w:val="22"/>
        </w:rPr>
        <w:t>are able to</w:t>
      </w:r>
      <w:proofErr w:type="gramEnd"/>
      <w:r w:rsidRPr="004611F7">
        <w:rPr>
          <w:rFonts w:ascii="Arial" w:hAnsi="Arial" w:cs="Arial"/>
          <w:sz w:val="22"/>
          <w:szCs w:val="22"/>
        </w:rPr>
        <w:t xml:space="preserve"> obtain help at an early stage.</w:t>
      </w:r>
    </w:p>
    <w:p w14:paraId="36FAAB55"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 xml:space="preserve">National safeguarding frameworks emphasise the importance of early intervention and partnership working. The </w:t>
      </w:r>
      <w:r w:rsidRPr="004611F7">
        <w:rPr>
          <w:rFonts w:ascii="Arial" w:hAnsi="Arial" w:cs="Arial"/>
          <w:i/>
          <w:iCs/>
          <w:sz w:val="22"/>
          <w:szCs w:val="22"/>
        </w:rPr>
        <w:t>Early Help System Guide</w:t>
      </w:r>
      <w:r w:rsidRPr="004611F7">
        <w:rPr>
          <w:rFonts w:ascii="Arial" w:hAnsi="Arial" w:cs="Arial"/>
          <w:sz w:val="22"/>
          <w:szCs w:val="22"/>
        </w:rPr>
        <w:t xml:space="preserve"> highlights that early identification of problems and coordinated support can significantly improve outcomes for children and families (HM Government, 2020). Similarly, </w:t>
      </w:r>
      <w:r w:rsidRPr="004611F7">
        <w:rPr>
          <w:rFonts w:ascii="Arial" w:hAnsi="Arial" w:cs="Arial"/>
          <w:i/>
          <w:iCs/>
          <w:sz w:val="22"/>
          <w:szCs w:val="22"/>
        </w:rPr>
        <w:t>Working Together to Safeguard Children</w:t>
      </w:r>
      <w:r w:rsidRPr="004611F7">
        <w:rPr>
          <w:rFonts w:ascii="Arial" w:hAnsi="Arial" w:cs="Arial"/>
          <w:sz w:val="22"/>
          <w:szCs w:val="22"/>
        </w:rPr>
        <w:t xml:space="preserve"> emphasises that safeguarding is a shared responsibility involving collaboration between local authorities, health services, schools and voluntary organisations (HM Government, 2023).</w:t>
      </w:r>
    </w:p>
    <w:p w14:paraId="498BB292"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However, research suggests that families may struggle to access support if information about services is difficult to locate or presented in complex professional language (Frost, Abbott and Race, 2015). Digital accessibility therefore becomes an important factor in ensuring that preventative services reach those who need them most.</w:t>
      </w:r>
    </w:p>
    <w:p w14:paraId="0F4E6AF3"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This report examines how Early Help services are signposted through the websites of three UK local authorities: Leicester City Council, Staffordshire County Council and Tower Hamlets Council. The report evaluates the clarity, accessibility and effectiveness of the information provided for families seeking support and compares the strengths and limitations of each website.</w:t>
      </w:r>
    </w:p>
    <w:p w14:paraId="4E69B2EF" w14:textId="77777777" w:rsidR="004611F7" w:rsidRPr="004611F7" w:rsidRDefault="00000000" w:rsidP="004611F7">
      <w:pPr>
        <w:jc w:val="both"/>
        <w:rPr>
          <w:rFonts w:ascii="Arial" w:hAnsi="Arial" w:cs="Arial"/>
          <w:sz w:val="22"/>
          <w:szCs w:val="22"/>
        </w:rPr>
      </w:pPr>
      <w:r>
        <w:rPr>
          <w:rFonts w:ascii="Arial" w:hAnsi="Arial" w:cs="Arial"/>
          <w:sz w:val="22"/>
          <w:szCs w:val="22"/>
        </w:rPr>
        <w:pict w14:anchorId="6E098EC7">
          <v:rect id="_x0000_i1027" style="width:0;height:1.5pt" o:hralign="center" o:hrstd="t" o:hr="t" fillcolor="#a0a0a0" stroked="f"/>
        </w:pict>
      </w:r>
    </w:p>
    <w:p w14:paraId="48025FAD" w14:textId="77777777" w:rsidR="004611F7" w:rsidRPr="004611F7" w:rsidRDefault="004611F7" w:rsidP="004611F7">
      <w:pPr>
        <w:jc w:val="both"/>
        <w:rPr>
          <w:rFonts w:ascii="Arial" w:hAnsi="Arial" w:cs="Arial"/>
          <w:b/>
          <w:bCs/>
          <w:sz w:val="22"/>
          <w:szCs w:val="22"/>
        </w:rPr>
      </w:pPr>
      <w:r w:rsidRPr="004611F7">
        <w:rPr>
          <w:rFonts w:ascii="Arial" w:hAnsi="Arial" w:cs="Arial"/>
          <w:b/>
          <w:bCs/>
          <w:sz w:val="22"/>
          <w:szCs w:val="22"/>
        </w:rPr>
        <w:t>2. Methodology</w:t>
      </w:r>
    </w:p>
    <w:p w14:paraId="1E1D5C6C"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This report adopts a qualitative website analysis approach to examine how Early Help services are communicated through local authority websites. Qualitative website analysis is commonly used in social policy research to assess how information is presented and how accessible digital services are for the public (Frost, Abbott and Race, 2015).</w:t>
      </w:r>
    </w:p>
    <w:p w14:paraId="676F5647"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The evaluation also draws upon principles of user-centred design and digital accessibility frameworks, which emphasise that public services should be designed to ensure that information is clear, accessible and understandable to a wide range of users (Norman, 2013). These principles are widely applied in public sector digital services to ensure that individuals with varying levels of literacy and digital skills can access support.</w:t>
      </w:r>
    </w:p>
    <w:p w14:paraId="354DC0BA"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Three local authorities were selected for analysis:</w:t>
      </w:r>
    </w:p>
    <w:p w14:paraId="02E77EBC" w14:textId="77777777" w:rsidR="004611F7" w:rsidRPr="004611F7" w:rsidRDefault="004611F7" w:rsidP="004611F7">
      <w:pPr>
        <w:numPr>
          <w:ilvl w:val="0"/>
          <w:numId w:val="9"/>
        </w:numPr>
        <w:jc w:val="both"/>
        <w:rPr>
          <w:rFonts w:ascii="Arial" w:hAnsi="Arial" w:cs="Arial"/>
          <w:sz w:val="22"/>
          <w:szCs w:val="22"/>
        </w:rPr>
      </w:pPr>
      <w:r w:rsidRPr="004611F7">
        <w:rPr>
          <w:rFonts w:ascii="Arial" w:hAnsi="Arial" w:cs="Arial"/>
          <w:sz w:val="22"/>
          <w:szCs w:val="22"/>
        </w:rPr>
        <w:t>Leicester City Council</w:t>
      </w:r>
    </w:p>
    <w:p w14:paraId="05F599A3" w14:textId="77777777" w:rsidR="004611F7" w:rsidRPr="004611F7" w:rsidRDefault="004611F7" w:rsidP="004611F7">
      <w:pPr>
        <w:numPr>
          <w:ilvl w:val="0"/>
          <w:numId w:val="9"/>
        </w:numPr>
        <w:jc w:val="both"/>
        <w:rPr>
          <w:rFonts w:ascii="Arial" w:hAnsi="Arial" w:cs="Arial"/>
          <w:sz w:val="22"/>
          <w:szCs w:val="22"/>
        </w:rPr>
      </w:pPr>
      <w:r w:rsidRPr="004611F7">
        <w:rPr>
          <w:rFonts w:ascii="Arial" w:hAnsi="Arial" w:cs="Arial"/>
          <w:sz w:val="22"/>
          <w:szCs w:val="22"/>
        </w:rPr>
        <w:t>Staffordshire County Council</w:t>
      </w:r>
    </w:p>
    <w:p w14:paraId="3A13C38E" w14:textId="77777777" w:rsidR="004611F7" w:rsidRPr="004611F7" w:rsidRDefault="004611F7" w:rsidP="004611F7">
      <w:pPr>
        <w:numPr>
          <w:ilvl w:val="0"/>
          <w:numId w:val="9"/>
        </w:numPr>
        <w:jc w:val="both"/>
        <w:rPr>
          <w:rFonts w:ascii="Arial" w:hAnsi="Arial" w:cs="Arial"/>
          <w:sz w:val="22"/>
          <w:szCs w:val="22"/>
        </w:rPr>
      </w:pPr>
      <w:r w:rsidRPr="004611F7">
        <w:rPr>
          <w:rFonts w:ascii="Arial" w:hAnsi="Arial" w:cs="Arial"/>
          <w:sz w:val="22"/>
          <w:szCs w:val="22"/>
        </w:rPr>
        <w:t>Tower Hamlets Council</w:t>
      </w:r>
    </w:p>
    <w:p w14:paraId="2341F80B"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These authorities were chosen to explore how different councils present Early Help services through their online platforms.</w:t>
      </w:r>
    </w:p>
    <w:p w14:paraId="34D583E8"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The evaluation focused on several key criteria relevant to digital accessibility and service communication:</w:t>
      </w:r>
    </w:p>
    <w:p w14:paraId="7E3220D0" w14:textId="77777777" w:rsidR="004611F7" w:rsidRPr="004611F7" w:rsidRDefault="004611F7" w:rsidP="004611F7">
      <w:pPr>
        <w:rPr>
          <w:rFonts w:ascii="Arial" w:hAnsi="Arial" w:cs="Arial"/>
          <w:sz w:val="22"/>
          <w:szCs w:val="22"/>
        </w:rPr>
      </w:pPr>
      <w:r w:rsidRPr="004611F7">
        <w:rPr>
          <w:rFonts w:ascii="Arial" w:hAnsi="Arial" w:cs="Arial"/>
          <w:sz w:val="22"/>
          <w:szCs w:val="22"/>
        </w:rPr>
        <w:t>• clarity of information about Early Help services</w:t>
      </w:r>
      <w:r w:rsidRPr="004611F7">
        <w:rPr>
          <w:rFonts w:ascii="Arial" w:hAnsi="Arial" w:cs="Arial"/>
          <w:sz w:val="22"/>
          <w:szCs w:val="22"/>
        </w:rPr>
        <w:br/>
        <w:t>• accessibility and ease of website navigation</w:t>
      </w:r>
      <w:r w:rsidRPr="004611F7">
        <w:rPr>
          <w:rFonts w:ascii="Arial" w:hAnsi="Arial" w:cs="Arial"/>
          <w:sz w:val="22"/>
          <w:szCs w:val="22"/>
        </w:rPr>
        <w:br/>
        <w:t>• visibility of referral pathways</w:t>
      </w:r>
      <w:r w:rsidRPr="004611F7">
        <w:rPr>
          <w:rFonts w:ascii="Arial" w:hAnsi="Arial" w:cs="Arial"/>
          <w:sz w:val="22"/>
          <w:szCs w:val="22"/>
        </w:rPr>
        <w:br/>
      </w:r>
      <w:r w:rsidRPr="004611F7">
        <w:rPr>
          <w:rFonts w:ascii="Arial" w:hAnsi="Arial" w:cs="Arial"/>
          <w:sz w:val="22"/>
          <w:szCs w:val="22"/>
        </w:rPr>
        <w:lastRenderedPageBreak/>
        <w:t>• use of language appropriate for parents and carers</w:t>
      </w:r>
      <w:r w:rsidRPr="004611F7">
        <w:rPr>
          <w:rFonts w:ascii="Arial" w:hAnsi="Arial" w:cs="Arial"/>
          <w:sz w:val="22"/>
          <w:szCs w:val="22"/>
        </w:rPr>
        <w:br/>
        <w:t>• explanation of safeguarding and multi-agency support</w:t>
      </w:r>
      <w:r w:rsidRPr="004611F7">
        <w:rPr>
          <w:rFonts w:ascii="Arial" w:hAnsi="Arial" w:cs="Arial"/>
          <w:sz w:val="22"/>
          <w:szCs w:val="22"/>
        </w:rPr>
        <w:br/>
        <w:t>• accessibility for users with limited digital literacy</w:t>
      </w:r>
    </w:p>
    <w:p w14:paraId="6421BAFB"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These criteria reflect principles of user-centred service design, which emphasise that public services should prioritise usability and accessibility for service users (Norman, 2013).</w:t>
      </w:r>
    </w:p>
    <w:p w14:paraId="7D0F0CEA"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The findings from each website were then compared using a comparative analytical framework to identify similarities and differences in how Early Help services are communicated to families.</w:t>
      </w:r>
    </w:p>
    <w:p w14:paraId="456F7620" w14:textId="77777777" w:rsidR="004611F7" w:rsidRPr="004611F7" w:rsidRDefault="00000000" w:rsidP="004611F7">
      <w:pPr>
        <w:jc w:val="both"/>
        <w:rPr>
          <w:rFonts w:ascii="Arial" w:hAnsi="Arial" w:cs="Arial"/>
          <w:sz w:val="22"/>
          <w:szCs w:val="22"/>
        </w:rPr>
      </w:pPr>
      <w:r>
        <w:rPr>
          <w:rFonts w:ascii="Arial" w:hAnsi="Arial" w:cs="Arial"/>
          <w:sz w:val="22"/>
          <w:szCs w:val="22"/>
        </w:rPr>
        <w:pict w14:anchorId="7FB765CB">
          <v:rect id="_x0000_i1028" style="width:0;height:1.5pt" o:hralign="center" o:hrstd="t" o:hr="t" fillcolor="#a0a0a0" stroked="f"/>
        </w:pict>
      </w:r>
    </w:p>
    <w:p w14:paraId="6013930C" w14:textId="77777777" w:rsidR="004611F7" w:rsidRPr="004611F7" w:rsidRDefault="004611F7" w:rsidP="004611F7">
      <w:pPr>
        <w:jc w:val="both"/>
        <w:rPr>
          <w:rFonts w:ascii="Arial" w:hAnsi="Arial" w:cs="Arial"/>
          <w:b/>
          <w:bCs/>
          <w:sz w:val="22"/>
          <w:szCs w:val="22"/>
        </w:rPr>
      </w:pPr>
      <w:r w:rsidRPr="004611F7">
        <w:rPr>
          <w:rFonts w:ascii="Arial" w:hAnsi="Arial" w:cs="Arial"/>
          <w:b/>
          <w:bCs/>
          <w:sz w:val="22"/>
          <w:szCs w:val="22"/>
        </w:rPr>
        <w:t>3. The Early Help System</w:t>
      </w:r>
    </w:p>
    <w:p w14:paraId="69FD2300"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Early Help refers to the provision of support to children, young people and families when problems first begin to emerge. The aim of Early Help is to identify needs early and provide support before difficulties escalate into more serious safeguarding concerns requiring statutory intervention (HM Government, 2020).</w:t>
      </w:r>
    </w:p>
    <w:p w14:paraId="2F34A991"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The Early Help System Guide highlights that early intervention can improve outcomes for children by addressing issues before they become more complex (HM Government, 2020). Early support may include parenting advice, family support services, school-based interventions, mental health support and community services.</w:t>
      </w:r>
    </w:p>
    <w:p w14:paraId="1259EF1A"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Families may require Early Help for a variety of reasons, including parenting challenges, financial hardship, domestic abuse, parental mental health difficulties or behavioural concerns involving children. Early Help services are designed to provide coordinated and preventative support to families experiencing these challenges.</w:t>
      </w:r>
    </w:p>
    <w:p w14:paraId="1F36809B"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By addressing issues early, services aim to strengthen family resilience and reduce the likelihood that children will require more intensive interventions such as child protection plans or care proceedings (Department for Education, 2022).</w:t>
      </w:r>
    </w:p>
    <w:p w14:paraId="08F06AB7"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However, research indicates that families may not always access Early Help services easily. Featherstone, White and Morris (2018) argue that barriers such as stigma, lack of awareness and difficulties navigating support systems can prevent families from seeking help.</w:t>
      </w:r>
    </w:p>
    <w:p w14:paraId="0A3AAEFF"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In the digital era, access to information plays a crucial role in determining whether families obtain support. If local authority websites are difficult to navigate or written primarily for professionals, families may struggle to understand how to access services. Clear communication and effective signposting through local authority websites are therefore essential components of the Early Help system.</w:t>
      </w:r>
    </w:p>
    <w:p w14:paraId="08582F2D" w14:textId="77777777" w:rsidR="004611F7" w:rsidRPr="004611F7" w:rsidRDefault="00000000" w:rsidP="004611F7">
      <w:pPr>
        <w:jc w:val="both"/>
        <w:rPr>
          <w:rFonts w:ascii="Arial" w:hAnsi="Arial" w:cs="Arial"/>
          <w:sz w:val="22"/>
          <w:szCs w:val="22"/>
        </w:rPr>
      </w:pPr>
      <w:r>
        <w:rPr>
          <w:rFonts w:ascii="Arial" w:hAnsi="Arial" w:cs="Arial"/>
          <w:sz w:val="22"/>
          <w:szCs w:val="22"/>
        </w:rPr>
        <w:pict w14:anchorId="39C9268A">
          <v:rect id="_x0000_i1029" style="width:0;height:1.5pt" o:hralign="center" o:hrstd="t" o:hr="t" fillcolor="#a0a0a0" stroked="f"/>
        </w:pict>
      </w:r>
    </w:p>
    <w:p w14:paraId="3A169037" w14:textId="77777777" w:rsidR="004611F7" w:rsidRPr="004611F7" w:rsidRDefault="004611F7" w:rsidP="004611F7">
      <w:pPr>
        <w:jc w:val="both"/>
        <w:rPr>
          <w:rFonts w:ascii="Arial" w:hAnsi="Arial" w:cs="Arial"/>
          <w:b/>
          <w:bCs/>
          <w:sz w:val="22"/>
          <w:szCs w:val="22"/>
        </w:rPr>
      </w:pPr>
      <w:r w:rsidRPr="004611F7">
        <w:rPr>
          <w:rFonts w:ascii="Arial" w:hAnsi="Arial" w:cs="Arial"/>
          <w:b/>
          <w:bCs/>
          <w:sz w:val="22"/>
          <w:szCs w:val="22"/>
        </w:rPr>
        <w:t>4. Multi-Agency Working in Early Help</w:t>
      </w:r>
    </w:p>
    <w:p w14:paraId="0EA750AC"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Multi-agency working refers to collaboration between different professionals and organisations to support children and families effectively. Safeguarding often involves complex issues that require expertise from multiple sectors including education, healthcare, social services and law enforcement.</w:t>
      </w:r>
    </w:p>
    <w:p w14:paraId="43CE7CEC"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 xml:space="preserve">The statutory guidance </w:t>
      </w:r>
      <w:r w:rsidRPr="004611F7">
        <w:rPr>
          <w:rFonts w:ascii="Arial" w:hAnsi="Arial" w:cs="Arial"/>
          <w:i/>
          <w:iCs/>
          <w:sz w:val="22"/>
          <w:szCs w:val="22"/>
        </w:rPr>
        <w:t>Working Together to Safeguard Children</w:t>
      </w:r>
      <w:r w:rsidRPr="004611F7">
        <w:rPr>
          <w:rFonts w:ascii="Arial" w:hAnsi="Arial" w:cs="Arial"/>
          <w:sz w:val="22"/>
          <w:szCs w:val="22"/>
        </w:rPr>
        <w:t xml:space="preserve"> emphasises that safeguarding responsibilities must be shared between agencies (HM Government, 2023). </w:t>
      </w:r>
      <w:r w:rsidRPr="004611F7">
        <w:rPr>
          <w:rFonts w:ascii="Arial" w:hAnsi="Arial" w:cs="Arial"/>
          <w:sz w:val="22"/>
          <w:szCs w:val="22"/>
        </w:rPr>
        <w:lastRenderedPageBreak/>
        <w:t>Local authorities, schools, healthcare providers, police and voluntary organisations all play important roles in identifying risks and providing support.</w:t>
      </w:r>
    </w:p>
    <w:p w14:paraId="639B4A8A"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Within the Early Help system, multi-agency working ensures that families receive coordinated support rather than fragmented services. For example, a family experiencing financial difficulties may require assistance from housing services, schools and community organisations.</w:t>
      </w:r>
    </w:p>
    <w:p w14:paraId="5787840C"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A common approach within Early Help services is the Team Around the Family (TAF) model. This model brings together professionals from different agencies to develop a coordinated support plan tailored to the needs of the family.</w:t>
      </w:r>
    </w:p>
    <w:p w14:paraId="04E19A21"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Research suggests that effective partnership working can improve outcomes for children by ensuring that services are coordinated and responsive to family needs (Featherstone, White and Morris, 2018). However, successful collaboration also requires clear communication and accessible information systems.</w:t>
      </w:r>
    </w:p>
    <w:p w14:paraId="5DE28854"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Local authority websites therefore play an important role in explaining how services work together and how families can access coordinated support.</w:t>
      </w:r>
    </w:p>
    <w:p w14:paraId="5694DC06" w14:textId="77777777" w:rsidR="004611F7" w:rsidRPr="004611F7" w:rsidRDefault="00000000" w:rsidP="004611F7">
      <w:pPr>
        <w:jc w:val="both"/>
        <w:rPr>
          <w:rFonts w:ascii="Arial" w:hAnsi="Arial" w:cs="Arial"/>
          <w:sz w:val="22"/>
          <w:szCs w:val="22"/>
        </w:rPr>
      </w:pPr>
      <w:r>
        <w:rPr>
          <w:rFonts w:ascii="Arial" w:hAnsi="Arial" w:cs="Arial"/>
          <w:sz w:val="22"/>
          <w:szCs w:val="22"/>
        </w:rPr>
        <w:pict w14:anchorId="74D85778">
          <v:rect id="_x0000_i1030" style="width:0;height:1.5pt" o:hralign="center" o:hrstd="t" o:hr="t" fillcolor="#a0a0a0" stroked="f"/>
        </w:pict>
      </w:r>
    </w:p>
    <w:p w14:paraId="27C9C665" w14:textId="77777777" w:rsidR="004611F7" w:rsidRPr="004611F7" w:rsidRDefault="004611F7" w:rsidP="004611F7">
      <w:pPr>
        <w:jc w:val="both"/>
        <w:rPr>
          <w:rFonts w:ascii="Arial" w:hAnsi="Arial" w:cs="Arial"/>
          <w:b/>
          <w:bCs/>
          <w:sz w:val="22"/>
          <w:szCs w:val="22"/>
        </w:rPr>
      </w:pPr>
      <w:r w:rsidRPr="004611F7">
        <w:rPr>
          <w:rFonts w:ascii="Arial" w:hAnsi="Arial" w:cs="Arial"/>
          <w:b/>
          <w:bCs/>
          <w:sz w:val="22"/>
          <w:szCs w:val="22"/>
        </w:rPr>
        <w:t>5. Evaluation of Local Authority Websites</w:t>
      </w:r>
    </w:p>
    <w:p w14:paraId="02CCDFF8"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5.1 Leicester City Council</w:t>
      </w:r>
    </w:p>
    <w:p w14:paraId="08B8E751"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 xml:space="preserve">The Leicester City Council website provides information about Early Help services through its children and family support pages. The website explains that Early Help aims to support families when difficulties first arise </w:t>
      </w:r>
      <w:proofErr w:type="gramStart"/>
      <w:r w:rsidRPr="004611F7">
        <w:rPr>
          <w:rFonts w:ascii="Arial" w:hAnsi="Arial" w:cs="Arial"/>
          <w:sz w:val="22"/>
          <w:szCs w:val="22"/>
        </w:rPr>
        <w:t>in order to</w:t>
      </w:r>
      <w:proofErr w:type="gramEnd"/>
      <w:r w:rsidRPr="004611F7">
        <w:rPr>
          <w:rFonts w:ascii="Arial" w:hAnsi="Arial" w:cs="Arial"/>
          <w:sz w:val="22"/>
          <w:szCs w:val="22"/>
        </w:rPr>
        <w:t xml:space="preserve"> prevent problems from escalating.</w:t>
      </w:r>
    </w:p>
    <w:p w14:paraId="388EC713"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A key strength of the Leicester website is the clear explanation of what Early Help is and examples of situations where families may require support. This helps parents recognise when they may benefit from Early Help services and reduces stigma associated with seeking assistance.</w:t>
      </w:r>
    </w:p>
    <w:p w14:paraId="5877FAA9"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However, the organisation of information across multiple webpages may create navigation challenges for some users. Families unfamiliar with local authority websites may find it difficult to locate specific guidance on how to access services or make referrals.</w:t>
      </w:r>
    </w:p>
    <w:p w14:paraId="0DD7FCFD"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The website also relies primarily on text-based information with limited visual guidance. For users with lower digital literacy, this may make it harder to identify relevant services quickly.</w:t>
      </w:r>
    </w:p>
    <w:p w14:paraId="3211365A"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Overall, while the Leicester website provides clear explanations, improvements in navigation and clearer signposting of referral pathways could enhance accessibility.</w:t>
      </w:r>
    </w:p>
    <w:p w14:paraId="595ED643" w14:textId="77777777" w:rsidR="004611F7" w:rsidRPr="004611F7" w:rsidRDefault="00000000" w:rsidP="004611F7">
      <w:pPr>
        <w:jc w:val="both"/>
        <w:rPr>
          <w:rFonts w:ascii="Arial" w:hAnsi="Arial" w:cs="Arial"/>
          <w:sz w:val="22"/>
          <w:szCs w:val="22"/>
        </w:rPr>
      </w:pPr>
      <w:r>
        <w:rPr>
          <w:rFonts w:ascii="Arial" w:hAnsi="Arial" w:cs="Arial"/>
          <w:sz w:val="22"/>
          <w:szCs w:val="22"/>
        </w:rPr>
        <w:pict w14:anchorId="2AA0808B">
          <v:rect id="_x0000_i1031" style="width:0;height:1.5pt" o:hralign="center" o:hrstd="t" o:hr="t" fillcolor="#a0a0a0" stroked="f"/>
        </w:pict>
      </w:r>
    </w:p>
    <w:p w14:paraId="264EB1B1"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5.2 Staffordshire County Council</w:t>
      </w:r>
    </w:p>
    <w:p w14:paraId="3403959D"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The Staffordshire County Council website provides detailed information about Early Help services and outlines the role of Family Practitioners who support families experiencing difficulties.</w:t>
      </w:r>
    </w:p>
    <w:p w14:paraId="088F785D"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lastRenderedPageBreak/>
        <w:t>A strength of the website is the transparency it provides regarding how Early Help services operate. The website explains the process of accessing support and the roles of professionals involved.</w:t>
      </w:r>
    </w:p>
    <w:p w14:paraId="0309307A"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However, some sections appear to be written primarily for professionals rather than parents. The use of technical language and detailed policy explanations may make the information difficult for some families to understand.</w:t>
      </w:r>
    </w:p>
    <w:p w14:paraId="12955DA3"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Research suggests that complex language can create barriers to accessing public services, particularly for individuals with lower literacy levels or limited experience interacting with social care systems (Frost, Abbott and Race, 2015).</w:t>
      </w:r>
    </w:p>
    <w:p w14:paraId="0735FB3B"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Additionally, the structure of the website appears information-heavy, which may overwhelm users seeking quick guidance during stressful situations.</w:t>
      </w:r>
    </w:p>
    <w:p w14:paraId="3CF3B5B7"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Simplifying language and providing clearer step-by-step guidance could improve accessibility for families seeking support.</w:t>
      </w:r>
    </w:p>
    <w:p w14:paraId="6C8EF88E" w14:textId="77777777" w:rsidR="004611F7" w:rsidRPr="004611F7" w:rsidRDefault="00000000" w:rsidP="004611F7">
      <w:pPr>
        <w:jc w:val="both"/>
        <w:rPr>
          <w:rFonts w:ascii="Arial" w:hAnsi="Arial" w:cs="Arial"/>
          <w:sz w:val="22"/>
          <w:szCs w:val="22"/>
        </w:rPr>
      </w:pPr>
      <w:r>
        <w:rPr>
          <w:rFonts w:ascii="Arial" w:hAnsi="Arial" w:cs="Arial"/>
          <w:sz w:val="22"/>
          <w:szCs w:val="22"/>
        </w:rPr>
        <w:pict w14:anchorId="6A702857">
          <v:rect id="_x0000_i1032" style="width:0;height:1.5pt" o:hralign="center" o:hrstd="t" o:hr="t" fillcolor="#a0a0a0" stroked="f"/>
        </w:pict>
      </w:r>
    </w:p>
    <w:p w14:paraId="43E25FF0"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5.3 Tower Hamlets Council</w:t>
      </w:r>
    </w:p>
    <w:p w14:paraId="5E8759DF"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The Tower Hamlets Council website presents Early Help services through Family Hubs and Children and Family Centres, which provide integrated community-based support.</w:t>
      </w:r>
    </w:p>
    <w:p w14:paraId="098F9822"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A key strength of this approach is that Family Hubs offer a single access point where families can obtain a range of services including parenting support, health services and community advice.</w:t>
      </w:r>
    </w:p>
    <w:p w14:paraId="64CBF4D7"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This structure simplifies the process of accessing support by reducing the need for families to navigate multiple services independently.</w:t>
      </w:r>
    </w:p>
    <w:p w14:paraId="7F7CC78D"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The Tower Hamlets website also uses clearer and more accessible language compared with some other local authority websites. Information is presented in a way that is easier for parents and carers to understand.</w:t>
      </w:r>
    </w:p>
    <w:p w14:paraId="71005831"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The emphasis on community-based services may also reduce stigma associated with seeking help from statutory social services.</w:t>
      </w:r>
    </w:p>
    <w:p w14:paraId="35444643"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Overall, the Tower Hamlets website appears to provide the most accessible explanation of Early Help services among the three local authorities examined.</w:t>
      </w:r>
    </w:p>
    <w:p w14:paraId="174858ED" w14:textId="77777777" w:rsidR="004611F7" w:rsidRPr="004611F7" w:rsidRDefault="00000000" w:rsidP="004611F7">
      <w:pPr>
        <w:jc w:val="both"/>
        <w:rPr>
          <w:rFonts w:ascii="Arial" w:hAnsi="Arial" w:cs="Arial"/>
          <w:sz w:val="22"/>
          <w:szCs w:val="22"/>
        </w:rPr>
      </w:pPr>
      <w:r>
        <w:rPr>
          <w:rFonts w:ascii="Arial" w:hAnsi="Arial" w:cs="Arial"/>
          <w:sz w:val="22"/>
          <w:szCs w:val="22"/>
        </w:rPr>
        <w:pict w14:anchorId="6BC87542">
          <v:rect id="_x0000_i1033" style="width:0;height:1.5pt" o:hralign="center" o:hrstd="t" o:hr="t" fillcolor="#a0a0a0" stroked="f"/>
        </w:pict>
      </w:r>
    </w:p>
    <w:p w14:paraId="4D8834BE" w14:textId="77777777" w:rsidR="004611F7" w:rsidRPr="004611F7" w:rsidRDefault="004611F7" w:rsidP="004611F7">
      <w:pPr>
        <w:jc w:val="both"/>
        <w:rPr>
          <w:rFonts w:ascii="Arial" w:hAnsi="Arial" w:cs="Arial"/>
          <w:b/>
          <w:bCs/>
          <w:sz w:val="22"/>
          <w:szCs w:val="22"/>
        </w:rPr>
      </w:pPr>
      <w:r w:rsidRPr="004611F7">
        <w:rPr>
          <w:rFonts w:ascii="Arial" w:hAnsi="Arial" w:cs="Arial"/>
          <w:b/>
          <w:bCs/>
          <w:sz w:val="22"/>
          <w:szCs w:val="22"/>
        </w:rPr>
        <w:t>6. Comparative Analysis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03"/>
        <w:gridCol w:w="2282"/>
        <w:gridCol w:w="2184"/>
        <w:gridCol w:w="2547"/>
      </w:tblGrid>
      <w:tr w:rsidR="004611F7" w:rsidRPr="004611F7" w14:paraId="3066D06C" w14:textId="77777777" w:rsidTr="004611F7">
        <w:trPr>
          <w:tblHeader/>
          <w:tblCellSpacing w:w="15" w:type="dxa"/>
        </w:trPr>
        <w:tc>
          <w:tcPr>
            <w:tcW w:w="0" w:type="auto"/>
            <w:vAlign w:val="center"/>
            <w:hideMark/>
          </w:tcPr>
          <w:p w14:paraId="7D5C4326" w14:textId="77777777" w:rsidR="004611F7" w:rsidRPr="004611F7" w:rsidRDefault="004611F7" w:rsidP="004611F7">
            <w:pPr>
              <w:rPr>
                <w:rFonts w:ascii="Arial" w:hAnsi="Arial" w:cs="Arial"/>
                <w:b/>
                <w:bCs/>
                <w:sz w:val="22"/>
                <w:szCs w:val="22"/>
              </w:rPr>
            </w:pPr>
            <w:r w:rsidRPr="004611F7">
              <w:rPr>
                <w:rFonts w:ascii="Arial" w:hAnsi="Arial" w:cs="Arial"/>
                <w:b/>
                <w:bCs/>
                <w:sz w:val="22"/>
                <w:szCs w:val="22"/>
              </w:rPr>
              <w:t>Evaluation Criteria</w:t>
            </w:r>
          </w:p>
        </w:tc>
        <w:tc>
          <w:tcPr>
            <w:tcW w:w="0" w:type="auto"/>
            <w:vAlign w:val="center"/>
            <w:hideMark/>
          </w:tcPr>
          <w:p w14:paraId="5788F8BF" w14:textId="77777777" w:rsidR="004611F7" w:rsidRPr="004611F7" w:rsidRDefault="004611F7" w:rsidP="004611F7">
            <w:pPr>
              <w:rPr>
                <w:rFonts w:ascii="Arial" w:hAnsi="Arial" w:cs="Arial"/>
                <w:b/>
                <w:bCs/>
                <w:sz w:val="22"/>
                <w:szCs w:val="22"/>
              </w:rPr>
            </w:pPr>
            <w:r w:rsidRPr="004611F7">
              <w:rPr>
                <w:rFonts w:ascii="Arial" w:hAnsi="Arial" w:cs="Arial"/>
                <w:b/>
                <w:bCs/>
                <w:sz w:val="22"/>
                <w:szCs w:val="22"/>
              </w:rPr>
              <w:t>Leicester</w:t>
            </w:r>
          </w:p>
        </w:tc>
        <w:tc>
          <w:tcPr>
            <w:tcW w:w="0" w:type="auto"/>
            <w:vAlign w:val="center"/>
            <w:hideMark/>
          </w:tcPr>
          <w:p w14:paraId="3CBB9F9D" w14:textId="77777777" w:rsidR="004611F7" w:rsidRPr="004611F7" w:rsidRDefault="004611F7" w:rsidP="004611F7">
            <w:pPr>
              <w:rPr>
                <w:rFonts w:ascii="Arial" w:hAnsi="Arial" w:cs="Arial"/>
                <w:b/>
                <w:bCs/>
                <w:sz w:val="22"/>
                <w:szCs w:val="22"/>
              </w:rPr>
            </w:pPr>
            <w:r w:rsidRPr="004611F7">
              <w:rPr>
                <w:rFonts w:ascii="Arial" w:hAnsi="Arial" w:cs="Arial"/>
                <w:b/>
                <w:bCs/>
                <w:sz w:val="22"/>
                <w:szCs w:val="22"/>
              </w:rPr>
              <w:t>Staffordshire</w:t>
            </w:r>
          </w:p>
        </w:tc>
        <w:tc>
          <w:tcPr>
            <w:tcW w:w="0" w:type="auto"/>
            <w:vAlign w:val="center"/>
            <w:hideMark/>
          </w:tcPr>
          <w:p w14:paraId="04E716EA" w14:textId="77777777" w:rsidR="004611F7" w:rsidRPr="004611F7" w:rsidRDefault="004611F7" w:rsidP="004611F7">
            <w:pPr>
              <w:rPr>
                <w:rFonts w:ascii="Arial" w:hAnsi="Arial" w:cs="Arial"/>
                <w:b/>
                <w:bCs/>
                <w:sz w:val="22"/>
                <w:szCs w:val="22"/>
              </w:rPr>
            </w:pPr>
            <w:r w:rsidRPr="004611F7">
              <w:rPr>
                <w:rFonts w:ascii="Arial" w:hAnsi="Arial" w:cs="Arial"/>
                <w:b/>
                <w:bCs/>
                <w:sz w:val="22"/>
                <w:szCs w:val="22"/>
              </w:rPr>
              <w:t>Tower Hamlets</w:t>
            </w:r>
          </w:p>
        </w:tc>
      </w:tr>
      <w:tr w:rsidR="004611F7" w:rsidRPr="004611F7" w14:paraId="582C184A" w14:textId="77777777" w:rsidTr="004611F7">
        <w:trPr>
          <w:tblCellSpacing w:w="15" w:type="dxa"/>
        </w:trPr>
        <w:tc>
          <w:tcPr>
            <w:tcW w:w="0" w:type="auto"/>
            <w:vAlign w:val="center"/>
            <w:hideMark/>
          </w:tcPr>
          <w:p w14:paraId="735688A9" w14:textId="77777777" w:rsidR="004611F7" w:rsidRPr="004611F7" w:rsidRDefault="004611F7" w:rsidP="004611F7">
            <w:pPr>
              <w:rPr>
                <w:rFonts w:ascii="Arial" w:hAnsi="Arial" w:cs="Arial"/>
                <w:sz w:val="22"/>
                <w:szCs w:val="22"/>
              </w:rPr>
            </w:pPr>
            <w:r w:rsidRPr="004611F7">
              <w:rPr>
                <w:rFonts w:ascii="Arial" w:hAnsi="Arial" w:cs="Arial"/>
                <w:sz w:val="22"/>
                <w:szCs w:val="22"/>
              </w:rPr>
              <w:t>Clarity of explanation</w:t>
            </w:r>
          </w:p>
        </w:tc>
        <w:tc>
          <w:tcPr>
            <w:tcW w:w="0" w:type="auto"/>
            <w:vAlign w:val="center"/>
            <w:hideMark/>
          </w:tcPr>
          <w:p w14:paraId="59C5BBE5" w14:textId="77777777" w:rsidR="004611F7" w:rsidRPr="004611F7" w:rsidRDefault="004611F7" w:rsidP="004611F7">
            <w:pPr>
              <w:rPr>
                <w:rFonts w:ascii="Arial" w:hAnsi="Arial" w:cs="Arial"/>
                <w:sz w:val="22"/>
                <w:szCs w:val="22"/>
              </w:rPr>
            </w:pPr>
            <w:r w:rsidRPr="004611F7">
              <w:rPr>
                <w:rFonts w:ascii="Arial" w:hAnsi="Arial" w:cs="Arial"/>
                <w:sz w:val="22"/>
                <w:szCs w:val="22"/>
              </w:rPr>
              <w:t>Clear</w:t>
            </w:r>
          </w:p>
        </w:tc>
        <w:tc>
          <w:tcPr>
            <w:tcW w:w="0" w:type="auto"/>
            <w:vAlign w:val="center"/>
            <w:hideMark/>
          </w:tcPr>
          <w:p w14:paraId="11C62DD1" w14:textId="77777777" w:rsidR="004611F7" w:rsidRPr="004611F7" w:rsidRDefault="004611F7" w:rsidP="004611F7">
            <w:pPr>
              <w:rPr>
                <w:rFonts w:ascii="Arial" w:hAnsi="Arial" w:cs="Arial"/>
                <w:sz w:val="22"/>
                <w:szCs w:val="22"/>
              </w:rPr>
            </w:pPr>
            <w:r w:rsidRPr="004611F7">
              <w:rPr>
                <w:rFonts w:ascii="Arial" w:hAnsi="Arial" w:cs="Arial"/>
                <w:sz w:val="22"/>
                <w:szCs w:val="22"/>
              </w:rPr>
              <w:t>Detailed but technical</w:t>
            </w:r>
          </w:p>
        </w:tc>
        <w:tc>
          <w:tcPr>
            <w:tcW w:w="0" w:type="auto"/>
            <w:vAlign w:val="center"/>
            <w:hideMark/>
          </w:tcPr>
          <w:p w14:paraId="7AD8546F" w14:textId="77777777" w:rsidR="004611F7" w:rsidRPr="004611F7" w:rsidRDefault="004611F7" w:rsidP="004611F7">
            <w:pPr>
              <w:rPr>
                <w:rFonts w:ascii="Arial" w:hAnsi="Arial" w:cs="Arial"/>
                <w:sz w:val="22"/>
                <w:szCs w:val="22"/>
              </w:rPr>
            </w:pPr>
            <w:r w:rsidRPr="004611F7">
              <w:rPr>
                <w:rFonts w:ascii="Arial" w:hAnsi="Arial" w:cs="Arial"/>
                <w:sz w:val="22"/>
                <w:szCs w:val="22"/>
              </w:rPr>
              <w:t>Clear and accessible</w:t>
            </w:r>
          </w:p>
        </w:tc>
      </w:tr>
      <w:tr w:rsidR="004611F7" w:rsidRPr="004611F7" w14:paraId="2C03F322" w14:textId="77777777" w:rsidTr="004611F7">
        <w:trPr>
          <w:tblCellSpacing w:w="15" w:type="dxa"/>
        </w:trPr>
        <w:tc>
          <w:tcPr>
            <w:tcW w:w="0" w:type="auto"/>
            <w:vAlign w:val="center"/>
            <w:hideMark/>
          </w:tcPr>
          <w:p w14:paraId="2EACB35D" w14:textId="77777777" w:rsidR="004611F7" w:rsidRPr="004611F7" w:rsidRDefault="004611F7" w:rsidP="004611F7">
            <w:pPr>
              <w:rPr>
                <w:rFonts w:ascii="Arial" w:hAnsi="Arial" w:cs="Arial"/>
                <w:sz w:val="22"/>
                <w:szCs w:val="22"/>
              </w:rPr>
            </w:pPr>
            <w:r w:rsidRPr="004611F7">
              <w:rPr>
                <w:rFonts w:ascii="Arial" w:hAnsi="Arial" w:cs="Arial"/>
                <w:sz w:val="22"/>
                <w:szCs w:val="22"/>
              </w:rPr>
              <w:lastRenderedPageBreak/>
              <w:t>Navigation</w:t>
            </w:r>
          </w:p>
        </w:tc>
        <w:tc>
          <w:tcPr>
            <w:tcW w:w="0" w:type="auto"/>
            <w:vAlign w:val="center"/>
            <w:hideMark/>
          </w:tcPr>
          <w:p w14:paraId="3269C084" w14:textId="77777777" w:rsidR="004611F7" w:rsidRPr="004611F7" w:rsidRDefault="004611F7" w:rsidP="004611F7">
            <w:pPr>
              <w:rPr>
                <w:rFonts w:ascii="Arial" w:hAnsi="Arial" w:cs="Arial"/>
                <w:sz w:val="22"/>
                <w:szCs w:val="22"/>
              </w:rPr>
            </w:pPr>
            <w:r w:rsidRPr="004611F7">
              <w:rPr>
                <w:rFonts w:ascii="Arial" w:hAnsi="Arial" w:cs="Arial"/>
                <w:sz w:val="22"/>
                <w:szCs w:val="22"/>
              </w:rPr>
              <w:t>Information across pages</w:t>
            </w:r>
          </w:p>
        </w:tc>
        <w:tc>
          <w:tcPr>
            <w:tcW w:w="0" w:type="auto"/>
            <w:vAlign w:val="center"/>
            <w:hideMark/>
          </w:tcPr>
          <w:p w14:paraId="1E0B579B" w14:textId="77777777" w:rsidR="004611F7" w:rsidRPr="004611F7" w:rsidRDefault="004611F7" w:rsidP="004611F7">
            <w:pPr>
              <w:rPr>
                <w:rFonts w:ascii="Arial" w:hAnsi="Arial" w:cs="Arial"/>
                <w:sz w:val="22"/>
                <w:szCs w:val="22"/>
              </w:rPr>
            </w:pPr>
            <w:r w:rsidRPr="004611F7">
              <w:rPr>
                <w:rFonts w:ascii="Arial" w:hAnsi="Arial" w:cs="Arial"/>
                <w:sz w:val="22"/>
                <w:szCs w:val="22"/>
              </w:rPr>
              <w:t>Information-heavy</w:t>
            </w:r>
          </w:p>
        </w:tc>
        <w:tc>
          <w:tcPr>
            <w:tcW w:w="0" w:type="auto"/>
            <w:vAlign w:val="center"/>
            <w:hideMark/>
          </w:tcPr>
          <w:p w14:paraId="342C8C02" w14:textId="77777777" w:rsidR="004611F7" w:rsidRPr="004611F7" w:rsidRDefault="004611F7" w:rsidP="004611F7">
            <w:pPr>
              <w:rPr>
                <w:rFonts w:ascii="Arial" w:hAnsi="Arial" w:cs="Arial"/>
                <w:sz w:val="22"/>
                <w:szCs w:val="22"/>
              </w:rPr>
            </w:pPr>
            <w:r w:rsidRPr="004611F7">
              <w:rPr>
                <w:rFonts w:ascii="Arial" w:hAnsi="Arial" w:cs="Arial"/>
                <w:sz w:val="22"/>
                <w:szCs w:val="22"/>
              </w:rPr>
              <w:t>Simplified through Family Hubs</w:t>
            </w:r>
          </w:p>
        </w:tc>
      </w:tr>
      <w:tr w:rsidR="004611F7" w:rsidRPr="004611F7" w14:paraId="5C38FA84" w14:textId="77777777" w:rsidTr="004611F7">
        <w:trPr>
          <w:tblCellSpacing w:w="15" w:type="dxa"/>
        </w:trPr>
        <w:tc>
          <w:tcPr>
            <w:tcW w:w="0" w:type="auto"/>
            <w:vAlign w:val="center"/>
            <w:hideMark/>
          </w:tcPr>
          <w:p w14:paraId="2E9320FD" w14:textId="77777777" w:rsidR="004611F7" w:rsidRPr="004611F7" w:rsidRDefault="004611F7" w:rsidP="004611F7">
            <w:pPr>
              <w:rPr>
                <w:rFonts w:ascii="Arial" w:hAnsi="Arial" w:cs="Arial"/>
                <w:sz w:val="22"/>
                <w:szCs w:val="22"/>
              </w:rPr>
            </w:pPr>
            <w:r w:rsidRPr="004611F7">
              <w:rPr>
                <w:rFonts w:ascii="Arial" w:hAnsi="Arial" w:cs="Arial"/>
                <w:sz w:val="22"/>
                <w:szCs w:val="22"/>
              </w:rPr>
              <w:t>Language accessibility</w:t>
            </w:r>
          </w:p>
        </w:tc>
        <w:tc>
          <w:tcPr>
            <w:tcW w:w="0" w:type="auto"/>
            <w:vAlign w:val="center"/>
            <w:hideMark/>
          </w:tcPr>
          <w:p w14:paraId="5D65683E" w14:textId="77777777" w:rsidR="004611F7" w:rsidRPr="004611F7" w:rsidRDefault="004611F7" w:rsidP="004611F7">
            <w:pPr>
              <w:rPr>
                <w:rFonts w:ascii="Arial" w:hAnsi="Arial" w:cs="Arial"/>
                <w:sz w:val="22"/>
                <w:szCs w:val="22"/>
              </w:rPr>
            </w:pPr>
            <w:r w:rsidRPr="004611F7">
              <w:rPr>
                <w:rFonts w:ascii="Arial" w:hAnsi="Arial" w:cs="Arial"/>
                <w:sz w:val="22"/>
                <w:szCs w:val="22"/>
              </w:rPr>
              <w:t>Understandable</w:t>
            </w:r>
          </w:p>
        </w:tc>
        <w:tc>
          <w:tcPr>
            <w:tcW w:w="0" w:type="auto"/>
            <w:vAlign w:val="center"/>
            <w:hideMark/>
          </w:tcPr>
          <w:p w14:paraId="165D06AA" w14:textId="77777777" w:rsidR="004611F7" w:rsidRPr="004611F7" w:rsidRDefault="004611F7" w:rsidP="004611F7">
            <w:pPr>
              <w:rPr>
                <w:rFonts w:ascii="Arial" w:hAnsi="Arial" w:cs="Arial"/>
                <w:sz w:val="22"/>
                <w:szCs w:val="22"/>
              </w:rPr>
            </w:pPr>
            <w:r w:rsidRPr="004611F7">
              <w:rPr>
                <w:rFonts w:ascii="Arial" w:hAnsi="Arial" w:cs="Arial"/>
                <w:sz w:val="22"/>
                <w:szCs w:val="22"/>
              </w:rPr>
              <w:t>Professional terminology</w:t>
            </w:r>
          </w:p>
        </w:tc>
        <w:tc>
          <w:tcPr>
            <w:tcW w:w="0" w:type="auto"/>
            <w:vAlign w:val="center"/>
            <w:hideMark/>
          </w:tcPr>
          <w:p w14:paraId="09D57011" w14:textId="77777777" w:rsidR="004611F7" w:rsidRPr="004611F7" w:rsidRDefault="004611F7" w:rsidP="004611F7">
            <w:pPr>
              <w:rPr>
                <w:rFonts w:ascii="Arial" w:hAnsi="Arial" w:cs="Arial"/>
                <w:sz w:val="22"/>
                <w:szCs w:val="22"/>
              </w:rPr>
            </w:pPr>
            <w:r w:rsidRPr="004611F7">
              <w:rPr>
                <w:rFonts w:ascii="Arial" w:hAnsi="Arial" w:cs="Arial"/>
                <w:sz w:val="22"/>
                <w:szCs w:val="22"/>
              </w:rPr>
              <w:t>Parent-friendly language</w:t>
            </w:r>
          </w:p>
        </w:tc>
      </w:tr>
      <w:tr w:rsidR="004611F7" w:rsidRPr="004611F7" w14:paraId="5A7E5C0B" w14:textId="77777777" w:rsidTr="004611F7">
        <w:trPr>
          <w:tblCellSpacing w:w="15" w:type="dxa"/>
        </w:trPr>
        <w:tc>
          <w:tcPr>
            <w:tcW w:w="0" w:type="auto"/>
            <w:vAlign w:val="center"/>
            <w:hideMark/>
          </w:tcPr>
          <w:p w14:paraId="10EF7897" w14:textId="77777777" w:rsidR="004611F7" w:rsidRPr="004611F7" w:rsidRDefault="004611F7" w:rsidP="004611F7">
            <w:pPr>
              <w:rPr>
                <w:rFonts w:ascii="Arial" w:hAnsi="Arial" w:cs="Arial"/>
                <w:sz w:val="22"/>
                <w:szCs w:val="22"/>
              </w:rPr>
            </w:pPr>
            <w:r w:rsidRPr="004611F7">
              <w:rPr>
                <w:rFonts w:ascii="Arial" w:hAnsi="Arial" w:cs="Arial"/>
                <w:sz w:val="22"/>
                <w:szCs w:val="22"/>
              </w:rPr>
              <w:t>Referral visibility</w:t>
            </w:r>
          </w:p>
        </w:tc>
        <w:tc>
          <w:tcPr>
            <w:tcW w:w="0" w:type="auto"/>
            <w:vAlign w:val="center"/>
            <w:hideMark/>
          </w:tcPr>
          <w:p w14:paraId="4DF1FC24" w14:textId="77777777" w:rsidR="004611F7" w:rsidRPr="004611F7" w:rsidRDefault="004611F7" w:rsidP="004611F7">
            <w:pPr>
              <w:rPr>
                <w:rFonts w:ascii="Arial" w:hAnsi="Arial" w:cs="Arial"/>
                <w:sz w:val="22"/>
                <w:szCs w:val="22"/>
              </w:rPr>
            </w:pPr>
            <w:r w:rsidRPr="004611F7">
              <w:rPr>
                <w:rFonts w:ascii="Arial" w:hAnsi="Arial" w:cs="Arial"/>
                <w:sz w:val="22"/>
                <w:szCs w:val="22"/>
              </w:rPr>
              <w:t>Moderate</w:t>
            </w:r>
          </w:p>
        </w:tc>
        <w:tc>
          <w:tcPr>
            <w:tcW w:w="0" w:type="auto"/>
            <w:vAlign w:val="center"/>
            <w:hideMark/>
          </w:tcPr>
          <w:p w14:paraId="5762CF43" w14:textId="77777777" w:rsidR="004611F7" w:rsidRPr="004611F7" w:rsidRDefault="004611F7" w:rsidP="004611F7">
            <w:pPr>
              <w:rPr>
                <w:rFonts w:ascii="Arial" w:hAnsi="Arial" w:cs="Arial"/>
                <w:sz w:val="22"/>
                <w:szCs w:val="22"/>
              </w:rPr>
            </w:pPr>
            <w:r w:rsidRPr="004611F7">
              <w:rPr>
                <w:rFonts w:ascii="Arial" w:hAnsi="Arial" w:cs="Arial"/>
                <w:sz w:val="22"/>
                <w:szCs w:val="22"/>
              </w:rPr>
              <w:t>Less prominent</w:t>
            </w:r>
          </w:p>
        </w:tc>
        <w:tc>
          <w:tcPr>
            <w:tcW w:w="0" w:type="auto"/>
            <w:vAlign w:val="center"/>
            <w:hideMark/>
          </w:tcPr>
          <w:p w14:paraId="04B6238C" w14:textId="77777777" w:rsidR="004611F7" w:rsidRPr="004611F7" w:rsidRDefault="004611F7" w:rsidP="004611F7">
            <w:pPr>
              <w:rPr>
                <w:rFonts w:ascii="Arial" w:hAnsi="Arial" w:cs="Arial"/>
                <w:sz w:val="22"/>
                <w:szCs w:val="22"/>
              </w:rPr>
            </w:pPr>
            <w:r w:rsidRPr="004611F7">
              <w:rPr>
                <w:rFonts w:ascii="Arial" w:hAnsi="Arial" w:cs="Arial"/>
                <w:sz w:val="22"/>
                <w:szCs w:val="22"/>
              </w:rPr>
              <w:t>Clear entry point</w:t>
            </w:r>
          </w:p>
        </w:tc>
      </w:tr>
    </w:tbl>
    <w:p w14:paraId="7B942156" w14:textId="77777777" w:rsidR="00F3340E" w:rsidRDefault="00F3340E" w:rsidP="004611F7">
      <w:pPr>
        <w:jc w:val="both"/>
        <w:rPr>
          <w:rFonts w:ascii="Arial" w:hAnsi="Arial" w:cs="Arial"/>
          <w:sz w:val="22"/>
          <w:szCs w:val="22"/>
        </w:rPr>
      </w:pPr>
    </w:p>
    <w:p w14:paraId="3C9DF5F3" w14:textId="43DC757D" w:rsidR="004611F7" w:rsidRPr="004611F7" w:rsidRDefault="004611F7" w:rsidP="004611F7">
      <w:pPr>
        <w:jc w:val="both"/>
        <w:rPr>
          <w:rFonts w:ascii="Arial" w:hAnsi="Arial" w:cs="Arial"/>
          <w:sz w:val="22"/>
          <w:szCs w:val="22"/>
        </w:rPr>
      </w:pPr>
      <w:r w:rsidRPr="004611F7">
        <w:rPr>
          <w:rFonts w:ascii="Arial" w:hAnsi="Arial" w:cs="Arial"/>
          <w:sz w:val="22"/>
          <w:szCs w:val="22"/>
        </w:rPr>
        <w:t>Leicester City Council provides clear explanations but navigation across multiple pages may make it difficult for users to locate relevant information quickly.</w:t>
      </w:r>
    </w:p>
    <w:p w14:paraId="12F150F5"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Staffordshire County Council provides the most detailed description of Early Help services, but the use of professional language may reduce accessibility for parents seeking immediate support.</w:t>
      </w:r>
    </w:p>
    <w:p w14:paraId="4EBB8D23"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Tower Hamlets Council provides the most user-friendly approach through its Family Hub model and simpler explanations.</w:t>
      </w:r>
    </w:p>
    <w:p w14:paraId="0C225228"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Digital accessibility is an important factor when evaluating these websites. Individuals experiencing social disadvantage may also face challenges related to digital literacy or internet access (Featherstone, White and Morris, 2018). Websites that rely on complex navigation or lengthy policy explanations may unintentionally exclude some users.</w:t>
      </w:r>
    </w:p>
    <w:p w14:paraId="1BB6853A"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From this perspective, the Tower Hamlets website appears to adopt a more user-centred design by focusing on practical guidance and clear pathways to support.</w:t>
      </w:r>
    </w:p>
    <w:p w14:paraId="4421BA7E" w14:textId="77777777" w:rsidR="004611F7" w:rsidRPr="004611F7" w:rsidRDefault="00000000" w:rsidP="004611F7">
      <w:pPr>
        <w:jc w:val="both"/>
        <w:rPr>
          <w:rFonts w:ascii="Arial" w:hAnsi="Arial" w:cs="Arial"/>
          <w:sz w:val="22"/>
          <w:szCs w:val="22"/>
        </w:rPr>
      </w:pPr>
      <w:r>
        <w:rPr>
          <w:rFonts w:ascii="Arial" w:hAnsi="Arial" w:cs="Arial"/>
          <w:sz w:val="22"/>
          <w:szCs w:val="22"/>
        </w:rPr>
        <w:pict w14:anchorId="04475526">
          <v:rect id="_x0000_i1034" style="width:0;height:1.5pt" o:hralign="center" o:hrstd="t" o:hr="t" fillcolor="#a0a0a0" stroked="f"/>
        </w:pict>
      </w:r>
    </w:p>
    <w:p w14:paraId="5CFC44FF" w14:textId="77777777" w:rsidR="004611F7" w:rsidRPr="004611F7" w:rsidRDefault="004611F7" w:rsidP="004611F7">
      <w:pPr>
        <w:jc w:val="both"/>
        <w:rPr>
          <w:rFonts w:ascii="Arial" w:hAnsi="Arial" w:cs="Arial"/>
          <w:b/>
          <w:bCs/>
          <w:sz w:val="22"/>
          <w:szCs w:val="22"/>
        </w:rPr>
      </w:pPr>
      <w:r w:rsidRPr="004611F7">
        <w:rPr>
          <w:rFonts w:ascii="Arial" w:hAnsi="Arial" w:cs="Arial"/>
          <w:b/>
          <w:bCs/>
          <w:sz w:val="22"/>
          <w:szCs w:val="22"/>
        </w:rPr>
        <w:t>7. Conclusion and Recommendations</w:t>
      </w:r>
    </w:p>
    <w:p w14:paraId="54EFC094"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This report examined how Early Help services are signposted through the websites of Leicester City Council, Staffordshire County Council and Tower Hamlets Council.</w:t>
      </w:r>
    </w:p>
    <w:p w14:paraId="0CBBD4B8"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While all three local authorities provide useful information about Early Help services, the accessibility and usability of the websites vary.</w:t>
      </w:r>
    </w:p>
    <w:p w14:paraId="1CDC605A"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Leicester City Council provides clear explanations but could improve navigation and referral visibility. Staffordshire County Council offers detailed information but may rely too heavily on professional terminology. Tower Hamlets Council provides the most accessible presentation through its Family Hub model and clearer language.</w:t>
      </w:r>
    </w:p>
    <w:p w14:paraId="4D691770"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t>To improve accessibility, local authority websites could:</w:t>
      </w:r>
    </w:p>
    <w:p w14:paraId="53B50D1C" w14:textId="77777777" w:rsidR="004611F7" w:rsidRPr="004611F7" w:rsidRDefault="004611F7" w:rsidP="00F3340E">
      <w:pPr>
        <w:rPr>
          <w:rFonts w:ascii="Arial" w:hAnsi="Arial" w:cs="Arial"/>
          <w:sz w:val="22"/>
          <w:szCs w:val="22"/>
        </w:rPr>
      </w:pPr>
      <w:r w:rsidRPr="004611F7">
        <w:rPr>
          <w:rFonts w:ascii="Arial" w:hAnsi="Arial" w:cs="Arial"/>
          <w:sz w:val="22"/>
          <w:szCs w:val="22"/>
        </w:rPr>
        <w:t>• simplify language and reduce technical terminology</w:t>
      </w:r>
      <w:r w:rsidRPr="004611F7">
        <w:rPr>
          <w:rFonts w:ascii="Arial" w:hAnsi="Arial" w:cs="Arial"/>
          <w:sz w:val="22"/>
          <w:szCs w:val="22"/>
        </w:rPr>
        <w:br/>
        <w:t>• provide clearer step-by-step guidance for accessing support</w:t>
      </w:r>
      <w:r w:rsidRPr="004611F7">
        <w:rPr>
          <w:rFonts w:ascii="Arial" w:hAnsi="Arial" w:cs="Arial"/>
          <w:sz w:val="22"/>
          <w:szCs w:val="22"/>
        </w:rPr>
        <w:br/>
        <w:t>• improve navigation and visibility of referral pathways</w:t>
      </w:r>
      <w:r w:rsidRPr="004611F7">
        <w:rPr>
          <w:rFonts w:ascii="Arial" w:hAnsi="Arial" w:cs="Arial"/>
          <w:sz w:val="22"/>
          <w:szCs w:val="22"/>
        </w:rPr>
        <w:br/>
        <w:t>• incorporate visual aids and interactive guidance tools</w:t>
      </w:r>
    </w:p>
    <w:p w14:paraId="63C4DAD0" w14:textId="77777777" w:rsidR="004611F7" w:rsidRPr="004611F7" w:rsidRDefault="004611F7" w:rsidP="004611F7">
      <w:pPr>
        <w:jc w:val="both"/>
        <w:rPr>
          <w:rFonts w:ascii="Arial" w:hAnsi="Arial" w:cs="Arial"/>
          <w:sz w:val="22"/>
          <w:szCs w:val="22"/>
        </w:rPr>
      </w:pPr>
      <w:r w:rsidRPr="004611F7">
        <w:rPr>
          <w:rFonts w:ascii="Arial" w:hAnsi="Arial" w:cs="Arial"/>
          <w:sz w:val="22"/>
          <w:szCs w:val="22"/>
        </w:rPr>
        <w:lastRenderedPageBreak/>
        <w:t>Ensuring that Early Help services are clearly communicated online is essential for enabling families to access preventative support. Improving digital accessibility and user-centred website design may therefore strengthen the effectiveness of Early Help systems across the United Kingdom.</w:t>
      </w:r>
    </w:p>
    <w:p w14:paraId="120B5022" w14:textId="77777777" w:rsidR="004611F7" w:rsidRPr="004611F7" w:rsidRDefault="00000000" w:rsidP="004611F7">
      <w:pPr>
        <w:rPr>
          <w:b/>
          <w:bCs/>
        </w:rPr>
      </w:pPr>
      <w:r>
        <w:rPr>
          <w:b/>
          <w:bCs/>
        </w:rPr>
        <w:pict w14:anchorId="3F9A4322">
          <v:rect id="_x0000_i1035" style="width:0;height:1.5pt" o:hralign="center" o:hrstd="t" o:hr="t" fillcolor="#a0a0a0" stroked="f"/>
        </w:pict>
      </w:r>
    </w:p>
    <w:p w14:paraId="570DD169" w14:textId="77777777" w:rsidR="004611F7" w:rsidRPr="004611F7" w:rsidRDefault="004611F7" w:rsidP="004611F7">
      <w:pPr>
        <w:rPr>
          <w:b/>
          <w:bCs/>
        </w:rPr>
      </w:pPr>
      <w:r w:rsidRPr="004611F7">
        <w:rPr>
          <w:b/>
          <w:bCs/>
        </w:rPr>
        <w:t>References</w:t>
      </w:r>
    </w:p>
    <w:p w14:paraId="482797AA" w14:textId="77777777" w:rsidR="004611F7" w:rsidRPr="004611F7" w:rsidRDefault="004611F7" w:rsidP="004611F7">
      <w:r w:rsidRPr="004611F7">
        <w:t xml:space="preserve">Department for Education (2022) </w:t>
      </w:r>
      <w:r w:rsidRPr="004611F7">
        <w:rPr>
          <w:i/>
          <w:iCs/>
        </w:rPr>
        <w:t>Early Help and Family Support Guidance</w:t>
      </w:r>
      <w:r w:rsidRPr="004611F7">
        <w:t>. London: Department for Education.</w:t>
      </w:r>
    </w:p>
    <w:p w14:paraId="31F22B87" w14:textId="77777777" w:rsidR="004611F7" w:rsidRPr="004611F7" w:rsidRDefault="004611F7" w:rsidP="004611F7">
      <w:r w:rsidRPr="004611F7">
        <w:t xml:space="preserve">Featherstone, B., White, S. and Morris, K. (2018) </w:t>
      </w:r>
      <w:r w:rsidRPr="004611F7">
        <w:rPr>
          <w:i/>
          <w:iCs/>
        </w:rPr>
        <w:t>Reimagining Child Protection: Towards Humane Social Work with Families</w:t>
      </w:r>
      <w:r w:rsidRPr="004611F7">
        <w:t>. Bristol: Policy Press.</w:t>
      </w:r>
    </w:p>
    <w:p w14:paraId="327C9A8F" w14:textId="77777777" w:rsidR="004611F7" w:rsidRPr="004611F7" w:rsidRDefault="004611F7" w:rsidP="004611F7">
      <w:r w:rsidRPr="004611F7">
        <w:t xml:space="preserve">Frost, N., Abbott, S. and Race, T. (2015) </w:t>
      </w:r>
      <w:r w:rsidRPr="004611F7">
        <w:rPr>
          <w:i/>
          <w:iCs/>
        </w:rPr>
        <w:t>Family Support: Prevention, Early Intervention and Early Help</w:t>
      </w:r>
      <w:r w:rsidRPr="004611F7">
        <w:t>. Cambridge: Polity Press.</w:t>
      </w:r>
    </w:p>
    <w:p w14:paraId="7142227C" w14:textId="77777777" w:rsidR="004611F7" w:rsidRPr="004611F7" w:rsidRDefault="004611F7" w:rsidP="004611F7">
      <w:r w:rsidRPr="004611F7">
        <w:t xml:space="preserve">HM Government (2020) </w:t>
      </w:r>
      <w:r w:rsidRPr="004611F7">
        <w:rPr>
          <w:i/>
          <w:iCs/>
        </w:rPr>
        <w:t>Early Help System Guide</w:t>
      </w:r>
      <w:r w:rsidRPr="004611F7">
        <w:t>. London: HM Government.</w:t>
      </w:r>
    </w:p>
    <w:p w14:paraId="1131D447" w14:textId="77777777" w:rsidR="004611F7" w:rsidRPr="004611F7" w:rsidRDefault="004611F7" w:rsidP="004611F7">
      <w:r w:rsidRPr="004611F7">
        <w:t xml:space="preserve">HM Government (2023) </w:t>
      </w:r>
      <w:r w:rsidRPr="004611F7">
        <w:rPr>
          <w:i/>
          <w:iCs/>
        </w:rPr>
        <w:t>Working Together to Safeguard Children</w:t>
      </w:r>
      <w:r w:rsidRPr="004611F7">
        <w:t>. London: HM Government.</w:t>
      </w:r>
    </w:p>
    <w:p w14:paraId="3FA96A8E" w14:textId="77777777" w:rsidR="004611F7" w:rsidRPr="004611F7" w:rsidRDefault="004611F7" w:rsidP="004611F7">
      <w:r w:rsidRPr="004611F7">
        <w:t xml:space="preserve">Leicester City Council (2026) </w:t>
      </w:r>
      <w:r w:rsidRPr="004611F7">
        <w:rPr>
          <w:i/>
          <w:iCs/>
        </w:rPr>
        <w:t>Early Help and Family Support</w:t>
      </w:r>
      <w:r w:rsidRPr="004611F7">
        <w:t xml:space="preserve">. Available at: </w:t>
      </w:r>
      <w:hyperlink r:id="rId8" w:tgtFrame="_new" w:history="1">
        <w:r w:rsidRPr="004611F7">
          <w:rPr>
            <w:rStyle w:val="Hyperlink"/>
          </w:rPr>
          <w:t>https://www.leicester.gov.uk</w:t>
        </w:r>
      </w:hyperlink>
      <w:r w:rsidRPr="004611F7">
        <w:t xml:space="preserve"> (Accessed: 12 March 2026).</w:t>
      </w:r>
    </w:p>
    <w:p w14:paraId="61699D5B" w14:textId="77777777" w:rsidR="004611F7" w:rsidRPr="004611F7" w:rsidRDefault="004611F7" w:rsidP="004611F7">
      <w:r w:rsidRPr="004611F7">
        <w:t xml:space="preserve">Norman, D. (2013) </w:t>
      </w:r>
      <w:r w:rsidRPr="004611F7">
        <w:rPr>
          <w:i/>
          <w:iCs/>
        </w:rPr>
        <w:t>The Design of Everyday Things</w:t>
      </w:r>
      <w:r w:rsidRPr="004611F7">
        <w:t>. New York: Basic Books.</w:t>
      </w:r>
    </w:p>
    <w:p w14:paraId="2BC688BF" w14:textId="77777777" w:rsidR="004611F7" w:rsidRPr="004611F7" w:rsidRDefault="004611F7" w:rsidP="004611F7">
      <w:r w:rsidRPr="004611F7">
        <w:t xml:space="preserve">NSPCC (2023) </w:t>
      </w:r>
      <w:r w:rsidRPr="004611F7">
        <w:rPr>
          <w:i/>
          <w:iCs/>
        </w:rPr>
        <w:t>Early Help and Early Intervention</w:t>
      </w:r>
      <w:r w:rsidRPr="004611F7">
        <w:t xml:space="preserve">. Available at: </w:t>
      </w:r>
      <w:hyperlink r:id="rId9" w:tgtFrame="_new" w:history="1">
        <w:r w:rsidRPr="004611F7">
          <w:rPr>
            <w:rStyle w:val="Hyperlink"/>
          </w:rPr>
          <w:t>https://learning.nspcc.org.uk</w:t>
        </w:r>
      </w:hyperlink>
      <w:r w:rsidRPr="004611F7">
        <w:t xml:space="preserve"> (Accessed: 12 March 2026).</w:t>
      </w:r>
    </w:p>
    <w:p w14:paraId="7A78D54F" w14:textId="77777777" w:rsidR="004611F7" w:rsidRPr="004611F7" w:rsidRDefault="004611F7" w:rsidP="004611F7">
      <w:r w:rsidRPr="004611F7">
        <w:t xml:space="preserve">Parton, N. (2014) </w:t>
      </w:r>
      <w:r w:rsidRPr="004611F7">
        <w:rPr>
          <w:i/>
          <w:iCs/>
        </w:rPr>
        <w:t>The Politics of Child Protection</w:t>
      </w:r>
      <w:r w:rsidRPr="004611F7">
        <w:t>. London: Palgrave Macmillan.</w:t>
      </w:r>
    </w:p>
    <w:p w14:paraId="089C344F" w14:textId="77777777" w:rsidR="004611F7" w:rsidRPr="004611F7" w:rsidRDefault="004611F7" w:rsidP="004611F7">
      <w:r w:rsidRPr="004611F7">
        <w:t xml:space="preserve">Staffordshire County Council (2026) </w:t>
      </w:r>
      <w:r w:rsidRPr="004611F7">
        <w:rPr>
          <w:i/>
          <w:iCs/>
        </w:rPr>
        <w:t>Early Help and Family Support Services</w:t>
      </w:r>
      <w:r w:rsidRPr="004611F7">
        <w:t xml:space="preserve">. Available at: </w:t>
      </w:r>
      <w:hyperlink r:id="rId10" w:tgtFrame="_new" w:history="1">
        <w:r w:rsidRPr="004611F7">
          <w:rPr>
            <w:rStyle w:val="Hyperlink"/>
          </w:rPr>
          <w:t>https://www.staffordshire.gov.uk</w:t>
        </w:r>
      </w:hyperlink>
      <w:r w:rsidRPr="004611F7">
        <w:t xml:space="preserve"> (Accessed: 12 March 2026).</w:t>
      </w:r>
    </w:p>
    <w:p w14:paraId="6B8F70DF" w14:textId="77777777" w:rsidR="004611F7" w:rsidRPr="004611F7" w:rsidRDefault="004611F7" w:rsidP="004611F7">
      <w:r w:rsidRPr="004611F7">
        <w:t xml:space="preserve">Tower Hamlets Council (2026) </w:t>
      </w:r>
      <w:r w:rsidRPr="004611F7">
        <w:rPr>
          <w:i/>
          <w:iCs/>
        </w:rPr>
        <w:t>Early Help and Family Hubs</w:t>
      </w:r>
      <w:r w:rsidRPr="004611F7">
        <w:t xml:space="preserve">. Available at: </w:t>
      </w:r>
      <w:hyperlink r:id="rId11" w:tgtFrame="_new" w:history="1">
        <w:r w:rsidRPr="004611F7">
          <w:rPr>
            <w:rStyle w:val="Hyperlink"/>
          </w:rPr>
          <w:t>https://www.towerhamlets.gov.uk</w:t>
        </w:r>
      </w:hyperlink>
      <w:r w:rsidRPr="004611F7">
        <w:t xml:space="preserve"> (Accessed: 12 March 2026).</w:t>
      </w:r>
    </w:p>
    <w:p w14:paraId="0DD11E9A" w14:textId="77777777" w:rsidR="0089395D" w:rsidRPr="00D45172" w:rsidRDefault="0089395D">
      <w:pPr>
        <w:rPr>
          <w:b/>
          <w:bCs/>
        </w:rPr>
      </w:pPr>
    </w:p>
    <w:sectPr w:rsidR="0089395D" w:rsidRPr="00D45172">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18B3AB" w14:textId="77777777" w:rsidR="007C4A4B" w:rsidRDefault="007C4A4B" w:rsidP="00397126">
      <w:pPr>
        <w:spacing w:after="0" w:line="240" w:lineRule="auto"/>
      </w:pPr>
      <w:r>
        <w:separator/>
      </w:r>
    </w:p>
  </w:endnote>
  <w:endnote w:type="continuationSeparator" w:id="0">
    <w:p w14:paraId="366421C7" w14:textId="77777777" w:rsidR="007C4A4B" w:rsidRDefault="007C4A4B" w:rsidP="003971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4979020"/>
      <w:docPartObj>
        <w:docPartGallery w:val="Page Numbers (Bottom of Page)"/>
        <w:docPartUnique/>
      </w:docPartObj>
    </w:sdtPr>
    <w:sdtContent>
      <w:p w14:paraId="5AAEDC14" w14:textId="2AB970FC" w:rsidR="00397126" w:rsidRDefault="00397126">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12B26E81" w14:textId="77777777" w:rsidR="00397126" w:rsidRDefault="003971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7E5E22" w14:textId="77777777" w:rsidR="007C4A4B" w:rsidRDefault="007C4A4B" w:rsidP="00397126">
      <w:pPr>
        <w:spacing w:after="0" w:line="240" w:lineRule="auto"/>
      </w:pPr>
      <w:r>
        <w:separator/>
      </w:r>
    </w:p>
  </w:footnote>
  <w:footnote w:type="continuationSeparator" w:id="0">
    <w:p w14:paraId="5D6A92BA" w14:textId="77777777" w:rsidR="007C4A4B" w:rsidRDefault="007C4A4B" w:rsidP="003971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7D4B93" w14:textId="6277818D" w:rsidR="003120E1" w:rsidRDefault="003120E1" w:rsidP="00283356">
    <w:pPr>
      <w:pStyle w:val="Header"/>
      <w:jc w:val="right"/>
    </w:pPr>
    <w:r>
      <w:rPr>
        <w:noProof/>
      </w:rPr>
      <w:drawing>
        <wp:inline distT="0" distB="0" distL="0" distR="0" wp14:anchorId="4E3DA896" wp14:editId="1583C470">
          <wp:extent cx="353888" cy="353888"/>
          <wp:effectExtent l="0" t="0" r="8255" b="8255"/>
          <wp:docPr id="707205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60741" cy="360741"/>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F4B8D"/>
    <w:multiLevelType w:val="multilevel"/>
    <w:tmpl w:val="3B6E7B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3F2053"/>
    <w:multiLevelType w:val="multilevel"/>
    <w:tmpl w:val="AC0A6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A401CD"/>
    <w:multiLevelType w:val="multilevel"/>
    <w:tmpl w:val="96281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A266C0"/>
    <w:multiLevelType w:val="multilevel"/>
    <w:tmpl w:val="2CFC4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CB1DED"/>
    <w:multiLevelType w:val="multilevel"/>
    <w:tmpl w:val="7518B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8A3689"/>
    <w:multiLevelType w:val="multilevel"/>
    <w:tmpl w:val="B43C1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AE4D3F"/>
    <w:multiLevelType w:val="multilevel"/>
    <w:tmpl w:val="75CCB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E4F4260"/>
    <w:multiLevelType w:val="multilevel"/>
    <w:tmpl w:val="1F846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22B65B3"/>
    <w:multiLevelType w:val="multilevel"/>
    <w:tmpl w:val="7CE00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5667527">
    <w:abstractNumId w:val="0"/>
  </w:num>
  <w:num w:numId="2" w16cid:durableId="1304651528">
    <w:abstractNumId w:val="2"/>
  </w:num>
  <w:num w:numId="3" w16cid:durableId="1665476489">
    <w:abstractNumId w:val="7"/>
  </w:num>
  <w:num w:numId="4" w16cid:durableId="537284437">
    <w:abstractNumId w:val="8"/>
  </w:num>
  <w:num w:numId="5" w16cid:durableId="627318897">
    <w:abstractNumId w:val="1"/>
  </w:num>
  <w:num w:numId="6" w16cid:durableId="1560435399">
    <w:abstractNumId w:val="4"/>
  </w:num>
  <w:num w:numId="7" w16cid:durableId="320743759">
    <w:abstractNumId w:val="5"/>
  </w:num>
  <w:num w:numId="8" w16cid:durableId="2084985197">
    <w:abstractNumId w:val="6"/>
  </w:num>
  <w:num w:numId="9" w16cid:durableId="4243006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29D"/>
    <w:rsid w:val="001E57FA"/>
    <w:rsid w:val="00222436"/>
    <w:rsid w:val="00283356"/>
    <w:rsid w:val="002F54C6"/>
    <w:rsid w:val="002F711C"/>
    <w:rsid w:val="003120E1"/>
    <w:rsid w:val="00397126"/>
    <w:rsid w:val="004611F7"/>
    <w:rsid w:val="005936DB"/>
    <w:rsid w:val="0072229D"/>
    <w:rsid w:val="007C4A4B"/>
    <w:rsid w:val="0089395D"/>
    <w:rsid w:val="008B1CC3"/>
    <w:rsid w:val="008D6C4B"/>
    <w:rsid w:val="009C6276"/>
    <w:rsid w:val="00B54248"/>
    <w:rsid w:val="00BB2716"/>
    <w:rsid w:val="00C202A6"/>
    <w:rsid w:val="00D337AA"/>
    <w:rsid w:val="00D45172"/>
    <w:rsid w:val="00E97131"/>
    <w:rsid w:val="00F17804"/>
    <w:rsid w:val="00F3340E"/>
    <w:rsid w:val="00F64C08"/>
    <w:rsid w:val="00F8449C"/>
    <w:rsid w:val="00F87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852591"/>
  <w15:chartTrackingRefBased/>
  <w15:docId w15:val="{4FA6D097-3D49-4514-AD73-B4147104E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22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22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22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22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22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22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22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22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22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22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22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22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22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22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22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22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22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229D"/>
    <w:rPr>
      <w:rFonts w:eastAsiaTheme="majorEastAsia" w:cstheme="majorBidi"/>
      <w:color w:val="272727" w:themeColor="text1" w:themeTint="D8"/>
    </w:rPr>
  </w:style>
  <w:style w:type="paragraph" w:styleId="Title">
    <w:name w:val="Title"/>
    <w:basedOn w:val="Normal"/>
    <w:next w:val="Normal"/>
    <w:link w:val="TitleChar"/>
    <w:uiPriority w:val="10"/>
    <w:qFormat/>
    <w:rsid w:val="007222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22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22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22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229D"/>
    <w:pPr>
      <w:spacing w:before="160"/>
      <w:jc w:val="center"/>
    </w:pPr>
    <w:rPr>
      <w:i/>
      <w:iCs/>
      <w:color w:val="404040" w:themeColor="text1" w:themeTint="BF"/>
    </w:rPr>
  </w:style>
  <w:style w:type="character" w:customStyle="1" w:styleId="QuoteChar">
    <w:name w:val="Quote Char"/>
    <w:basedOn w:val="DefaultParagraphFont"/>
    <w:link w:val="Quote"/>
    <w:uiPriority w:val="29"/>
    <w:rsid w:val="0072229D"/>
    <w:rPr>
      <w:i/>
      <w:iCs/>
      <w:color w:val="404040" w:themeColor="text1" w:themeTint="BF"/>
    </w:rPr>
  </w:style>
  <w:style w:type="paragraph" w:styleId="ListParagraph">
    <w:name w:val="List Paragraph"/>
    <w:basedOn w:val="Normal"/>
    <w:uiPriority w:val="34"/>
    <w:qFormat/>
    <w:rsid w:val="0072229D"/>
    <w:pPr>
      <w:ind w:left="720"/>
      <w:contextualSpacing/>
    </w:pPr>
  </w:style>
  <w:style w:type="character" w:styleId="IntenseEmphasis">
    <w:name w:val="Intense Emphasis"/>
    <w:basedOn w:val="DefaultParagraphFont"/>
    <w:uiPriority w:val="21"/>
    <w:qFormat/>
    <w:rsid w:val="0072229D"/>
    <w:rPr>
      <w:i/>
      <w:iCs/>
      <w:color w:val="0F4761" w:themeColor="accent1" w:themeShade="BF"/>
    </w:rPr>
  </w:style>
  <w:style w:type="paragraph" w:styleId="IntenseQuote">
    <w:name w:val="Intense Quote"/>
    <w:basedOn w:val="Normal"/>
    <w:next w:val="Normal"/>
    <w:link w:val="IntenseQuoteChar"/>
    <w:uiPriority w:val="30"/>
    <w:qFormat/>
    <w:rsid w:val="007222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229D"/>
    <w:rPr>
      <w:i/>
      <w:iCs/>
      <w:color w:val="0F4761" w:themeColor="accent1" w:themeShade="BF"/>
    </w:rPr>
  </w:style>
  <w:style w:type="character" w:styleId="IntenseReference">
    <w:name w:val="Intense Reference"/>
    <w:basedOn w:val="DefaultParagraphFont"/>
    <w:uiPriority w:val="32"/>
    <w:qFormat/>
    <w:rsid w:val="0072229D"/>
    <w:rPr>
      <w:b/>
      <w:bCs/>
      <w:smallCaps/>
      <w:color w:val="0F4761" w:themeColor="accent1" w:themeShade="BF"/>
      <w:spacing w:val="5"/>
    </w:rPr>
  </w:style>
  <w:style w:type="character" w:styleId="Hyperlink">
    <w:name w:val="Hyperlink"/>
    <w:basedOn w:val="DefaultParagraphFont"/>
    <w:uiPriority w:val="99"/>
    <w:unhideWhenUsed/>
    <w:rsid w:val="0072229D"/>
    <w:rPr>
      <w:color w:val="467886" w:themeColor="hyperlink"/>
      <w:u w:val="single"/>
    </w:rPr>
  </w:style>
  <w:style w:type="character" w:styleId="UnresolvedMention">
    <w:name w:val="Unresolved Mention"/>
    <w:basedOn w:val="DefaultParagraphFont"/>
    <w:uiPriority w:val="99"/>
    <w:semiHidden/>
    <w:unhideWhenUsed/>
    <w:rsid w:val="0072229D"/>
    <w:rPr>
      <w:color w:val="605E5C"/>
      <w:shd w:val="clear" w:color="auto" w:fill="E1DFDD"/>
    </w:rPr>
  </w:style>
  <w:style w:type="paragraph" w:styleId="TOCHeading">
    <w:name w:val="TOC Heading"/>
    <w:basedOn w:val="Heading1"/>
    <w:next w:val="Normal"/>
    <w:uiPriority w:val="39"/>
    <w:unhideWhenUsed/>
    <w:qFormat/>
    <w:rsid w:val="00D337AA"/>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3971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7126"/>
  </w:style>
  <w:style w:type="paragraph" w:styleId="Footer">
    <w:name w:val="footer"/>
    <w:basedOn w:val="Normal"/>
    <w:link w:val="FooterChar"/>
    <w:uiPriority w:val="99"/>
    <w:unhideWhenUsed/>
    <w:rsid w:val="003971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1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icester.gov.uk"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owerhamlets.gov.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taffordshire.gov.uk" TargetMode="External"/><Relationship Id="rId4" Type="http://schemas.openxmlformats.org/officeDocument/2006/relationships/settings" Target="settings.xml"/><Relationship Id="rId9" Type="http://schemas.openxmlformats.org/officeDocument/2006/relationships/hyperlink" Target="https://learning.nspcc.org.uk"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1BEB2D-5DF9-4E9E-9A8D-46A3512E3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7</Pages>
  <Words>2412</Words>
  <Characters>13752</Characters>
  <Application>Microsoft Office Word</Application>
  <DocSecurity>0</DocSecurity>
  <Lines>114</Lines>
  <Paragraphs>32</Paragraphs>
  <ScaleCrop>false</ScaleCrop>
  <Company/>
  <LinksUpToDate>false</LinksUpToDate>
  <CharactersWithSpaces>16132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Begum (2409645)</dc:creator>
  <cp:keywords/>
  <dc:description/>
  <cp:lastModifiedBy>Salma Begum</cp:lastModifiedBy>
  <cp:revision>26</cp:revision>
  <dcterms:created xsi:type="dcterms:W3CDTF">2026-03-12T11:41:00Z</dcterms:created>
  <dcterms:modified xsi:type="dcterms:W3CDTF">2026-03-12T13:24:00Z</dcterms:modified>
</cp:coreProperties>
</file>