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1782E" w14:textId="6C9C300E" w:rsidR="0030797A" w:rsidRDefault="005C31D5" w:rsidP="005C31D5">
      <w:pPr>
        <w:jc w:val="center"/>
        <w:rPr>
          <w:sz w:val="32"/>
          <w:szCs w:val="32"/>
        </w:rPr>
      </w:pPr>
      <w:r>
        <w:rPr>
          <w:sz w:val="32"/>
          <w:szCs w:val="32"/>
        </w:rPr>
        <w:t>Aeneid IV     Translation: 1-17;  Commentary: 31-46</w:t>
      </w:r>
    </w:p>
    <w:p w14:paraId="3EEC7522" w14:textId="545E0FCF" w:rsidR="005C31D5" w:rsidRDefault="005C31D5" w:rsidP="005C31D5">
      <w:pPr>
        <w:rPr>
          <w:sz w:val="24"/>
          <w:szCs w:val="24"/>
        </w:rPr>
      </w:pPr>
      <w:r>
        <w:rPr>
          <w:sz w:val="24"/>
          <w:szCs w:val="24"/>
        </w:rPr>
        <w:t>But the queen, for a long time hurt with a grievous love-pang, feeds the wound with her veins and is wasted with fire unseen. Much the great courage of the man</w:t>
      </w:r>
      <w:r w:rsidR="009959FE">
        <w:rPr>
          <w:sz w:val="24"/>
          <w:szCs w:val="24"/>
        </w:rPr>
        <w:t xml:space="preserve"> and the great glory of his descent rushed back to her mind; his looks and his words cling fast to her breast, and longing does not give calm rest to her limbs.</w:t>
      </w:r>
    </w:p>
    <w:p w14:paraId="37914DD8" w14:textId="21C76DBC" w:rsidR="009959FE" w:rsidRDefault="009959FE" w:rsidP="005C31D5">
      <w:pPr>
        <w:rPr>
          <w:sz w:val="24"/>
          <w:szCs w:val="24"/>
        </w:rPr>
      </w:pPr>
      <w:r>
        <w:rPr>
          <w:sz w:val="24"/>
          <w:szCs w:val="24"/>
        </w:rPr>
        <w:t xml:space="preserve">Tomorrow’s dawn was lighting the earth with the lamp of Phoebus, and had moved aside from the heavens the dewy shades, when, not well in mind, she speaks thus to her sister, who shares her heart (of </w:t>
      </w:r>
      <w:r w:rsidR="000719B6">
        <w:rPr>
          <w:sz w:val="24"/>
          <w:szCs w:val="24"/>
        </w:rPr>
        <w:t xml:space="preserve">same </w:t>
      </w:r>
      <w:r>
        <w:rPr>
          <w:sz w:val="24"/>
          <w:szCs w:val="24"/>
        </w:rPr>
        <w:t>mind)</w:t>
      </w:r>
      <w:r w:rsidR="000719B6">
        <w:rPr>
          <w:sz w:val="24"/>
          <w:szCs w:val="24"/>
        </w:rPr>
        <w:t>:</w:t>
      </w:r>
    </w:p>
    <w:p w14:paraId="7AC98964" w14:textId="55FD4DE5" w:rsidR="000719B6" w:rsidRDefault="000719B6" w:rsidP="005C31D5">
      <w:pPr>
        <w:rPr>
          <w:sz w:val="24"/>
          <w:szCs w:val="24"/>
        </w:rPr>
      </w:pPr>
      <w:r>
        <w:rPr>
          <w:sz w:val="24"/>
          <w:szCs w:val="24"/>
        </w:rPr>
        <w:t xml:space="preserve">‘Anna, my sister, what night moves terrify me in suspense! Who is this stranger guest who came into the shelter of our home? Bearing himself in his face as what a man/ Being so good looking a man! How brave in heart and feats of arms! I really believe it/believe it well, nor is my confidence without foundation, that he is sprung from gods. It is fear that makes souls degenerate. Alas! By what fates was he tossed about! What wars, long drained was he singing about! If it were not planted in my mind, fixed and immoveable, </w:t>
      </w:r>
      <w:r w:rsidR="00F14196">
        <w:rPr>
          <w:sz w:val="24"/>
          <w:szCs w:val="24"/>
        </w:rPr>
        <w:t>that I would not wish for me to join myself in bond of wedlock, since my first love, turning traitor disappointed me by death…</w:t>
      </w:r>
    </w:p>
    <w:p w14:paraId="71A237F5" w14:textId="7749B62D" w:rsidR="00505DFD" w:rsidRDefault="00505DFD" w:rsidP="005C31D5">
      <w:pPr>
        <w:rPr>
          <w:sz w:val="24"/>
          <w:szCs w:val="24"/>
        </w:rPr>
      </w:pPr>
    </w:p>
    <w:p w14:paraId="61DEC612" w14:textId="3A6185C5" w:rsidR="00505DFD" w:rsidRDefault="00505DFD" w:rsidP="005C31D5">
      <w:pPr>
        <w:rPr>
          <w:sz w:val="24"/>
          <w:szCs w:val="24"/>
        </w:rPr>
      </w:pPr>
    </w:p>
    <w:p w14:paraId="26C638FC" w14:textId="50395644" w:rsidR="00192A98" w:rsidRDefault="00505DFD" w:rsidP="005C31D5">
      <w:pPr>
        <w:rPr>
          <w:sz w:val="24"/>
          <w:szCs w:val="24"/>
        </w:rPr>
      </w:pPr>
      <w:r>
        <w:rPr>
          <w:sz w:val="24"/>
          <w:szCs w:val="24"/>
        </w:rPr>
        <w:t xml:space="preserve">  </w:t>
      </w:r>
      <w:r w:rsidR="007D053A">
        <w:rPr>
          <w:sz w:val="24"/>
          <w:szCs w:val="24"/>
        </w:rPr>
        <w:t xml:space="preserve">The section under consideration for commentary follows Dido telling her sister, Anna, that she might </w:t>
      </w:r>
      <w:r w:rsidR="002B723F">
        <w:rPr>
          <w:sz w:val="24"/>
          <w:szCs w:val="24"/>
        </w:rPr>
        <w:t>have allowed</w:t>
      </w:r>
      <w:r w:rsidR="007D053A">
        <w:rPr>
          <w:sz w:val="24"/>
          <w:szCs w:val="24"/>
        </w:rPr>
        <w:t xml:space="preserve"> herself to love Aeneas</w:t>
      </w:r>
      <w:r w:rsidR="002B723F">
        <w:rPr>
          <w:sz w:val="24"/>
          <w:szCs w:val="24"/>
        </w:rPr>
        <w:t xml:space="preserve"> had it not been</w:t>
      </w:r>
      <w:r w:rsidR="007D053A">
        <w:rPr>
          <w:sz w:val="24"/>
          <w:szCs w:val="24"/>
        </w:rPr>
        <w:t xml:space="preserve"> for her loyalty to her dead husband, Sychaeus.</w:t>
      </w:r>
      <w:r w:rsidR="00971F36">
        <w:rPr>
          <w:sz w:val="24"/>
          <w:szCs w:val="24"/>
        </w:rPr>
        <w:t xml:space="preserve"> </w:t>
      </w:r>
      <w:r w:rsidR="007D053A">
        <w:rPr>
          <w:sz w:val="24"/>
          <w:szCs w:val="24"/>
        </w:rPr>
        <w:t xml:space="preserve"> In lines 31-46</w:t>
      </w:r>
      <w:r w:rsidR="00192A98">
        <w:rPr>
          <w:sz w:val="24"/>
          <w:szCs w:val="24"/>
        </w:rPr>
        <w:t>,</w:t>
      </w:r>
      <w:r w:rsidR="007D053A">
        <w:rPr>
          <w:sz w:val="24"/>
          <w:szCs w:val="24"/>
        </w:rPr>
        <w:t xml:space="preserve"> </w:t>
      </w:r>
      <w:r w:rsidR="00192A98">
        <w:rPr>
          <w:sz w:val="24"/>
          <w:szCs w:val="24"/>
        </w:rPr>
        <w:t xml:space="preserve"> </w:t>
      </w:r>
      <w:r w:rsidR="007D053A">
        <w:rPr>
          <w:sz w:val="24"/>
          <w:szCs w:val="24"/>
        </w:rPr>
        <w:t>Anna proceeds to dismiss Dido’s anxieties and points out the benefits of a union with Aeneas</w:t>
      </w:r>
      <w:r w:rsidR="005419BE">
        <w:rPr>
          <w:sz w:val="24"/>
          <w:szCs w:val="24"/>
        </w:rPr>
        <w:t>, whereupon Dido is persuaded to seek the gods’ favour for her love.</w:t>
      </w:r>
    </w:p>
    <w:p w14:paraId="4A559941" w14:textId="585F5B19" w:rsidR="00505DFD" w:rsidRDefault="00192A98" w:rsidP="005C31D5">
      <w:pPr>
        <w:rPr>
          <w:sz w:val="24"/>
          <w:szCs w:val="24"/>
        </w:rPr>
      </w:pPr>
      <w:r>
        <w:rPr>
          <w:sz w:val="24"/>
          <w:szCs w:val="24"/>
        </w:rPr>
        <w:t xml:space="preserve">  </w:t>
      </w:r>
      <w:r w:rsidR="00971F36">
        <w:rPr>
          <w:sz w:val="24"/>
          <w:szCs w:val="24"/>
        </w:rPr>
        <w:t xml:space="preserve"> As Harrison states, ‘hero and heroine have each a distinct blemish in character, Dido’s being her unfaithfulness to her vows to Sychaeus, that of Aeneas his temporary neglect of his divine mission.’</w:t>
      </w:r>
      <w:r w:rsidR="00971F36">
        <w:rPr>
          <w:rStyle w:val="FootnoteReference"/>
          <w:sz w:val="24"/>
          <w:szCs w:val="24"/>
        </w:rPr>
        <w:footnoteReference w:id="1"/>
      </w:r>
      <w:r w:rsidR="00351321">
        <w:rPr>
          <w:sz w:val="24"/>
          <w:szCs w:val="24"/>
        </w:rPr>
        <w:t xml:space="preserve"> Virgil makes Dido the victim of a struggle between her growing love for Aeneas and her vow of fidelity to Sychaeus, just as Medea is torn between love for Jason and loyalty to </w:t>
      </w:r>
      <w:r w:rsidR="002B723F">
        <w:rPr>
          <w:sz w:val="24"/>
          <w:szCs w:val="24"/>
        </w:rPr>
        <w:t>Aeetes.</w:t>
      </w:r>
      <w:r w:rsidR="00351321">
        <w:rPr>
          <w:sz w:val="24"/>
          <w:szCs w:val="24"/>
        </w:rPr>
        <w:t xml:space="preserve"> Each experiences shame because of her feelings for the stranger.</w:t>
      </w:r>
      <w:r w:rsidR="00351321">
        <w:rPr>
          <w:rStyle w:val="FootnoteReference"/>
          <w:sz w:val="24"/>
          <w:szCs w:val="24"/>
        </w:rPr>
        <w:footnoteReference w:id="2"/>
      </w:r>
      <w:r w:rsidR="00351321">
        <w:rPr>
          <w:sz w:val="24"/>
          <w:szCs w:val="24"/>
        </w:rPr>
        <w:t xml:space="preserve"> </w:t>
      </w:r>
    </w:p>
    <w:p w14:paraId="40357469" w14:textId="13F03ECF" w:rsidR="005419BE" w:rsidRDefault="005419BE" w:rsidP="005C31D5">
      <w:pPr>
        <w:rPr>
          <w:sz w:val="24"/>
          <w:szCs w:val="24"/>
        </w:rPr>
      </w:pPr>
      <w:r>
        <w:rPr>
          <w:i/>
          <w:iCs/>
          <w:sz w:val="24"/>
          <w:szCs w:val="24"/>
        </w:rPr>
        <w:t xml:space="preserve">O luce…noris </w:t>
      </w:r>
      <w:r>
        <w:rPr>
          <w:sz w:val="24"/>
          <w:szCs w:val="24"/>
        </w:rPr>
        <w:t xml:space="preserve">(lines 31-33) ‘O my dear sister, dearer than the light to me your sister, all alone, all the days of your young womanhood, shall you pine in sorrow? Shall you never </w:t>
      </w:r>
      <w:r w:rsidR="00A60FD3">
        <w:rPr>
          <w:sz w:val="24"/>
          <w:szCs w:val="24"/>
        </w:rPr>
        <w:t>know</w:t>
      </w:r>
      <w:r>
        <w:rPr>
          <w:sz w:val="24"/>
          <w:szCs w:val="24"/>
        </w:rPr>
        <w:t xml:space="preserve"> the joy of children, never the gifts of love? </w:t>
      </w:r>
      <w:r w:rsidR="00913453">
        <w:rPr>
          <w:sz w:val="24"/>
          <w:szCs w:val="24"/>
        </w:rPr>
        <w:t xml:space="preserve"> </w:t>
      </w:r>
      <w:r w:rsidR="00913453">
        <w:rPr>
          <w:i/>
          <w:iCs/>
          <w:sz w:val="24"/>
          <w:szCs w:val="24"/>
        </w:rPr>
        <w:t xml:space="preserve">Luce magis </w:t>
      </w:r>
      <w:r w:rsidR="00913453">
        <w:rPr>
          <w:sz w:val="24"/>
          <w:szCs w:val="24"/>
        </w:rPr>
        <w:t xml:space="preserve">light here is almost equivalent to ‘life’.  </w:t>
      </w:r>
      <w:r w:rsidR="00913453">
        <w:rPr>
          <w:rStyle w:val="FootnoteReference"/>
          <w:sz w:val="24"/>
          <w:szCs w:val="24"/>
        </w:rPr>
        <w:footnoteReference w:id="3"/>
      </w:r>
      <w:r>
        <w:rPr>
          <w:i/>
          <w:iCs/>
          <w:sz w:val="24"/>
          <w:szCs w:val="24"/>
        </w:rPr>
        <w:t xml:space="preserve">Iuventa </w:t>
      </w:r>
      <w:r>
        <w:rPr>
          <w:sz w:val="24"/>
          <w:szCs w:val="24"/>
        </w:rPr>
        <w:t>suggests that Dido is still of marriageable age</w:t>
      </w:r>
      <w:r w:rsidR="00913453">
        <w:rPr>
          <w:sz w:val="24"/>
          <w:szCs w:val="24"/>
        </w:rPr>
        <w:t>;</w:t>
      </w:r>
      <w:r>
        <w:rPr>
          <w:rStyle w:val="FootnoteReference"/>
          <w:sz w:val="24"/>
          <w:szCs w:val="24"/>
        </w:rPr>
        <w:footnoteReference w:id="4"/>
      </w:r>
      <w:r w:rsidR="00913453">
        <w:rPr>
          <w:sz w:val="24"/>
          <w:szCs w:val="24"/>
        </w:rPr>
        <w:t xml:space="preserve"> not so much ‘youth’ as ‘period of maturity’, ‘prime of life’.</w:t>
      </w:r>
      <w:r w:rsidR="00913453">
        <w:rPr>
          <w:rStyle w:val="FootnoteReference"/>
          <w:sz w:val="24"/>
          <w:szCs w:val="24"/>
        </w:rPr>
        <w:footnoteReference w:id="5"/>
      </w:r>
      <w:r w:rsidR="00A60FD3">
        <w:rPr>
          <w:sz w:val="24"/>
          <w:szCs w:val="24"/>
        </w:rPr>
        <w:t xml:space="preserve"> </w:t>
      </w:r>
      <w:r w:rsidR="00913453">
        <w:rPr>
          <w:sz w:val="24"/>
          <w:szCs w:val="24"/>
        </w:rPr>
        <w:t xml:space="preserve">Note that Anna does not use Dido’s name (in line 675 she calls her </w:t>
      </w:r>
      <w:r w:rsidR="00913453">
        <w:rPr>
          <w:i/>
          <w:iCs/>
          <w:sz w:val="24"/>
          <w:szCs w:val="24"/>
        </w:rPr>
        <w:t>germana</w:t>
      </w:r>
      <w:r w:rsidR="00913453">
        <w:rPr>
          <w:sz w:val="24"/>
          <w:szCs w:val="24"/>
        </w:rPr>
        <w:t>)</w:t>
      </w:r>
      <w:r w:rsidR="00192A98">
        <w:rPr>
          <w:sz w:val="24"/>
          <w:szCs w:val="24"/>
        </w:rPr>
        <w:t>.</w:t>
      </w:r>
      <w:r w:rsidR="00DD7A24">
        <w:rPr>
          <w:sz w:val="24"/>
          <w:szCs w:val="24"/>
        </w:rPr>
        <w:t xml:space="preserve"> </w:t>
      </w:r>
      <w:r w:rsidR="00192A98">
        <w:rPr>
          <w:sz w:val="24"/>
          <w:szCs w:val="24"/>
        </w:rPr>
        <w:t>H</w:t>
      </w:r>
      <w:r w:rsidR="00913453">
        <w:rPr>
          <w:sz w:val="24"/>
          <w:szCs w:val="24"/>
        </w:rPr>
        <w:t xml:space="preserve">er emotion is indicated </w:t>
      </w:r>
      <w:r w:rsidR="00A60FD3">
        <w:rPr>
          <w:sz w:val="24"/>
          <w:szCs w:val="24"/>
        </w:rPr>
        <w:t>using</w:t>
      </w:r>
      <w:r w:rsidR="00913453">
        <w:rPr>
          <w:sz w:val="24"/>
          <w:szCs w:val="24"/>
        </w:rPr>
        <w:t xml:space="preserve"> </w:t>
      </w:r>
      <w:r w:rsidR="00913453">
        <w:rPr>
          <w:i/>
          <w:iCs/>
          <w:sz w:val="24"/>
          <w:szCs w:val="24"/>
        </w:rPr>
        <w:t>o</w:t>
      </w:r>
      <w:r w:rsidR="00913453">
        <w:rPr>
          <w:sz w:val="24"/>
          <w:szCs w:val="24"/>
        </w:rPr>
        <w:t xml:space="preserve"> which tends only to be used in </w:t>
      </w:r>
      <w:r w:rsidR="00913453">
        <w:rPr>
          <w:sz w:val="24"/>
          <w:szCs w:val="24"/>
        </w:rPr>
        <w:lastRenderedPageBreak/>
        <w:t>passages of heightened feeling.</w:t>
      </w:r>
      <w:r w:rsidR="00913453">
        <w:rPr>
          <w:rStyle w:val="FootnoteReference"/>
          <w:sz w:val="24"/>
          <w:szCs w:val="24"/>
        </w:rPr>
        <w:footnoteReference w:id="6"/>
      </w:r>
      <w:r w:rsidR="00913453">
        <w:rPr>
          <w:sz w:val="24"/>
          <w:szCs w:val="24"/>
        </w:rPr>
        <w:t xml:space="preserve"> </w:t>
      </w:r>
      <w:r w:rsidR="00913453">
        <w:rPr>
          <w:i/>
          <w:iCs/>
          <w:sz w:val="24"/>
          <w:szCs w:val="24"/>
        </w:rPr>
        <w:t xml:space="preserve">Solane </w:t>
      </w:r>
      <w:r w:rsidR="00913453">
        <w:rPr>
          <w:sz w:val="24"/>
          <w:szCs w:val="24"/>
        </w:rPr>
        <w:t>It is Dido’s loneliness which first arouses Anna’s pity, and next to this the fear that she will always be lonely</w:t>
      </w:r>
      <w:r w:rsidR="00F62D6F">
        <w:rPr>
          <w:sz w:val="24"/>
          <w:szCs w:val="24"/>
        </w:rPr>
        <w:t xml:space="preserve">. Austin notices the effectiveness of the juxtaposition of the two adjectives, with </w:t>
      </w:r>
      <w:r w:rsidR="00F62D6F">
        <w:rPr>
          <w:i/>
          <w:iCs/>
          <w:sz w:val="24"/>
          <w:szCs w:val="24"/>
        </w:rPr>
        <w:t xml:space="preserve">maerens carpere </w:t>
      </w:r>
      <w:r w:rsidR="00F62D6F">
        <w:rPr>
          <w:sz w:val="24"/>
          <w:szCs w:val="24"/>
        </w:rPr>
        <w:t>balancing them, but also the lovely vowel sounds in the line,</w:t>
      </w:r>
      <w:r w:rsidR="00F62D6F">
        <w:rPr>
          <w:rStyle w:val="FootnoteReference"/>
          <w:sz w:val="24"/>
          <w:szCs w:val="24"/>
        </w:rPr>
        <w:footnoteReference w:id="7"/>
      </w:r>
      <w:r w:rsidR="00F62D6F">
        <w:rPr>
          <w:sz w:val="24"/>
          <w:szCs w:val="24"/>
        </w:rPr>
        <w:t xml:space="preserve"> which conveys a sense of loving care. </w:t>
      </w:r>
    </w:p>
    <w:p w14:paraId="732F80CA" w14:textId="6B813FD1" w:rsidR="00192A98" w:rsidRDefault="002351D7" w:rsidP="005C31D5">
      <w:pPr>
        <w:rPr>
          <w:sz w:val="24"/>
          <w:szCs w:val="24"/>
        </w:rPr>
      </w:pPr>
      <w:r>
        <w:rPr>
          <w:i/>
          <w:iCs/>
          <w:sz w:val="24"/>
          <w:szCs w:val="24"/>
        </w:rPr>
        <w:t xml:space="preserve">Id cinerem aut Manis credis curare sepultos? </w:t>
      </w:r>
      <w:r>
        <w:rPr>
          <w:sz w:val="24"/>
          <w:szCs w:val="24"/>
        </w:rPr>
        <w:t>(Do you believe that ashes or the spirits of the buried dead are concerned with this?) The dead, says Anna, have no mind to make the living unhappy</w:t>
      </w:r>
      <w:r w:rsidR="00192A98">
        <w:rPr>
          <w:sz w:val="24"/>
          <w:szCs w:val="24"/>
        </w:rPr>
        <w:t>. T</w:t>
      </w:r>
      <w:r>
        <w:rPr>
          <w:sz w:val="24"/>
          <w:szCs w:val="24"/>
        </w:rPr>
        <w:t xml:space="preserve">hat Sychaeus still thinks of Dido’s happiness is revealed in </w:t>
      </w:r>
      <w:r>
        <w:rPr>
          <w:i/>
          <w:iCs/>
          <w:sz w:val="24"/>
          <w:szCs w:val="24"/>
        </w:rPr>
        <w:t xml:space="preserve">Aeneid </w:t>
      </w:r>
      <w:r w:rsidR="002B723F">
        <w:rPr>
          <w:sz w:val="24"/>
          <w:szCs w:val="24"/>
        </w:rPr>
        <w:t>VI</w:t>
      </w:r>
      <w:r>
        <w:rPr>
          <w:i/>
          <w:iCs/>
          <w:sz w:val="24"/>
          <w:szCs w:val="24"/>
        </w:rPr>
        <w:t xml:space="preserve">. </w:t>
      </w:r>
      <w:r>
        <w:rPr>
          <w:sz w:val="24"/>
          <w:szCs w:val="24"/>
        </w:rPr>
        <w:t xml:space="preserve">474 </w:t>
      </w:r>
      <w:r>
        <w:rPr>
          <w:i/>
          <w:iCs/>
          <w:sz w:val="24"/>
          <w:szCs w:val="24"/>
        </w:rPr>
        <w:t xml:space="preserve">coniunx ubi pristinus illi respondet curis aequatque Sychaeus amorem </w:t>
      </w:r>
      <w:r>
        <w:rPr>
          <w:sz w:val="24"/>
          <w:szCs w:val="24"/>
        </w:rPr>
        <w:t>(where Sychaeus, her lord of former days, responds to her sorrows and gives her love for love).</w:t>
      </w:r>
      <w:r>
        <w:rPr>
          <w:rStyle w:val="FootnoteReference"/>
          <w:sz w:val="24"/>
          <w:szCs w:val="24"/>
        </w:rPr>
        <w:footnoteReference w:id="8"/>
      </w:r>
      <w:r>
        <w:rPr>
          <w:sz w:val="24"/>
          <w:szCs w:val="24"/>
        </w:rPr>
        <w:t xml:space="preserve"> </w:t>
      </w:r>
      <w:r w:rsidR="00192A98">
        <w:rPr>
          <w:sz w:val="24"/>
          <w:szCs w:val="24"/>
        </w:rPr>
        <w:t xml:space="preserve"> </w:t>
      </w:r>
      <w:r>
        <w:rPr>
          <w:sz w:val="24"/>
          <w:szCs w:val="24"/>
        </w:rPr>
        <w:t xml:space="preserve">Anna clearly believes that Dido has her own life to lead. </w:t>
      </w:r>
      <w:r>
        <w:rPr>
          <w:i/>
          <w:iCs/>
          <w:sz w:val="24"/>
          <w:szCs w:val="24"/>
        </w:rPr>
        <w:t xml:space="preserve">Id </w:t>
      </w:r>
      <w:r>
        <w:rPr>
          <w:sz w:val="24"/>
          <w:szCs w:val="24"/>
        </w:rPr>
        <w:t xml:space="preserve">(this) refers to Dido’s fear of </w:t>
      </w:r>
      <w:r w:rsidR="008E3596">
        <w:rPr>
          <w:sz w:val="24"/>
          <w:szCs w:val="24"/>
        </w:rPr>
        <w:t>betraying her oath to Sychaeus. Yet Anna</w:t>
      </w:r>
      <w:r w:rsidR="00192A98">
        <w:rPr>
          <w:sz w:val="24"/>
          <w:szCs w:val="24"/>
        </w:rPr>
        <w:t>, in displaying</w:t>
      </w:r>
      <w:r w:rsidR="008E3596">
        <w:rPr>
          <w:sz w:val="24"/>
          <w:szCs w:val="24"/>
        </w:rPr>
        <w:t xml:space="preserve"> disregard for ancestors and gods</w:t>
      </w:r>
      <w:r w:rsidR="00192A98">
        <w:rPr>
          <w:sz w:val="24"/>
          <w:szCs w:val="24"/>
        </w:rPr>
        <w:t xml:space="preserve"> is,</w:t>
      </w:r>
      <w:r w:rsidR="008E3596">
        <w:rPr>
          <w:sz w:val="24"/>
          <w:szCs w:val="24"/>
        </w:rPr>
        <w:t xml:space="preserve"> Maclennan states, a danger signal. Although well meant, Anna’s advice </w:t>
      </w:r>
      <w:r w:rsidR="008B0F16">
        <w:rPr>
          <w:sz w:val="24"/>
          <w:szCs w:val="24"/>
        </w:rPr>
        <w:t>will</w:t>
      </w:r>
      <w:r w:rsidR="008E3596">
        <w:rPr>
          <w:sz w:val="24"/>
          <w:szCs w:val="24"/>
        </w:rPr>
        <w:t xml:space="preserve"> turn out badly.</w:t>
      </w:r>
      <w:r w:rsidR="008E3596">
        <w:rPr>
          <w:rStyle w:val="FootnoteReference"/>
          <w:sz w:val="24"/>
          <w:szCs w:val="24"/>
        </w:rPr>
        <w:footnoteReference w:id="9"/>
      </w:r>
      <w:r w:rsidR="00351321">
        <w:rPr>
          <w:sz w:val="24"/>
          <w:szCs w:val="24"/>
        </w:rPr>
        <w:t xml:space="preserve"> </w:t>
      </w:r>
    </w:p>
    <w:p w14:paraId="761D87E5" w14:textId="65529AED" w:rsidR="003B1294" w:rsidRDefault="00192A98" w:rsidP="005C31D5">
      <w:pPr>
        <w:rPr>
          <w:sz w:val="24"/>
          <w:szCs w:val="24"/>
        </w:rPr>
      </w:pPr>
      <w:r>
        <w:rPr>
          <w:sz w:val="24"/>
          <w:szCs w:val="24"/>
        </w:rPr>
        <w:t xml:space="preserve">  </w:t>
      </w:r>
      <w:r w:rsidR="00351321">
        <w:rPr>
          <w:sz w:val="24"/>
          <w:szCs w:val="24"/>
        </w:rPr>
        <w:t>Dido’s situation mirrors that of Medea’s: Chalciope’s actions in encouraging her sister Medea to get involved</w:t>
      </w:r>
      <w:r w:rsidR="008B0F16">
        <w:rPr>
          <w:sz w:val="24"/>
          <w:szCs w:val="24"/>
        </w:rPr>
        <w:t xml:space="preserve"> on the side of the Argonauts and Jason also has terrible consequences. Dido, unlike Medea, however, does not conceal her emotions from her sister, but declares her feelings and misgivings. Anna, more aware than was Chalciope of her sister’s state of mind, replies by recommending that Dido give way to her love, and proceeds to offer practical and political reasons for doing so.</w:t>
      </w:r>
      <w:r w:rsidR="008B0F16">
        <w:rPr>
          <w:rStyle w:val="FootnoteReference"/>
          <w:sz w:val="24"/>
          <w:szCs w:val="24"/>
        </w:rPr>
        <w:footnoteReference w:id="10"/>
      </w:r>
    </w:p>
    <w:p w14:paraId="1D1237D8" w14:textId="3B571373" w:rsidR="00F62D6F" w:rsidRDefault="003B1294" w:rsidP="005C31D5">
      <w:pPr>
        <w:rPr>
          <w:sz w:val="24"/>
          <w:szCs w:val="24"/>
        </w:rPr>
      </w:pPr>
      <w:r>
        <w:rPr>
          <w:sz w:val="24"/>
          <w:szCs w:val="24"/>
        </w:rPr>
        <w:t xml:space="preserve"> </w:t>
      </w:r>
      <w:r>
        <w:rPr>
          <w:i/>
          <w:iCs/>
          <w:sz w:val="24"/>
          <w:szCs w:val="24"/>
        </w:rPr>
        <w:t xml:space="preserve">Esto </w:t>
      </w:r>
      <w:r>
        <w:rPr>
          <w:sz w:val="24"/>
          <w:szCs w:val="24"/>
        </w:rPr>
        <w:t>(line 35),</w:t>
      </w:r>
      <w:r>
        <w:rPr>
          <w:i/>
          <w:iCs/>
          <w:sz w:val="24"/>
          <w:szCs w:val="24"/>
        </w:rPr>
        <w:t xml:space="preserve"> </w:t>
      </w:r>
      <w:r>
        <w:rPr>
          <w:sz w:val="24"/>
          <w:szCs w:val="24"/>
        </w:rPr>
        <w:t xml:space="preserve">somewhat impatiently, Anna says ‘let it be so.’ Williams draws attention to </w:t>
      </w:r>
      <w:r w:rsidR="00A715EC">
        <w:rPr>
          <w:sz w:val="24"/>
          <w:szCs w:val="24"/>
        </w:rPr>
        <w:t>the</w:t>
      </w:r>
      <w:r>
        <w:rPr>
          <w:sz w:val="24"/>
          <w:szCs w:val="24"/>
        </w:rPr>
        <w:t xml:space="preserve"> antithesis between </w:t>
      </w:r>
      <w:r>
        <w:rPr>
          <w:i/>
          <w:iCs/>
          <w:sz w:val="24"/>
          <w:szCs w:val="24"/>
        </w:rPr>
        <w:t xml:space="preserve">aegram, </w:t>
      </w:r>
      <w:r>
        <w:rPr>
          <w:sz w:val="24"/>
          <w:szCs w:val="24"/>
        </w:rPr>
        <w:t xml:space="preserve">and </w:t>
      </w:r>
      <w:r>
        <w:rPr>
          <w:i/>
          <w:iCs/>
          <w:sz w:val="24"/>
          <w:szCs w:val="24"/>
        </w:rPr>
        <w:t xml:space="preserve">placitone </w:t>
      </w:r>
      <w:r>
        <w:rPr>
          <w:sz w:val="24"/>
          <w:szCs w:val="24"/>
        </w:rPr>
        <w:t>in line 38</w:t>
      </w:r>
      <w:r w:rsidR="00A715EC">
        <w:rPr>
          <w:sz w:val="24"/>
          <w:szCs w:val="24"/>
        </w:rPr>
        <w:t>. Anna says that although Dido has not been moved by any possible suitors up until now, she urges her not to resist a love which she desires.</w:t>
      </w:r>
      <w:r w:rsidR="00A715EC">
        <w:rPr>
          <w:rStyle w:val="FootnoteReference"/>
          <w:sz w:val="24"/>
          <w:szCs w:val="24"/>
        </w:rPr>
        <w:footnoteReference w:id="11"/>
      </w:r>
      <w:r w:rsidR="00A715EC">
        <w:rPr>
          <w:sz w:val="24"/>
          <w:szCs w:val="24"/>
        </w:rPr>
        <w:t xml:space="preserve"> There is the contrast made between </w:t>
      </w:r>
      <w:r w:rsidR="00A715EC">
        <w:rPr>
          <w:i/>
          <w:iCs/>
          <w:sz w:val="24"/>
          <w:szCs w:val="24"/>
        </w:rPr>
        <w:t xml:space="preserve">quondam </w:t>
      </w:r>
      <w:r w:rsidR="00A715EC">
        <w:rPr>
          <w:sz w:val="24"/>
          <w:szCs w:val="24"/>
        </w:rPr>
        <w:t xml:space="preserve">(formerly) when Dido was sick with grief, and now, when she should be moving on. </w:t>
      </w:r>
      <w:r w:rsidR="00A715EC">
        <w:rPr>
          <w:i/>
          <w:iCs/>
          <w:sz w:val="24"/>
          <w:szCs w:val="24"/>
        </w:rPr>
        <w:t xml:space="preserve">Mariti </w:t>
      </w:r>
      <w:r w:rsidR="008E3596">
        <w:rPr>
          <w:sz w:val="24"/>
          <w:szCs w:val="24"/>
        </w:rPr>
        <w:t xml:space="preserve"> </w:t>
      </w:r>
      <w:r w:rsidR="00A715EC">
        <w:rPr>
          <w:sz w:val="24"/>
          <w:szCs w:val="24"/>
        </w:rPr>
        <w:t xml:space="preserve">In Marlowe’s </w:t>
      </w:r>
      <w:r w:rsidR="00A715EC">
        <w:rPr>
          <w:i/>
          <w:iCs/>
          <w:sz w:val="24"/>
          <w:szCs w:val="24"/>
        </w:rPr>
        <w:t xml:space="preserve">Dido, Queen of Carthage, </w:t>
      </w:r>
      <w:r w:rsidR="00A715EC">
        <w:rPr>
          <w:sz w:val="24"/>
          <w:szCs w:val="24"/>
        </w:rPr>
        <w:t>Dido shows Aeneas the portraits of the many suitors which she has rejected.</w:t>
      </w:r>
      <w:r w:rsidR="00A715EC">
        <w:rPr>
          <w:rStyle w:val="FootnoteReference"/>
          <w:sz w:val="24"/>
          <w:szCs w:val="24"/>
        </w:rPr>
        <w:footnoteReference w:id="12"/>
      </w:r>
      <w:r w:rsidR="00A715EC">
        <w:rPr>
          <w:sz w:val="24"/>
          <w:szCs w:val="24"/>
        </w:rPr>
        <w:t xml:space="preserve"> </w:t>
      </w:r>
      <w:r w:rsidR="00A715EC">
        <w:rPr>
          <w:i/>
          <w:iCs/>
          <w:sz w:val="24"/>
          <w:szCs w:val="24"/>
        </w:rPr>
        <w:t xml:space="preserve">Iarbas </w:t>
      </w:r>
      <w:r w:rsidR="00A715EC">
        <w:rPr>
          <w:sz w:val="24"/>
          <w:szCs w:val="24"/>
        </w:rPr>
        <w:t xml:space="preserve">is named as the most persistent of Dido’s suitors, who goes on to play a crucial role later in the book (lines 196-220). </w:t>
      </w:r>
      <w:r w:rsidR="009F7D17">
        <w:rPr>
          <w:sz w:val="24"/>
          <w:szCs w:val="24"/>
        </w:rPr>
        <w:t>According to one version (Justin 18.6) Dido committed suicide to escape marriage with this African king.</w:t>
      </w:r>
      <w:r w:rsidR="009F7D17">
        <w:rPr>
          <w:rStyle w:val="FootnoteReference"/>
          <w:sz w:val="24"/>
          <w:szCs w:val="24"/>
        </w:rPr>
        <w:footnoteReference w:id="13"/>
      </w:r>
      <w:r w:rsidR="00A715EC">
        <w:rPr>
          <w:sz w:val="24"/>
          <w:szCs w:val="24"/>
        </w:rPr>
        <w:t xml:space="preserve"> </w:t>
      </w:r>
    </w:p>
    <w:p w14:paraId="4BA59C8D" w14:textId="77777777" w:rsidR="002B723F" w:rsidRDefault="009F7D17" w:rsidP="005C31D5">
      <w:pPr>
        <w:rPr>
          <w:sz w:val="24"/>
          <w:szCs w:val="24"/>
        </w:rPr>
      </w:pPr>
      <w:r>
        <w:rPr>
          <w:i/>
          <w:iCs/>
          <w:sz w:val="24"/>
          <w:szCs w:val="24"/>
        </w:rPr>
        <w:t xml:space="preserve">Triumphis </w:t>
      </w:r>
      <w:r>
        <w:rPr>
          <w:sz w:val="24"/>
          <w:szCs w:val="24"/>
        </w:rPr>
        <w:t xml:space="preserve">taken with </w:t>
      </w:r>
      <w:r>
        <w:rPr>
          <w:i/>
          <w:iCs/>
          <w:sz w:val="24"/>
          <w:szCs w:val="24"/>
        </w:rPr>
        <w:t xml:space="preserve">dives </w:t>
      </w:r>
      <w:r>
        <w:rPr>
          <w:sz w:val="24"/>
          <w:szCs w:val="24"/>
        </w:rPr>
        <w:t>(</w:t>
      </w:r>
      <w:r w:rsidR="001B5EF9">
        <w:rPr>
          <w:sz w:val="24"/>
          <w:szCs w:val="24"/>
        </w:rPr>
        <w:t>r</w:t>
      </w:r>
      <w:r>
        <w:rPr>
          <w:sz w:val="24"/>
          <w:szCs w:val="24"/>
        </w:rPr>
        <w:t xml:space="preserve">ich in triumphs line 37) There are many wars, thus many triumphs, therefore many </w:t>
      </w:r>
      <w:r>
        <w:rPr>
          <w:i/>
          <w:iCs/>
          <w:sz w:val="24"/>
          <w:szCs w:val="24"/>
        </w:rPr>
        <w:t>ductores</w:t>
      </w:r>
      <w:r w:rsidR="002B723F">
        <w:rPr>
          <w:sz w:val="24"/>
          <w:szCs w:val="24"/>
        </w:rPr>
        <w:t xml:space="preserve"> </w:t>
      </w:r>
      <w:r>
        <w:rPr>
          <w:i/>
          <w:iCs/>
          <w:sz w:val="24"/>
          <w:szCs w:val="24"/>
        </w:rPr>
        <w:t xml:space="preserve"> </w:t>
      </w:r>
      <w:r w:rsidR="002B723F">
        <w:rPr>
          <w:sz w:val="24"/>
          <w:szCs w:val="24"/>
        </w:rPr>
        <w:t>(</w:t>
      </w:r>
      <w:r>
        <w:rPr>
          <w:sz w:val="24"/>
          <w:szCs w:val="24"/>
        </w:rPr>
        <w:t>lords</w:t>
      </w:r>
      <w:r w:rsidR="002B723F">
        <w:rPr>
          <w:sz w:val="24"/>
          <w:szCs w:val="24"/>
        </w:rPr>
        <w:t>)</w:t>
      </w:r>
      <w:r>
        <w:rPr>
          <w:sz w:val="24"/>
          <w:szCs w:val="24"/>
        </w:rPr>
        <w:t xml:space="preserve">. </w:t>
      </w:r>
      <w:r w:rsidR="00A364B0">
        <w:rPr>
          <w:sz w:val="24"/>
          <w:szCs w:val="24"/>
        </w:rPr>
        <w:t xml:space="preserve"> We have a reference to African history as known to Virgil’s readers: the three great wars against Carthage, which extended from 264 BC until 146 BC when Carthage was </w:t>
      </w:r>
      <w:r w:rsidR="00340A7B">
        <w:rPr>
          <w:sz w:val="24"/>
          <w:szCs w:val="24"/>
        </w:rPr>
        <w:t>destroyed,</w:t>
      </w:r>
      <w:r w:rsidR="00A364B0">
        <w:rPr>
          <w:sz w:val="24"/>
          <w:szCs w:val="24"/>
        </w:rPr>
        <w:t xml:space="preserve"> and an oath taken that the site should never again be settled</w:t>
      </w:r>
      <w:r w:rsidR="00340A7B">
        <w:rPr>
          <w:sz w:val="24"/>
          <w:szCs w:val="24"/>
        </w:rPr>
        <w:t>; the war against Jugurtha (The Numidians)</w:t>
      </w:r>
      <w:r w:rsidR="001B5EF9">
        <w:rPr>
          <w:sz w:val="24"/>
          <w:szCs w:val="24"/>
        </w:rPr>
        <w:t>,</w:t>
      </w:r>
      <w:r w:rsidR="00340A7B">
        <w:rPr>
          <w:sz w:val="24"/>
          <w:szCs w:val="24"/>
        </w:rPr>
        <w:t xml:space="preserve"> and the wars of conquest which were taking place as Virgil was writing.</w:t>
      </w:r>
      <w:r w:rsidR="00340A7B">
        <w:rPr>
          <w:rStyle w:val="FootnoteReference"/>
          <w:sz w:val="24"/>
          <w:szCs w:val="24"/>
        </w:rPr>
        <w:footnoteReference w:id="14"/>
      </w:r>
      <w:r w:rsidR="00340A7B">
        <w:rPr>
          <w:sz w:val="24"/>
          <w:szCs w:val="24"/>
        </w:rPr>
        <w:t xml:space="preserve"> Anna is indicating the power of those whom Dido </w:t>
      </w:r>
      <w:r w:rsidR="00340A7B">
        <w:rPr>
          <w:sz w:val="24"/>
          <w:szCs w:val="24"/>
        </w:rPr>
        <w:lastRenderedPageBreak/>
        <w:t>has rejected.</w:t>
      </w:r>
      <w:r w:rsidR="00340A7B">
        <w:rPr>
          <w:rStyle w:val="FootnoteReference"/>
          <w:sz w:val="24"/>
          <w:szCs w:val="24"/>
        </w:rPr>
        <w:footnoteReference w:id="15"/>
      </w:r>
      <w:r w:rsidR="00340A7B">
        <w:rPr>
          <w:sz w:val="24"/>
          <w:szCs w:val="24"/>
        </w:rPr>
        <w:t xml:space="preserve"> </w:t>
      </w:r>
      <w:r w:rsidR="00340A7B">
        <w:rPr>
          <w:i/>
          <w:iCs/>
          <w:sz w:val="24"/>
          <w:szCs w:val="24"/>
        </w:rPr>
        <w:t>Placitone etiam pugnabis amori</w:t>
      </w:r>
      <w:r w:rsidR="00CC266D">
        <w:rPr>
          <w:i/>
          <w:iCs/>
          <w:sz w:val="24"/>
          <w:szCs w:val="24"/>
        </w:rPr>
        <w:t xml:space="preserve"> </w:t>
      </w:r>
      <w:r w:rsidR="00340A7B">
        <w:rPr>
          <w:i/>
          <w:iCs/>
          <w:sz w:val="24"/>
          <w:szCs w:val="24"/>
        </w:rPr>
        <w:t xml:space="preserve"> </w:t>
      </w:r>
      <w:r w:rsidR="00340A7B">
        <w:rPr>
          <w:sz w:val="24"/>
          <w:szCs w:val="24"/>
        </w:rPr>
        <w:t>(</w:t>
      </w:r>
      <w:r w:rsidR="001B5EF9">
        <w:rPr>
          <w:sz w:val="24"/>
          <w:szCs w:val="24"/>
        </w:rPr>
        <w:t>line</w:t>
      </w:r>
      <w:r w:rsidR="00C92DD2">
        <w:rPr>
          <w:sz w:val="24"/>
          <w:szCs w:val="24"/>
        </w:rPr>
        <w:t xml:space="preserve"> 38, </w:t>
      </w:r>
      <w:r w:rsidR="00340A7B">
        <w:rPr>
          <w:sz w:val="24"/>
          <w:szCs w:val="24"/>
        </w:rPr>
        <w:t>Will you wrestle against a love that pleases?</w:t>
      </w:r>
      <w:r w:rsidR="00873D41">
        <w:rPr>
          <w:sz w:val="24"/>
          <w:szCs w:val="24"/>
        </w:rPr>
        <w:t>)</w:t>
      </w:r>
      <w:r w:rsidR="00340A7B">
        <w:rPr>
          <w:sz w:val="24"/>
          <w:szCs w:val="24"/>
        </w:rPr>
        <w:t xml:space="preserve"> </w:t>
      </w:r>
      <w:r w:rsidR="00C92DD2">
        <w:rPr>
          <w:sz w:val="24"/>
          <w:szCs w:val="24"/>
        </w:rPr>
        <w:t xml:space="preserve"> Anna questions the sense of struggling against a love that pleases</w:t>
      </w:r>
      <w:r w:rsidR="00340A7B">
        <w:rPr>
          <w:sz w:val="24"/>
          <w:szCs w:val="24"/>
        </w:rPr>
        <w:t>.</w:t>
      </w:r>
      <w:r w:rsidR="00873D41">
        <w:rPr>
          <w:sz w:val="24"/>
          <w:szCs w:val="24"/>
        </w:rPr>
        <w:t xml:space="preserve"> </w:t>
      </w:r>
    </w:p>
    <w:p w14:paraId="71FE493F" w14:textId="4EB7F09A" w:rsidR="00723C7A" w:rsidRDefault="00873D41" w:rsidP="005C31D5">
      <w:pPr>
        <w:rPr>
          <w:sz w:val="24"/>
          <w:szCs w:val="24"/>
        </w:rPr>
      </w:pPr>
      <w:r>
        <w:rPr>
          <w:sz w:val="24"/>
          <w:szCs w:val="24"/>
        </w:rPr>
        <w:t xml:space="preserve"> </w:t>
      </w:r>
      <w:r w:rsidR="00A60FD3">
        <w:rPr>
          <w:sz w:val="24"/>
          <w:szCs w:val="24"/>
        </w:rPr>
        <w:t>Harrison considers</w:t>
      </w:r>
      <w:r w:rsidR="00971F36">
        <w:rPr>
          <w:sz w:val="24"/>
          <w:szCs w:val="24"/>
        </w:rPr>
        <w:t xml:space="preserve"> whether Dido’s moral flaw was being susceptible to men</w:t>
      </w:r>
      <w:r w:rsidR="002B723F">
        <w:rPr>
          <w:sz w:val="24"/>
          <w:szCs w:val="24"/>
        </w:rPr>
        <w:t>,</w:t>
      </w:r>
      <w:r w:rsidR="00971F36">
        <w:rPr>
          <w:sz w:val="24"/>
          <w:szCs w:val="24"/>
        </w:rPr>
        <w:t xml:space="preserve"> but then goes on to question this as, since Sychaeus’ death she had had no dealings with any men and this (we are assured by Anna’s words) was not from a lack of opportunity.</w:t>
      </w:r>
      <w:r w:rsidR="00971F36">
        <w:rPr>
          <w:rStyle w:val="FootnoteReference"/>
          <w:sz w:val="24"/>
          <w:szCs w:val="24"/>
        </w:rPr>
        <w:footnoteReference w:id="16"/>
      </w:r>
      <w:r w:rsidR="00723C7A">
        <w:rPr>
          <w:sz w:val="24"/>
          <w:szCs w:val="24"/>
        </w:rPr>
        <w:t xml:space="preserve"> </w:t>
      </w:r>
      <w:r w:rsidR="002B723F">
        <w:rPr>
          <w:sz w:val="24"/>
          <w:szCs w:val="24"/>
        </w:rPr>
        <w:t>Clearly Anna believed that the</w:t>
      </w:r>
      <w:r w:rsidR="004E0E65">
        <w:rPr>
          <w:sz w:val="24"/>
          <w:szCs w:val="24"/>
        </w:rPr>
        <w:t xml:space="preserve"> time of mourning had now come to an end. </w:t>
      </w:r>
    </w:p>
    <w:p w14:paraId="080E021A" w14:textId="77777777" w:rsidR="00E04EC5" w:rsidRDefault="00723C7A" w:rsidP="005C31D5">
      <w:pPr>
        <w:rPr>
          <w:sz w:val="24"/>
          <w:szCs w:val="24"/>
        </w:rPr>
      </w:pPr>
      <w:r>
        <w:rPr>
          <w:sz w:val="24"/>
          <w:szCs w:val="24"/>
        </w:rPr>
        <w:t xml:space="preserve"> </w:t>
      </w:r>
      <w:r w:rsidR="00AF679A">
        <w:rPr>
          <w:sz w:val="24"/>
          <w:szCs w:val="24"/>
        </w:rPr>
        <w:t xml:space="preserve"> </w:t>
      </w:r>
      <w:r>
        <w:rPr>
          <w:sz w:val="24"/>
          <w:szCs w:val="24"/>
        </w:rPr>
        <w:t>It is possible</w:t>
      </w:r>
      <w:r w:rsidR="004E0E65">
        <w:rPr>
          <w:sz w:val="24"/>
          <w:szCs w:val="24"/>
        </w:rPr>
        <w:t xml:space="preserve"> that Dido </w:t>
      </w:r>
      <w:r>
        <w:rPr>
          <w:sz w:val="24"/>
          <w:szCs w:val="24"/>
        </w:rPr>
        <w:t xml:space="preserve">didn’t so much feel </w:t>
      </w:r>
      <w:r w:rsidR="004E0E65">
        <w:rPr>
          <w:sz w:val="24"/>
          <w:szCs w:val="24"/>
        </w:rPr>
        <w:t>grief for Sychaeus</w:t>
      </w:r>
      <w:r w:rsidR="00AF679A">
        <w:rPr>
          <w:sz w:val="24"/>
          <w:szCs w:val="24"/>
        </w:rPr>
        <w:t>,</w:t>
      </w:r>
      <w:r w:rsidR="004E0E65">
        <w:rPr>
          <w:sz w:val="24"/>
          <w:szCs w:val="24"/>
        </w:rPr>
        <w:t xml:space="preserve"> </w:t>
      </w:r>
      <w:r w:rsidR="00AF679A">
        <w:rPr>
          <w:sz w:val="24"/>
          <w:szCs w:val="24"/>
        </w:rPr>
        <w:t>but rather for the disagreeable nature of her suitors</w:t>
      </w:r>
      <w:r w:rsidR="00873D41">
        <w:rPr>
          <w:sz w:val="24"/>
          <w:szCs w:val="24"/>
        </w:rPr>
        <w:t xml:space="preserve"> which, given Dido’s tendency not to</w:t>
      </w:r>
      <w:r w:rsidR="002B723F">
        <w:rPr>
          <w:sz w:val="24"/>
          <w:szCs w:val="24"/>
        </w:rPr>
        <w:t xml:space="preserve"> wish to move forward</w:t>
      </w:r>
      <w:r w:rsidR="00873D41">
        <w:rPr>
          <w:sz w:val="24"/>
          <w:szCs w:val="24"/>
        </w:rPr>
        <w:t>,</w:t>
      </w:r>
      <w:r w:rsidR="002B723F">
        <w:rPr>
          <w:sz w:val="24"/>
          <w:szCs w:val="24"/>
        </w:rPr>
        <w:t xml:space="preserve"> entrenches her position</w:t>
      </w:r>
      <w:r w:rsidR="00873D41">
        <w:rPr>
          <w:sz w:val="24"/>
          <w:szCs w:val="24"/>
        </w:rPr>
        <w:t xml:space="preserve">. </w:t>
      </w:r>
      <w:r w:rsidR="00DC6C42">
        <w:rPr>
          <w:sz w:val="24"/>
          <w:szCs w:val="24"/>
        </w:rPr>
        <w:t>Given</w:t>
      </w:r>
      <w:r w:rsidR="00AF679A">
        <w:rPr>
          <w:sz w:val="24"/>
          <w:szCs w:val="24"/>
        </w:rPr>
        <w:t xml:space="preserve"> that an agreeable suitor had </w:t>
      </w:r>
      <w:r w:rsidR="00DC6C42">
        <w:rPr>
          <w:sz w:val="24"/>
          <w:szCs w:val="24"/>
        </w:rPr>
        <w:t xml:space="preserve">now </w:t>
      </w:r>
      <w:r w:rsidR="00AF679A">
        <w:rPr>
          <w:sz w:val="24"/>
          <w:szCs w:val="24"/>
        </w:rPr>
        <w:t>arrived, things could very well be different.</w:t>
      </w:r>
      <w:r w:rsidR="001B5EF9">
        <w:rPr>
          <w:rStyle w:val="FootnoteReference"/>
          <w:sz w:val="24"/>
          <w:szCs w:val="24"/>
        </w:rPr>
        <w:footnoteReference w:id="17"/>
      </w:r>
      <w:r w:rsidR="00AF679A">
        <w:rPr>
          <w:sz w:val="24"/>
          <w:szCs w:val="24"/>
        </w:rPr>
        <w:t xml:space="preserve"> </w:t>
      </w:r>
      <w:r w:rsidR="001B5EF9">
        <w:rPr>
          <w:sz w:val="24"/>
          <w:szCs w:val="24"/>
        </w:rPr>
        <w:t xml:space="preserve"> </w:t>
      </w:r>
      <w:r w:rsidR="00971F36">
        <w:rPr>
          <w:sz w:val="24"/>
          <w:szCs w:val="24"/>
        </w:rPr>
        <w:t xml:space="preserve">One </w:t>
      </w:r>
      <w:r w:rsidR="00E04EC5">
        <w:rPr>
          <w:sz w:val="24"/>
          <w:szCs w:val="24"/>
        </w:rPr>
        <w:t xml:space="preserve">clearly </w:t>
      </w:r>
      <w:r w:rsidR="00971F36">
        <w:rPr>
          <w:sz w:val="24"/>
          <w:szCs w:val="24"/>
        </w:rPr>
        <w:t>doesn’t get the impression that Dido was given to wild acts of impetuosity, rather we gain an impression of steadiness and dignity.</w:t>
      </w:r>
      <w:r w:rsidR="00971F36">
        <w:rPr>
          <w:rStyle w:val="FootnoteReference"/>
          <w:sz w:val="24"/>
          <w:szCs w:val="24"/>
        </w:rPr>
        <w:footnoteReference w:id="18"/>
      </w:r>
      <w:r w:rsidR="00AF679A">
        <w:rPr>
          <w:sz w:val="24"/>
          <w:szCs w:val="24"/>
        </w:rPr>
        <w:t xml:space="preserve"> </w:t>
      </w:r>
    </w:p>
    <w:p w14:paraId="26C332D1" w14:textId="0F2FBA2F" w:rsidR="00CC266D" w:rsidRDefault="00E04EC5" w:rsidP="005C31D5">
      <w:pPr>
        <w:rPr>
          <w:sz w:val="24"/>
          <w:szCs w:val="24"/>
        </w:rPr>
      </w:pPr>
      <w:r>
        <w:rPr>
          <w:sz w:val="24"/>
          <w:szCs w:val="24"/>
        </w:rPr>
        <w:t xml:space="preserve">  </w:t>
      </w:r>
      <w:r w:rsidR="00AF679A">
        <w:rPr>
          <w:sz w:val="24"/>
          <w:szCs w:val="24"/>
        </w:rPr>
        <w:t>From having certain sympathy for Dido’s scruples, Anna now completely disregards them,</w:t>
      </w:r>
      <w:r w:rsidR="00AF679A">
        <w:rPr>
          <w:rStyle w:val="FootnoteReference"/>
          <w:sz w:val="24"/>
          <w:szCs w:val="24"/>
        </w:rPr>
        <w:footnoteReference w:id="19"/>
      </w:r>
      <w:r w:rsidR="00AF679A">
        <w:rPr>
          <w:sz w:val="24"/>
          <w:szCs w:val="24"/>
        </w:rPr>
        <w:t xml:space="preserve"> and thus plays</w:t>
      </w:r>
      <w:r w:rsidR="00DC6C42">
        <w:rPr>
          <w:sz w:val="24"/>
          <w:szCs w:val="24"/>
        </w:rPr>
        <w:t xml:space="preserve"> a role similar to</w:t>
      </w:r>
      <w:r w:rsidR="00AF679A">
        <w:rPr>
          <w:sz w:val="24"/>
          <w:szCs w:val="24"/>
        </w:rPr>
        <w:t xml:space="preserve"> that of the nurse in Euripides’ </w:t>
      </w:r>
      <w:r w:rsidR="00AF679A">
        <w:rPr>
          <w:i/>
          <w:iCs/>
          <w:sz w:val="24"/>
          <w:szCs w:val="24"/>
        </w:rPr>
        <w:t xml:space="preserve">Hippolytus, </w:t>
      </w:r>
      <w:r w:rsidR="00AF679A">
        <w:rPr>
          <w:sz w:val="24"/>
          <w:szCs w:val="24"/>
        </w:rPr>
        <w:t>who, although well-disposed to Phaedra, disastrously urges her to ignore her sense of guilt and indulge her love for Hippolytus</w:t>
      </w:r>
      <w:r w:rsidR="0052142D">
        <w:rPr>
          <w:sz w:val="24"/>
          <w:szCs w:val="24"/>
        </w:rPr>
        <w:t>, son of her husband Theseus by another woman.  Subsequently scorned by Hippolytus, and believing that he will betray her to Theseus, she kills herself.</w:t>
      </w:r>
      <w:r w:rsidR="0052142D">
        <w:rPr>
          <w:rStyle w:val="FootnoteReference"/>
          <w:sz w:val="24"/>
          <w:szCs w:val="24"/>
        </w:rPr>
        <w:footnoteReference w:id="20"/>
      </w:r>
      <w:r w:rsidR="004E0E65">
        <w:rPr>
          <w:sz w:val="24"/>
          <w:szCs w:val="24"/>
        </w:rPr>
        <w:t xml:space="preserve"> </w:t>
      </w:r>
    </w:p>
    <w:p w14:paraId="721F7A6B" w14:textId="29171906" w:rsidR="00B75427" w:rsidRDefault="00B75427" w:rsidP="005C31D5">
      <w:pPr>
        <w:rPr>
          <w:sz w:val="24"/>
          <w:szCs w:val="24"/>
        </w:rPr>
      </w:pPr>
      <w:r>
        <w:rPr>
          <w:sz w:val="24"/>
          <w:szCs w:val="24"/>
        </w:rPr>
        <w:t xml:space="preserve">  </w:t>
      </w:r>
      <w:r>
        <w:rPr>
          <w:i/>
          <w:iCs/>
          <w:sz w:val="24"/>
          <w:szCs w:val="24"/>
        </w:rPr>
        <w:t xml:space="preserve">Venit in mentem…..quorum consideris Arvis? </w:t>
      </w:r>
      <w:r>
        <w:rPr>
          <w:sz w:val="24"/>
          <w:szCs w:val="24"/>
        </w:rPr>
        <w:t xml:space="preserve">(line 39, Does it not come to </w:t>
      </w:r>
      <w:r w:rsidR="00873D41">
        <w:rPr>
          <w:sz w:val="24"/>
          <w:szCs w:val="24"/>
        </w:rPr>
        <w:t>your</w:t>
      </w:r>
      <w:r>
        <w:rPr>
          <w:sz w:val="24"/>
          <w:szCs w:val="24"/>
        </w:rPr>
        <w:t xml:space="preserve"> mind in whose territory you have settled?) Dido had bought a strip of land from her neighbours, perhaps from Iarbas himself (Aeneid I: 367)</w:t>
      </w:r>
      <w:r w:rsidR="00DC6C42">
        <w:rPr>
          <w:sz w:val="24"/>
          <w:szCs w:val="24"/>
        </w:rPr>
        <w:t>, and had</w:t>
      </w:r>
      <w:r>
        <w:rPr>
          <w:sz w:val="24"/>
          <w:szCs w:val="24"/>
        </w:rPr>
        <w:t xml:space="preserve"> told the Trojans about her need to defend her kingdom against local attack (Aeneid I: 563-4) </w:t>
      </w:r>
      <w:r w:rsidR="00BD1C05">
        <w:rPr>
          <w:i/>
          <w:iCs/>
          <w:sz w:val="24"/>
          <w:szCs w:val="24"/>
        </w:rPr>
        <w:t xml:space="preserve">res dura et regni novitas me talia cogunt moliri et late finis custode tueri </w:t>
      </w:r>
      <w:r w:rsidR="00BD1C05">
        <w:rPr>
          <w:sz w:val="24"/>
          <w:szCs w:val="24"/>
        </w:rPr>
        <w:t>(</w:t>
      </w:r>
      <w:r w:rsidR="001B5EF9">
        <w:rPr>
          <w:sz w:val="24"/>
          <w:szCs w:val="24"/>
        </w:rPr>
        <w:t>s</w:t>
      </w:r>
      <w:r w:rsidR="00BD1C05">
        <w:rPr>
          <w:sz w:val="24"/>
          <w:szCs w:val="24"/>
        </w:rPr>
        <w:t xml:space="preserve">tern necessity and the new estate of my kingdom force me to do such hard deeds and to protect my frontiers far and wide with guards). Anna knew the kind of argument that </w:t>
      </w:r>
      <w:r w:rsidR="00723C7A">
        <w:rPr>
          <w:sz w:val="24"/>
          <w:szCs w:val="24"/>
        </w:rPr>
        <w:t>would</w:t>
      </w:r>
      <w:r w:rsidR="00BD1C05">
        <w:rPr>
          <w:sz w:val="24"/>
          <w:szCs w:val="24"/>
        </w:rPr>
        <w:t xml:space="preserve"> sway Dido.</w:t>
      </w:r>
      <w:r w:rsidR="00BD1C05">
        <w:rPr>
          <w:rStyle w:val="FootnoteReference"/>
          <w:sz w:val="24"/>
          <w:szCs w:val="24"/>
        </w:rPr>
        <w:footnoteReference w:id="21"/>
      </w:r>
      <w:r w:rsidR="00BD1C05">
        <w:rPr>
          <w:sz w:val="24"/>
          <w:szCs w:val="24"/>
        </w:rPr>
        <w:t xml:space="preserve"> </w:t>
      </w:r>
    </w:p>
    <w:p w14:paraId="3F20F8C9" w14:textId="350668D4" w:rsidR="00873D41" w:rsidRDefault="00BD1C05" w:rsidP="005C31D5">
      <w:pPr>
        <w:rPr>
          <w:sz w:val="24"/>
          <w:szCs w:val="24"/>
        </w:rPr>
      </w:pPr>
      <w:r w:rsidRPr="00BD1C05">
        <w:rPr>
          <w:i/>
          <w:iCs/>
          <w:sz w:val="24"/>
          <w:szCs w:val="24"/>
        </w:rPr>
        <w:t xml:space="preserve">  Gaetulae</w:t>
      </w:r>
      <w:r>
        <w:rPr>
          <w:i/>
          <w:iCs/>
          <w:sz w:val="24"/>
          <w:szCs w:val="24"/>
        </w:rPr>
        <w:t>….</w:t>
      </w:r>
      <w:r w:rsidRPr="00BD1C05">
        <w:rPr>
          <w:i/>
          <w:iCs/>
          <w:sz w:val="24"/>
          <w:szCs w:val="24"/>
        </w:rPr>
        <w:t>Numidae</w:t>
      </w:r>
      <w:r>
        <w:rPr>
          <w:i/>
          <w:iCs/>
          <w:sz w:val="24"/>
          <w:szCs w:val="24"/>
        </w:rPr>
        <w:t xml:space="preserve">….Syrtis </w:t>
      </w:r>
      <w:r>
        <w:rPr>
          <w:sz w:val="24"/>
          <w:szCs w:val="24"/>
        </w:rPr>
        <w:t xml:space="preserve">(lines 40-41).  </w:t>
      </w:r>
      <w:r w:rsidR="00CC38B2">
        <w:rPr>
          <w:sz w:val="24"/>
          <w:szCs w:val="24"/>
        </w:rPr>
        <w:t xml:space="preserve">The Numidians were fine horsemen and used no bridles </w:t>
      </w:r>
      <w:r w:rsidR="00CC38B2">
        <w:rPr>
          <w:i/>
          <w:iCs/>
          <w:sz w:val="24"/>
          <w:szCs w:val="24"/>
        </w:rPr>
        <w:t xml:space="preserve">infreni, </w:t>
      </w:r>
      <w:r w:rsidR="00CC38B2">
        <w:rPr>
          <w:sz w:val="24"/>
          <w:szCs w:val="24"/>
        </w:rPr>
        <w:t>a term probably coined by Virgil, who suggests that they were perhaps  unable to bridle themselves.</w:t>
      </w:r>
      <w:r w:rsidR="00CC38B2">
        <w:rPr>
          <w:rStyle w:val="FootnoteReference"/>
          <w:sz w:val="24"/>
          <w:szCs w:val="24"/>
        </w:rPr>
        <w:footnoteReference w:id="22"/>
      </w:r>
      <w:r w:rsidR="00CC38B2">
        <w:rPr>
          <w:sz w:val="24"/>
          <w:szCs w:val="24"/>
        </w:rPr>
        <w:t xml:space="preserve"> It could suggest the metaphorical meaning of ‘wild’,</w:t>
      </w:r>
      <w:r w:rsidR="00CC38B2">
        <w:rPr>
          <w:rStyle w:val="FootnoteReference"/>
          <w:sz w:val="24"/>
          <w:szCs w:val="24"/>
        </w:rPr>
        <w:footnoteReference w:id="23"/>
      </w:r>
      <w:r w:rsidR="00CC38B2">
        <w:rPr>
          <w:sz w:val="24"/>
          <w:szCs w:val="24"/>
        </w:rPr>
        <w:t xml:space="preserve"> or ‘unrestrained by any law’.</w:t>
      </w:r>
      <w:r w:rsidR="00CC38B2">
        <w:rPr>
          <w:rStyle w:val="FootnoteReference"/>
          <w:sz w:val="24"/>
          <w:szCs w:val="24"/>
        </w:rPr>
        <w:footnoteReference w:id="24"/>
      </w:r>
      <w:r w:rsidR="00CC38B2">
        <w:rPr>
          <w:sz w:val="24"/>
          <w:szCs w:val="24"/>
        </w:rPr>
        <w:t xml:space="preserve"> They occupied the territory to the west of Carthage.  </w:t>
      </w:r>
      <w:r w:rsidR="00CC38B2">
        <w:rPr>
          <w:i/>
          <w:iCs/>
          <w:sz w:val="24"/>
          <w:szCs w:val="24"/>
        </w:rPr>
        <w:t xml:space="preserve">Syrtis </w:t>
      </w:r>
      <w:r w:rsidR="00CC38B2">
        <w:rPr>
          <w:sz w:val="24"/>
          <w:szCs w:val="24"/>
        </w:rPr>
        <w:t>is the name given to the proverbially dangerous seas, full of shifting sandbanks, off Cyrenaica, in the Gulf of Libya. Such a perilous sea-approach still further isolated Dido.</w:t>
      </w:r>
      <w:r w:rsidR="00CC38B2">
        <w:rPr>
          <w:rStyle w:val="FootnoteReference"/>
          <w:sz w:val="24"/>
          <w:szCs w:val="24"/>
        </w:rPr>
        <w:footnoteReference w:id="25"/>
      </w:r>
      <w:r w:rsidR="00CC38B2">
        <w:rPr>
          <w:sz w:val="24"/>
          <w:szCs w:val="24"/>
        </w:rPr>
        <w:t xml:space="preserve">  </w:t>
      </w:r>
      <w:r w:rsidR="00CC38B2">
        <w:rPr>
          <w:i/>
          <w:iCs/>
          <w:sz w:val="24"/>
          <w:szCs w:val="24"/>
        </w:rPr>
        <w:t>Gaetulae</w:t>
      </w:r>
      <w:r w:rsidR="00064FCE">
        <w:rPr>
          <w:i/>
          <w:iCs/>
          <w:sz w:val="24"/>
          <w:szCs w:val="24"/>
        </w:rPr>
        <w:t xml:space="preserve"> </w:t>
      </w:r>
      <w:r w:rsidR="00064FCE">
        <w:rPr>
          <w:sz w:val="24"/>
          <w:szCs w:val="24"/>
        </w:rPr>
        <w:t xml:space="preserve">The Gaetuli were a tribe of the African interior to the south of Carthage. As Maclennan states, Anna gives a brilliant summary of the threats facing Dido; going from south to east, she chooses a contrasting idea to suit each threat: the Gaetuli with their desert strongholds, the </w:t>
      </w:r>
      <w:r w:rsidR="00064FCE">
        <w:rPr>
          <w:sz w:val="24"/>
          <w:szCs w:val="24"/>
        </w:rPr>
        <w:lastRenderedPageBreak/>
        <w:t xml:space="preserve">Numidians with their horses, the Barcaei  (line 43) emerging howling from the desert. The open sea to the north </w:t>
      </w:r>
      <w:r w:rsidR="007757B1">
        <w:rPr>
          <w:sz w:val="24"/>
          <w:szCs w:val="24"/>
        </w:rPr>
        <w:t>she</w:t>
      </w:r>
      <w:r w:rsidR="00064FCE">
        <w:rPr>
          <w:sz w:val="24"/>
          <w:szCs w:val="24"/>
        </w:rPr>
        <w:t xml:space="preserve"> leaves until last, emphasising its most fearsome and unpredictable danger.</w:t>
      </w:r>
      <w:r w:rsidR="00064FCE">
        <w:rPr>
          <w:rStyle w:val="FootnoteReference"/>
          <w:sz w:val="24"/>
          <w:szCs w:val="24"/>
        </w:rPr>
        <w:footnoteReference w:id="26"/>
      </w:r>
      <w:r w:rsidR="00064FCE">
        <w:rPr>
          <w:sz w:val="24"/>
          <w:szCs w:val="24"/>
        </w:rPr>
        <w:t xml:space="preserve"> </w:t>
      </w:r>
      <w:r w:rsidR="007757B1">
        <w:rPr>
          <w:sz w:val="24"/>
          <w:szCs w:val="24"/>
        </w:rPr>
        <w:t xml:space="preserve">The Barcaei </w:t>
      </w:r>
      <w:r w:rsidR="00E04EC5">
        <w:rPr>
          <w:sz w:val="24"/>
          <w:szCs w:val="24"/>
        </w:rPr>
        <w:t xml:space="preserve"> </w:t>
      </w:r>
      <w:r w:rsidR="007757B1">
        <w:rPr>
          <w:i/>
          <w:iCs/>
          <w:sz w:val="24"/>
          <w:szCs w:val="24"/>
        </w:rPr>
        <w:t xml:space="preserve">late..furentes </w:t>
      </w:r>
      <w:r w:rsidR="007757B1">
        <w:rPr>
          <w:sz w:val="24"/>
          <w:szCs w:val="24"/>
        </w:rPr>
        <w:t xml:space="preserve">(raging far and wide) are the inhabitants of Barce, near modern Tripoli in Libya. The area is deserted because of drought </w:t>
      </w:r>
      <w:r w:rsidR="007757B1">
        <w:rPr>
          <w:i/>
          <w:iCs/>
          <w:sz w:val="24"/>
          <w:szCs w:val="24"/>
        </w:rPr>
        <w:t xml:space="preserve">deserta siti regio, </w:t>
      </w:r>
      <w:r w:rsidR="007757B1">
        <w:rPr>
          <w:sz w:val="24"/>
          <w:szCs w:val="24"/>
        </w:rPr>
        <w:t>where the Barcaei lived a nomadic life</w:t>
      </w:r>
      <w:r w:rsidR="00EA7FCC">
        <w:rPr>
          <w:sz w:val="24"/>
          <w:szCs w:val="24"/>
        </w:rPr>
        <w:t>. Barca was also the name of the family to which Hasdrubal and Hannibal belonged, of whose battle-fury nature the Romans were all too aware.</w:t>
      </w:r>
      <w:r w:rsidR="00EA7FCC">
        <w:rPr>
          <w:rStyle w:val="FootnoteReference"/>
          <w:sz w:val="24"/>
          <w:szCs w:val="24"/>
        </w:rPr>
        <w:footnoteReference w:id="27"/>
      </w:r>
      <w:r w:rsidR="00EA7FCC">
        <w:rPr>
          <w:sz w:val="24"/>
          <w:szCs w:val="24"/>
        </w:rPr>
        <w:t xml:space="preserve">  Some editors are annoyed by Virgil’s ‘loose geography’ given that Barce is 700 miles from Carthage, but as Austin states, he wasn’t writing a guidebook.</w:t>
      </w:r>
      <w:r w:rsidR="00EA7FCC">
        <w:rPr>
          <w:rStyle w:val="FootnoteReference"/>
          <w:sz w:val="24"/>
          <w:szCs w:val="24"/>
        </w:rPr>
        <w:footnoteReference w:id="28"/>
      </w:r>
      <w:r w:rsidR="00EA7FCC">
        <w:rPr>
          <w:sz w:val="24"/>
          <w:szCs w:val="24"/>
        </w:rPr>
        <w:t xml:space="preserve"> </w:t>
      </w:r>
    </w:p>
    <w:p w14:paraId="1AFBA724" w14:textId="342643BE" w:rsidR="00BD1C05" w:rsidRPr="00CF5342" w:rsidRDefault="00873D41" w:rsidP="005C31D5">
      <w:pPr>
        <w:rPr>
          <w:sz w:val="24"/>
          <w:szCs w:val="24"/>
        </w:rPr>
      </w:pPr>
      <w:r>
        <w:rPr>
          <w:sz w:val="24"/>
          <w:szCs w:val="24"/>
        </w:rPr>
        <w:t xml:space="preserve">  </w:t>
      </w:r>
      <w:r w:rsidR="001B5EF9">
        <w:rPr>
          <w:sz w:val="24"/>
          <w:szCs w:val="24"/>
        </w:rPr>
        <w:t>Anna did all she could to prove to Dido that marriage to Aeneas was the sensible course, not least that Carthage was a rising city in a hostile land and that Dido needed Aeneas.</w:t>
      </w:r>
      <w:r w:rsidR="001B5EF9">
        <w:rPr>
          <w:rStyle w:val="FootnoteReference"/>
          <w:sz w:val="24"/>
          <w:szCs w:val="24"/>
        </w:rPr>
        <w:footnoteReference w:id="29"/>
      </w:r>
      <w:r w:rsidR="008E3FC3">
        <w:rPr>
          <w:sz w:val="24"/>
          <w:szCs w:val="24"/>
        </w:rPr>
        <w:t xml:space="preserve"> Thus, having opened her speech with the sexual and personal aspects of Dido’s feelings for Aeneas, Anna goes on to stress the dangers which surround her kingdom. </w:t>
      </w:r>
      <w:r>
        <w:rPr>
          <w:sz w:val="24"/>
          <w:szCs w:val="24"/>
        </w:rPr>
        <w:t>Like</w:t>
      </w:r>
      <w:r w:rsidR="008E3FC3">
        <w:rPr>
          <w:sz w:val="24"/>
          <w:szCs w:val="24"/>
        </w:rPr>
        <w:t xml:space="preserve"> Hypsipyle, Dido, a reigning queen, faces danger. Anna, like Polyxo, plays on this fear of attack by recommending the advantages of ensuring the presence of a male protector.</w:t>
      </w:r>
      <w:r w:rsidR="008E3FC3">
        <w:rPr>
          <w:rStyle w:val="FootnoteReference"/>
          <w:sz w:val="24"/>
          <w:szCs w:val="24"/>
        </w:rPr>
        <w:footnoteReference w:id="30"/>
      </w:r>
      <w:r w:rsidR="008E3FC3">
        <w:rPr>
          <w:sz w:val="24"/>
          <w:szCs w:val="24"/>
        </w:rPr>
        <w:t xml:space="preserve"> Polyxo</w:t>
      </w:r>
      <w:r w:rsidR="00DC6C42">
        <w:rPr>
          <w:sz w:val="24"/>
          <w:szCs w:val="24"/>
        </w:rPr>
        <w:t xml:space="preserve"> had </w:t>
      </w:r>
      <w:r w:rsidR="008E3FC3">
        <w:rPr>
          <w:sz w:val="24"/>
          <w:szCs w:val="24"/>
        </w:rPr>
        <w:t xml:space="preserve"> advised the Lemnians that they should confide their homes, their belongings and their whole city to the care of the </w:t>
      </w:r>
      <w:r w:rsidR="00CF5342">
        <w:rPr>
          <w:sz w:val="24"/>
          <w:szCs w:val="24"/>
        </w:rPr>
        <w:t>Argonauts</w:t>
      </w:r>
      <w:r w:rsidR="008E3FC3">
        <w:rPr>
          <w:sz w:val="24"/>
          <w:szCs w:val="24"/>
        </w:rPr>
        <w:t xml:space="preserve"> as a solution to their problems </w:t>
      </w:r>
      <w:r w:rsidR="00CF5342">
        <w:rPr>
          <w:sz w:val="24"/>
          <w:szCs w:val="24"/>
        </w:rPr>
        <w:t>(</w:t>
      </w:r>
      <w:r w:rsidR="00CF5342">
        <w:rPr>
          <w:i/>
          <w:iCs/>
          <w:sz w:val="24"/>
          <w:szCs w:val="24"/>
        </w:rPr>
        <w:t xml:space="preserve">Arg. </w:t>
      </w:r>
      <w:r w:rsidR="00CF5342">
        <w:rPr>
          <w:sz w:val="24"/>
          <w:szCs w:val="24"/>
        </w:rPr>
        <w:t>1.695f), but Anna goes further</w:t>
      </w:r>
      <w:r w:rsidR="00DC6C42">
        <w:rPr>
          <w:sz w:val="24"/>
          <w:szCs w:val="24"/>
        </w:rPr>
        <w:t>,</w:t>
      </w:r>
      <w:r w:rsidR="00CF5342">
        <w:rPr>
          <w:sz w:val="24"/>
          <w:szCs w:val="24"/>
        </w:rPr>
        <w:t xml:space="preserve"> suggesting that the realm </w:t>
      </w:r>
      <w:r w:rsidR="00DC6C42">
        <w:rPr>
          <w:sz w:val="24"/>
          <w:szCs w:val="24"/>
        </w:rPr>
        <w:t>would</w:t>
      </w:r>
      <w:r w:rsidR="00CF5342">
        <w:rPr>
          <w:sz w:val="24"/>
          <w:szCs w:val="24"/>
        </w:rPr>
        <w:t xml:space="preserve"> benefit enormously from such a union, </w:t>
      </w:r>
      <w:r w:rsidR="00CF5342">
        <w:rPr>
          <w:i/>
          <w:iCs/>
          <w:sz w:val="24"/>
          <w:szCs w:val="24"/>
        </w:rPr>
        <w:t xml:space="preserve">Punica se quantis attolet gloria rebus! </w:t>
      </w:r>
      <w:r w:rsidR="00CF5342">
        <w:rPr>
          <w:sz w:val="24"/>
          <w:szCs w:val="24"/>
        </w:rPr>
        <w:t>(line 49,  to what heights will Punic glory soar!). Anna is thus a fusion of Polyxo and Chalciope.</w:t>
      </w:r>
      <w:r w:rsidR="00CF5342">
        <w:rPr>
          <w:rStyle w:val="FootnoteReference"/>
          <w:sz w:val="24"/>
          <w:szCs w:val="24"/>
        </w:rPr>
        <w:footnoteReference w:id="31"/>
      </w:r>
    </w:p>
    <w:p w14:paraId="5CF1CEC9" w14:textId="0F737859" w:rsidR="00124291" w:rsidRDefault="00124291" w:rsidP="005C31D5">
      <w:pPr>
        <w:rPr>
          <w:sz w:val="24"/>
          <w:szCs w:val="24"/>
        </w:rPr>
      </w:pPr>
      <w:r>
        <w:rPr>
          <w:sz w:val="24"/>
          <w:szCs w:val="24"/>
        </w:rPr>
        <w:t xml:space="preserve">  </w:t>
      </w:r>
      <w:r>
        <w:rPr>
          <w:i/>
          <w:iCs/>
          <w:sz w:val="24"/>
          <w:szCs w:val="24"/>
        </w:rPr>
        <w:t xml:space="preserve">Quid…dicam  </w:t>
      </w:r>
      <w:r>
        <w:rPr>
          <w:sz w:val="24"/>
          <w:szCs w:val="24"/>
        </w:rPr>
        <w:t xml:space="preserve">(line 43) Here we have the rhetorical </w:t>
      </w:r>
      <w:r>
        <w:rPr>
          <w:i/>
          <w:iCs/>
          <w:sz w:val="24"/>
          <w:szCs w:val="24"/>
        </w:rPr>
        <w:t xml:space="preserve">praeteritio, </w:t>
      </w:r>
      <w:r>
        <w:rPr>
          <w:sz w:val="24"/>
          <w:szCs w:val="24"/>
        </w:rPr>
        <w:t>where the speaker mentions what he says there is no need to mention.</w:t>
      </w:r>
      <w:r>
        <w:rPr>
          <w:rStyle w:val="FootnoteReference"/>
          <w:sz w:val="24"/>
          <w:szCs w:val="24"/>
        </w:rPr>
        <w:footnoteReference w:id="32"/>
      </w:r>
      <w:r>
        <w:rPr>
          <w:sz w:val="24"/>
          <w:szCs w:val="24"/>
        </w:rPr>
        <w:t xml:space="preserve"> Anna is referring to the danger of attack from Dido’s brother Pygmalion from whom she had fled,</w:t>
      </w:r>
      <w:r>
        <w:rPr>
          <w:rStyle w:val="FootnoteReference"/>
          <w:sz w:val="24"/>
          <w:szCs w:val="24"/>
        </w:rPr>
        <w:footnoteReference w:id="33"/>
      </w:r>
      <w:r>
        <w:rPr>
          <w:sz w:val="24"/>
          <w:szCs w:val="24"/>
        </w:rPr>
        <w:t xml:space="preserve"> of which Dido is fully aware.</w:t>
      </w:r>
    </w:p>
    <w:p w14:paraId="3716A869" w14:textId="0E1601CF" w:rsidR="00B670F7" w:rsidRDefault="00184B14" w:rsidP="005C31D5">
      <w:pPr>
        <w:rPr>
          <w:sz w:val="24"/>
          <w:szCs w:val="24"/>
        </w:rPr>
      </w:pPr>
      <w:r>
        <w:rPr>
          <w:sz w:val="24"/>
          <w:szCs w:val="24"/>
        </w:rPr>
        <w:t xml:space="preserve">Line 44 is one of fifty-seven unfinished lines in the </w:t>
      </w:r>
      <w:r>
        <w:rPr>
          <w:i/>
          <w:iCs/>
          <w:sz w:val="24"/>
          <w:szCs w:val="24"/>
        </w:rPr>
        <w:t>Aeneid.</w:t>
      </w:r>
      <w:r>
        <w:rPr>
          <w:rStyle w:val="FootnoteReference"/>
          <w:i/>
          <w:iCs/>
          <w:sz w:val="24"/>
          <w:szCs w:val="24"/>
        </w:rPr>
        <w:footnoteReference w:id="34"/>
      </w:r>
      <w:r>
        <w:rPr>
          <w:sz w:val="24"/>
          <w:szCs w:val="24"/>
        </w:rPr>
        <w:t xml:space="preserve">  Many of these contribute an important idea to the sense, which continues seamlessly at the beginning of the next line. They are thus, some say, left deliberately incomplete by Virgil.</w:t>
      </w:r>
      <w:r>
        <w:rPr>
          <w:rStyle w:val="FootnoteReference"/>
          <w:sz w:val="24"/>
          <w:szCs w:val="24"/>
        </w:rPr>
        <w:footnoteReference w:id="35"/>
      </w:r>
      <w:r>
        <w:rPr>
          <w:i/>
          <w:iCs/>
          <w:sz w:val="24"/>
          <w:szCs w:val="24"/>
        </w:rPr>
        <w:t xml:space="preserve"> </w:t>
      </w:r>
      <w:r>
        <w:rPr>
          <w:sz w:val="24"/>
          <w:szCs w:val="24"/>
        </w:rPr>
        <w:t>Others believe that they are an indication of incomplete revision.</w:t>
      </w:r>
      <w:r>
        <w:rPr>
          <w:rStyle w:val="FootnoteReference"/>
          <w:sz w:val="24"/>
          <w:szCs w:val="24"/>
        </w:rPr>
        <w:footnoteReference w:id="36"/>
      </w:r>
      <w:r>
        <w:rPr>
          <w:sz w:val="24"/>
          <w:szCs w:val="24"/>
        </w:rPr>
        <w:t xml:space="preserve"> Perhaps Virgil </w:t>
      </w:r>
      <w:r w:rsidR="00DC6C42">
        <w:rPr>
          <w:sz w:val="24"/>
          <w:szCs w:val="24"/>
        </w:rPr>
        <w:t>had</w:t>
      </w:r>
      <w:r>
        <w:rPr>
          <w:sz w:val="24"/>
          <w:szCs w:val="24"/>
        </w:rPr>
        <w:t xml:space="preserve">, during the course of revision,  realised their effectiveness and </w:t>
      </w:r>
      <w:r w:rsidR="00B670F7">
        <w:rPr>
          <w:sz w:val="24"/>
          <w:szCs w:val="24"/>
        </w:rPr>
        <w:t>retained them.</w:t>
      </w:r>
      <w:r w:rsidR="00B670F7">
        <w:rPr>
          <w:rStyle w:val="FootnoteReference"/>
          <w:sz w:val="24"/>
          <w:szCs w:val="24"/>
        </w:rPr>
        <w:footnoteReference w:id="37"/>
      </w:r>
      <w:r w:rsidR="00B670F7">
        <w:rPr>
          <w:sz w:val="24"/>
          <w:szCs w:val="24"/>
        </w:rPr>
        <w:t xml:space="preserve"> </w:t>
      </w:r>
    </w:p>
    <w:p w14:paraId="5BDC955E" w14:textId="456A480C" w:rsidR="00184B14" w:rsidRDefault="00B670F7" w:rsidP="005C31D5">
      <w:pPr>
        <w:rPr>
          <w:sz w:val="24"/>
          <w:szCs w:val="24"/>
        </w:rPr>
      </w:pPr>
      <w:r>
        <w:rPr>
          <w:i/>
          <w:iCs/>
          <w:sz w:val="24"/>
          <w:szCs w:val="24"/>
        </w:rPr>
        <w:t xml:space="preserve">Dis auspicibus </w:t>
      </w:r>
      <w:r>
        <w:rPr>
          <w:sz w:val="24"/>
          <w:szCs w:val="24"/>
        </w:rPr>
        <w:t xml:space="preserve">(line 45, with the gods as guides). An </w:t>
      </w:r>
      <w:r>
        <w:rPr>
          <w:i/>
          <w:iCs/>
          <w:sz w:val="24"/>
          <w:szCs w:val="24"/>
        </w:rPr>
        <w:t xml:space="preserve">auspex </w:t>
      </w:r>
      <w:r>
        <w:rPr>
          <w:sz w:val="24"/>
          <w:szCs w:val="24"/>
        </w:rPr>
        <w:t>is responsible for determining whether the gods are in favour of a particular enterprise.</w:t>
      </w:r>
      <w:r>
        <w:rPr>
          <w:rStyle w:val="FootnoteReference"/>
          <w:sz w:val="24"/>
          <w:szCs w:val="24"/>
        </w:rPr>
        <w:footnoteReference w:id="38"/>
      </w:r>
      <w:r w:rsidR="00184B14">
        <w:rPr>
          <w:sz w:val="24"/>
          <w:szCs w:val="24"/>
        </w:rPr>
        <w:t xml:space="preserve"> </w:t>
      </w:r>
      <w:r>
        <w:rPr>
          <w:i/>
          <w:iCs/>
          <w:sz w:val="24"/>
          <w:szCs w:val="24"/>
        </w:rPr>
        <w:t xml:space="preserve">Iunone secunda </w:t>
      </w:r>
      <w:r>
        <w:rPr>
          <w:sz w:val="24"/>
          <w:szCs w:val="24"/>
        </w:rPr>
        <w:t xml:space="preserve">(with Juno on our side) Anna mentions Juno as the chief goddess of Carthage, </w:t>
      </w:r>
      <w:r>
        <w:rPr>
          <w:i/>
          <w:iCs/>
          <w:sz w:val="24"/>
          <w:szCs w:val="24"/>
        </w:rPr>
        <w:t xml:space="preserve">quam Iuno fertur </w:t>
      </w:r>
      <w:r w:rsidR="003B6B0E">
        <w:rPr>
          <w:i/>
          <w:iCs/>
          <w:sz w:val="24"/>
          <w:szCs w:val="24"/>
        </w:rPr>
        <w:t>terris</w:t>
      </w:r>
      <w:r>
        <w:rPr>
          <w:i/>
          <w:iCs/>
          <w:sz w:val="24"/>
          <w:szCs w:val="24"/>
        </w:rPr>
        <w:t xml:space="preserve"> </w:t>
      </w:r>
      <w:r>
        <w:rPr>
          <w:i/>
          <w:iCs/>
          <w:sz w:val="24"/>
          <w:szCs w:val="24"/>
        </w:rPr>
        <w:lastRenderedPageBreak/>
        <w:t xml:space="preserve">magis omnibus unam </w:t>
      </w:r>
      <w:r>
        <w:rPr>
          <w:sz w:val="24"/>
          <w:szCs w:val="24"/>
        </w:rPr>
        <w:t>(which Juno loved above all other lands).</w:t>
      </w:r>
      <w:r>
        <w:rPr>
          <w:rStyle w:val="FootnoteReference"/>
          <w:sz w:val="24"/>
          <w:szCs w:val="24"/>
        </w:rPr>
        <w:footnoteReference w:id="39"/>
      </w:r>
      <w:r w:rsidR="003B6B0E">
        <w:rPr>
          <w:sz w:val="24"/>
          <w:szCs w:val="24"/>
        </w:rPr>
        <w:t xml:space="preserve"> He is also mentioned as the god of marriage </w:t>
      </w:r>
      <w:r w:rsidR="003B6B0E" w:rsidRPr="003B6B0E">
        <w:rPr>
          <w:i/>
          <w:iCs/>
          <w:sz w:val="24"/>
          <w:szCs w:val="24"/>
        </w:rPr>
        <w:t>et pronuba Iuno</w:t>
      </w:r>
      <w:r w:rsidR="003B6B0E">
        <w:rPr>
          <w:i/>
          <w:iCs/>
          <w:sz w:val="24"/>
          <w:szCs w:val="24"/>
        </w:rPr>
        <w:t xml:space="preserve"> </w:t>
      </w:r>
      <w:r w:rsidR="003B6B0E">
        <w:rPr>
          <w:sz w:val="24"/>
          <w:szCs w:val="24"/>
        </w:rPr>
        <w:t xml:space="preserve">in line 166.  Anna </w:t>
      </w:r>
      <w:r w:rsidR="00DC6C42">
        <w:rPr>
          <w:sz w:val="24"/>
          <w:szCs w:val="24"/>
        </w:rPr>
        <w:t>did</w:t>
      </w:r>
      <w:r w:rsidR="003B6B0E">
        <w:rPr>
          <w:sz w:val="24"/>
          <w:szCs w:val="24"/>
        </w:rPr>
        <w:t xml:space="preserve"> not know of course</w:t>
      </w:r>
      <w:r w:rsidR="00DC6C42">
        <w:rPr>
          <w:sz w:val="24"/>
          <w:szCs w:val="24"/>
        </w:rPr>
        <w:t xml:space="preserve"> the extent of</w:t>
      </w:r>
      <w:r w:rsidR="003B6B0E">
        <w:rPr>
          <w:sz w:val="24"/>
          <w:szCs w:val="24"/>
        </w:rPr>
        <w:t xml:space="preserve"> Juno</w:t>
      </w:r>
      <w:r w:rsidR="00DC6C42">
        <w:rPr>
          <w:sz w:val="24"/>
          <w:szCs w:val="24"/>
        </w:rPr>
        <w:t>’s</w:t>
      </w:r>
      <w:r w:rsidR="003B6B0E">
        <w:rPr>
          <w:sz w:val="24"/>
          <w:szCs w:val="24"/>
        </w:rPr>
        <w:t xml:space="preserve"> </w:t>
      </w:r>
      <w:r w:rsidR="00DC6C42">
        <w:rPr>
          <w:sz w:val="24"/>
          <w:szCs w:val="24"/>
        </w:rPr>
        <w:t>hatred towards</w:t>
      </w:r>
      <w:r w:rsidR="003B6B0E">
        <w:rPr>
          <w:sz w:val="24"/>
          <w:szCs w:val="24"/>
        </w:rPr>
        <w:t xml:space="preserve"> Aeneas; her words thus have tragic irony. </w:t>
      </w:r>
      <w:r w:rsidR="003B6B0E" w:rsidRPr="003B6B0E">
        <w:rPr>
          <w:i/>
          <w:iCs/>
          <w:sz w:val="24"/>
          <w:szCs w:val="24"/>
        </w:rPr>
        <w:t>Cursum</w:t>
      </w:r>
      <w:r w:rsidR="003B6B0E">
        <w:rPr>
          <w:i/>
          <w:iCs/>
          <w:sz w:val="24"/>
          <w:szCs w:val="24"/>
        </w:rPr>
        <w:t>….</w:t>
      </w:r>
      <w:r w:rsidR="003B6B0E" w:rsidRPr="003B6B0E">
        <w:rPr>
          <w:i/>
          <w:iCs/>
          <w:sz w:val="24"/>
          <w:szCs w:val="24"/>
        </w:rPr>
        <w:t xml:space="preserve"> tenuisse</w:t>
      </w:r>
      <w:r w:rsidR="003B6B0E">
        <w:rPr>
          <w:sz w:val="24"/>
          <w:szCs w:val="24"/>
        </w:rPr>
        <w:t xml:space="preserve"> </w:t>
      </w:r>
      <w:r w:rsidR="003B6B0E">
        <w:rPr>
          <w:i/>
          <w:iCs/>
          <w:sz w:val="24"/>
          <w:szCs w:val="24"/>
        </w:rPr>
        <w:t xml:space="preserve">carinas </w:t>
      </w:r>
      <w:r w:rsidR="003B6B0E">
        <w:rPr>
          <w:sz w:val="24"/>
          <w:szCs w:val="24"/>
        </w:rPr>
        <w:t>(line 46, kept up this course). Irony again here: although Juno did point Aeneas in the right direction, had she had her way, he would have been blown violently onto the coast of Africa and destroyed.</w:t>
      </w:r>
      <w:r w:rsidR="003B6B0E">
        <w:rPr>
          <w:rStyle w:val="FootnoteReference"/>
          <w:sz w:val="24"/>
          <w:szCs w:val="24"/>
        </w:rPr>
        <w:footnoteReference w:id="40"/>
      </w:r>
    </w:p>
    <w:p w14:paraId="01B4DD4B" w14:textId="660E1DC9" w:rsidR="008B0F16" w:rsidRDefault="008B0F16" w:rsidP="005C31D5">
      <w:pPr>
        <w:rPr>
          <w:sz w:val="24"/>
          <w:szCs w:val="24"/>
        </w:rPr>
      </w:pPr>
      <w:r>
        <w:rPr>
          <w:sz w:val="24"/>
          <w:szCs w:val="24"/>
        </w:rPr>
        <w:t xml:space="preserve">  Anna has underestimated the strength of Dido’s feelings and of her moral scruples</w:t>
      </w:r>
      <w:r w:rsidR="00510A9A">
        <w:rPr>
          <w:sz w:val="24"/>
          <w:szCs w:val="24"/>
        </w:rPr>
        <w:t xml:space="preserve">. By </w:t>
      </w:r>
      <w:r>
        <w:rPr>
          <w:sz w:val="24"/>
          <w:szCs w:val="24"/>
        </w:rPr>
        <w:t xml:space="preserve"> emphasizing </w:t>
      </w:r>
      <w:r w:rsidR="00DC6C42">
        <w:rPr>
          <w:sz w:val="24"/>
          <w:szCs w:val="24"/>
        </w:rPr>
        <w:t>especially,</w:t>
      </w:r>
      <w:r>
        <w:rPr>
          <w:sz w:val="24"/>
          <w:szCs w:val="24"/>
        </w:rPr>
        <w:t xml:space="preserve"> the political advantages of involvement with Aeneas, </w:t>
      </w:r>
      <w:r w:rsidR="00510A9A">
        <w:rPr>
          <w:sz w:val="24"/>
          <w:szCs w:val="24"/>
        </w:rPr>
        <w:t xml:space="preserve">Anna </w:t>
      </w:r>
      <w:r w:rsidR="0037659C">
        <w:rPr>
          <w:sz w:val="24"/>
          <w:szCs w:val="24"/>
        </w:rPr>
        <w:t>twists a way around Dido’s reservations.</w:t>
      </w:r>
      <w:r>
        <w:rPr>
          <w:sz w:val="24"/>
          <w:szCs w:val="24"/>
        </w:rPr>
        <w:t xml:space="preserve"> </w:t>
      </w:r>
      <w:r w:rsidR="00510A9A">
        <w:rPr>
          <w:sz w:val="24"/>
          <w:szCs w:val="24"/>
        </w:rPr>
        <w:t xml:space="preserve">As a result, </w:t>
      </w:r>
      <w:r>
        <w:rPr>
          <w:sz w:val="24"/>
          <w:szCs w:val="24"/>
        </w:rPr>
        <w:t xml:space="preserve">Dido </w:t>
      </w:r>
      <w:r w:rsidR="0037659C">
        <w:rPr>
          <w:sz w:val="24"/>
          <w:szCs w:val="24"/>
        </w:rPr>
        <w:t xml:space="preserve">is rushed </w:t>
      </w:r>
      <w:r>
        <w:rPr>
          <w:sz w:val="24"/>
          <w:szCs w:val="24"/>
        </w:rPr>
        <w:t xml:space="preserve">into taking (for her) </w:t>
      </w:r>
      <w:r w:rsidR="003F2191">
        <w:rPr>
          <w:sz w:val="24"/>
          <w:szCs w:val="24"/>
        </w:rPr>
        <w:t xml:space="preserve">a </w:t>
      </w:r>
      <w:r>
        <w:rPr>
          <w:sz w:val="24"/>
          <w:szCs w:val="24"/>
        </w:rPr>
        <w:t>morally wrong decision.</w:t>
      </w:r>
      <w:r w:rsidR="0037659C">
        <w:rPr>
          <w:sz w:val="24"/>
          <w:szCs w:val="24"/>
        </w:rPr>
        <w:t xml:space="preserve"> The scruples are broken down and passion eventually flies out of control.</w:t>
      </w:r>
      <w:r w:rsidR="0037659C">
        <w:rPr>
          <w:rStyle w:val="FootnoteReference"/>
          <w:sz w:val="24"/>
          <w:szCs w:val="24"/>
        </w:rPr>
        <w:footnoteReference w:id="41"/>
      </w:r>
      <w:r w:rsidR="0037659C">
        <w:rPr>
          <w:sz w:val="24"/>
          <w:szCs w:val="24"/>
        </w:rPr>
        <w:t xml:space="preserve"> </w:t>
      </w:r>
      <w:r>
        <w:rPr>
          <w:sz w:val="24"/>
          <w:szCs w:val="24"/>
        </w:rPr>
        <w:t xml:space="preserve"> By urging Dido to yield to her love</w:t>
      </w:r>
      <w:r w:rsidR="00873D41">
        <w:rPr>
          <w:sz w:val="24"/>
          <w:szCs w:val="24"/>
        </w:rPr>
        <w:t>,</w:t>
      </w:r>
      <w:r>
        <w:rPr>
          <w:sz w:val="24"/>
          <w:szCs w:val="24"/>
        </w:rPr>
        <w:t xml:space="preserve"> Anna</w:t>
      </w:r>
      <w:r w:rsidR="00873D41">
        <w:rPr>
          <w:sz w:val="24"/>
          <w:szCs w:val="24"/>
        </w:rPr>
        <w:t xml:space="preserve"> </w:t>
      </w:r>
      <w:r>
        <w:rPr>
          <w:sz w:val="24"/>
          <w:szCs w:val="24"/>
        </w:rPr>
        <w:t xml:space="preserve">unknowingly </w:t>
      </w:r>
      <w:r w:rsidR="00DC6C42">
        <w:rPr>
          <w:sz w:val="24"/>
          <w:szCs w:val="24"/>
        </w:rPr>
        <w:t xml:space="preserve">ultimately </w:t>
      </w:r>
      <w:r>
        <w:rPr>
          <w:sz w:val="24"/>
          <w:szCs w:val="24"/>
        </w:rPr>
        <w:t>causes her sister’s death</w:t>
      </w:r>
      <w:r w:rsidR="008E3FC3">
        <w:rPr>
          <w:sz w:val="24"/>
          <w:szCs w:val="24"/>
        </w:rPr>
        <w:t>.</w:t>
      </w:r>
      <w:r w:rsidR="008E3FC3">
        <w:rPr>
          <w:rStyle w:val="FootnoteReference"/>
          <w:sz w:val="24"/>
          <w:szCs w:val="24"/>
        </w:rPr>
        <w:footnoteReference w:id="42"/>
      </w:r>
      <w:r w:rsidR="00510A9A">
        <w:rPr>
          <w:sz w:val="24"/>
          <w:szCs w:val="24"/>
        </w:rPr>
        <w:t xml:space="preserve"> The subsequent section witnesses Dido seeking the gods’ favour by many sacrifices</w:t>
      </w:r>
      <w:r w:rsidR="003F2191">
        <w:rPr>
          <w:sz w:val="24"/>
          <w:szCs w:val="24"/>
        </w:rPr>
        <w:t>,</w:t>
      </w:r>
      <w:r w:rsidR="00510A9A">
        <w:rPr>
          <w:sz w:val="24"/>
          <w:szCs w:val="24"/>
        </w:rPr>
        <w:t xml:space="preserve"> but fails to appease her own conscience.</w:t>
      </w:r>
    </w:p>
    <w:p w14:paraId="24FA2B27" w14:textId="2C563775" w:rsidR="006E18EB" w:rsidRDefault="006E18EB" w:rsidP="005C31D5">
      <w:pPr>
        <w:rPr>
          <w:sz w:val="24"/>
          <w:szCs w:val="24"/>
        </w:rPr>
      </w:pPr>
    </w:p>
    <w:p w14:paraId="029A5781" w14:textId="1383ACFE" w:rsidR="006E18EB" w:rsidRDefault="006E18EB" w:rsidP="006E18EB">
      <w:pPr>
        <w:jc w:val="center"/>
        <w:rPr>
          <w:sz w:val="32"/>
          <w:szCs w:val="32"/>
        </w:rPr>
      </w:pPr>
      <w:r>
        <w:rPr>
          <w:sz w:val="32"/>
          <w:szCs w:val="32"/>
        </w:rPr>
        <w:t>Bibliography</w:t>
      </w:r>
    </w:p>
    <w:p w14:paraId="3D9035EF" w14:textId="43B22DDC" w:rsidR="00E04EC5" w:rsidRDefault="00E04EC5" w:rsidP="00E04EC5">
      <w:pPr>
        <w:rPr>
          <w:sz w:val="28"/>
          <w:szCs w:val="28"/>
        </w:rPr>
      </w:pPr>
      <w:r>
        <w:rPr>
          <w:sz w:val="28"/>
          <w:szCs w:val="28"/>
        </w:rPr>
        <w:t>Aeneid VI</w:t>
      </w:r>
    </w:p>
    <w:p w14:paraId="2596290A" w14:textId="30A74CB9" w:rsidR="00E04EC5" w:rsidRDefault="00E04EC5" w:rsidP="00E04EC5">
      <w:pPr>
        <w:rPr>
          <w:sz w:val="28"/>
          <w:szCs w:val="28"/>
        </w:rPr>
      </w:pPr>
      <w:r>
        <w:rPr>
          <w:sz w:val="28"/>
          <w:szCs w:val="28"/>
        </w:rPr>
        <w:t>Aeneid IV</w:t>
      </w:r>
    </w:p>
    <w:p w14:paraId="1D371E57" w14:textId="77777777" w:rsidR="00E04EC5" w:rsidRPr="00E04EC5" w:rsidRDefault="00E04EC5" w:rsidP="00E04EC5">
      <w:pPr>
        <w:rPr>
          <w:sz w:val="28"/>
          <w:szCs w:val="28"/>
        </w:rPr>
      </w:pPr>
    </w:p>
    <w:p w14:paraId="0805A737" w14:textId="3ECB2CD5" w:rsidR="00E04EC5" w:rsidRPr="00E04EC5" w:rsidRDefault="00E04EC5" w:rsidP="00E04EC5">
      <w:pPr>
        <w:rPr>
          <w:sz w:val="28"/>
          <w:szCs w:val="28"/>
        </w:rPr>
      </w:pPr>
      <w:r>
        <w:rPr>
          <w:sz w:val="28"/>
          <w:szCs w:val="28"/>
        </w:rPr>
        <w:t xml:space="preserve">Austin, R.G.  (ed.)  (1955)  </w:t>
      </w:r>
      <w:r>
        <w:rPr>
          <w:i/>
          <w:iCs/>
          <w:sz w:val="28"/>
          <w:szCs w:val="28"/>
        </w:rPr>
        <w:t xml:space="preserve">Aeneidos  Liber Quartus  </w:t>
      </w:r>
      <w:r>
        <w:rPr>
          <w:sz w:val="28"/>
          <w:szCs w:val="28"/>
        </w:rPr>
        <w:t>Oxford at the Clarendon Press</w:t>
      </w:r>
    </w:p>
    <w:p w14:paraId="36F07F50" w14:textId="24AE0341" w:rsidR="006E18EB" w:rsidRDefault="006E18EB" w:rsidP="006E18EB">
      <w:pPr>
        <w:rPr>
          <w:sz w:val="28"/>
          <w:szCs w:val="28"/>
        </w:rPr>
      </w:pPr>
      <w:r>
        <w:rPr>
          <w:sz w:val="28"/>
          <w:szCs w:val="28"/>
        </w:rPr>
        <w:t xml:space="preserve">Hardie, Philip. (ed.)  (1999)  </w:t>
      </w:r>
      <w:r>
        <w:rPr>
          <w:i/>
          <w:iCs/>
          <w:sz w:val="28"/>
          <w:szCs w:val="28"/>
        </w:rPr>
        <w:t xml:space="preserve">Virgil  Critical Assessments of Classical Authors  </w:t>
      </w:r>
      <w:r>
        <w:rPr>
          <w:sz w:val="28"/>
          <w:szCs w:val="28"/>
        </w:rPr>
        <w:t>Routeledge  London and New York</w:t>
      </w:r>
    </w:p>
    <w:p w14:paraId="42BFA77C" w14:textId="357FA5AB" w:rsidR="00E04EC5" w:rsidRPr="00E04EC5" w:rsidRDefault="00E04EC5" w:rsidP="006E18EB">
      <w:pPr>
        <w:rPr>
          <w:sz w:val="28"/>
          <w:szCs w:val="28"/>
        </w:rPr>
      </w:pPr>
      <w:r>
        <w:rPr>
          <w:sz w:val="28"/>
          <w:szCs w:val="28"/>
        </w:rPr>
        <w:t xml:space="preserve">Harrison, S.J.  (ed.)  (1990)  </w:t>
      </w:r>
      <w:r>
        <w:rPr>
          <w:i/>
          <w:iCs/>
          <w:sz w:val="28"/>
          <w:szCs w:val="28"/>
        </w:rPr>
        <w:t xml:space="preserve">Oxford Readings in Vergil’s Aeneid  </w:t>
      </w:r>
      <w:r>
        <w:rPr>
          <w:sz w:val="28"/>
          <w:szCs w:val="28"/>
        </w:rPr>
        <w:t>Oxford  Oxford University Press</w:t>
      </w:r>
    </w:p>
    <w:p w14:paraId="27DAB9F7" w14:textId="2FAEF688" w:rsidR="006E18EB" w:rsidRDefault="006E18EB" w:rsidP="006E18EB">
      <w:pPr>
        <w:rPr>
          <w:sz w:val="28"/>
          <w:szCs w:val="28"/>
        </w:rPr>
      </w:pPr>
      <w:r>
        <w:rPr>
          <w:sz w:val="28"/>
          <w:szCs w:val="28"/>
        </w:rPr>
        <w:t xml:space="preserve">Maclennan, Keith. (ed.) (2007) </w:t>
      </w:r>
      <w:r>
        <w:rPr>
          <w:i/>
          <w:iCs/>
          <w:sz w:val="28"/>
          <w:szCs w:val="28"/>
        </w:rPr>
        <w:t xml:space="preserve">Virgil  Aeneid IV   </w:t>
      </w:r>
      <w:r>
        <w:rPr>
          <w:sz w:val="28"/>
          <w:szCs w:val="28"/>
        </w:rPr>
        <w:t>Bloomsbury  London</w:t>
      </w:r>
    </w:p>
    <w:p w14:paraId="12EDDB83" w14:textId="77777777" w:rsidR="006E18EB" w:rsidRDefault="006E18EB" w:rsidP="006E18EB">
      <w:pPr>
        <w:rPr>
          <w:sz w:val="28"/>
          <w:szCs w:val="28"/>
        </w:rPr>
      </w:pPr>
      <w:r>
        <w:rPr>
          <w:sz w:val="28"/>
          <w:szCs w:val="28"/>
        </w:rPr>
        <w:t xml:space="preserve">Nelis, Damien. (2001)  </w:t>
      </w:r>
      <w:r>
        <w:rPr>
          <w:i/>
          <w:iCs/>
          <w:sz w:val="28"/>
          <w:szCs w:val="28"/>
        </w:rPr>
        <w:t xml:space="preserve">Vergil’s Aeneid and The Argonautica of Apollonius Rhodius   </w:t>
      </w:r>
      <w:r>
        <w:rPr>
          <w:sz w:val="28"/>
          <w:szCs w:val="28"/>
        </w:rPr>
        <w:t>Francis Cairns   Leeds</w:t>
      </w:r>
    </w:p>
    <w:p w14:paraId="30EC1EDD" w14:textId="77777777" w:rsidR="006E18EB" w:rsidRDefault="006E18EB" w:rsidP="006E18EB">
      <w:pPr>
        <w:rPr>
          <w:sz w:val="28"/>
          <w:szCs w:val="28"/>
        </w:rPr>
      </w:pPr>
      <w:r>
        <w:rPr>
          <w:sz w:val="28"/>
          <w:szCs w:val="28"/>
        </w:rPr>
        <w:t xml:space="preserve">Quinn, Kenneth.  (1968)  </w:t>
      </w:r>
      <w:r>
        <w:rPr>
          <w:i/>
          <w:iCs/>
          <w:sz w:val="28"/>
          <w:szCs w:val="28"/>
        </w:rPr>
        <w:t xml:space="preserve">Virgil’s Aeneid  A Critical Description  </w:t>
      </w:r>
      <w:r>
        <w:rPr>
          <w:sz w:val="28"/>
          <w:szCs w:val="28"/>
        </w:rPr>
        <w:t>Routeledge &amp; Kegan Paul  London</w:t>
      </w:r>
    </w:p>
    <w:p w14:paraId="663483E4" w14:textId="6FA7BD95" w:rsidR="006E18EB" w:rsidRPr="006E18EB" w:rsidRDefault="006E18EB" w:rsidP="006E18EB">
      <w:pPr>
        <w:rPr>
          <w:sz w:val="28"/>
          <w:szCs w:val="28"/>
        </w:rPr>
      </w:pPr>
      <w:r>
        <w:rPr>
          <w:sz w:val="28"/>
          <w:szCs w:val="28"/>
        </w:rPr>
        <w:lastRenderedPageBreak/>
        <w:t xml:space="preserve">Williams, R.D.  (ed.)  (1972)  </w:t>
      </w:r>
      <w:r>
        <w:rPr>
          <w:i/>
          <w:iCs/>
          <w:sz w:val="28"/>
          <w:szCs w:val="28"/>
        </w:rPr>
        <w:t xml:space="preserve">The Aeneid of Virgil  Books 1-6  </w:t>
      </w:r>
      <w:r>
        <w:rPr>
          <w:sz w:val="28"/>
          <w:szCs w:val="28"/>
        </w:rPr>
        <w:t xml:space="preserve">Macmillan  St Martin’s Press  </w:t>
      </w:r>
    </w:p>
    <w:p w14:paraId="041341D4" w14:textId="77777777" w:rsidR="00124291" w:rsidRPr="00124291" w:rsidRDefault="00124291" w:rsidP="005C31D5">
      <w:pPr>
        <w:rPr>
          <w:sz w:val="24"/>
          <w:szCs w:val="24"/>
        </w:rPr>
      </w:pPr>
    </w:p>
    <w:p w14:paraId="76F5CE25" w14:textId="40516E74" w:rsidR="00064FCE" w:rsidRPr="00064FCE" w:rsidRDefault="00064FCE" w:rsidP="005C31D5">
      <w:pPr>
        <w:rPr>
          <w:sz w:val="24"/>
          <w:szCs w:val="24"/>
        </w:rPr>
      </w:pPr>
      <w:r>
        <w:rPr>
          <w:sz w:val="24"/>
          <w:szCs w:val="24"/>
        </w:rPr>
        <w:t xml:space="preserve">  </w:t>
      </w:r>
    </w:p>
    <w:p w14:paraId="74883536" w14:textId="2A52990F" w:rsidR="008E3596" w:rsidRPr="002351D7" w:rsidRDefault="008E3596" w:rsidP="005C31D5">
      <w:pPr>
        <w:rPr>
          <w:sz w:val="24"/>
          <w:szCs w:val="24"/>
        </w:rPr>
      </w:pPr>
      <w:r>
        <w:rPr>
          <w:sz w:val="24"/>
          <w:szCs w:val="24"/>
        </w:rPr>
        <w:t xml:space="preserve">  </w:t>
      </w:r>
    </w:p>
    <w:sectPr w:rsidR="008E3596" w:rsidRPr="002351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3BB02" w14:textId="77777777" w:rsidR="00C54567" w:rsidRDefault="00C54567" w:rsidP="005419BE">
      <w:pPr>
        <w:spacing w:after="0" w:line="240" w:lineRule="auto"/>
      </w:pPr>
      <w:r>
        <w:separator/>
      </w:r>
    </w:p>
  </w:endnote>
  <w:endnote w:type="continuationSeparator" w:id="0">
    <w:p w14:paraId="483A9F53" w14:textId="77777777" w:rsidR="00C54567" w:rsidRDefault="00C54567" w:rsidP="00541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EE588" w14:textId="77777777" w:rsidR="00C54567" w:rsidRDefault="00C54567" w:rsidP="005419BE">
      <w:pPr>
        <w:spacing w:after="0" w:line="240" w:lineRule="auto"/>
      </w:pPr>
      <w:r>
        <w:separator/>
      </w:r>
    </w:p>
  </w:footnote>
  <w:footnote w:type="continuationSeparator" w:id="0">
    <w:p w14:paraId="79970C86" w14:textId="77777777" w:rsidR="00C54567" w:rsidRDefault="00C54567" w:rsidP="005419BE">
      <w:pPr>
        <w:spacing w:after="0" w:line="240" w:lineRule="auto"/>
      </w:pPr>
      <w:r>
        <w:continuationSeparator/>
      </w:r>
    </w:p>
  </w:footnote>
  <w:footnote w:id="1">
    <w:p w14:paraId="7EE5BD8A" w14:textId="7586393C" w:rsidR="00971F36" w:rsidRDefault="00971F36">
      <w:pPr>
        <w:pStyle w:val="FootnoteText"/>
      </w:pPr>
      <w:r>
        <w:rPr>
          <w:rStyle w:val="FootnoteReference"/>
        </w:rPr>
        <w:footnoteRef/>
      </w:r>
      <w:r>
        <w:t xml:space="preserve"> Harrison</w:t>
      </w:r>
      <w:r w:rsidR="00DC6C42">
        <w:t xml:space="preserve">  1990</w:t>
      </w:r>
      <w:r>
        <w:t xml:space="preserve">  </w:t>
      </w:r>
      <w:r w:rsidR="00DC6C42">
        <w:t>p</w:t>
      </w:r>
      <w:r>
        <w:t>147</w:t>
      </w:r>
    </w:p>
  </w:footnote>
  <w:footnote w:id="2">
    <w:p w14:paraId="56E835E5" w14:textId="066EA9BC" w:rsidR="00351321" w:rsidRDefault="00351321">
      <w:pPr>
        <w:pStyle w:val="FootnoteText"/>
      </w:pPr>
      <w:r>
        <w:rPr>
          <w:rStyle w:val="FootnoteReference"/>
        </w:rPr>
        <w:footnoteRef/>
      </w:r>
      <w:r>
        <w:t xml:space="preserve"> Nelis</w:t>
      </w:r>
      <w:r w:rsidR="00DC6C42">
        <w:t xml:space="preserve">  2001</w:t>
      </w:r>
      <w:r>
        <w:t xml:space="preserve">  </w:t>
      </w:r>
      <w:r w:rsidR="00DC6C42">
        <w:t>p</w:t>
      </w:r>
      <w:r>
        <w:t>137</w:t>
      </w:r>
    </w:p>
  </w:footnote>
  <w:footnote w:id="3">
    <w:p w14:paraId="4AF2441A" w14:textId="2CCE3C50" w:rsidR="00913453" w:rsidRDefault="00913453">
      <w:pPr>
        <w:pStyle w:val="FootnoteText"/>
      </w:pPr>
      <w:r>
        <w:rPr>
          <w:rStyle w:val="FootnoteReference"/>
        </w:rPr>
        <w:footnoteRef/>
      </w:r>
      <w:r>
        <w:t xml:space="preserve"> Maclennan</w:t>
      </w:r>
      <w:r w:rsidR="00DC6C42">
        <w:t xml:space="preserve">  2007</w:t>
      </w:r>
      <w:r>
        <w:t xml:space="preserve">  </w:t>
      </w:r>
      <w:r w:rsidR="00DC6C42">
        <w:t>p</w:t>
      </w:r>
      <w:r>
        <w:t>79</w:t>
      </w:r>
    </w:p>
  </w:footnote>
  <w:footnote w:id="4">
    <w:p w14:paraId="01A9C112" w14:textId="6BD03338" w:rsidR="005419BE" w:rsidRDefault="005419BE">
      <w:pPr>
        <w:pStyle w:val="FootnoteText"/>
      </w:pPr>
      <w:r>
        <w:rPr>
          <w:rStyle w:val="FootnoteReference"/>
        </w:rPr>
        <w:footnoteRef/>
      </w:r>
      <w:r>
        <w:t xml:space="preserve"> Williams</w:t>
      </w:r>
      <w:r w:rsidR="00DC6C42">
        <w:t xml:space="preserve">  1972</w:t>
      </w:r>
      <w:r>
        <w:t xml:space="preserve"> </w:t>
      </w:r>
      <w:r w:rsidR="00DC6C42">
        <w:t xml:space="preserve"> p</w:t>
      </w:r>
      <w:r>
        <w:t>337</w:t>
      </w:r>
    </w:p>
  </w:footnote>
  <w:footnote w:id="5">
    <w:p w14:paraId="53C71A37" w14:textId="4D0D7F30" w:rsidR="00913453" w:rsidRDefault="00913453">
      <w:pPr>
        <w:pStyle w:val="FootnoteText"/>
      </w:pPr>
      <w:r>
        <w:rPr>
          <w:rStyle w:val="FootnoteReference"/>
        </w:rPr>
        <w:footnoteRef/>
      </w:r>
      <w:r>
        <w:t xml:space="preserve"> Maclennan</w:t>
      </w:r>
      <w:r w:rsidR="00DC6C42">
        <w:t xml:space="preserve">  2007</w:t>
      </w:r>
      <w:r>
        <w:t xml:space="preserve">  </w:t>
      </w:r>
      <w:r w:rsidR="00DC6C42">
        <w:t>p</w:t>
      </w:r>
      <w:r>
        <w:t>79</w:t>
      </w:r>
    </w:p>
  </w:footnote>
  <w:footnote w:id="6">
    <w:p w14:paraId="15F4A5AB" w14:textId="47675E8F" w:rsidR="00913453" w:rsidRDefault="00913453">
      <w:pPr>
        <w:pStyle w:val="FootnoteText"/>
      </w:pPr>
      <w:r>
        <w:rPr>
          <w:rStyle w:val="FootnoteReference"/>
        </w:rPr>
        <w:footnoteRef/>
      </w:r>
      <w:r>
        <w:t xml:space="preserve"> Austin</w:t>
      </w:r>
      <w:r w:rsidR="00DC6C42">
        <w:t xml:space="preserve">  195</w:t>
      </w:r>
      <w:r w:rsidR="00671862">
        <w:t>5</w:t>
      </w:r>
      <w:r>
        <w:t xml:space="preserve"> </w:t>
      </w:r>
      <w:r w:rsidR="00671862">
        <w:t xml:space="preserve"> </w:t>
      </w:r>
      <w:r w:rsidR="00DC6C42">
        <w:t>p</w:t>
      </w:r>
      <w:r>
        <w:t>34</w:t>
      </w:r>
    </w:p>
  </w:footnote>
  <w:footnote w:id="7">
    <w:p w14:paraId="415796B8" w14:textId="63A361B9" w:rsidR="00F62D6F" w:rsidRDefault="00F62D6F">
      <w:pPr>
        <w:pStyle w:val="FootnoteText"/>
      </w:pPr>
      <w:r>
        <w:rPr>
          <w:rStyle w:val="FootnoteReference"/>
        </w:rPr>
        <w:footnoteRef/>
      </w:r>
      <w:r>
        <w:t xml:space="preserve"> Austin</w:t>
      </w:r>
      <w:r w:rsidR="00DC6C42">
        <w:t xml:space="preserve">  195</w:t>
      </w:r>
      <w:r w:rsidR="00671862">
        <w:t>5</w:t>
      </w:r>
      <w:r>
        <w:t xml:space="preserve"> </w:t>
      </w:r>
      <w:r w:rsidR="00671862">
        <w:t xml:space="preserve"> </w:t>
      </w:r>
      <w:r w:rsidR="00DC6C42">
        <w:t>p</w:t>
      </w:r>
      <w:r>
        <w:t>34</w:t>
      </w:r>
    </w:p>
  </w:footnote>
  <w:footnote w:id="8">
    <w:p w14:paraId="157528AC" w14:textId="18D543DF" w:rsidR="002351D7" w:rsidRDefault="002351D7">
      <w:pPr>
        <w:pStyle w:val="FootnoteText"/>
      </w:pPr>
      <w:r>
        <w:rPr>
          <w:rStyle w:val="FootnoteReference"/>
        </w:rPr>
        <w:footnoteRef/>
      </w:r>
      <w:r>
        <w:t xml:space="preserve"> Aeneid VI   474</w:t>
      </w:r>
    </w:p>
  </w:footnote>
  <w:footnote w:id="9">
    <w:p w14:paraId="0AE259B3" w14:textId="4499C6F3" w:rsidR="008E3596" w:rsidRDefault="008E3596">
      <w:pPr>
        <w:pStyle w:val="FootnoteText"/>
      </w:pPr>
      <w:r>
        <w:rPr>
          <w:rStyle w:val="FootnoteReference"/>
        </w:rPr>
        <w:footnoteRef/>
      </w:r>
      <w:r>
        <w:t xml:space="preserve"> Maclennan</w:t>
      </w:r>
      <w:r w:rsidR="00DC6C42">
        <w:t xml:space="preserve">  2007</w:t>
      </w:r>
      <w:r>
        <w:t xml:space="preserve"> </w:t>
      </w:r>
      <w:r w:rsidR="00DC6C42">
        <w:t>p</w:t>
      </w:r>
      <w:r>
        <w:t>79</w:t>
      </w:r>
    </w:p>
  </w:footnote>
  <w:footnote w:id="10">
    <w:p w14:paraId="20B23A85" w14:textId="15742508" w:rsidR="008B0F16" w:rsidRDefault="008B0F16">
      <w:pPr>
        <w:pStyle w:val="FootnoteText"/>
      </w:pPr>
      <w:r>
        <w:rPr>
          <w:rStyle w:val="FootnoteReference"/>
        </w:rPr>
        <w:footnoteRef/>
      </w:r>
      <w:r>
        <w:t xml:space="preserve"> Nelis</w:t>
      </w:r>
      <w:r w:rsidR="00671862">
        <w:t xml:space="preserve"> 2001</w:t>
      </w:r>
      <w:r>
        <w:t xml:space="preserve">  </w:t>
      </w:r>
      <w:r w:rsidR="00671862">
        <w:t>p</w:t>
      </w:r>
      <w:r>
        <w:t>137</w:t>
      </w:r>
    </w:p>
  </w:footnote>
  <w:footnote w:id="11">
    <w:p w14:paraId="01B1B6E0" w14:textId="567221FD" w:rsidR="00A715EC" w:rsidRDefault="00A715EC">
      <w:pPr>
        <w:pStyle w:val="FootnoteText"/>
      </w:pPr>
      <w:r>
        <w:rPr>
          <w:rStyle w:val="FootnoteReference"/>
        </w:rPr>
        <w:footnoteRef/>
      </w:r>
      <w:r>
        <w:t xml:space="preserve"> Williams</w:t>
      </w:r>
      <w:r w:rsidR="00671862">
        <w:t xml:space="preserve">  1972</w:t>
      </w:r>
      <w:r>
        <w:t xml:space="preserve">  </w:t>
      </w:r>
      <w:r w:rsidR="00671862">
        <w:t>p</w:t>
      </w:r>
      <w:r>
        <w:t>337</w:t>
      </w:r>
    </w:p>
  </w:footnote>
  <w:footnote w:id="12">
    <w:p w14:paraId="04A81643" w14:textId="0EBB1615" w:rsidR="00A715EC" w:rsidRDefault="00A715EC">
      <w:pPr>
        <w:pStyle w:val="FootnoteText"/>
      </w:pPr>
      <w:r>
        <w:rPr>
          <w:rStyle w:val="FootnoteReference"/>
        </w:rPr>
        <w:footnoteRef/>
      </w:r>
      <w:r>
        <w:t xml:space="preserve"> Austin</w:t>
      </w:r>
      <w:r w:rsidR="00671862">
        <w:t xml:space="preserve">  1955</w:t>
      </w:r>
      <w:r>
        <w:t xml:space="preserve">  </w:t>
      </w:r>
      <w:r w:rsidR="00671862">
        <w:t>p</w:t>
      </w:r>
      <w:r>
        <w:t>35</w:t>
      </w:r>
    </w:p>
  </w:footnote>
  <w:footnote w:id="13">
    <w:p w14:paraId="2D495E9B" w14:textId="7CCFF1EF" w:rsidR="009F7D17" w:rsidRDefault="009F7D17">
      <w:pPr>
        <w:pStyle w:val="FootnoteText"/>
      </w:pPr>
      <w:r>
        <w:rPr>
          <w:rStyle w:val="FootnoteReference"/>
        </w:rPr>
        <w:footnoteRef/>
      </w:r>
      <w:r>
        <w:t xml:space="preserve"> Williams</w:t>
      </w:r>
      <w:r w:rsidR="00671862">
        <w:t xml:space="preserve">  1972</w:t>
      </w:r>
      <w:r>
        <w:t xml:space="preserve">  </w:t>
      </w:r>
      <w:r w:rsidR="00671862">
        <w:t>p</w:t>
      </w:r>
      <w:r>
        <w:t>338</w:t>
      </w:r>
    </w:p>
  </w:footnote>
  <w:footnote w:id="14">
    <w:p w14:paraId="35CB799F" w14:textId="55BE3B62" w:rsidR="00340A7B" w:rsidRDefault="00340A7B">
      <w:pPr>
        <w:pStyle w:val="FootnoteText"/>
      </w:pPr>
      <w:r>
        <w:rPr>
          <w:rStyle w:val="FootnoteReference"/>
        </w:rPr>
        <w:footnoteRef/>
      </w:r>
      <w:r>
        <w:t xml:space="preserve"> Maclennan</w:t>
      </w:r>
      <w:r w:rsidR="00671862">
        <w:t xml:space="preserve">  2007</w:t>
      </w:r>
      <w:r>
        <w:t xml:space="preserve">  </w:t>
      </w:r>
      <w:r w:rsidR="00671862">
        <w:t>pp</w:t>
      </w:r>
      <w:r>
        <w:t>18-19</w:t>
      </w:r>
    </w:p>
  </w:footnote>
  <w:footnote w:id="15">
    <w:p w14:paraId="55EC5825" w14:textId="161E495B" w:rsidR="00340A7B" w:rsidRDefault="00340A7B">
      <w:pPr>
        <w:pStyle w:val="FootnoteText"/>
      </w:pPr>
      <w:r>
        <w:rPr>
          <w:rStyle w:val="FootnoteReference"/>
        </w:rPr>
        <w:footnoteRef/>
      </w:r>
      <w:r>
        <w:t xml:space="preserve"> Austin</w:t>
      </w:r>
      <w:r w:rsidR="00671862">
        <w:t xml:space="preserve">  1955</w:t>
      </w:r>
      <w:r>
        <w:t xml:space="preserve">  </w:t>
      </w:r>
      <w:r w:rsidR="00671862">
        <w:t>p</w:t>
      </w:r>
      <w:r>
        <w:t>35</w:t>
      </w:r>
    </w:p>
  </w:footnote>
  <w:footnote w:id="16">
    <w:p w14:paraId="216F22BD" w14:textId="7F5DC45B" w:rsidR="00971F36" w:rsidRDefault="00971F36">
      <w:pPr>
        <w:pStyle w:val="FootnoteText"/>
      </w:pPr>
      <w:r>
        <w:rPr>
          <w:rStyle w:val="FootnoteReference"/>
        </w:rPr>
        <w:footnoteRef/>
      </w:r>
      <w:r>
        <w:t xml:space="preserve"> Harrison</w:t>
      </w:r>
      <w:r w:rsidR="00671862">
        <w:t xml:space="preserve">  1990</w:t>
      </w:r>
      <w:r>
        <w:t xml:space="preserve">  </w:t>
      </w:r>
      <w:r w:rsidR="00671862">
        <w:t>p</w:t>
      </w:r>
      <w:r>
        <w:t>147</w:t>
      </w:r>
    </w:p>
  </w:footnote>
  <w:footnote w:id="17">
    <w:p w14:paraId="644E4A34" w14:textId="244D9E2C" w:rsidR="001B5EF9" w:rsidRDefault="001B5EF9">
      <w:pPr>
        <w:pStyle w:val="FootnoteText"/>
      </w:pPr>
      <w:r>
        <w:rPr>
          <w:rStyle w:val="FootnoteReference"/>
        </w:rPr>
        <w:footnoteRef/>
      </w:r>
      <w:r>
        <w:t xml:space="preserve"> Maclennan</w:t>
      </w:r>
      <w:r w:rsidR="00671862">
        <w:t xml:space="preserve">  2007</w:t>
      </w:r>
      <w:r>
        <w:t xml:space="preserve">  </w:t>
      </w:r>
      <w:r w:rsidR="00671862">
        <w:t>p</w:t>
      </w:r>
      <w:r>
        <w:t>80</w:t>
      </w:r>
    </w:p>
  </w:footnote>
  <w:footnote w:id="18">
    <w:p w14:paraId="51193D7F" w14:textId="31412E2D" w:rsidR="00971F36" w:rsidRDefault="00971F36">
      <w:pPr>
        <w:pStyle w:val="FootnoteText"/>
      </w:pPr>
      <w:r>
        <w:rPr>
          <w:rStyle w:val="FootnoteReference"/>
        </w:rPr>
        <w:footnoteRef/>
      </w:r>
      <w:r>
        <w:t xml:space="preserve"> Harrison</w:t>
      </w:r>
      <w:r w:rsidR="00671862">
        <w:t xml:space="preserve">  1990</w:t>
      </w:r>
      <w:r>
        <w:t xml:space="preserve">  </w:t>
      </w:r>
      <w:r w:rsidR="00671862">
        <w:t>p</w:t>
      </w:r>
      <w:r>
        <w:t>147</w:t>
      </w:r>
    </w:p>
  </w:footnote>
  <w:footnote w:id="19">
    <w:p w14:paraId="2AB5D5C0" w14:textId="7BBE48C8" w:rsidR="00AF679A" w:rsidRDefault="00AF679A">
      <w:pPr>
        <w:pStyle w:val="FootnoteText"/>
      </w:pPr>
      <w:r>
        <w:rPr>
          <w:rStyle w:val="FootnoteReference"/>
        </w:rPr>
        <w:footnoteRef/>
      </w:r>
      <w:r>
        <w:t xml:space="preserve"> Maclennan</w:t>
      </w:r>
      <w:r w:rsidR="00671862">
        <w:t xml:space="preserve">  2007</w:t>
      </w:r>
      <w:r>
        <w:t xml:space="preserve">  </w:t>
      </w:r>
      <w:r w:rsidR="00671862">
        <w:t>p</w:t>
      </w:r>
      <w:r>
        <w:t>80</w:t>
      </w:r>
    </w:p>
  </w:footnote>
  <w:footnote w:id="20">
    <w:p w14:paraId="5BFB49FC" w14:textId="69C71110" w:rsidR="0052142D" w:rsidRDefault="0052142D">
      <w:pPr>
        <w:pStyle w:val="FootnoteText"/>
      </w:pPr>
      <w:r>
        <w:rPr>
          <w:rStyle w:val="FootnoteReference"/>
        </w:rPr>
        <w:footnoteRef/>
      </w:r>
      <w:r>
        <w:t xml:space="preserve"> Maclennan</w:t>
      </w:r>
      <w:r w:rsidR="00671862">
        <w:t xml:space="preserve">  2007</w:t>
      </w:r>
      <w:r>
        <w:t xml:space="preserve">  </w:t>
      </w:r>
      <w:r w:rsidR="00671862">
        <w:t>p</w:t>
      </w:r>
      <w:r>
        <w:t>17</w:t>
      </w:r>
    </w:p>
  </w:footnote>
  <w:footnote w:id="21">
    <w:p w14:paraId="4031EFEF" w14:textId="3AE3CA5C" w:rsidR="00BD1C05" w:rsidRDefault="00BD1C05">
      <w:pPr>
        <w:pStyle w:val="FootnoteText"/>
      </w:pPr>
      <w:r>
        <w:rPr>
          <w:rStyle w:val="FootnoteReference"/>
        </w:rPr>
        <w:footnoteRef/>
      </w:r>
      <w:r>
        <w:t xml:space="preserve"> Williams</w:t>
      </w:r>
      <w:r w:rsidR="00671862">
        <w:t xml:space="preserve">  1972</w:t>
      </w:r>
      <w:r>
        <w:t xml:space="preserve">  </w:t>
      </w:r>
      <w:r w:rsidR="00671862">
        <w:t>p</w:t>
      </w:r>
      <w:r>
        <w:t>338</w:t>
      </w:r>
    </w:p>
  </w:footnote>
  <w:footnote w:id="22">
    <w:p w14:paraId="4DFBA714" w14:textId="7265DA6C" w:rsidR="00CC38B2" w:rsidRDefault="00CC38B2">
      <w:pPr>
        <w:pStyle w:val="FootnoteText"/>
      </w:pPr>
      <w:r>
        <w:rPr>
          <w:rStyle w:val="FootnoteReference"/>
        </w:rPr>
        <w:footnoteRef/>
      </w:r>
      <w:r>
        <w:t xml:space="preserve"> Austin</w:t>
      </w:r>
      <w:r w:rsidR="00671862">
        <w:t xml:space="preserve">  1955</w:t>
      </w:r>
      <w:r>
        <w:t xml:space="preserve">  </w:t>
      </w:r>
      <w:r w:rsidR="00671862">
        <w:t>p</w:t>
      </w:r>
      <w:r>
        <w:t>36</w:t>
      </w:r>
    </w:p>
  </w:footnote>
  <w:footnote w:id="23">
    <w:p w14:paraId="066027A8" w14:textId="3FB5ECBE" w:rsidR="00CC38B2" w:rsidRDefault="00CC38B2">
      <w:pPr>
        <w:pStyle w:val="FootnoteText"/>
      </w:pPr>
      <w:r>
        <w:rPr>
          <w:rStyle w:val="FootnoteReference"/>
        </w:rPr>
        <w:footnoteRef/>
      </w:r>
      <w:r>
        <w:t xml:space="preserve"> Williams</w:t>
      </w:r>
      <w:r w:rsidR="00671862">
        <w:t xml:space="preserve">  2007</w:t>
      </w:r>
      <w:r>
        <w:t xml:space="preserve">  </w:t>
      </w:r>
      <w:r w:rsidR="00671862">
        <w:t>p</w:t>
      </w:r>
      <w:r>
        <w:t>338</w:t>
      </w:r>
    </w:p>
  </w:footnote>
  <w:footnote w:id="24">
    <w:p w14:paraId="384466B0" w14:textId="45D7FCFF" w:rsidR="00CC38B2" w:rsidRDefault="00CC38B2">
      <w:pPr>
        <w:pStyle w:val="FootnoteText"/>
      </w:pPr>
      <w:r>
        <w:rPr>
          <w:rStyle w:val="FootnoteReference"/>
        </w:rPr>
        <w:footnoteRef/>
      </w:r>
      <w:r>
        <w:t xml:space="preserve"> Maclennan</w:t>
      </w:r>
      <w:r w:rsidR="00671862">
        <w:t xml:space="preserve">  2007</w:t>
      </w:r>
      <w:r>
        <w:t xml:space="preserve">  </w:t>
      </w:r>
      <w:r w:rsidR="00671862">
        <w:t>p</w:t>
      </w:r>
      <w:r>
        <w:t>80</w:t>
      </w:r>
    </w:p>
  </w:footnote>
  <w:footnote w:id="25">
    <w:p w14:paraId="29EE87C5" w14:textId="0E7E0BA8" w:rsidR="00CC38B2" w:rsidRDefault="00CC38B2">
      <w:pPr>
        <w:pStyle w:val="FootnoteText"/>
      </w:pPr>
      <w:r>
        <w:rPr>
          <w:rStyle w:val="FootnoteReference"/>
        </w:rPr>
        <w:footnoteRef/>
      </w:r>
      <w:r>
        <w:t xml:space="preserve"> Austin</w:t>
      </w:r>
      <w:r w:rsidR="00671862">
        <w:t xml:space="preserve">  1955</w:t>
      </w:r>
      <w:r>
        <w:t xml:space="preserve">  </w:t>
      </w:r>
      <w:r w:rsidR="00671862">
        <w:t>p</w:t>
      </w:r>
      <w:r>
        <w:t>36</w:t>
      </w:r>
    </w:p>
  </w:footnote>
  <w:footnote w:id="26">
    <w:p w14:paraId="35854C9E" w14:textId="51EFC8C3" w:rsidR="00064FCE" w:rsidRDefault="00064FCE">
      <w:pPr>
        <w:pStyle w:val="FootnoteText"/>
      </w:pPr>
      <w:r>
        <w:rPr>
          <w:rStyle w:val="FootnoteReference"/>
        </w:rPr>
        <w:footnoteRef/>
      </w:r>
      <w:r>
        <w:t xml:space="preserve"> Maclennan</w:t>
      </w:r>
      <w:r w:rsidR="00671862">
        <w:t xml:space="preserve">  2007</w:t>
      </w:r>
      <w:r>
        <w:t xml:space="preserve">  </w:t>
      </w:r>
      <w:r w:rsidR="00671862">
        <w:t>p</w:t>
      </w:r>
      <w:r>
        <w:t>80</w:t>
      </w:r>
    </w:p>
  </w:footnote>
  <w:footnote w:id="27">
    <w:p w14:paraId="2CE8E9A8" w14:textId="716D3F70" w:rsidR="00EA7FCC" w:rsidRDefault="00EA7FCC">
      <w:pPr>
        <w:pStyle w:val="FootnoteText"/>
      </w:pPr>
      <w:r>
        <w:rPr>
          <w:rStyle w:val="FootnoteReference"/>
        </w:rPr>
        <w:footnoteRef/>
      </w:r>
      <w:r>
        <w:t xml:space="preserve"> Williams</w:t>
      </w:r>
      <w:r w:rsidR="00671862">
        <w:t xml:space="preserve">  1972</w:t>
      </w:r>
      <w:r>
        <w:t xml:space="preserve">  </w:t>
      </w:r>
      <w:r w:rsidR="00671862">
        <w:t>p</w:t>
      </w:r>
      <w:r>
        <w:t>338</w:t>
      </w:r>
    </w:p>
  </w:footnote>
  <w:footnote w:id="28">
    <w:p w14:paraId="147EF0DE" w14:textId="24C6532D" w:rsidR="00EA7FCC" w:rsidRDefault="00EA7FCC">
      <w:pPr>
        <w:pStyle w:val="FootnoteText"/>
      </w:pPr>
      <w:r>
        <w:rPr>
          <w:rStyle w:val="FootnoteReference"/>
        </w:rPr>
        <w:footnoteRef/>
      </w:r>
      <w:r>
        <w:t xml:space="preserve"> Austin</w:t>
      </w:r>
      <w:r w:rsidR="00671862">
        <w:t xml:space="preserve">  1955</w:t>
      </w:r>
      <w:r>
        <w:t xml:space="preserve">  </w:t>
      </w:r>
      <w:r w:rsidR="00671862">
        <w:t>p</w:t>
      </w:r>
      <w:r>
        <w:t>36</w:t>
      </w:r>
    </w:p>
  </w:footnote>
  <w:footnote w:id="29">
    <w:p w14:paraId="3D812C93" w14:textId="08C90195" w:rsidR="001B5EF9" w:rsidRDefault="001B5EF9">
      <w:pPr>
        <w:pStyle w:val="FootnoteText"/>
      </w:pPr>
      <w:r>
        <w:rPr>
          <w:rStyle w:val="FootnoteReference"/>
        </w:rPr>
        <w:footnoteRef/>
      </w:r>
      <w:r>
        <w:t xml:space="preserve"> Quinn</w:t>
      </w:r>
      <w:r w:rsidR="00671862">
        <w:t xml:space="preserve">  1967</w:t>
      </w:r>
      <w:r>
        <w:t xml:space="preserve">  </w:t>
      </w:r>
      <w:r w:rsidR="00671862">
        <w:t>p</w:t>
      </w:r>
      <w:r>
        <w:t>137</w:t>
      </w:r>
    </w:p>
  </w:footnote>
  <w:footnote w:id="30">
    <w:p w14:paraId="1562CCAF" w14:textId="2D183227" w:rsidR="008E3FC3" w:rsidRDefault="008E3FC3">
      <w:pPr>
        <w:pStyle w:val="FootnoteText"/>
      </w:pPr>
      <w:r>
        <w:rPr>
          <w:rStyle w:val="FootnoteReference"/>
        </w:rPr>
        <w:footnoteRef/>
      </w:r>
      <w:r>
        <w:t xml:space="preserve"> Nelis</w:t>
      </w:r>
      <w:r w:rsidR="00671862">
        <w:t xml:space="preserve">  2001</w:t>
      </w:r>
      <w:r>
        <w:t xml:space="preserve">  </w:t>
      </w:r>
      <w:r w:rsidR="00671862">
        <w:t>p</w:t>
      </w:r>
      <w:r>
        <w:t>139</w:t>
      </w:r>
    </w:p>
  </w:footnote>
  <w:footnote w:id="31">
    <w:p w14:paraId="7AA6A0BA" w14:textId="20780942" w:rsidR="00CF5342" w:rsidRDefault="00CF5342">
      <w:pPr>
        <w:pStyle w:val="FootnoteText"/>
      </w:pPr>
      <w:r>
        <w:rPr>
          <w:rStyle w:val="FootnoteReference"/>
        </w:rPr>
        <w:footnoteRef/>
      </w:r>
      <w:r>
        <w:t xml:space="preserve"> Nelis</w:t>
      </w:r>
      <w:r w:rsidR="00671862">
        <w:t xml:space="preserve">  2001</w:t>
      </w:r>
      <w:r>
        <w:t xml:space="preserve">  </w:t>
      </w:r>
      <w:r w:rsidR="00671862">
        <w:t>p</w:t>
      </w:r>
      <w:r>
        <w:t>139</w:t>
      </w:r>
    </w:p>
  </w:footnote>
  <w:footnote w:id="32">
    <w:p w14:paraId="29C8468F" w14:textId="28BC626B" w:rsidR="00124291" w:rsidRDefault="00124291">
      <w:pPr>
        <w:pStyle w:val="FootnoteText"/>
      </w:pPr>
      <w:r>
        <w:rPr>
          <w:rStyle w:val="FootnoteReference"/>
        </w:rPr>
        <w:footnoteRef/>
      </w:r>
      <w:r>
        <w:t xml:space="preserve"> Austin</w:t>
      </w:r>
      <w:r w:rsidR="00671862">
        <w:t xml:space="preserve">  1955</w:t>
      </w:r>
      <w:r>
        <w:t xml:space="preserve">  </w:t>
      </w:r>
      <w:r w:rsidR="00671862">
        <w:t>p</w:t>
      </w:r>
      <w:r>
        <w:t>36</w:t>
      </w:r>
    </w:p>
  </w:footnote>
  <w:footnote w:id="33">
    <w:p w14:paraId="5D3914BA" w14:textId="129ABDAC" w:rsidR="00124291" w:rsidRDefault="00124291">
      <w:pPr>
        <w:pStyle w:val="FootnoteText"/>
      </w:pPr>
      <w:r>
        <w:rPr>
          <w:rStyle w:val="FootnoteReference"/>
        </w:rPr>
        <w:footnoteRef/>
      </w:r>
      <w:r>
        <w:t xml:space="preserve"> Williams</w:t>
      </w:r>
      <w:r w:rsidR="00671862">
        <w:t xml:space="preserve">  1972</w:t>
      </w:r>
      <w:r>
        <w:t xml:space="preserve">  </w:t>
      </w:r>
      <w:r w:rsidR="00671862">
        <w:t>p</w:t>
      </w:r>
      <w:r>
        <w:t>338</w:t>
      </w:r>
    </w:p>
  </w:footnote>
  <w:footnote w:id="34">
    <w:p w14:paraId="0D52F7E3" w14:textId="7260248B" w:rsidR="00184B14" w:rsidRDefault="00184B14">
      <w:pPr>
        <w:pStyle w:val="FootnoteText"/>
      </w:pPr>
      <w:r>
        <w:rPr>
          <w:rStyle w:val="FootnoteReference"/>
        </w:rPr>
        <w:footnoteRef/>
      </w:r>
      <w:r>
        <w:t xml:space="preserve"> Austin</w:t>
      </w:r>
      <w:r w:rsidR="00671862">
        <w:t xml:space="preserve">  1955</w:t>
      </w:r>
      <w:r>
        <w:t xml:space="preserve">  </w:t>
      </w:r>
      <w:r w:rsidR="00671862">
        <w:t>p</w:t>
      </w:r>
      <w:r>
        <w:t>36</w:t>
      </w:r>
    </w:p>
  </w:footnote>
  <w:footnote w:id="35">
    <w:p w14:paraId="13D83BEC" w14:textId="5A2337AF" w:rsidR="00184B14" w:rsidRDefault="00184B14">
      <w:pPr>
        <w:pStyle w:val="FootnoteText"/>
      </w:pPr>
      <w:r>
        <w:rPr>
          <w:rStyle w:val="FootnoteReference"/>
        </w:rPr>
        <w:footnoteRef/>
      </w:r>
      <w:r>
        <w:t xml:space="preserve"> Maclennan</w:t>
      </w:r>
      <w:r w:rsidR="00671862">
        <w:t xml:space="preserve">  2007</w:t>
      </w:r>
      <w:r>
        <w:t xml:space="preserve">   </w:t>
      </w:r>
      <w:r w:rsidR="00671862">
        <w:t>p</w:t>
      </w:r>
      <w:r>
        <w:t>81</w:t>
      </w:r>
    </w:p>
  </w:footnote>
  <w:footnote w:id="36">
    <w:p w14:paraId="186FEC67" w14:textId="55C57D3C" w:rsidR="00184B14" w:rsidRDefault="00184B14">
      <w:pPr>
        <w:pStyle w:val="FootnoteText"/>
      </w:pPr>
      <w:r>
        <w:rPr>
          <w:rStyle w:val="FootnoteReference"/>
        </w:rPr>
        <w:footnoteRef/>
      </w:r>
      <w:r>
        <w:t xml:space="preserve"> Williams</w:t>
      </w:r>
      <w:r w:rsidR="00671862">
        <w:t xml:space="preserve">  1972</w:t>
      </w:r>
      <w:r>
        <w:t xml:space="preserve">   </w:t>
      </w:r>
      <w:r w:rsidR="00671862">
        <w:t>p</w:t>
      </w:r>
      <w:r>
        <w:t>201</w:t>
      </w:r>
    </w:p>
  </w:footnote>
  <w:footnote w:id="37">
    <w:p w14:paraId="4D4619FD" w14:textId="59895927" w:rsidR="00B670F7" w:rsidRDefault="00B670F7">
      <w:pPr>
        <w:pStyle w:val="FootnoteText"/>
      </w:pPr>
      <w:r>
        <w:rPr>
          <w:rStyle w:val="FootnoteReference"/>
        </w:rPr>
        <w:footnoteRef/>
      </w:r>
      <w:r>
        <w:t xml:space="preserve"> Austin</w:t>
      </w:r>
      <w:r w:rsidR="00671862">
        <w:t xml:space="preserve">  1955</w:t>
      </w:r>
      <w:r>
        <w:t xml:space="preserve">  </w:t>
      </w:r>
      <w:r w:rsidR="00671862">
        <w:t>p</w:t>
      </w:r>
      <w:r>
        <w:t>37</w:t>
      </w:r>
    </w:p>
  </w:footnote>
  <w:footnote w:id="38">
    <w:p w14:paraId="7FABAEEE" w14:textId="11CF1ED6" w:rsidR="00B670F7" w:rsidRDefault="00B670F7">
      <w:pPr>
        <w:pStyle w:val="FootnoteText"/>
      </w:pPr>
      <w:r>
        <w:rPr>
          <w:rStyle w:val="FootnoteReference"/>
        </w:rPr>
        <w:footnoteRef/>
      </w:r>
      <w:r>
        <w:t xml:space="preserve"> Maclennan</w:t>
      </w:r>
      <w:r w:rsidR="00671862">
        <w:t xml:space="preserve">  2007</w:t>
      </w:r>
      <w:r>
        <w:t xml:space="preserve">  </w:t>
      </w:r>
      <w:r w:rsidR="00671862">
        <w:t>p</w:t>
      </w:r>
      <w:r>
        <w:t>81</w:t>
      </w:r>
    </w:p>
  </w:footnote>
  <w:footnote w:id="39">
    <w:p w14:paraId="602DF934" w14:textId="14C7F3BC" w:rsidR="00B670F7" w:rsidRDefault="00B670F7">
      <w:pPr>
        <w:pStyle w:val="FootnoteText"/>
      </w:pPr>
      <w:r>
        <w:rPr>
          <w:rStyle w:val="FootnoteReference"/>
        </w:rPr>
        <w:footnoteRef/>
      </w:r>
      <w:r>
        <w:t xml:space="preserve"> Aeneid  1.15</w:t>
      </w:r>
    </w:p>
  </w:footnote>
  <w:footnote w:id="40">
    <w:p w14:paraId="520298DD" w14:textId="254A10EF" w:rsidR="003B6B0E" w:rsidRDefault="003B6B0E">
      <w:pPr>
        <w:pStyle w:val="FootnoteText"/>
      </w:pPr>
      <w:r>
        <w:rPr>
          <w:rStyle w:val="FootnoteReference"/>
        </w:rPr>
        <w:footnoteRef/>
      </w:r>
      <w:r>
        <w:t xml:space="preserve"> Maclennan</w:t>
      </w:r>
      <w:r w:rsidR="00671862">
        <w:t xml:space="preserve">  2007</w:t>
      </w:r>
      <w:r>
        <w:t xml:space="preserve">  </w:t>
      </w:r>
      <w:r w:rsidR="00671862">
        <w:t>p</w:t>
      </w:r>
      <w:r>
        <w:t>81</w:t>
      </w:r>
    </w:p>
  </w:footnote>
  <w:footnote w:id="41">
    <w:p w14:paraId="22B0E340" w14:textId="24F5090D" w:rsidR="0037659C" w:rsidRDefault="0037659C">
      <w:pPr>
        <w:pStyle w:val="FootnoteText"/>
      </w:pPr>
      <w:r>
        <w:rPr>
          <w:rStyle w:val="FootnoteReference"/>
        </w:rPr>
        <w:footnoteRef/>
      </w:r>
      <w:r>
        <w:t xml:space="preserve"> Hardie</w:t>
      </w:r>
      <w:r w:rsidR="00671862">
        <w:t xml:space="preserve">  1999</w:t>
      </w:r>
      <w:r>
        <w:t xml:space="preserve">  </w:t>
      </w:r>
      <w:r w:rsidR="00671862">
        <w:t>p</w:t>
      </w:r>
      <w:r>
        <w:t>167</w:t>
      </w:r>
    </w:p>
  </w:footnote>
  <w:footnote w:id="42">
    <w:p w14:paraId="0A2A20F1" w14:textId="1086CAB7" w:rsidR="008E3FC3" w:rsidRDefault="008E3FC3">
      <w:pPr>
        <w:pStyle w:val="FootnoteText"/>
      </w:pPr>
      <w:r>
        <w:rPr>
          <w:rStyle w:val="FootnoteReference"/>
        </w:rPr>
        <w:footnoteRef/>
      </w:r>
      <w:r>
        <w:t xml:space="preserve"> Nelis</w:t>
      </w:r>
      <w:r w:rsidR="00671862">
        <w:t xml:space="preserve">  2001</w:t>
      </w:r>
      <w:r>
        <w:t xml:space="preserve">  </w:t>
      </w:r>
      <w:r w:rsidR="00671862">
        <w:t>p</w:t>
      </w:r>
      <w:r>
        <w:t>138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1D5"/>
    <w:rsid w:val="00064FCE"/>
    <w:rsid w:val="000719B6"/>
    <w:rsid w:val="00104197"/>
    <w:rsid w:val="00124291"/>
    <w:rsid w:val="00146328"/>
    <w:rsid w:val="00184B14"/>
    <w:rsid w:val="00192A98"/>
    <w:rsid w:val="001B5EF9"/>
    <w:rsid w:val="001E5A53"/>
    <w:rsid w:val="002351D7"/>
    <w:rsid w:val="002B723F"/>
    <w:rsid w:val="0030797A"/>
    <w:rsid w:val="00340A7B"/>
    <w:rsid w:val="00351321"/>
    <w:rsid w:val="0037659C"/>
    <w:rsid w:val="003B1294"/>
    <w:rsid w:val="003B6B0E"/>
    <w:rsid w:val="003F2191"/>
    <w:rsid w:val="004213A1"/>
    <w:rsid w:val="004E0E65"/>
    <w:rsid w:val="00505DFD"/>
    <w:rsid w:val="00510A9A"/>
    <w:rsid w:val="0052142D"/>
    <w:rsid w:val="005419BE"/>
    <w:rsid w:val="005C31D5"/>
    <w:rsid w:val="0060021C"/>
    <w:rsid w:val="00671862"/>
    <w:rsid w:val="006E18EB"/>
    <w:rsid w:val="006E4AE8"/>
    <w:rsid w:val="00723C7A"/>
    <w:rsid w:val="007757B1"/>
    <w:rsid w:val="007D053A"/>
    <w:rsid w:val="00873D41"/>
    <w:rsid w:val="008B0F16"/>
    <w:rsid w:val="008E3596"/>
    <w:rsid w:val="008E3FC3"/>
    <w:rsid w:val="00913453"/>
    <w:rsid w:val="00971F36"/>
    <w:rsid w:val="009959FE"/>
    <w:rsid w:val="009F7D17"/>
    <w:rsid w:val="00A364B0"/>
    <w:rsid w:val="00A60FD3"/>
    <w:rsid w:val="00A715EC"/>
    <w:rsid w:val="00A83065"/>
    <w:rsid w:val="00AB1A2C"/>
    <w:rsid w:val="00AF679A"/>
    <w:rsid w:val="00B670F7"/>
    <w:rsid w:val="00B75427"/>
    <w:rsid w:val="00BD1C05"/>
    <w:rsid w:val="00C54567"/>
    <w:rsid w:val="00C92DD2"/>
    <w:rsid w:val="00CA13D8"/>
    <w:rsid w:val="00CC266D"/>
    <w:rsid w:val="00CC38B2"/>
    <w:rsid w:val="00CF5342"/>
    <w:rsid w:val="00DC5840"/>
    <w:rsid w:val="00DC6C42"/>
    <w:rsid w:val="00DD7A24"/>
    <w:rsid w:val="00E04EC5"/>
    <w:rsid w:val="00EA7FCC"/>
    <w:rsid w:val="00EF0302"/>
    <w:rsid w:val="00F14196"/>
    <w:rsid w:val="00F62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6F6CA"/>
  <w15:chartTrackingRefBased/>
  <w15:docId w15:val="{D65ED023-CB9E-4D55-8AE2-47FE1556D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419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19BE"/>
    <w:rPr>
      <w:sz w:val="20"/>
      <w:szCs w:val="20"/>
    </w:rPr>
  </w:style>
  <w:style w:type="character" w:styleId="FootnoteReference">
    <w:name w:val="footnote reference"/>
    <w:basedOn w:val="DefaultParagraphFont"/>
    <w:uiPriority w:val="99"/>
    <w:semiHidden/>
    <w:unhideWhenUsed/>
    <w:rsid w:val="005419B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7D0DD-9875-4F12-B07F-96385CECB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1</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dc:creator>
  <cp:keywords/>
  <dc:description/>
  <cp:lastModifiedBy>Nicholas</cp:lastModifiedBy>
  <cp:revision>17</cp:revision>
  <dcterms:created xsi:type="dcterms:W3CDTF">2022-10-31T09:49:00Z</dcterms:created>
  <dcterms:modified xsi:type="dcterms:W3CDTF">2022-11-03T20:57:00Z</dcterms:modified>
</cp:coreProperties>
</file>