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C2B771" w14:textId="77777777" w:rsidR="0049599A" w:rsidRPr="00D04A66" w:rsidRDefault="0049599A" w:rsidP="0049599A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D04A66">
        <w:rPr>
          <w:rFonts w:ascii="Arial" w:hAnsi="Arial" w:cs="Arial"/>
          <w:sz w:val="24"/>
          <w:szCs w:val="24"/>
        </w:rPr>
        <w:t xml:space="preserve">Under IFRS 15 revenue is recognised and measured using a </w:t>
      </w:r>
      <w:proofErr w:type="gramStart"/>
      <w:r w:rsidRPr="00D04A66">
        <w:rPr>
          <w:rFonts w:ascii="Arial" w:hAnsi="Arial" w:cs="Arial"/>
          <w:sz w:val="24"/>
          <w:szCs w:val="24"/>
        </w:rPr>
        <w:t>five step</w:t>
      </w:r>
      <w:proofErr w:type="gramEnd"/>
      <w:r w:rsidRPr="00D04A66">
        <w:rPr>
          <w:rFonts w:ascii="Arial" w:hAnsi="Arial" w:cs="Arial"/>
          <w:sz w:val="24"/>
          <w:szCs w:val="24"/>
        </w:rPr>
        <w:t xml:space="preserve"> model:</w:t>
      </w:r>
    </w:p>
    <w:p w14:paraId="74042AB6" w14:textId="77777777" w:rsidR="0049599A" w:rsidRPr="00230435" w:rsidRDefault="0049599A" w:rsidP="0049599A">
      <w:pPr>
        <w:pStyle w:val="ListParagraph"/>
        <w:numPr>
          <w:ilvl w:val="0"/>
          <w:numId w:val="1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identify the contract with the customer</w:t>
      </w:r>
    </w:p>
    <w:p w14:paraId="5EE77EF4" w14:textId="77777777" w:rsidR="0049599A" w:rsidRPr="00230435" w:rsidRDefault="0049599A" w:rsidP="0049599A">
      <w:pPr>
        <w:pStyle w:val="ListParagraph"/>
        <w:numPr>
          <w:ilvl w:val="0"/>
          <w:numId w:val="1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identify the separate performance obligations</w:t>
      </w:r>
    </w:p>
    <w:p w14:paraId="71FE33C6" w14:textId="77777777" w:rsidR="0049599A" w:rsidRPr="00230435" w:rsidRDefault="0049599A" w:rsidP="0049599A">
      <w:pPr>
        <w:pStyle w:val="ListParagraph"/>
        <w:numPr>
          <w:ilvl w:val="0"/>
          <w:numId w:val="1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determine the transaction price</w:t>
      </w:r>
    </w:p>
    <w:p w14:paraId="40152AAA" w14:textId="77777777" w:rsidR="0049599A" w:rsidRPr="00230435" w:rsidRDefault="0049599A" w:rsidP="0049599A">
      <w:pPr>
        <w:pStyle w:val="ListParagraph"/>
        <w:numPr>
          <w:ilvl w:val="0"/>
          <w:numId w:val="1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allocate the transaction price to the performance obligations</w:t>
      </w:r>
    </w:p>
    <w:p w14:paraId="07129FCA" w14:textId="77777777" w:rsidR="0049599A" w:rsidRPr="00230435" w:rsidRDefault="0049599A" w:rsidP="0049599A">
      <w:pPr>
        <w:pStyle w:val="ListParagraph"/>
        <w:numPr>
          <w:ilvl w:val="0"/>
          <w:numId w:val="1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recognise revenue as a performance obligation is satisfied</w:t>
      </w:r>
    </w:p>
    <w:p w14:paraId="7088CEAA" w14:textId="77777777" w:rsidR="0049599A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4B6D3822" w14:textId="77777777" w:rsidR="0049599A" w:rsidRPr="00230435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In the case of the “bundled” subscription sales, there are separate performance obligations – the obligation to provide the academic journals and the obligation to provide the academic textbooks.</w:t>
      </w:r>
    </w:p>
    <w:p w14:paraId="380F4B3E" w14:textId="77777777" w:rsidR="0049599A" w:rsidRPr="00230435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3DC649AA" w14:textId="77777777" w:rsidR="0049599A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 xml:space="preserve">As the academic textbooks can be sold separately, part of the transaction price needs to be allocated to this performance obligation – the provision of the textbooks. As the academic journal subscriptions are satisfied over </w:t>
      </w:r>
      <w:proofErr w:type="gramStart"/>
      <w:r w:rsidRPr="00230435">
        <w:rPr>
          <w:rFonts w:ascii="Arial" w:hAnsi="Arial" w:cs="Arial"/>
          <w:sz w:val="24"/>
          <w:szCs w:val="24"/>
        </w:rPr>
        <w:t>a period of time</w:t>
      </w:r>
      <w:proofErr w:type="gramEnd"/>
      <w:r w:rsidRPr="00230435">
        <w:rPr>
          <w:rFonts w:ascii="Arial" w:hAnsi="Arial" w:cs="Arial"/>
          <w:sz w:val="24"/>
          <w:szCs w:val="24"/>
        </w:rPr>
        <w:t xml:space="preserve"> as the monthly journals are issued, revenue should be recognised when the performance obligations are satisfied.</w:t>
      </w:r>
    </w:p>
    <w:p w14:paraId="7B04C4D0" w14:textId="77777777" w:rsidR="0049599A" w:rsidRPr="00230435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00FF5966" w14:textId="77777777" w:rsidR="0049599A" w:rsidRPr="00230435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The revenue attached to each performance obligation would be derived as below:</w:t>
      </w:r>
    </w:p>
    <w:p w14:paraId="5F155F04" w14:textId="77777777" w:rsidR="0049599A" w:rsidRPr="00230435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675" w:type="dxa"/>
        <w:tblLook w:val="04A0" w:firstRow="1" w:lastRow="0" w:firstColumn="1" w:lastColumn="0" w:noHBand="0" w:noVBand="1"/>
      </w:tblPr>
      <w:tblGrid>
        <w:gridCol w:w="2410"/>
        <w:gridCol w:w="1985"/>
        <w:gridCol w:w="1690"/>
        <w:gridCol w:w="2256"/>
      </w:tblGrid>
      <w:tr w:rsidR="0049599A" w:rsidRPr="00230435" w14:paraId="5EEB4A18" w14:textId="77777777" w:rsidTr="00A64770">
        <w:tc>
          <w:tcPr>
            <w:tcW w:w="2410" w:type="dxa"/>
          </w:tcPr>
          <w:p w14:paraId="51EB08CD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Performance obligation</w:t>
            </w:r>
          </w:p>
        </w:tc>
        <w:tc>
          <w:tcPr>
            <w:tcW w:w="1985" w:type="dxa"/>
          </w:tcPr>
          <w:p w14:paraId="40BD7870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Stand-alone selling price</w:t>
            </w:r>
          </w:p>
        </w:tc>
        <w:tc>
          <w:tcPr>
            <w:tcW w:w="1690" w:type="dxa"/>
          </w:tcPr>
          <w:p w14:paraId="3FC243F8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% of total</w:t>
            </w:r>
          </w:p>
        </w:tc>
        <w:tc>
          <w:tcPr>
            <w:tcW w:w="2256" w:type="dxa"/>
          </w:tcPr>
          <w:p w14:paraId="1AB64E6C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Revenue to be attributed</w:t>
            </w:r>
          </w:p>
        </w:tc>
      </w:tr>
      <w:tr w:rsidR="0049599A" w:rsidRPr="00230435" w14:paraId="5925BFCA" w14:textId="77777777" w:rsidTr="00A64770">
        <w:tc>
          <w:tcPr>
            <w:tcW w:w="2410" w:type="dxa"/>
          </w:tcPr>
          <w:p w14:paraId="038651CA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5" w:type="dxa"/>
          </w:tcPr>
          <w:p w14:paraId="52FC6868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£</w:t>
            </w:r>
          </w:p>
        </w:tc>
        <w:tc>
          <w:tcPr>
            <w:tcW w:w="1690" w:type="dxa"/>
          </w:tcPr>
          <w:p w14:paraId="383E3633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6" w:type="dxa"/>
          </w:tcPr>
          <w:p w14:paraId="45B202E4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£</w:t>
            </w:r>
          </w:p>
        </w:tc>
      </w:tr>
      <w:tr w:rsidR="0049599A" w:rsidRPr="00230435" w14:paraId="5E8AF90F" w14:textId="77777777" w:rsidTr="00A64770">
        <w:tc>
          <w:tcPr>
            <w:tcW w:w="2410" w:type="dxa"/>
          </w:tcPr>
          <w:p w14:paraId="183B95DB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Journal subscription</w:t>
            </w:r>
          </w:p>
        </w:tc>
        <w:tc>
          <w:tcPr>
            <w:tcW w:w="1985" w:type="dxa"/>
          </w:tcPr>
          <w:p w14:paraId="40F0B47F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2,200</w:t>
            </w:r>
          </w:p>
        </w:tc>
        <w:tc>
          <w:tcPr>
            <w:tcW w:w="1690" w:type="dxa"/>
          </w:tcPr>
          <w:p w14:paraId="6D493FFB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91.67%</w:t>
            </w:r>
          </w:p>
        </w:tc>
        <w:tc>
          <w:tcPr>
            <w:tcW w:w="2256" w:type="dxa"/>
          </w:tcPr>
          <w:p w14:paraId="2E2863D7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1,650</w:t>
            </w:r>
          </w:p>
        </w:tc>
      </w:tr>
      <w:tr w:rsidR="0049599A" w:rsidRPr="00230435" w14:paraId="10718CE2" w14:textId="77777777" w:rsidTr="00A64770">
        <w:tc>
          <w:tcPr>
            <w:tcW w:w="2410" w:type="dxa"/>
          </w:tcPr>
          <w:p w14:paraId="14819902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Academic textbooks</w:t>
            </w:r>
          </w:p>
        </w:tc>
        <w:tc>
          <w:tcPr>
            <w:tcW w:w="1985" w:type="dxa"/>
          </w:tcPr>
          <w:p w14:paraId="4AD78C10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230435">
              <w:rPr>
                <w:rFonts w:ascii="Arial" w:hAnsi="Arial" w:cs="Arial"/>
                <w:sz w:val="24"/>
                <w:szCs w:val="24"/>
                <w:u w:val="single"/>
              </w:rPr>
              <w:t xml:space="preserve">  200</w:t>
            </w:r>
          </w:p>
        </w:tc>
        <w:tc>
          <w:tcPr>
            <w:tcW w:w="1690" w:type="dxa"/>
          </w:tcPr>
          <w:p w14:paraId="4A250D57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230435">
              <w:rPr>
                <w:rFonts w:ascii="Arial" w:hAnsi="Arial" w:cs="Arial"/>
                <w:sz w:val="24"/>
                <w:szCs w:val="24"/>
                <w:u w:val="single"/>
              </w:rPr>
              <w:t xml:space="preserve">  8.33%</w:t>
            </w:r>
          </w:p>
        </w:tc>
        <w:tc>
          <w:tcPr>
            <w:tcW w:w="2256" w:type="dxa"/>
          </w:tcPr>
          <w:p w14:paraId="0A7DA00B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230435">
              <w:rPr>
                <w:rFonts w:ascii="Arial" w:hAnsi="Arial" w:cs="Arial"/>
                <w:sz w:val="24"/>
                <w:szCs w:val="24"/>
                <w:u w:val="single"/>
              </w:rPr>
              <w:t xml:space="preserve">  150</w:t>
            </w:r>
          </w:p>
        </w:tc>
      </w:tr>
      <w:tr w:rsidR="0049599A" w:rsidRPr="00230435" w14:paraId="7451F6F0" w14:textId="77777777" w:rsidTr="00A64770">
        <w:tc>
          <w:tcPr>
            <w:tcW w:w="2410" w:type="dxa"/>
          </w:tcPr>
          <w:p w14:paraId="6F366722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5" w:type="dxa"/>
          </w:tcPr>
          <w:p w14:paraId="151F6390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2,400</w:t>
            </w:r>
          </w:p>
        </w:tc>
        <w:tc>
          <w:tcPr>
            <w:tcW w:w="1690" w:type="dxa"/>
          </w:tcPr>
          <w:p w14:paraId="703B477A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100%</w:t>
            </w:r>
          </w:p>
        </w:tc>
        <w:tc>
          <w:tcPr>
            <w:tcW w:w="2256" w:type="dxa"/>
          </w:tcPr>
          <w:p w14:paraId="2D320E0E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1,800</w:t>
            </w:r>
          </w:p>
        </w:tc>
      </w:tr>
      <w:tr w:rsidR="0049599A" w:rsidRPr="00230435" w14:paraId="22A44259" w14:textId="77777777" w:rsidTr="00A64770">
        <w:tc>
          <w:tcPr>
            <w:tcW w:w="8341" w:type="dxa"/>
            <w:gridSpan w:val="4"/>
          </w:tcPr>
          <w:p w14:paraId="077B5CD0" w14:textId="77777777" w:rsidR="0049599A" w:rsidRPr="00230435" w:rsidRDefault="0049599A" w:rsidP="00A6477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i.e. bundled price represents a 25% discount on the stand-alone selling prices</w:t>
            </w:r>
          </w:p>
        </w:tc>
      </w:tr>
    </w:tbl>
    <w:p w14:paraId="12921F4F" w14:textId="77777777" w:rsidR="0049599A" w:rsidRPr="00230435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0AC7DE69" w14:textId="77777777" w:rsidR="0049599A" w:rsidRPr="00230435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In the financial statements for the year ended 30 June 2017, Athena would recognise revenue of £300,000 (£150*2,000) in respect of the academic textbooks provided.</w:t>
      </w:r>
    </w:p>
    <w:p w14:paraId="30AC2B47" w14:textId="77777777" w:rsidR="0049599A" w:rsidRPr="00230435" w:rsidRDefault="0049599A" w:rsidP="0049599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Athena would recognise revenue of £1,650,000 in respect of the journal subscriptions, as half of the annual performance obligation had been satisfied at that date. Consequently, deferred revenue of £1,650,000 would be recognised as a liability at 30 June 2017.</w:t>
      </w:r>
    </w:p>
    <w:p w14:paraId="25088A70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424737"/>
    <w:multiLevelType w:val="hybridMultilevel"/>
    <w:tmpl w:val="4BE87B0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A274F5"/>
    <w:multiLevelType w:val="hybridMultilevel"/>
    <w:tmpl w:val="539C1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599A"/>
    <w:rsid w:val="0049599A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70C448"/>
  <w15:chartTrackingRefBased/>
  <w15:docId w15:val="{EE452F01-55DF-4E8D-8F18-76B600781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599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599A"/>
    <w:pPr>
      <w:ind w:left="720"/>
      <w:contextualSpacing/>
    </w:pPr>
  </w:style>
  <w:style w:type="table" w:styleId="TableGrid">
    <w:name w:val="Table Grid"/>
    <w:basedOn w:val="TableNormal"/>
    <w:uiPriority w:val="59"/>
    <w:rsid w:val="004959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245</Words>
  <Characters>1401</Characters>
  <Application>Microsoft Office Word</Application>
  <DocSecurity>0</DocSecurity>
  <Lines>11</Lines>
  <Paragraphs>3</Paragraphs>
  <ScaleCrop>false</ScaleCrop>
  <Company/>
  <LinksUpToDate>false</LinksUpToDate>
  <CharactersWithSpaces>1643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2021-03-11T11:19:00Z</dcterms:created>
  <dcterms:modified xsi:type="dcterms:W3CDTF">2021-03-11T11:20:00Z</dcterms:modified>
</cp:coreProperties>
</file>