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C7055" w14:textId="2069F11E" w:rsidR="00B6394A" w:rsidRPr="001E58AD" w:rsidRDefault="00793C9E">
      <w:r>
        <w:rPr>
          <w:b/>
          <w:bCs/>
        </w:rPr>
        <w:t>TT99:</w:t>
      </w:r>
      <w:r w:rsidR="00806CB9">
        <w:rPr>
          <w:b/>
          <w:bCs/>
        </w:rPr>
        <w:t xml:space="preserve"> </w:t>
      </w:r>
      <w:r>
        <w:rPr>
          <w:b/>
          <w:bCs/>
        </w:rPr>
        <w:t>T</w:t>
      </w:r>
      <w:r w:rsidR="00670D35">
        <w:rPr>
          <w:b/>
          <w:bCs/>
        </w:rPr>
        <w:t xml:space="preserve">he Material Culture of Death Indicative of </w:t>
      </w:r>
      <w:r>
        <w:rPr>
          <w:b/>
          <w:bCs/>
        </w:rPr>
        <w:t>societal place</w:t>
      </w:r>
      <w:r w:rsidR="00670D35">
        <w:rPr>
          <w:b/>
          <w:bCs/>
        </w:rPr>
        <w:t xml:space="preserve"> </w:t>
      </w:r>
    </w:p>
    <w:p w14:paraId="2F9B73D6" w14:textId="7354C1F2" w:rsidR="001E58AD" w:rsidRDefault="00410822">
      <w:r w:rsidRPr="001E58AD">
        <w:t>The Tomb of Senneferi in Thebes, Egypt also known at TT99, is one of which provides insight into the lives of those in ancient Egypt</w:t>
      </w:r>
      <w:r w:rsidR="008D78D2" w:rsidRPr="001E58AD">
        <w:t xml:space="preserve"> creating an understanding of the lives in which they lived through the material information found in which they have ironically been laid to rest. This is due to the environmental factors and their own ways in which they </w:t>
      </w:r>
      <w:r w:rsidR="001E58AD" w:rsidRPr="001E58AD">
        <w:t>lived their lives. Looking at the Tomb of Senneferi (TT99) itself through the eyes of the author Strudwich in the book ‘The Tomb of the Pharaoh’s Chancellor Senneferi at Thebes (TT99)’ it provides the understanding of the Tomb in both the matter of its architecture and the movable material evidence</w:t>
      </w:r>
      <w:r w:rsidR="001E58AD">
        <w:t xml:space="preserve"> found within the Tomb itself. </w:t>
      </w:r>
      <w:r w:rsidR="00CA5B86">
        <w:t xml:space="preserve">This linking between the death and the living can be seen in the case of this individual and how they fit in the society not only in life but also in death. </w:t>
      </w:r>
    </w:p>
    <w:p w14:paraId="68CD2807" w14:textId="22CE900A" w:rsidR="00CA5B86" w:rsidRDefault="00CA5B86">
      <w:r>
        <w:t xml:space="preserve">The </w:t>
      </w:r>
      <w:r w:rsidR="00440C12">
        <w:t xml:space="preserve">author of the </w:t>
      </w:r>
      <w:r>
        <w:t xml:space="preserve">book itself describes the </w:t>
      </w:r>
      <w:r w:rsidR="00440C12">
        <w:t xml:space="preserve">tomb in great detail describing in depth not only the architecture but also the iconography and hieroglyphs found within along the walls, starting with the name itself the hieroglyphs is typically shown the use of preference of Senneferi, however it does also have the use of ‘Sennefer’ at times when naming the individual, one individual has argued that this is seemingly the same name however, due to a change in writing </w:t>
      </w:r>
      <w:r w:rsidR="000831B1">
        <w:t>to a more Coptic change in writing style</w:t>
      </w:r>
      <w:r w:rsidR="00A12DE4">
        <w:t xml:space="preserve"> however, this may also due to a preference to style in writing this </w:t>
      </w:r>
      <w:r w:rsidR="003805CE">
        <w:t>as well</w:t>
      </w:r>
      <w:r w:rsidR="00A12DE4">
        <w:t xml:space="preserve"> as written with the title provided to the individual which can be understood and translated as </w:t>
      </w:r>
      <w:r w:rsidR="003805CE">
        <w:t xml:space="preserve">‘Chancellor’, </w:t>
      </w:r>
      <w:r w:rsidR="004712CF">
        <w:t>‘</w:t>
      </w:r>
      <w:r w:rsidR="003805CE">
        <w:t>treasurer</w:t>
      </w:r>
      <w:r w:rsidR="004712CF">
        <w:t>’</w:t>
      </w:r>
      <w:r w:rsidR="003805CE">
        <w:t xml:space="preserve"> amongst others as there is no direct translation</w:t>
      </w:r>
      <w:r w:rsidR="000831B1">
        <w:t xml:space="preserve"> </w:t>
      </w:r>
      <w:r w:rsidR="003805CE">
        <w:t xml:space="preserve">for the word written </w:t>
      </w:r>
      <w:r w:rsidR="000831B1">
        <w:t>(Strudwick, N.</w:t>
      </w:r>
      <w:r w:rsidR="00A12DE4">
        <w:t xml:space="preserve"> 2016.</w:t>
      </w:r>
      <w:r w:rsidR="000831B1">
        <w:t xml:space="preserve"> pp 9.) As in most case the significance of names in ancient Egypt</w:t>
      </w:r>
      <w:r w:rsidR="00A12DE4">
        <w:t xml:space="preserve"> and other cultures</w:t>
      </w:r>
      <w:r w:rsidR="000831B1">
        <w:t xml:space="preserve"> names are often associated with </w:t>
      </w:r>
      <w:r w:rsidR="00A12DE4">
        <w:t xml:space="preserve">power, as such in the Egyptian culture there was a belief of the Egyptian God Ptah had the power to create anything he could name (Graham, L. 2013. Pp 229.)  </w:t>
      </w:r>
      <w:r w:rsidR="003805CE">
        <w:t xml:space="preserve">While there are the individuals’ official political titles there </w:t>
      </w:r>
      <w:r w:rsidR="007345E6">
        <w:t xml:space="preserve">are also the more spiritual titles seen </w:t>
      </w:r>
      <w:r w:rsidR="00D70B74">
        <w:t xml:space="preserve">amongst of which there are also indicators of which level the </w:t>
      </w:r>
      <w:r w:rsidR="00B622B8">
        <w:t>individual is at within the hierarchical system of ancient Egypt</w:t>
      </w:r>
      <w:r w:rsidR="00A35926">
        <w:t xml:space="preserve"> with the mentioning of </w:t>
      </w:r>
      <w:r w:rsidR="009B3BA8">
        <w:t xml:space="preserve">which office that they are within. </w:t>
      </w:r>
      <w:r w:rsidR="000072B7">
        <w:t xml:space="preserve">The written description of </w:t>
      </w:r>
      <w:r w:rsidR="00924515">
        <w:t xml:space="preserve">where the individual is placed within the society. </w:t>
      </w:r>
    </w:p>
    <w:p w14:paraId="713E0E1B" w14:textId="77777777" w:rsidR="004C0B8A" w:rsidRDefault="00A74A45">
      <w:r>
        <w:t xml:space="preserve">The Tomb itself </w:t>
      </w:r>
      <w:r w:rsidR="0021491A">
        <w:t xml:space="preserve">is found </w:t>
      </w:r>
      <w:r w:rsidR="009528A6">
        <w:t>in Thebes</w:t>
      </w:r>
      <w:r w:rsidR="00E44948">
        <w:t xml:space="preserve"> </w:t>
      </w:r>
      <w:r w:rsidR="000E1271">
        <w:t xml:space="preserve">in an area named </w:t>
      </w:r>
      <w:r w:rsidR="000E1271" w:rsidRPr="000E1271">
        <w:t>Sheikh Abdel Qurna</w:t>
      </w:r>
      <w:r w:rsidR="00A03F41">
        <w:t xml:space="preserve"> </w:t>
      </w:r>
      <w:r w:rsidR="002E040C">
        <w:t>in the Upper E</w:t>
      </w:r>
      <w:r w:rsidR="00F50380">
        <w:t>nclosure (</w:t>
      </w:r>
      <w:r w:rsidR="00411D4A" w:rsidRPr="00411D4A">
        <w:t>Strudwick</w:t>
      </w:r>
      <w:r w:rsidR="00411D4A">
        <w:t>, H.</w:t>
      </w:r>
      <w:r w:rsidR="00F148DA">
        <w:t xml:space="preserve"> and </w:t>
      </w:r>
      <w:r w:rsidR="007F3425" w:rsidRPr="007F3425">
        <w:t>Emmett</w:t>
      </w:r>
      <w:r w:rsidR="007F3425">
        <w:t xml:space="preserve">, T. F. </w:t>
      </w:r>
      <w:r w:rsidR="00DD33DB">
        <w:t>2016 pp. 37.)</w:t>
      </w:r>
      <w:r w:rsidR="00C857DD">
        <w:t xml:space="preserve"> </w:t>
      </w:r>
      <w:r w:rsidR="00DD33DB">
        <w:t>Th</w:t>
      </w:r>
      <w:r w:rsidR="007341BD">
        <w:t xml:space="preserve">is was a popular site in which many </w:t>
      </w:r>
      <w:r w:rsidR="00A0313D">
        <w:t xml:space="preserve">individuals chose to </w:t>
      </w:r>
      <w:r w:rsidR="002E2FA4">
        <w:t xml:space="preserve">be laid </w:t>
      </w:r>
      <w:r w:rsidR="00632350">
        <w:t>t</w:t>
      </w:r>
      <w:r w:rsidR="002E2FA4">
        <w:t xml:space="preserve">o rest </w:t>
      </w:r>
      <w:r w:rsidR="007C381D">
        <w:t>with those who inhabit the space</w:t>
      </w:r>
      <w:r w:rsidR="00B33DA9">
        <w:t xml:space="preserve"> and chose that for the area</w:t>
      </w:r>
      <w:r w:rsidR="001F5F95">
        <w:t xml:space="preserve"> within the same </w:t>
      </w:r>
      <w:r w:rsidR="007C527B">
        <w:t>r</w:t>
      </w:r>
      <w:r w:rsidR="001F5F95">
        <w:t>eign</w:t>
      </w:r>
      <w:r w:rsidR="007C527B">
        <w:t xml:space="preserve"> in</w:t>
      </w:r>
      <w:r w:rsidR="001F5F95">
        <w:t xml:space="preserve"> which</w:t>
      </w:r>
      <w:r w:rsidR="007C527B">
        <w:t xml:space="preserve"> Senneferi</w:t>
      </w:r>
      <w:r w:rsidR="00D30584">
        <w:t xml:space="preserve"> were also laid to rest</w:t>
      </w:r>
      <w:r w:rsidR="001F5F95">
        <w:t xml:space="preserve"> </w:t>
      </w:r>
      <w:r w:rsidR="00D30584">
        <w:t>in</w:t>
      </w:r>
      <w:r w:rsidR="001F5F95">
        <w:t xml:space="preserve"> Thut</w:t>
      </w:r>
      <w:r w:rsidR="00DA2EEF">
        <w:t>h</w:t>
      </w:r>
      <w:r w:rsidR="001F5F95">
        <w:t xml:space="preserve">mosis </w:t>
      </w:r>
      <w:r w:rsidR="00DA2EEF">
        <w:t>III 31</w:t>
      </w:r>
      <w:r w:rsidR="00C21F74">
        <w:t>% of the individual are from that reign</w:t>
      </w:r>
      <w:r w:rsidR="008926DC">
        <w:t xml:space="preserve"> h</w:t>
      </w:r>
      <w:r w:rsidR="00305F30">
        <w:t>owever,</w:t>
      </w:r>
      <w:r w:rsidR="003F6EF4">
        <w:t xml:space="preserve"> within the geographical space that is </w:t>
      </w:r>
      <w:r w:rsidR="00305F30">
        <w:t>burial site there</w:t>
      </w:r>
      <w:r w:rsidR="00667CD0">
        <w:t xml:space="preserve"> typically </w:t>
      </w:r>
      <w:r w:rsidR="002E5A00">
        <w:t>higher-ranking</w:t>
      </w:r>
      <w:r w:rsidR="00667CD0">
        <w:t xml:space="preserve"> individuals </w:t>
      </w:r>
      <w:r w:rsidR="00660442">
        <w:t xml:space="preserve">with approximately 72 titles identified </w:t>
      </w:r>
      <w:r w:rsidR="001E5648">
        <w:t xml:space="preserve">within the </w:t>
      </w:r>
      <w:r w:rsidR="003D16EC">
        <w:t>upper</w:t>
      </w:r>
      <w:r w:rsidR="002E5A00">
        <w:t xml:space="preserve"> </w:t>
      </w:r>
      <w:r w:rsidR="002E040C">
        <w:t xml:space="preserve">enclosure </w:t>
      </w:r>
      <w:r w:rsidR="008926DC">
        <w:t>(</w:t>
      </w:r>
      <w:r w:rsidR="008926DC" w:rsidRPr="00737A00">
        <w:t>Muñoz Herrera</w:t>
      </w:r>
      <w:r w:rsidR="008926DC">
        <w:t>, A. 2019. Pp 115-117.) This is indicative</w:t>
      </w:r>
      <w:r w:rsidR="007A0BE6">
        <w:t xml:space="preserve"> that the area </w:t>
      </w:r>
      <w:r w:rsidR="007316B7">
        <w:t xml:space="preserve">is organised in a way of </w:t>
      </w:r>
      <w:r w:rsidR="00657F98">
        <w:t xml:space="preserve">position in the social </w:t>
      </w:r>
      <w:r w:rsidR="000439C2">
        <w:t>construct</w:t>
      </w:r>
      <w:r w:rsidR="005F14A1">
        <w:t xml:space="preserve">. </w:t>
      </w:r>
      <w:r w:rsidR="003063E1">
        <w:t xml:space="preserve">As such the architecture itself </w:t>
      </w:r>
      <w:r w:rsidR="00CD0A24">
        <w:t>is of</w:t>
      </w:r>
      <w:r w:rsidR="0068739A">
        <w:t xml:space="preserve"> </w:t>
      </w:r>
      <w:r w:rsidR="006F4441">
        <w:t>a considered typical</w:t>
      </w:r>
      <w:r w:rsidR="00433BA3">
        <w:t xml:space="preserve"> Tomb</w:t>
      </w:r>
      <w:r w:rsidR="00036045">
        <w:t xml:space="preserve"> of its time</w:t>
      </w:r>
      <w:r w:rsidR="00433BA3">
        <w:t>, in which it’s has four distinct areas</w:t>
      </w:r>
      <w:r w:rsidR="00BF5965">
        <w:t xml:space="preserve">, The courtyard, The Chapel, The Underground Apartments </w:t>
      </w:r>
      <w:r w:rsidR="00435BE5">
        <w:t>and a Superstructure</w:t>
      </w:r>
      <w:r w:rsidR="007E670B">
        <w:t xml:space="preserve"> this layout is typical of the time</w:t>
      </w:r>
      <w:r w:rsidR="00F66E76">
        <w:t xml:space="preserve"> of construction (</w:t>
      </w:r>
      <w:r w:rsidR="00F66E76" w:rsidRPr="00411D4A">
        <w:t>Strudwick</w:t>
      </w:r>
      <w:r w:rsidR="00F66E76">
        <w:t xml:space="preserve">, H. and </w:t>
      </w:r>
      <w:r w:rsidR="00F66E76" w:rsidRPr="007F3425">
        <w:t>Emmett</w:t>
      </w:r>
      <w:r w:rsidR="00F66E76">
        <w:t xml:space="preserve">, T. </w:t>
      </w:r>
      <w:r w:rsidR="00F66E76">
        <w:lastRenderedPageBreak/>
        <w:t>F. 2016 pp. 45.)</w:t>
      </w:r>
      <w:r w:rsidR="008530D3">
        <w:t xml:space="preserve"> The Superstructure, itself while not in the same state as it once was</w:t>
      </w:r>
      <w:r w:rsidR="006D6722">
        <w:t xml:space="preserve"> there is evidence of </w:t>
      </w:r>
      <w:r w:rsidR="00E46242">
        <w:t xml:space="preserve">a façade, </w:t>
      </w:r>
      <w:r w:rsidR="001D4209">
        <w:t xml:space="preserve">in which it was made of </w:t>
      </w:r>
      <w:r w:rsidR="00FF21DA">
        <w:t xml:space="preserve">chips of </w:t>
      </w:r>
      <w:r w:rsidR="0069590F">
        <w:t xml:space="preserve">limestone </w:t>
      </w:r>
      <w:r w:rsidR="00736DE3">
        <w:t xml:space="preserve">with </w:t>
      </w:r>
      <w:r w:rsidR="007648DD">
        <w:t xml:space="preserve">a </w:t>
      </w:r>
      <w:r w:rsidR="00C075ED">
        <w:t xml:space="preserve">visible mudbrick, </w:t>
      </w:r>
      <w:r w:rsidR="002E4CBB">
        <w:t xml:space="preserve">with the bedrock </w:t>
      </w:r>
      <w:r w:rsidR="00071720">
        <w:t>of the entrance</w:t>
      </w:r>
      <w:r w:rsidR="00C07E44">
        <w:t xml:space="preserve"> seemingly due to </w:t>
      </w:r>
      <w:r w:rsidR="00A119D7">
        <w:t>lack of</w:t>
      </w:r>
      <w:r w:rsidR="00C07E44">
        <w:t xml:space="preserve"> what was the superstructure</w:t>
      </w:r>
      <w:r w:rsidR="00A119D7">
        <w:t xml:space="preserve"> that is now visible</w:t>
      </w:r>
      <w:r w:rsidR="002043D3">
        <w:t xml:space="preserve">, as such due to the level of </w:t>
      </w:r>
      <w:r w:rsidR="005A4A54">
        <w:t>disintegration</w:t>
      </w:r>
      <w:r w:rsidR="002043D3">
        <w:t xml:space="preserve"> </w:t>
      </w:r>
      <w:r w:rsidR="00172C59">
        <w:t xml:space="preserve">due to environmental factors and weathering it has since been reinforced </w:t>
      </w:r>
      <w:r w:rsidR="005A4A54">
        <w:t>with modern plaster in 1993-1994 (</w:t>
      </w:r>
      <w:r w:rsidR="005A4A54" w:rsidRPr="00411D4A">
        <w:t>Strudwick</w:t>
      </w:r>
      <w:r w:rsidR="005A4A54">
        <w:t xml:space="preserve">, H. and </w:t>
      </w:r>
      <w:r w:rsidR="005A4A54" w:rsidRPr="007F3425">
        <w:t>Emmett</w:t>
      </w:r>
      <w:r w:rsidR="005A4A54">
        <w:t xml:space="preserve">, T. F. 2016 pp. 45-46.) </w:t>
      </w:r>
      <w:r w:rsidR="00BF358F">
        <w:t xml:space="preserve">Limestone at the time </w:t>
      </w:r>
      <w:r w:rsidR="00F60712">
        <w:t xml:space="preserve">of </w:t>
      </w:r>
      <w:r w:rsidR="00BD41DC">
        <w:t>was a typical source</w:t>
      </w:r>
      <w:r w:rsidR="000461E6">
        <w:t xml:space="preserve"> of material </w:t>
      </w:r>
      <w:r w:rsidR="00A56163">
        <w:t xml:space="preserve">building </w:t>
      </w:r>
      <w:r w:rsidR="00770DC3">
        <w:t>not only Tombs, but sculptures, temples and pyramids</w:t>
      </w:r>
      <w:r w:rsidR="00A656A0">
        <w:t xml:space="preserve"> </w:t>
      </w:r>
      <w:r w:rsidR="00325853">
        <w:t xml:space="preserve">typically due to its long lasting </w:t>
      </w:r>
      <w:r w:rsidR="00A37DD7">
        <w:t xml:space="preserve">properties, and due to that it </w:t>
      </w:r>
      <w:r w:rsidR="00C0472A">
        <w:t>helped to preserve</w:t>
      </w:r>
      <w:r w:rsidR="002B33A6">
        <w:t xml:space="preserve"> and protect</w:t>
      </w:r>
      <w:r w:rsidR="00C0472A">
        <w:t xml:space="preserve"> the</w:t>
      </w:r>
      <w:r w:rsidR="002B33A6">
        <w:t>ir</w:t>
      </w:r>
      <w:r w:rsidR="00C0472A">
        <w:t xml:space="preserve"> remains </w:t>
      </w:r>
      <w:r w:rsidR="002B33A6">
        <w:t xml:space="preserve">which </w:t>
      </w:r>
      <w:r w:rsidR="000B4C47">
        <w:t>would continue in death protecting the physical body</w:t>
      </w:r>
      <w:r w:rsidR="003E6CA3">
        <w:t xml:space="preserve"> as well as their spiritual body</w:t>
      </w:r>
      <w:r w:rsidR="00AA4E85">
        <w:t xml:space="preserve">, and because of that belief of its facilitating </w:t>
      </w:r>
      <w:r w:rsidR="008371F1">
        <w:t>of transforming</w:t>
      </w:r>
      <w:r w:rsidR="006177DC">
        <w:t xml:space="preserve"> </w:t>
      </w:r>
      <w:r w:rsidR="005D7672">
        <w:t>(History Rise, 2021.)</w:t>
      </w:r>
    </w:p>
    <w:p w14:paraId="357F552D" w14:textId="1D003268" w:rsidR="009F0B60" w:rsidRDefault="00444D90">
      <w:r>
        <w:t xml:space="preserve">The chapel </w:t>
      </w:r>
      <w:r w:rsidR="00BD61C0">
        <w:t>characterised</w:t>
      </w:r>
      <w:r>
        <w:t xml:space="preserve"> as a T-shape, has </w:t>
      </w:r>
      <w:r w:rsidR="003A72DF">
        <w:t>a front room followed by a long corridor</w:t>
      </w:r>
      <w:r w:rsidR="00BD61C0">
        <w:t xml:space="preserve"> leading to the rear room</w:t>
      </w:r>
      <w:r w:rsidR="00DC0EF0">
        <w:t xml:space="preserve"> or shrine</w:t>
      </w:r>
      <w:r w:rsidR="00650E0C">
        <w:t xml:space="preserve">, with the main variant being </w:t>
      </w:r>
      <w:r w:rsidR="00DC0EF0">
        <w:t>the number of pillars seen in the rear room or shrine</w:t>
      </w:r>
      <w:r w:rsidR="001F4582">
        <w:t xml:space="preserve">, </w:t>
      </w:r>
      <w:r w:rsidR="00DB534F">
        <w:t xml:space="preserve">the front room </w:t>
      </w:r>
      <w:r w:rsidR="00570E8D">
        <w:t xml:space="preserve">has indicators of some smoke damage, </w:t>
      </w:r>
      <w:r w:rsidR="00130044">
        <w:t xml:space="preserve">and damage due to </w:t>
      </w:r>
      <w:r w:rsidR="004C0B8A">
        <w:t xml:space="preserve">time with the </w:t>
      </w:r>
      <w:r w:rsidR="009930CE">
        <w:t>original decoration lost</w:t>
      </w:r>
      <w:r w:rsidR="00FD111E">
        <w:t xml:space="preserve"> </w:t>
      </w:r>
      <w:r w:rsidR="004E3146">
        <w:t xml:space="preserve">in which you can see the early stages of </w:t>
      </w:r>
      <w:r w:rsidR="00454593">
        <w:t>preparation of the tomb (</w:t>
      </w:r>
      <w:r w:rsidR="00454593" w:rsidRPr="00411D4A">
        <w:t>Strudwick</w:t>
      </w:r>
      <w:r w:rsidR="00454593">
        <w:t xml:space="preserve">, H. and </w:t>
      </w:r>
      <w:r w:rsidR="00454593" w:rsidRPr="007F3425">
        <w:t>Emmett</w:t>
      </w:r>
      <w:r w:rsidR="00454593">
        <w:t xml:space="preserve">, T. F. 2016 pp. </w:t>
      </w:r>
      <w:r w:rsidR="00313CFC">
        <w:t>55, 58.</w:t>
      </w:r>
      <w:r w:rsidR="00454593">
        <w:t>)</w:t>
      </w:r>
      <w:r w:rsidR="00313CFC">
        <w:t xml:space="preserve"> This is indicative that this was done with careful preparation and time </w:t>
      </w:r>
      <w:r w:rsidR="00454EF0">
        <w:t>considered</w:t>
      </w:r>
      <w:r w:rsidR="006F3DB0">
        <w:t xml:space="preserve"> with the </w:t>
      </w:r>
      <w:r w:rsidR="00BE54AA">
        <w:t>typical tomb such as Senneferi</w:t>
      </w:r>
      <w:r w:rsidR="00F73C54">
        <w:t xml:space="preserve">. The decoration of the chapel </w:t>
      </w:r>
      <w:r w:rsidR="00B167EB">
        <w:t xml:space="preserve">is a clear way in which how Senneferi fit in the society of </w:t>
      </w:r>
      <w:r w:rsidR="00F23A7F">
        <w:t xml:space="preserve">Ancient Egypt, </w:t>
      </w:r>
      <w:r w:rsidR="001B68C0">
        <w:t xml:space="preserve">however, there is some confusion as to what belongs were which </w:t>
      </w:r>
      <w:r w:rsidR="00CF1240">
        <w:t xml:space="preserve">does show some complications in it, </w:t>
      </w:r>
      <w:r w:rsidR="003D4A34">
        <w:t xml:space="preserve">with some pieces finding their way in from other Tombs nearby </w:t>
      </w:r>
      <w:r w:rsidR="009A4C16">
        <w:t xml:space="preserve">potentially for safe keeping in later years or for </w:t>
      </w:r>
      <w:r w:rsidR="00E32A91">
        <w:t>sale (</w:t>
      </w:r>
      <w:r w:rsidR="00E32A91" w:rsidRPr="00411D4A">
        <w:t>Strudwick</w:t>
      </w:r>
      <w:r w:rsidR="00E32A91">
        <w:t xml:space="preserve">, H. and </w:t>
      </w:r>
      <w:r w:rsidR="00E32A91" w:rsidRPr="007F3425">
        <w:t>Emmett</w:t>
      </w:r>
      <w:r w:rsidR="00E32A91">
        <w:t xml:space="preserve">, T. F. 2016 pp. 84, </w:t>
      </w:r>
      <w:r w:rsidR="00EA5F51">
        <w:t>86</w:t>
      </w:r>
      <w:r w:rsidR="00E32A91">
        <w:t>.)</w:t>
      </w:r>
      <w:r w:rsidR="00EA5F51">
        <w:t xml:space="preserve"> </w:t>
      </w:r>
      <w:r w:rsidR="00464D6E">
        <w:t>Following onto the Shrine</w:t>
      </w:r>
      <w:r w:rsidR="005A3CBE">
        <w:t xml:space="preserve"> or rear room</w:t>
      </w:r>
      <w:r w:rsidR="00070C55">
        <w:t xml:space="preserve">, the </w:t>
      </w:r>
      <w:r w:rsidR="007D4A61">
        <w:t>writing seen on</w:t>
      </w:r>
      <w:r w:rsidR="0056690D">
        <w:t xml:space="preserve"> the East wall which is facing the entrance tells us that </w:t>
      </w:r>
      <w:r w:rsidR="000051E8">
        <w:t xml:space="preserve">the individual was a very spiritual individual </w:t>
      </w:r>
      <w:r w:rsidR="00030A6D">
        <w:t xml:space="preserve">with what can be understood as </w:t>
      </w:r>
      <w:r w:rsidR="00AB3921">
        <w:t xml:space="preserve">the celebration of seasons and the New Year, mentioning of </w:t>
      </w:r>
      <w:r w:rsidR="001D3EA0">
        <w:t xml:space="preserve">offerings and deities, this ties in with the previously mention titles in which </w:t>
      </w:r>
      <w:r w:rsidR="00142688">
        <w:t xml:space="preserve">he is a ‘Chancellor’ </w:t>
      </w:r>
      <w:r w:rsidR="00202237">
        <w:t xml:space="preserve">or ‘Treasurer’ </w:t>
      </w:r>
      <w:r w:rsidR="005B4B6C">
        <w:t xml:space="preserve">and the individuals Spiritual titles </w:t>
      </w:r>
      <w:r w:rsidR="0027605E">
        <w:t>(</w:t>
      </w:r>
      <w:r w:rsidR="0027605E" w:rsidRPr="00411D4A">
        <w:t>Strudwick</w:t>
      </w:r>
      <w:r w:rsidR="0027605E">
        <w:t xml:space="preserve">, H. and </w:t>
      </w:r>
      <w:r w:rsidR="0027605E" w:rsidRPr="007F3425">
        <w:t>Emmett</w:t>
      </w:r>
      <w:r w:rsidR="0027605E">
        <w:t>, T. F. 2016 pp. 86-87.)</w:t>
      </w:r>
      <w:r w:rsidR="0070270D">
        <w:t xml:space="preserve"> </w:t>
      </w:r>
    </w:p>
    <w:p w14:paraId="49E263DF" w14:textId="0F34CC44" w:rsidR="00917F05" w:rsidRDefault="00EC08E3">
      <w:r>
        <w:t xml:space="preserve">The </w:t>
      </w:r>
      <w:r w:rsidR="00EF7CEA">
        <w:t xml:space="preserve">following apartments </w:t>
      </w:r>
      <w:r w:rsidR="00F8413A">
        <w:t>which are found seemingly</w:t>
      </w:r>
      <w:r w:rsidR="004D75CD">
        <w:t xml:space="preserve"> in the </w:t>
      </w:r>
      <w:r w:rsidR="00313313">
        <w:t>burial shafts</w:t>
      </w:r>
      <w:r w:rsidR="00F8413A">
        <w:t xml:space="preserve"> </w:t>
      </w:r>
      <w:r w:rsidR="004D190C">
        <w:t>after</w:t>
      </w:r>
      <w:r w:rsidR="004A519B">
        <w:t xml:space="preserve"> </w:t>
      </w:r>
      <w:r w:rsidR="00E50974">
        <w:t xml:space="preserve">later after the burial of Senneferi to accommodate </w:t>
      </w:r>
      <w:r w:rsidR="006A1DCC">
        <w:t xml:space="preserve">the loss of his </w:t>
      </w:r>
      <w:r w:rsidR="005E41BB">
        <w:t xml:space="preserve">Wife, </w:t>
      </w:r>
      <w:r w:rsidR="001D1CAF">
        <w:t>His parent and daughter</w:t>
      </w:r>
      <w:r w:rsidR="00A60132">
        <w:t xml:space="preserve"> </w:t>
      </w:r>
      <w:r w:rsidR="00ED493F">
        <w:t>with the parents and his own daughter considered to have died</w:t>
      </w:r>
      <w:r w:rsidR="00A43272">
        <w:t xml:space="preserve"> prior to Senneferi</w:t>
      </w:r>
      <w:r w:rsidR="00366C85">
        <w:t>, (</w:t>
      </w:r>
      <w:r w:rsidR="00366C85" w:rsidRPr="00411D4A">
        <w:t>Strudwick</w:t>
      </w:r>
      <w:r w:rsidR="00366C85">
        <w:t xml:space="preserve">, H. and </w:t>
      </w:r>
      <w:r w:rsidR="00366C85" w:rsidRPr="007F3425">
        <w:t>Emmett</w:t>
      </w:r>
      <w:r w:rsidR="00366C85">
        <w:t xml:space="preserve">, T. F. 2016 pp. </w:t>
      </w:r>
      <w:r w:rsidR="00A56934">
        <w:t>77-78</w:t>
      </w:r>
      <w:r w:rsidR="00366C85">
        <w:t>.)</w:t>
      </w:r>
      <w:r w:rsidR="00A56934">
        <w:t xml:space="preserve"> This familial tomb</w:t>
      </w:r>
      <w:r w:rsidR="006E62F6">
        <w:t xml:space="preserve">, </w:t>
      </w:r>
      <w:r w:rsidR="00D43813">
        <w:t>due to</w:t>
      </w:r>
      <w:r w:rsidR="006E62F6">
        <w:t xml:space="preserve"> choice</w:t>
      </w:r>
      <w:r w:rsidR="00AE236D">
        <w:t xml:space="preserve"> </w:t>
      </w:r>
      <w:r w:rsidR="00EA705E">
        <w:t xml:space="preserve">within the other shaft there appears to be other </w:t>
      </w:r>
      <w:r w:rsidR="00D43813">
        <w:t>descendants</w:t>
      </w:r>
      <w:r w:rsidR="00EA705E">
        <w:t xml:space="preserve"> having inhabited</w:t>
      </w:r>
      <w:r w:rsidR="00F20DCE">
        <w:t xml:space="preserve"> (</w:t>
      </w:r>
      <w:r w:rsidR="00F20DCE" w:rsidRPr="00411D4A">
        <w:t>Strudwick</w:t>
      </w:r>
      <w:r w:rsidR="00F20DCE">
        <w:t xml:space="preserve">, H. and </w:t>
      </w:r>
      <w:r w:rsidR="00F20DCE" w:rsidRPr="007F3425">
        <w:t>Emmett</w:t>
      </w:r>
      <w:r w:rsidR="00F20DCE">
        <w:t xml:space="preserve">, T. F. 2016 pp. </w:t>
      </w:r>
      <w:r w:rsidR="0041620B">
        <w:t xml:space="preserve">190.) </w:t>
      </w:r>
      <w:r w:rsidR="004D190C">
        <w:t xml:space="preserve">The sharing of Tombs </w:t>
      </w:r>
      <w:r w:rsidR="003D0125">
        <w:t>was</w:t>
      </w:r>
      <w:r w:rsidR="004D190C">
        <w:t xml:space="preserve"> typical</w:t>
      </w:r>
      <w:r w:rsidR="005C6392">
        <w:t xml:space="preserve"> of most tom</w:t>
      </w:r>
      <w:r w:rsidR="002C205E">
        <w:t>bs</w:t>
      </w:r>
      <w:r w:rsidR="00102E12">
        <w:t xml:space="preserve"> and can be compared to western ideas</w:t>
      </w:r>
      <w:r w:rsidR="004F3940">
        <w:t xml:space="preserve"> of how some individuals and </w:t>
      </w:r>
      <w:r w:rsidR="008E183A">
        <w:t>families</w:t>
      </w:r>
      <w:r w:rsidR="004F3940">
        <w:t xml:space="preserve"> are laid </w:t>
      </w:r>
      <w:r w:rsidR="008E183A">
        <w:t>to rest</w:t>
      </w:r>
      <w:r w:rsidR="00102E12">
        <w:t xml:space="preserve"> in the case of family crypts and by comparison </w:t>
      </w:r>
      <w:r w:rsidR="001144C2">
        <w:t xml:space="preserve">being similar that it is typically those of a </w:t>
      </w:r>
      <w:r w:rsidR="00682B06">
        <w:t xml:space="preserve">particular </w:t>
      </w:r>
      <w:r w:rsidR="001144C2">
        <w:t xml:space="preserve">social standing </w:t>
      </w:r>
      <w:r w:rsidR="00682B06">
        <w:t>and in</w:t>
      </w:r>
      <w:r w:rsidR="00CA4CD7">
        <w:t>f</w:t>
      </w:r>
      <w:r w:rsidR="00682B06">
        <w:t xml:space="preserve">luence such in the case of the position </w:t>
      </w:r>
      <w:r w:rsidR="00CA4CD7">
        <w:t xml:space="preserve">Senneferi appear to have held. </w:t>
      </w:r>
      <w:r w:rsidR="00E3503E">
        <w:t xml:space="preserve">However, this social standing does not seem to have </w:t>
      </w:r>
      <w:r w:rsidR="00460F66">
        <w:t>deterred robbers in the case</w:t>
      </w:r>
      <w:r w:rsidR="0005158D">
        <w:t xml:space="preserve">, </w:t>
      </w:r>
      <w:r w:rsidR="00834759">
        <w:t xml:space="preserve">of </w:t>
      </w:r>
      <w:r w:rsidR="00E65332">
        <w:t>his</w:t>
      </w:r>
      <w:r w:rsidR="00834759">
        <w:t xml:space="preserve"> social standing would have enough influence to </w:t>
      </w:r>
      <w:r w:rsidR="00556F7E">
        <w:t xml:space="preserve">have his amulets and </w:t>
      </w:r>
      <w:r w:rsidR="004B7040">
        <w:t xml:space="preserve">funerary equipment stolen and his body disturbed and the bodies of his relations also violated </w:t>
      </w:r>
      <w:r w:rsidR="004B7040">
        <w:t>(</w:t>
      </w:r>
      <w:r w:rsidR="004B7040" w:rsidRPr="00411D4A">
        <w:t>Strudwick</w:t>
      </w:r>
      <w:r w:rsidR="004B7040">
        <w:t xml:space="preserve">, H. and </w:t>
      </w:r>
      <w:r w:rsidR="004B7040" w:rsidRPr="007F3425">
        <w:t>Emmett</w:t>
      </w:r>
      <w:r w:rsidR="004B7040">
        <w:t xml:space="preserve">, T. F. 2016 pp. </w:t>
      </w:r>
      <w:r w:rsidR="004B7040">
        <w:t>81</w:t>
      </w:r>
      <w:r w:rsidR="004B7040">
        <w:t>.)</w:t>
      </w:r>
      <w:r w:rsidR="004B7040">
        <w:t xml:space="preserve"> </w:t>
      </w:r>
      <w:r w:rsidR="003F5FED">
        <w:t xml:space="preserve">This indication of it being </w:t>
      </w:r>
      <w:r w:rsidR="003F5FED">
        <w:lastRenderedPageBreak/>
        <w:t xml:space="preserve">while he and his familial relations may have </w:t>
      </w:r>
      <w:r w:rsidR="00CF16D1">
        <w:t xml:space="preserve">a position in social standing in life, after time the living </w:t>
      </w:r>
      <w:r w:rsidR="00BC5D21">
        <w:t xml:space="preserve">while granted further in time, did not continue and the </w:t>
      </w:r>
      <w:r w:rsidR="0073759F">
        <w:t>authority once commanded by his social standing may have lost its appeal</w:t>
      </w:r>
      <w:r w:rsidR="00B271B3">
        <w:t xml:space="preserve"> and the families respect within the society changed.</w:t>
      </w:r>
    </w:p>
    <w:p w14:paraId="36251FAF" w14:textId="54A7C8C8" w:rsidR="00C361B8" w:rsidRDefault="00C361B8">
      <w:r>
        <w:t xml:space="preserve">To conclude, this once illustrious tomb of a </w:t>
      </w:r>
      <w:r w:rsidR="00434C38">
        <w:t>Pharoah’s</w:t>
      </w:r>
      <w:r>
        <w:t xml:space="preserve"> Chancellor, </w:t>
      </w:r>
      <w:r w:rsidR="00002B8A">
        <w:t xml:space="preserve">shows indications the individuals societal standing through its architecture and iconography </w:t>
      </w:r>
      <w:r w:rsidR="00434C38">
        <w:t>at the point of its con</w:t>
      </w:r>
      <w:r w:rsidR="006D1711">
        <w:t xml:space="preserve">struction, maintain its illustrious appearance with its white limestone, </w:t>
      </w:r>
      <w:r w:rsidR="009A40B8">
        <w:t xml:space="preserve">a highly used material of which is know to be </w:t>
      </w:r>
      <w:r w:rsidR="004B23BE">
        <w:t xml:space="preserve">a </w:t>
      </w:r>
      <w:r w:rsidR="00CD3578">
        <w:t xml:space="preserve">protective material of both the physical body and the spiritual </w:t>
      </w:r>
      <w:r w:rsidR="00B25A0E">
        <w:t xml:space="preserve">body in which it is </w:t>
      </w:r>
      <w:r w:rsidR="002E4EC1">
        <w:t xml:space="preserve">to facilitate the transformative </w:t>
      </w:r>
      <w:r w:rsidR="00964B4D">
        <w:t xml:space="preserve">nature the individual is believed to undertake. </w:t>
      </w:r>
      <w:r w:rsidR="00AB3DF7">
        <w:t xml:space="preserve">Furthermore, the iconography listing the roles played by Senneferi explaining the amount of </w:t>
      </w:r>
      <w:r w:rsidR="00A128E6">
        <w:t xml:space="preserve">power held by him, however it is worth noting that it is not absolute. It is influential </w:t>
      </w:r>
      <w:r w:rsidR="00AE0124">
        <w:t xml:space="preserve">upon how Senneferi Functions with </w:t>
      </w:r>
      <w:r w:rsidR="001F1DB0">
        <w:t xml:space="preserve">society as </w:t>
      </w:r>
      <w:r w:rsidR="00D43813">
        <w:t>an</w:t>
      </w:r>
      <w:r w:rsidR="001F1DB0">
        <w:t xml:space="preserve"> influential political figure in life and based on where </w:t>
      </w:r>
      <w:r w:rsidR="00920BEB">
        <w:t xml:space="preserve">Geographically </w:t>
      </w:r>
      <w:r w:rsidR="00A75ECC">
        <w:t>laid to rest</w:t>
      </w:r>
      <w:r w:rsidR="00920BEB">
        <w:t xml:space="preserve"> with other </w:t>
      </w:r>
      <w:r w:rsidR="0096702B">
        <w:t>high-ranking</w:t>
      </w:r>
      <w:r w:rsidR="00920BEB">
        <w:t xml:space="preserve"> officials,</w:t>
      </w:r>
      <w:r w:rsidR="00FC20B8">
        <w:t xml:space="preserve"> </w:t>
      </w:r>
      <w:r w:rsidR="001842F5">
        <w:t>from military to religious</w:t>
      </w:r>
      <w:r w:rsidR="00384903">
        <w:t xml:space="preserve"> providing clear sign and indicator of their rank level, not only through hieroglyphs but also through the geograp</w:t>
      </w:r>
      <w:r w:rsidR="0096702B">
        <w:t>h</w:t>
      </w:r>
      <w:r w:rsidR="00384903">
        <w:t>y</w:t>
      </w:r>
      <w:r w:rsidR="0096702B">
        <w:t>. The final indicator where</w:t>
      </w:r>
      <w:r w:rsidR="00911AB6">
        <w:t xml:space="preserve"> not only the individual stood but the family of Senneferi, </w:t>
      </w:r>
      <w:r w:rsidR="00DE48C1">
        <w:t xml:space="preserve">in the fact that they were all laid together with even, the </w:t>
      </w:r>
      <w:r w:rsidR="0089419E">
        <w:t>already deceased individuals, before him were relocated to the same tomb a</w:t>
      </w:r>
      <w:r w:rsidR="00826337">
        <w:t xml:space="preserve">s if Senneferi himself had lifted the </w:t>
      </w:r>
      <w:r w:rsidR="00D95976">
        <w:t>family’s</w:t>
      </w:r>
      <w:r w:rsidR="00826337">
        <w:t xml:space="preserve"> status within the society of Ancient Egypt</w:t>
      </w:r>
      <w:r w:rsidR="007D36C8">
        <w:t xml:space="preserve"> at the time. Despite this however like </w:t>
      </w:r>
      <w:r w:rsidR="008E183A">
        <w:t>other</w:t>
      </w:r>
      <w:r w:rsidR="007D36C8">
        <w:t xml:space="preserve"> Tombs and places of rest of individuals of Ancient Egypt they too lost their societal standing and </w:t>
      </w:r>
      <w:r w:rsidR="00D95976">
        <w:t xml:space="preserve">respect and were disturbed in the final resting place by robbers. </w:t>
      </w:r>
    </w:p>
    <w:p w14:paraId="7880488B" w14:textId="1759D227" w:rsidR="00B271B3" w:rsidRDefault="00CC0C61">
      <w:r>
        <w:t>References:</w:t>
      </w:r>
    </w:p>
    <w:p w14:paraId="7C52F122" w14:textId="77777777" w:rsidR="00343508" w:rsidRPr="00343508" w:rsidRDefault="00343508" w:rsidP="00343508">
      <w:pPr>
        <w:rPr>
          <w:lang w:val="en-US"/>
        </w:rPr>
      </w:pPr>
      <w:r w:rsidRPr="00343508">
        <w:rPr>
          <w:lang w:val="en-US"/>
        </w:rPr>
        <w:t xml:space="preserve">Graham, L. (2013) The Power of Names: In Culture and in Mathematics1. </w:t>
      </w:r>
      <w:r w:rsidRPr="00343508">
        <w:rPr>
          <w:i/>
          <w:iCs/>
          <w:lang w:val="en-US"/>
        </w:rPr>
        <w:t>Proceedings of the American Philosophical Society</w:t>
      </w:r>
      <w:r w:rsidRPr="00343508">
        <w:rPr>
          <w:lang w:val="en-US"/>
        </w:rPr>
        <w:t>. 157 (2), 229–234.</w:t>
      </w:r>
    </w:p>
    <w:p w14:paraId="14F9AAA7" w14:textId="77777777" w:rsidR="00343508" w:rsidRPr="00343508" w:rsidRDefault="00343508" w:rsidP="00343508">
      <w:pPr>
        <w:rPr>
          <w:lang w:val="en-US"/>
        </w:rPr>
      </w:pPr>
      <w:r w:rsidRPr="00343508">
        <w:rPr>
          <w:lang w:val="en-US"/>
        </w:rPr>
        <w:t>Muñoz Herrera, A. (2019) ‘</w:t>
      </w:r>
      <w:r w:rsidRPr="00343508">
        <w:rPr>
          <w:i/>
          <w:iCs/>
          <w:lang w:val="en-US"/>
        </w:rPr>
        <w:t xml:space="preserve">Sheikh Abd </w:t>
      </w:r>
      <w:proofErr w:type="spellStart"/>
      <w:r w:rsidRPr="00343508">
        <w:rPr>
          <w:i/>
          <w:iCs/>
          <w:lang w:val="en-US"/>
        </w:rPr>
        <w:t>el</w:t>
      </w:r>
      <w:proofErr w:type="spellEnd"/>
      <w:r w:rsidRPr="00343508">
        <w:rPr>
          <w:i/>
          <w:iCs/>
          <w:lang w:val="en-US"/>
        </w:rPr>
        <w:t xml:space="preserve">-Qurna, a Landscape for the </w:t>
      </w:r>
      <w:proofErr w:type="gramStart"/>
      <w:r w:rsidRPr="00343508">
        <w:rPr>
          <w:i/>
          <w:iCs/>
          <w:lang w:val="en-US"/>
        </w:rPr>
        <w:t>Afterlife::</w:t>
      </w:r>
      <w:proofErr w:type="gramEnd"/>
      <w:r w:rsidRPr="00343508">
        <w:rPr>
          <w:i/>
          <w:iCs/>
          <w:lang w:val="en-US"/>
        </w:rPr>
        <w:t xml:space="preserve"> Reciprocity in Shaping Life Histories</w:t>
      </w:r>
      <w:r w:rsidRPr="00343508">
        <w:rPr>
          <w:lang w:val="en-US"/>
        </w:rPr>
        <w:t>’, in [Online]. pp. 113–128.</w:t>
      </w:r>
    </w:p>
    <w:p w14:paraId="4914818A" w14:textId="77777777" w:rsidR="00343508" w:rsidRPr="00343508" w:rsidRDefault="00343508" w:rsidP="00343508">
      <w:pPr>
        <w:rPr>
          <w:lang w:val="en-US"/>
        </w:rPr>
      </w:pPr>
      <w:r w:rsidRPr="00343508">
        <w:rPr>
          <w:lang w:val="en-US"/>
        </w:rPr>
        <w:t xml:space="preserve">Rise, H. (2021) </w:t>
      </w:r>
      <w:r w:rsidRPr="00343508">
        <w:rPr>
          <w:i/>
          <w:iCs/>
          <w:lang w:val="en-US"/>
        </w:rPr>
        <w:t>What Was Limestone Used for in Ancient Egypt?</w:t>
      </w:r>
      <w:r w:rsidRPr="00343508">
        <w:rPr>
          <w:lang w:val="en-US"/>
        </w:rPr>
        <w:t xml:space="preserve"> [online]. Available from: </w:t>
      </w:r>
      <w:hyperlink r:id="rId8" w:history="1">
        <w:r w:rsidRPr="00343508">
          <w:rPr>
            <w:rStyle w:val="Hyperlink"/>
            <w:lang w:val="en-US"/>
          </w:rPr>
          <w:t>https://historyrise.com/what-was-limestone-used-for-in-ancient-egypt/</w:t>
        </w:r>
      </w:hyperlink>
      <w:r w:rsidRPr="00343508">
        <w:rPr>
          <w:lang w:val="en-US"/>
        </w:rPr>
        <w:t xml:space="preserve"> (Accessed 13 March 2026).</w:t>
      </w:r>
    </w:p>
    <w:p w14:paraId="32BA5FCE" w14:textId="77777777" w:rsidR="00343508" w:rsidRPr="00343508" w:rsidRDefault="00343508" w:rsidP="00343508">
      <w:pPr>
        <w:rPr>
          <w:lang w:val="en-US"/>
        </w:rPr>
      </w:pPr>
      <w:r w:rsidRPr="00343508">
        <w:rPr>
          <w:lang w:val="en-US"/>
        </w:rPr>
        <w:t>Strudwick, H. et al. (</w:t>
      </w:r>
      <w:proofErr w:type="gramStart"/>
      <w:r w:rsidRPr="00343508">
        <w:rPr>
          <w:lang w:val="en-US"/>
        </w:rPr>
        <w:t>2016) ‘</w:t>
      </w:r>
      <w:proofErr w:type="gramEnd"/>
      <w:r w:rsidRPr="00343508">
        <w:rPr>
          <w:lang w:val="en-US"/>
        </w:rPr>
        <w:t xml:space="preserve">The geological and geographical setting of TT99’, in Nigel Strudwick (ed.) </w:t>
      </w:r>
      <w:r w:rsidRPr="00343508">
        <w:rPr>
          <w:i/>
          <w:iCs/>
          <w:lang w:val="en-US"/>
        </w:rPr>
        <w:t xml:space="preserve">The Tomb of Pharaoh’s Chancellor </w:t>
      </w:r>
      <w:proofErr w:type="spellStart"/>
      <w:r w:rsidRPr="00343508">
        <w:rPr>
          <w:i/>
          <w:iCs/>
          <w:lang w:val="en-US"/>
        </w:rPr>
        <w:t>Senneferi</w:t>
      </w:r>
      <w:proofErr w:type="spellEnd"/>
      <w:r w:rsidRPr="00343508">
        <w:rPr>
          <w:i/>
          <w:iCs/>
          <w:lang w:val="en-US"/>
        </w:rPr>
        <w:t xml:space="preserve"> at Thebes (TT99)</w:t>
      </w:r>
      <w:r w:rsidRPr="00343508">
        <w:rPr>
          <w:lang w:val="en-US"/>
        </w:rPr>
        <w:t xml:space="preserve">. 1st edition Oxbow Books. pp. 37–44. [online]. Available from: </w:t>
      </w:r>
      <w:hyperlink r:id="rId9" w:history="1">
        <w:r w:rsidRPr="00343508">
          <w:rPr>
            <w:rStyle w:val="Hyperlink"/>
            <w:lang w:val="en-US"/>
          </w:rPr>
          <w:t>https://www.jstor.org/stable/j.ctt1kw2b9v.12</w:t>
        </w:r>
      </w:hyperlink>
      <w:r w:rsidRPr="00343508">
        <w:rPr>
          <w:lang w:val="en-US"/>
        </w:rPr>
        <w:t xml:space="preserve"> (Accessed 6 March 2026).</w:t>
      </w:r>
    </w:p>
    <w:p w14:paraId="32FA1F0E" w14:textId="77777777" w:rsidR="00343508" w:rsidRPr="00343508" w:rsidRDefault="00343508" w:rsidP="00343508">
      <w:pPr>
        <w:rPr>
          <w:lang w:val="en-US"/>
        </w:rPr>
      </w:pPr>
      <w:r w:rsidRPr="00343508">
        <w:rPr>
          <w:lang w:val="en-US"/>
        </w:rPr>
        <w:t>Strudwick, N. et al. (</w:t>
      </w:r>
      <w:proofErr w:type="gramStart"/>
      <w:r w:rsidRPr="00343508">
        <w:rPr>
          <w:lang w:val="en-US"/>
        </w:rPr>
        <w:t>2016) ‘</w:t>
      </w:r>
      <w:proofErr w:type="spellStart"/>
      <w:proofErr w:type="gramEnd"/>
      <w:r w:rsidRPr="00343508">
        <w:rPr>
          <w:lang w:val="en-US"/>
        </w:rPr>
        <w:t>Senneferi</w:t>
      </w:r>
      <w:proofErr w:type="spellEnd"/>
      <w:r w:rsidRPr="00343508">
        <w:rPr>
          <w:lang w:val="en-US"/>
        </w:rPr>
        <w:t xml:space="preserve">, his family and related monuments’, in Nigel Strudwick (ed.) </w:t>
      </w:r>
      <w:r w:rsidRPr="00343508">
        <w:rPr>
          <w:i/>
          <w:iCs/>
          <w:lang w:val="en-US"/>
        </w:rPr>
        <w:t xml:space="preserve">The Tomb of Pharaoh’s Chancellor </w:t>
      </w:r>
      <w:proofErr w:type="spellStart"/>
      <w:r w:rsidRPr="00343508">
        <w:rPr>
          <w:i/>
          <w:iCs/>
          <w:lang w:val="en-US"/>
        </w:rPr>
        <w:t>Senneferi</w:t>
      </w:r>
      <w:proofErr w:type="spellEnd"/>
      <w:r w:rsidRPr="00343508">
        <w:rPr>
          <w:i/>
          <w:iCs/>
          <w:lang w:val="en-US"/>
        </w:rPr>
        <w:t xml:space="preserve"> at Thebes (TT99)</w:t>
      </w:r>
      <w:r w:rsidRPr="00343508">
        <w:rPr>
          <w:lang w:val="en-US"/>
        </w:rPr>
        <w:t xml:space="preserve">. 1st edition Oxbow Books. pp. 8–36. [online]. Available from: </w:t>
      </w:r>
      <w:hyperlink r:id="rId10" w:history="1">
        <w:r w:rsidRPr="00343508">
          <w:rPr>
            <w:rStyle w:val="Hyperlink"/>
            <w:lang w:val="en-US"/>
          </w:rPr>
          <w:t>https://www.jstor.org/stable/j.ctt1kw2b9v.11</w:t>
        </w:r>
      </w:hyperlink>
      <w:r w:rsidRPr="00343508">
        <w:rPr>
          <w:lang w:val="en-US"/>
        </w:rPr>
        <w:t xml:space="preserve"> (Accessed 2 March 2026).</w:t>
      </w:r>
    </w:p>
    <w:p w14:paraId="40861EEC" w14:textId="77777777" w:rsidR="00343508" w:rsidRPr="00343508" w:rsidRDefault="00343508" w:rsidP="00343508">
      <w:pPr>
        <w:rPr>
          <w:lang w:val="en-US"/>
        </w:rPr>
      </w:pPr>
      <w:r w:rsidRPr="00343508">
        <w:rPr>
          <w:lang w:val="en-US"/>
        </w:rPr>
        <w:lastRenderedPageBreak/>
        <w:t>Taylor, J. H. et al. (</w:t>
      </w:r>
      <w:proofErr w:type="gramStart"/>
      <w:r w:rsidRPr="00343508">
        <w:rPr>
          <w:lang w:val="en-US"/>
        </w:rPr>
        <w:t>2016) ‘</w:t>
      </w:r>
      <w:proofErr w:type="gramEnd"/>
      <w:r w:rsidRPr="00343508">
        <w:rPr>
          <w:lang w:val="en-US"/>
        </w:rPr>
        <w:t xml:space="preserve">The coffins from Shaft I’, in Nigel Strudwick (ed.) </w:t>
      </w:r>
      <w:r w:rsidRPr="00343508">
        <w:rPr>
          <w:i/>
          <w:iCs/>
          <w:lang w:val="en-US"/>
        </w:rPr>
        <w:t xml:space="preserve">The Tomb of Pharaoh’s Chancellor </w:t>
      </w:r>
      <w:proofErr w:type="spellStart"/>
      <w:r w:rsidRPr="00343508">
        <w:rPr>
          <w:i/>
          <w:iCs/>
          <w:lang w:val="en-US"/>
        </w:rPr>
        <w:t>Senneferi</w:t>
      </w:r>
      <w:proofErr w:type="spellEnd"/>
      <w:r w:rsidRPr="00343508">
        <w:rPr>
          <w:i/>
          <w:iCs/>
          <w:lang w:val="en-US"/>
        </w:rPr>
        <w:t xml:space="preserve"> at Thebes (TT99)</w:t>
      </w:r>
      <w:r w:rsidRPr="00343508">
        <w:rPr>
          <w:lang w:val="en-US"/>
        </w:rPr>
        <w:t xml:space="preserve">. 1st edition Oxbow Books. pp. 181–190. [online]. Available from: </w:t>
      </w:r>
      <w:hyperlink r:id="rId11" w:history="1">
        <w:r w:rsidRPr="00343508">
          <w:rPr>
            <w:rStyle w:val="Hyperlink"/>
            <w:lang w:val="en-US"/>
          </w:rPr>
          <w:t>https://www.jstor.org/stable/j.ctt1kw2b9v.17</w:t>
        </w:r>
      </w:hyperlink>
      <w:r w:rsidRPr="00343508">
        <w:rPr>
          <w:lang w:val="en-US"/>
        </w:rPr>
        <w:t xml:space="preserve"> (Accessed 13 March 2026).</w:t>
      </w:r>
    </w:p>
    <w:p w14:paraId="4DFFD7CF" w14:textId="77777777" w:rsidR="00343508" w:rsidRDefault="00343508"/>
    <w:sectPr w:rsidR="003435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AE1EBD"/>
    <w:multiLevelType w:val="multilevel"/>
    <w:tmpl w:val="FBEADB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376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822"/>
    <w:rsid w:val="00002B8A"/>
    <w:rsid w:val="000051E8"/>
    <w:rsid w:val="000072B7"/>
    <w:rsid w:val="00010E53"/>
    <w:rsid w:val="00030A6D"/>
    <w:rsid w:val="00036045"/>
    <w:rsid w:val="000439C2"/>
    <w:rsid w:val="000461E6"/>
    <w:rsid w:val="0005059F"/>
    <w:rsid w:val="0005158D"/>
    <w:rsid w:val="00070C55"/>
    <w:rsid w:val="00071720"/>
    <w:rsid w:val="000831B1"/>
    <w:rsid w:val="000944DE"/>
    <w:rsid w:val="000B4C47"/>
    <w:rsid w:val="000E1271"/>
    <w:rsid w:val="00102E12"/>
    <w:rsid w:val="001144C2"/>
    <w:rsid w:val="00130044"/>
    <w:rsid w:val="00142688"/>
    <w:rsid w:val="001457DD"/>
    <w:rsid w:val="00172C59"/>
    <w:rsid w:val="001842F5"/>
    <w:rsid w:val="001B68C0"/>
    <w:rsid w:val="001D1CAF"/>
    <w:rsid w:val="001D3EA0"/>
    <w:rsid w:val="001D4209"/>
    <w:rsid w:val="001E5648"/>
    <w:rsid w:val="001E58AD"/>
    <w:rsid w:val="001F1DB0"/>
    <w:rsid w:val="001F4582"/>
    <w:rsid w:val="001F5F95"/>
    <w:rsid w:val="00202237"/>
    <w:rsid w:val="002043D3"/>
    <w:rsid w:val="0021491A"/>
    <w:rsid w:val="00265FA0"/>
    <w:rsid w:val="002759BC"/>
    <w:rsid w:val="0027605E"/>
    <w:rsid w:val="002B33A6"/>
    <w:rsid w:val="002C205E"/>
    <w:rsid w:val="002E040C"/>
    <w:rsid w:val="002E2FA4"/>
    <w:rsid w:val="002E4C88"/>
    <w:rsid w:val="002E4CBB"/>
    <w:rsid w:val="002E4EC1"/>
    <w:rsid w:val="002E5A00"/>
    <w:rsid w:val="00305F30"/>
    <w:rsid w:val="003063E1"/>
    <w:rsid w:val="00313313"/>
    <w:rsid w:val="00313CFC"/>
    <w:rsid w:val="00325853"/>
    <w:rsid w:val="0032598F"/>
    <w:rsid w:val="00343508"/>
    <w:rsid w:val="00366C85"/>
    <w:rsid w:val="003805CE"/>
    <w:rsid w:val="00384903"/>
    <w:rsid w:val="003A72DF"/>
    <w:rsid w:val="003D0125"/>
    <w:rsid w:val="003D16EC"/>
    <w:rsid w:val="003D4A34"/>
    <w:rsid w:val="003E20E3"/>
    <w:rsid w:val="003E6CA3"/>
    <w:rsid w:val="003F5FED"/>
    <w:rsid w:val="003F6EF4"/>
    <w:rsid w:val="00410822"/>
    <w:rsid w:val="00411D4A"/>
    <w:rsid w:val="0041620B"/>
    <w:rsid w:val="00433BA3"/>
    <w:rsid w:val="00434C38"/>
    <w:rsid w:val="00435BE5"/>
    <w:rsid w:val="00440C12"/>
    <w:rsid w:val="00444D90"/>
    <w:rsid w:val="00454593"/>
    <w:rsid w:val="00454EF0"/>
    <w:rsid w:val="00460F66"/>
    <w:rsid w:val="00464D6E"/>
    <w:rsid w:val="004712CF"/>
    <w:rsid w:val="00483E33"/>
    <w:rsid w:val="004A519B"/>
    <w:rsid w:val="004B23BE"/>
    <w:rsid w:val="004B7040"/>
    <w:rsid w:val="004C0B8A"/>
    <w:rsid w:val="004D190C"/>
    <w:rsid w:val="004D75CD"/>
    <w:rsid w:val="004E3146"/>
    <w:rsid w:val="004F3940"/>
    <w:rsid w:val="00532255"/>
    <w:rsid w:val="00556F7E"/>
    <w:rsid w:val="0056690D"/>
    <w:rsid w:val="00570E8D"/>
    <w:rsid w:val="005A3CBE"/>
    <w:rsid w:val="005A4A54"/>
    <w:rsid w:val="005B4B6C"/>
    <w:rsid w:val="005B5264"/>
    <w:rsid w:val="005C6392"/>
    <w:rsid w:val="005D7672"/>
    <w:rsid w:val="005E41BB"/>
    <w:rsid w:val="005F14A1"/>
    <w:rsid w:val="005F2201"/>
    <w:rsid w:val="005F7A42"/>
    <w:rsid w:val="006177DC"/>
    <w:rsid w:val="00632350"/>
    <w:rsid w:val="00650E0C"/>
    <w:rsid w:val="00657F98"/>
    <w:rsid w:val="00660442"/>
    <w:rsid w:val="00662744"/>
    <w:rsid w:val="00667CD0"/>
    <w:rsid w:val="00670D35"/>
    <w:rsid w:val="00675330"/>
    <w:rsid w:val="00682B06"/>
    <w:rsid w:val="0068739A"/>
    <w:rsid w:val="0069590F"/>
    <w:rsid w:val="006A1DCC"/>
    <w:rsid w:val="006D1711"/>
    <w:rsid w:val="006D6722"/>
    <w:rsid w:val="006E62F6"/>
    <w:rsid w:val="006F231F"/>
    <w:rsid w:val="006F3DB0"/>
    <w:rsid w:val="006F4441"/>
    <w:rsid w:val="0070270D"/>
    <w:rsid w:val="00707135"/>
    <w:rsid w:val="007316B7"/>
    <w:rsid w:val="007341BD"/>
    <w:rsid w:val="007345E6"/>
    <w:rsid w:val="00736DE3"/>
    <w:rsid w:val="0073759F"/>
    <w:rsid w:val="00737A00"/>
    <w:rsid w:val="007648DD"/>
    <w:rsid w:val="00770DC3"/>
    <w:rsid w:val="00793C9E"/>
    <w:rsid w:val="007A0BE6"/>
    <w:rsid w:val="007C381D"/>
    <w:rsid w:val="007C527B"/>
    <w:rsid w:val="007D36C8"/>
    <w:rsid w:val="007D4A61"/>
    <w:rsid w:val="007E59B4"/>
    <w:rsid w:val="007E670B"/>
    <w:rsid w:val="007F3425"/>
    <w:rsid w:val="00806CB9"/>
    <w:rsid w:val="00826337"/>
    <w:rsid w:val="00834759"/>
    <w:rsid w:val="008371F1"/>
    <w:rsid w:val="008530D3"/>
    <w:rsid w:val="008926DC"/>
    <w:rsid w:val="0089419E"/>
    <w:rsid w:val="008B21BD"/>
    <w:rsid w:val="008D4CAD"/>
    <w:rsid w:val="008D78D2"/>
    <w:rsid w:val="008E183A"/>
    <w:rsid w:val="00911AB6"/>
    <w:rsid w:val="00917F05"/>
    <w:rsid w:val="00920BEB"/>
    <w:rsid w:val="00924515"/>
    <w:rsid w:val="009528A6"/>
    <w:rsid w:val="00964B4D"/>
    <w:rsid w:val="0096702B"/>
    <w:rsid w:val="009930CE"/>
    <w:rsid w:val="009A40B8"/>
    <w:rsid w:val="009A4C16"/>
    <w:rsid w:val="009B3BA8"/>
    <w:rsid w:val="009F0B60"/>
    <w:rsid w:val="00A0313D"/>
    <w:rsid w:val="00A03F41"/>
    <w:rsid w:val="00A119D7"/>
    <w:rsid w:val="00A128E6"/>
    <w:rsid w:val="00A12DE4"/>
    <w:rsid w:val="00A17E80"/>
    <w:rsid w:val="00A317B8"/>
    <w:rsid w:val="00A35926"/>
    <w:rsid w:val="00A37DD7"/>
    <w:rsid w:val="00A43272"/>
    <w:rsid w:val="00A56163"/>
    <w:rsid w:val="00A56934"/>
    <w:rsid w:val="00A60132"/>
    <w:rsid w:val="00A656A0"/>
    <w:rsid w:val="00A74A45"/>
    <w:rsid w:val="00A75ECC"/>
    <w:rsid w:val="00AA4E85"/>
    <w:rsid w:val="00AB3921"/>
    <w:rsid w:val="00AB3DF7"/>
    <w:rsid w:val="00AE0124"/>
    <w:rsid w:val="00AE236D"/>
    <w:rsid w:val="00AF171C"/>
    <w:rsid w:val="00B167EB"/>
    <w:rsid w:val="00B25A0E"/>
    <w:rsid w:val="00B271B3"/>
    <w:rsid w:val="00B33DA9"/>
    <w:rsid w:val="00B622B8"/>
    <w:rsid w:val="00B6394A"/>
    <w:rsid w:val="00BA5263"/>
    <w:rsid w:val="00BC5D21"/>
    <w:rsid w:val="00BD41DC"/>
    <w:rsid w:val="00BD61C0"/>
    <w:rsid w:val="00BE54AA"/>
    <w:rsid w:val="00BF358F"/>
    <w:rsid w:val="00BF5965"/>
    <w:rsid w:val="00C0472A"/>
    <w:rsid w:val="00C075ED"/>
    <w:rsid w:val="00C07E44"/>
    <w:rsid w:val="00C21F74"/>
    <w:rsid w:val="00C361B8"/>
    <w:rsid w:val="00C63D8F"/>
    <w:rsid w:val="00C80478"/>
    <w:rsid w:val="00C857DD"/>
    <w:rsid w:val="00CA4CD7"/>
    <w:rsid w:val="00CA5B86"/>
    <w:rsid w:val="00CC03B3"/>
    <w:rsid w:val="00CC0C61"/>
    <w:rsid w:val="00CD0A24"/>
    <w:rsid w:val="00CD3578"/>
    <w:rsid w:val="00CF1240"/>
    <w:rsid w:val="00CF16D1"/>
    <w:rsid w:val="00D30584"/>
    <w:rsid w:val="00D410C2"/>
    <w:rsid w:val="00D43813"/>
    <w:rsid w:val="00D70B74"/>
    <w:rsid w:val="00D95976"/>
    <w:rsid w:val="00DA2EEF"/>
    <w:rsid w:val="00DB534F"/>
    <w:rsid w:val="00DC0EF0"/>
    <w:rsid w:val="00DD33DB"/>
    <w:rsid w:val="00DE48C1"/>
    <w:rsid w:val="00E16C54"/>
    <w:rsid w:val="00E32A91"/>
    <w:rsid w:val="00E3503E"/>
    <w:rsid w:val="00E44948"/>
    <w:rsid w:val="00E46242"/>
    <w:rsid w:val="00E50974"/>
    <w:rsid w:val="00E65332"/>
    <w:rsid w:val="00EA5F51"/>
    <w:rsid w:val="00EA705E"/>
    <w:rsid w:val="00EC08E3"/>
    <w:rsid w:val="00ED493F"/>
    <w:rsid w:val="00EF7CEA"/>
    <w:rsid w:val="00F148DA"/>
    <w:rsid w:val="00F20DCE"/>
    <w:rsid w:val="00F21B87"/>
    <w:rsid w:val="00F23A7F"/>
    <w:rsid w:val="00F50380"/>
    <w:rsid w:val="00F60712"/>
    <w:rsid w:val="00F66E76"/>
    <w:rsid w:val="00F73C54"/>
    <w:rsid w:val="00F8413A"/>
    <w:rsid w:val="00F9499A"/>
    <w:rsid w:val="00FA118E"/>
    <w:rsid w:val="00FC20B8"/>
    <w:rsid w:val="00FD111E"/>
    <w:rsid w:val="00FD5B7B"/>
    <w:rsid w:val="00FF21DA"/>
    <w:rsid w:val="00FF7A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2102A"/>
  <w15:chartTrackingRefBased/>
  <w15:docId w15:val="{0F0B7F2F-A57A-4247-87CE-290F58EA9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108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108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1082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1082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1082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108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08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08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08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082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108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1082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1082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1082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108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08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08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0822"/>
    <w:rPr>
      <w:rFonts w:eastAsiaTheme="majorEastAsia" w:cstheme="majorBidi"/>
      <w:color w:val="272727" w:themeColor="text1" w:themeTint="D8"/>
    </w:rPr>
  </w:style>
  <w:style w:type="paragraph" w:styleId="Title">
    <w:name w:val="Title"/>
    <w:basedOn w:val="Normal"/>
    <w:next w:val="Normal"/>
    <w:link w:val="TitleChar"/>
    <w:uiPriority w:val="10"/>
    <w:qFormat/>
    <w:rsid w:val="004108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08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08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08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0822"/>
    <w:pPr>
      <w:spacing w:before="160"/>
      <w:jc w:val="center"/>
    </w:pPr>
    <w:rPr>
      <w:i/>
      <w:iCs/>
      <w:color w:val="404040" w:themeColor="text1" w:themeTint="BF"/>
    </w:rPr>
  </w:style>
  <w:style w:type="character" w:customStyle="1" w:styleId="QuoteChar">
    <w:name w:val="Quote Char"/>
    <w:basedOn w:val="DefaultParagraphFont"/>
    <w:link w:val="Quote"/>
    <w:uiPriority w:val="29"/>
    <w:rsid w:val="00410822"/>
    <w:rPr>
      <w:i/>
      <w:iCs/>
      <w:color w:val="404040" w:themeColor="text1" w:themeTint="BF"/>
    </w:rPr>
  </w:style>
  <w:style w:type="paragraph" w:styleId="ListParagraph">
    <w:name w:val="List Paragraph"/>
    <w:basedOn w:val="Normal"/>
    <w:uiPriority w:val="34"/>
    <w:qFormat/>
    <w:rsid w:val="00410822"/>
    <w:pPr>
      <w:ind w:left="720"/>
      <w:contextualSpacing/>
    </w:pPr>
  </w:style>
  <w:style w:type="character" w:styleId="IntenseEmphasis">
    <w:name w:val="Intense Emphasis"/>
    <w:basedOn w:val="DefaultParagraphFont"/>
    <w:uiPriority w:val="21"/>
    <w:qFormat/>
    <w:rsid w:val="00410822"/>
    <w:rPr>
      <w:i/>
      <w:iCs/>
      <w:color w:val="2F5496" w:themeColor="accent1" w:themeShade="BF"/>
    </w:rPr>
  </w:style>
  <w:style w:type="paragraph" w:styleId="IntenseQuote">
    <w:name w:val="Intense Quote"/>
    <w:basedOn w:val="Normal"/>
    <w:next w:val="Normal"/>
    <w:link w:val="IntenseQuoteChar"/>
    <w:uiPriority w:val="30"/>
    <w:qFormat/>
    <w:rsid w:val="004108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0822"/>
    <w:rPr>
      <w:i/>
      <w:iCs/>
      <w:color w:val="2F5496" w:themeColor="accent1" w:themeShade="BF"/>
    </w:rPr>
  </w:style>
  <w:style w:type="character" w:styleId="IntenseReference">
    <w:name w:val="Intense Reference"/>
    <w:basedOn w:val="DefaultParagraphFont"/>
    <w:uiPriority w:val="32"/>
    <w:qFormat/>
    <w:rsid w:val="00410822"/>
    <w:rPr>
      <w:b/>
      <w:bCs/>
      <w:smallCaps/>
      <w:color w:val="2F5496" w:themeColor="accent1" w:themeShade="BF"/>
      <w:spacing w:val="5"/>
    </w:rPr>
  </w:style>
  <w:style w:type="character" w:styleId="Hyperlink">
    <w:name w:val="Hyperlink"/>
    <w:basedOn w:val="DefaultParagraphFont"/>
    <w:uiPriority w:val="99"/>
    <w:unhideWhenUsed/>
    <w:rsid w:val="00410822"/>
    <w:rPr>
      <w:color w:val="0563C1" w:themeColor="hyperlink"/>
      <w:u w:val="single"/>
    </w:rPr>
  </w:style>
  <w:style w:type="character" w:styleId="UnresolvedMention">
    <w:name w:val="Unresolved Mention"/>
    <w:basedOn w:val="DefaultParagraphFont"/>
    <w:uiPriority w:val="99"/>
    <w:semiHidden/>
    <w:unhideWhenUsed/>
    <w:rsid w:val="00410822"/>
    <w:rPr>
      <w:color w:val="605E5C"/>
      <w:shd w:val="clear" w:color="auto" w:fill="E1DFDD"/>
    </w:rPr>
  </w:style>
  <w:style w:type="character" w:styleId="FollowedHyperlink">
    <w:name w:val="FollowedHyperlink"/>
    <w:basedOn w:val="DefaultParagraphFont"/>
    <w:uiPriority w:val="99"/>
    <w:semiHidden/>
    <w:unhideWhenUsed/>
    <w:rsid w:val="004108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istoryrise.com/what-was-limestone-used-for-in-ancient-egypt/"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jstor.org/stable/j.ctt1kw2b9v.17" TargetMode="External"/><Relationship Id="rId5" Type="http://schemas.openxmlformats.org/officeDocument/2006/relationships/styles" Target="styles.xml"/><Relationship Id="rId10" Type="http://schemas.openxmlformats.org/officeDocument/2006/relationships/hyperlink" Target="https://www.jstor.org/stable/j.ctt1kw2b9v.11" TargetMode="External"/><Relationship Id="rId4" Type="http://schemas.openxmlformats.org/officeDocument/2006/relationships/numbering" Target="numbering.xml"/><Relationship Id="rId9" Type="http://schemas.openxmlformats.org/officeDocument/2006/relationships/hyperlink" Target="https://www.jstor.org/stable/j.ctt1kw2b9v.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5" ma:contentTypeDescription="Create a new document." ma:contentTypeScope="" ma:versionID="dc5bcda6b320baf5ec23dc30aef18862">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2d686557610d6bb9c1e9b58b35a4c76"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A23FBF84-C008-4985-AA01-F7C558B4B111}">
  <ds:schemaRefs>
    <ds:schemaRef ds:uri="http://schemas.microsoft.com/sharepoint/v3/contenttype/forms"/>
  </ds:schemaRefs>
</ds:datastoreItem>
</file>

<file path=customXml/itemProps2.xml><?xml version="1.0" encoding="utf-8"?>
<ds:datastoreItem xmlns:ds="http://schemas.openxmlformats.org/officeDocument/2006/customXml" ds:itemID="{533AFFEE-2DF7-4F2D-8204-2FA95182B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36C18E-C644-4D26-8158-67550441DEC1}">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1509</Words>
  <Characters>8603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Lye (2304505)</dc:creator>
  <cp:keywords/>
  <dc:description/>
  <cp:lastModifiedBy>Cerys Rose Dunderdale</cp:lastModifiedBy>
  <cp:revision>2</cp:revision>
  <dcterms:created xsi:type="dcterms:W3CDTF">2026-03-13T23:07:00Z</dcterms:created>
  <dcterms:modified xsi:type="dcterms:W3CDTF">2026-03-13T23:07:00Z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