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B1BB7" w14:textId="77777777" w:rsidR="004F6CF0" w:rsidRPr="009F50AA" w:rsidRDefault="004F6CF0" w:rsidP="00662E28">
      <w:pPr>
        <w:jc w:val="center"/>
        <w:rPr>
          <w:rFonts w:ascii="Arial" w:hAnsi="Arial" w:cs="Arial"/>
        </w:rPr>
      </w:pPr>
      <w:r w:rsidRPr="009F50AA">
        <w:rPr>
          <w:rFonts w:ascii="Arial" w:hAnsi="Arial" w:cs="Arial"/>
          <w:noProof/>
        </w:rPr>
        <w:drawing>
          <wp:inline distT="0" distB="0" distL="0" distR="0" wp14:anchorId="7B40F73C" wp14:editId="37A7F212">
            <wp:extent cx="2243579" cy="744329"/>
            <wp:effectExtent l="0" t="0" r="4445" b="0"/>
            <wp:docPr id="1580378917" name="Picture 6" descr="About University of Wales Trinity Saint David | UWTSD &amp; Duc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bout University of Wales Trinity Saint David | UWTSD &amp; Duce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3168" cy="750828"/>
                    </a:xfrm>
                    <a:prstGeom prst="rect">
                      <a:avLst/>
                    </a:prstGeom>
                    <a:noFill/>
                    <a:ln>
                      <a:noFill/>
                    </a:ln>
                  </pic:spPr>
                </pic:pic>
              </a:graphicData>
            </a:graphic>
          </wp:inline>
        </w:drawing>
      </w:r>
    </w:p>
    <w:p w14:paraId="6651F640" w14:textId="77777777" w:rsidR="007A5E7E" w:rsidRPr="009F50AA" w:rsidRDefault="007A5E7E" w:rsidP="00110A77">
      <w:pPr>
        <w:rPr>
          <w:rFonts w:ascii="Arial" w:hAnsi="Arial" w:cs="Arial"/>
          <w:b/>
          <w:bCs/>
        </w:rPr>
      </w:pPr>
    </w:p>
    <w:p w14:paraId="48A97CDD" w14:textId="77777777" w:rsidR="00110A77" w:rsidRPr="009F50AA" w:rsidRDefault="004F6CF0" w:rsidP="00662E28">
      <w:pPr>
        <w:jc w:val="center"/>
        <w:rPr>
          <w:rFonts w:ascii="Arial" w:hAnsi="Arial" w:cs="Arial"/>
          <w:b/>
          <w:bCs/>
          <w:sz w:val="30"/>
          <w:szCs w:val="28"/>
        </w:rPr>
      </w:pPr>
      <w:r w:rsidRPr="009F50AA">
        <w:rPr>
          <w:rFonts w:ascii="Arial" w:hAnsi="Arial" w:cs="Arial"/>
          <w:b/>
          <w:bCs/>
          <w:sz w:val="30"/>
          <w:szCs w:val="28"/>
        </w:rPr>
        <w:t>Programme</w:t>
      </w:r>
    </w:p>
    <w:p w14:paraId="1460C5F3" w14:textId="532E6503" w:rsidR="004F6CF0" w:rsidRPr="009F50AA" w:rsidRDefault="004F6CF0" w:rsidP="00662E28">
      <w:pPr>
        <w:jc w:val="center"/>
        <w:rPr>
          <w:rFonts w:ascii="Arial" w:hAnsi="Arial" w:cs="Arial"/>
          <w:sz w:val="30"/>
          <w:szCs w:val="28"/>
        </w:rPr>
      </w:pPr>
      <w:r w:rsidRPr="009F50AA">
        <w:rPr>
          <w:rFonts w:ascii="Arial" w:hAnsi="Arial" w:cs="Arial"/>
          <w:sz w:val="30"/>
          <w:szCs w:val="28"/>
        </w:rPr>
        <w:t>Master of Business Administration</w:t>
      </w:r>
    </w:p>
    <w:p w14:paraId="42850EEC" w14:textId="77777777" w:rsidR="00110A77" w:rsidRPr="009F50AA" w:rsidRDefault="00110A77" w:rsidP="00662E28">
      <w:pPr>
        <w:jc w:val="center"/>
        <w:rPr>
          <w:rFonts w:ascii="Arial" w:hAnsi="Arial" w:cs="Arial"/>
          <w:b/>
          <w:bCs/>
          <w:sz w:val="30"/>
          <w:szCs w:val="28"/>
        </w:rPr>
      </w:pPr>
    </w:p>
    <w:p w14:paraId="588877FD" w14:textId="76EECEEB" w:rsidR="00110A77" w:rsidRPr="009F50AA" w:rsidRDefault="004F6CF0" w:rsidP="00662E28">
      <w:pPr>
        <w:jc w:val="center"/>
        <w:rPr>
          <w:rFonts w:ascii="Arial" w:hAnsi="Arial" w:cs="Arial"/>
          <w:b/>
          <w:bCs/>
          <w:sz w:val="30"/>
          <w:szCs w:val="28"/>
        </w:rPr>
      </w:pPr>
      <w:r w:rsidRPr="009F50AA">
        <w:rPr>
          <w:rFonts w:ascii="Arial" w:hAnsi="Arial" w:cs="Arial"/>
          <w:b/>
          <w:bCs/>
          <w:sz w:val="30"/>
          <w:szCs w:val="28"/>
        </w:rPr>
        <w:t>Module Name</w:t>
      </w:r>
      <w:r w:rsidR="00110A77" w:rsidRPr="009F50AA">
        <w:rPr>
          <w:rFonts w:ascii="Arial" w:hAnsi="Arial" w:cs="Arial"/>
          <w:b/>
          <w:bCs/>
          <w:sz w:val="30"/>
          <w:szCs w:val="28"/>
        </w:rPr>
        <w:t xml:space="preserve"> &amp; Code</w:t>
      </w:r>
    </w:p>
    <w:p w14:paraId="3510D8E3" w14:textId="017D7D3D" w:rsidR="004F6CF0" w:rsidRPr="009F50AA" w:rsidRDefault="004F6CF0" w:rsidP="00662E28">
      <w:pPr>
        <w:jc w:val="center"/>
        <w:rPr>
          <w:rFonts w:ascii="Arial" w:hAnsi="Arial" w:cs="Arial"/>
          <w:sz w:val="30"/>
          <w:szCs w:val="28"/>
        </w:rPr>
      </w:pPr>
      <w:r w:rsidRPr="009F50AA">
        <w:rPr>
          <w:rFonts w:ascii="Arial" w:hAnsi="Arial" w:cs="Arial"/>
          <w:sz w:val="30"/>
          <w:szCs w:val="28"/>
        </w:rPr>
        <w:t>Marketing Management</w:t>
      </w:r>
      <w:r w:rsidR="00110A77" w:rsidRPr="009F50AA">
        <w:rPr>
          <w:rFonts w:ascii="Arial" w:hAnsi="Arial" w:cs="Arial"/>
          <w:sz w:val="30"/>
          <w:szCs w:val="28"/>
        </w:rPr>
        <w:t xml:space="preserve"> - </w:t>
      </w:r>
      <w:r w:rsidRPr="009F50AA">
        <w:rPr>
          <w:rFonts w:ascii="Arial" w:hAnsi="Arial" w:cs="Arial"/>
          <w:sz w:val="30"/>
          <w:szCs w:val="28"/>
        </w:rPr>
        <w:t>LCMB7024</w:t>
      </w:r>
    </w:p>
    <w:p w14:paraId="0BF50E33" w14:textId="77777777" w:rsidR="00110A77" w:rsidRPr="009F50AA" w:rsidRDefault="00110A77" w:rsidP="00662E28">
      <w:pPr>
        <w:jc w:val="center"/>
        <w:rPr>
          <w:rFonts w:ascii="Arial" w:hAnsi="Arial" w:cs="Arial"/>
          <w:b/>
          <w:bCs/>
          <w:sz w:val="30"/>
          <w:szCs w:val="28"/>
        </w:rPr>
      </w:pPr>
    </w:p>
    <w:p w14:paraId="625D48AA" w14:textId="059A4FD3" w:rsidR="004F6CF0" w:rsidRPr="009F50AA" w:rsidRDefault="004F6CF0" w:rsidP="00662E28">
      <w:pPr>
        <w:jc w:val="center"/>
        <w:rPr>
          <w:rFonts w:ascii="Arial" w:hAnsi="Arial" w:cs="Arial"/>
          <w:sz w:val="30"/>
          <w:szCs w:val="28"/>
        </w:rPr>
      </w:pPr>
      <w:r w:rsidRPr="009F50AA">
        <w:rPr>
          <w:rFonts w:ascii="Arial" w:hAnsi="Arial" w:cs="Arial"/>
          <w:b/>
          <w:bCs/>
          <w:sz w:val="30"/>
          <w:szCs w:val="28"/>
        </w:rPr>
        <w:t xml:space="preserve">Lecturer’s Name: </w:t>
      </w:r>
      <w:r w:rsidRPr="009F50AA">
        <w:rPr>
          <w:rFonts w:ascii="Arial" w:hAnsi="Arial" w:cs="Arial"/>
          <w:sz w:val="30"/>
          <w:szCs w:val="28"/>
        </w:rPr>
        <w:t>Dr Laila Maazouz (London)</w:t>
      </w:r>
    </w:p>
    <w:p w14:paraId="2FB9978C" w14:textId="77777777" w:rsidR="004F6CF0" w:rsidRPr="009F50AA" w:rsidRDefault="004F6CF0" w:rsidP="00662E28">
      <w:pPr>
        <w:jc w:val="center"/>
        <w:rPr>
          <w:rFonts w:ascii="Arial" w:hAnsi="Arial" w:cs="Arial"/>
          <w:b/>
          <w:bCs/>
        </w:rPr>
      </w:pPr>
    </w:p>
    <w:p w14:paraId="448E4AE8" w14:textId="77777777" w:rsidR="007A5E7E" w:rsidRPr="009F50AA" w:rsidRDefault="007A5E7E" w:rsidP="00662E28">
      <w:pPr>
        <w:jc w:val="center"/>
        <w:rPr>
          <w:rFonts w:ascii="Arial" w:hAnsi="Arial" w:cs="Arial"/>
          <w:b/>
          <w:bCs/>
        </w:rPr>
      </w:pPr>
    </w:p>
    <w:p w14:paraId="533D05C7" w14:textId="77777777" w:rsidR="00110A77" w:rsidRPr="009F50AA" w:rsidRDefault="00110A77" w:rsidP="00662E28">
      <w:pPr>
        <w:jc w:val="center"/>
        <w:rPr>
          <w:rFonts w:ascii="Arial" w:hAnsi="Arial" w:cs="Arial"/>
          <w:b/>
          <w:bCs/>
        </w:rPr>
      </w:pPr>
    </w:p>
    <w:p w14:paraId="06A80960" w14:textId="61860F06" w:rsidR="004F6CF0" w:rsidRPr="009F50AA" w:rsidRDefault="004F6CF0" w:rsidP="00662E28">
      <w:pPr>
        <w:jc w:val="center"/>
        <w:rPr>
          <w:rFonts w:ascii="Arial" w:hAnsi="Arial" w:cs="Arial"/>
          <w:b/>
          <w:bCs/>
          <w:sz w:val="32"/>
          <w:szCs w:val="30"/>
        </w:rPr>
      </w:pPr>
      <w:r w:rsidRPr="009F50AA">
        <w:rPr>
          <w:rFonts w:ascii="Arial" w:hAnsi="Arial" w:cs="Arial"/>
          <w:b/>
          <w:bCs/>
          <w:sz w:val="32"/>
          <w:szCs w:val="30"/>
        </w:rPr>
        <w:t>Student Name:</w:t>
      </w:r>
      <w:r w:rsidR="00BD758A" w:rsidRPr="009F50AA">
        <w:rPr>
          <w:rFonts w:ascii="Arial" w:hAnsi="Arial" w:cs="Arial"/>
          <w:b/>
          <w:bCs/>
          <w:sz w:val="32"/>
          <w:szCs w:val="30"/>
        </w:rPr>
        <w:t xml:space="preserve"> MD MOINUL HASAN B</w:t>
      </w:r>
      <w:r w:rsidR="00C52408">
        <w:rPr>
          <w:rFonts w:ascii="Arial" w:hAnsi="Arial" w:cs="Arial"/>
          <w:b/>
          <w:bCs/>
          <w:sz w:val="32"/>
          <w:szCs w:val="30"/>
        </w:rPr>
        <w:t>APPY</w:t>
      </w:r>
    </w:p>
    <w:p w14:paraId="777C51FB" w14:textId="688EB099" w:rsidR="004F6CF0" w:rsidRPr="009F50AA" w:rsidRDefault="004F6CF0" w:rsidP="00662E28">
      <w:pPr>
        <w:jc w:val="center"/>
        <w:rPr>
          <w:rFonts w:ascii="Arial" w:hAnsi="Arial" w:cs="Arial"/>
          <w:b/>
          <w:bCs/>
          <w:sz w:val="32"/>
          <w:szCs w:val="30"/>
        </w:rPr>
      </w:pPr>
      <w:r w:rsidRPr="009F50AA">
        <w:rPr>
          <w:rFonts w:ascii="Arial" w:hAnsi="Arial" w:cs="Arial"/>
          <w:b/>
          <w:bCs/>
          <w:sz w:val="32"/>
          <w:szCs w:val="30"/>
        </w:rPr>
        <w:t>Student ID:</w:t>
      </w:r>
      <w:r w:rsidR="00BD758A" w:rsidRPr="009F50AA">
        <w:rPr>
          <w:rFonts w:ascii="Arial" w:hAnsi="Arial" w:cs="Arial"/>
          <w:b/>
          <w:bCs/>
          <w:sz w:val="32"/>
          <w:szCs w:val="30"/>
        </w:rPr>
        <w:t xml:space="preserve"> 2503567</w:t>
      </w:r>
    </w:p>
    <w:p w14:paraId="77620D88" w14:textId="77777777" w:rsidR="004F6CF0" w:rsidRPr="009F50AA" w:rsidRDefault="004F6CF0" w:rsidP="00662E28">
      <w:pPr>
        <w:jc w:val="center"/>
        <w:rPr>
          <w:rFonts w:ascii="Arial" w:hAnsi="Arial" w:cs="Arial"/>
          <w:b/>
          <w:bCs/>
          <w:sz w:val="32"/>
          <w:szCs w:val="30"/>
        </w:rPr>
      </w:pPr>
    </w:p>
    <w:p w14:paraId="70F6C4F5" w14:textId="77777777" w:rsidR="00110A77" w:rsidRPr="009F50AA" w:rsidRDefault="00110A77" w:rsidP="00662E28">
      <w:pPr>
        <w:jc w:val="center"/>
        <w:rPr>
          <w:rFonts w:ascii="Arial" w:hAnsi="Arial" w:cs="Arial"/>
          <w:b/>
          <w:bCs/>
          <w:sz w:val="32"/>
          <w:szCs w:val="30"/>
        </w:rPr>
      </w:pPr>
    </w:p>
    <w:p w14:paraId="75F96DA8" w14:textId="77777777" w:rsidR="00110A77" w:rsidRPr="009F50AA" w:rsidRDefault="00110A77" w:rsidP="00662E28">
      <w:pPr>
        <w:jc w:val="center"/>
        <w:rPr>
          <w:rFonts w:ascii="Arial" w:hAnsi="Arial" w:cs="Arial"/>
          <w:b/>
          <w:bCs/>
          <w:sz w:val="32"/>
          <w:szCs w:val="30"/>
        </w:rPr>
      </w:pPr>
    </w:p>
    <w:p w14:paraId="395F7B3C" w14:textId="77777777" w:rsidR="00110A77" w:rsidRPr="009F50AA" w:rsidRDefault="00110A77" w:rsidP="00662E28">
      <w:pPr>
        <w:jc w:val="center"/>
        <w:rPr>
          <w:rFonts w:ascii="Arial" w:hAnsi="Arial" w:cs="Arial"/>
          <w:b/>
          <w:bCs/>
          <w:sz w:val="32"/>
          <w:szCs w:val="30"/>
        </w:rPr>
      </w:pPr>
    </w:p>
    <w:p w14:paraId="6C9B3FAC" w14:textId="7BF179E8" w:rsidR="00110A77" w:rsidRPr="009F50AA" w:rsidRDefault="004F6CF0" w:rsidP="00662E28">
      <w:pPr>
        <w:jc w:val="center"/>
        <w:rPr>
          <w:rFonts w:ascii="Arial" w:hAnsi="Arial" w:cs="Arial"/>
          <w:b/>
          <w:bCs/>
          <w:sz w:val="32"/>
          <w:szCs w:val="30"/>
        </w:rPr>
      </w:pPr>
      <w:r w:rsidRPr="009F50AA">
        <w:rPr>
          <w:rFonts w:ascii="Arial" w:hAnsi="Arial" w:cs="Arial"/>
          <w:b/>
          <w:bCs/>
          <w:sz w:val="32"/>
          <w:szCs w:val="30"/>
        </w:rPr>
        <w:t xml:space="preserve">Word Count: </w:t>
      </w:r>
      <w:r w:rsidR="00110A77" w:rsidRPr="009F50AA">
        <w:rPr>
          <w:rFonts w:ascii="Arial" w:hAnsi="Arial" w:cs="Arial"/>
          <w:b/>
          <w:bCs/>
          <w:sz w:val="32"/>
          <w:szCs w:val="30"/>
        </w:rPr>
        <w:t>2</w:t>
      </w:r>
      <w:r w:rsidR="000859A5" w:rsidRPr="009F50AA">
        <w:rPr>
          <w:rFonts w:ascii="Arial" w:hAnsi="Arial" w:cs="Arial"/>
          <w:b/>
          <w:bCs/>
          <w:sz w:val="32"/>
          <w:szCs w:val="30"/>
        </w:rPr>
        <w:t>537</w:t>
      </w:r>
    </w:p>
    <w:p w14:paraId="1B11B8D4" w14:textId="77777777" w:rsidR="00110A77" w:rsidRPr="009F50AA" w:rsidRDefault="00110A77" w:rsidP="00110A77">
      <w:pPr>
        <w:rPr>
          <w:rFonts w:ascii="Arial" w:hAnsi="Arial" w:cs="Arial"/>
          <w:b/>
          <w:bCs/>
          <w:sz w:val="32"/>
          <w:szCs w:val="30"/>
        </w:rPr>
      </w:pPr>
    </w:p>
    <w:p w14:paraId="120C5541" w14:textId="77777777" w:rsidR="00110A77" w:rsidRPr="009F50AA" w:rsidRDefault="00110A77" w:rsidP="00110A77">
      <w:pPr>
        <w:rPr>
          <w:rFonts w:ascii="Arial" w:hAnsi="Arial" w:cs="Arial"/>
        </w:rPr>
      </w:pPr>
      <w:r w:rsidRPr="009F50AA">
        <w:rPr>
          <w:rFonts w:ascii="Arial" w:hAnsi="Arial" w:cs="Arial"/>
        </w:rPr>
        <w:br w:type="page"/>
      </w:r>
    </w:p>
    <w:sdt>
      <w:sdtPr>
        <w:rPr>
          <w:rFonts w:ascii="Arial" w:eastAsiaTheme="minorHAnsi" w:hAnsi="Arial" w:cs="Arial"/>
          <w:color w:val="auto"/>
          <w:sz w:val="24"/>
          <w:szCs w:val="22"/>
          <w:lang w:val="en-GB"/>
        </w:rPr>
        <w:id w:val="1405019368"/>
        <w:docPartObj>
          <w:docPartGallery w:val="Table of Contents"/>
          <w:docPartUnique/>
        </w:docPartObj>
      </w:sdtPr>
      <w:sdtEndPr>
        <w:rPr>
          <w:b/>
          <w:bCs/>
        </w:rPr>
      </w:sdtEndPr>
      <w:sdtContent>
        <w:p w14:paraId="7E2F59CE" w14:textId="3BAA8BC8" w:rsidR="00110A77" w:rsidRPr="009F50AA" w:rsidRDefault="00110A77">
          <w:pPr>
            <w:pStyle w:val="TOCHeading"/>
            <w:rPr>
              <w:rFonts w:ascii="Arial" w:hAnsi="Arial" w:cs="Arial"/>
            </w:rPr>
          </w:pPr>
          <w:r w:rsidRPr="009F50AA">
            <w:rPr>
              <w:rFonts w:ascii="Arial" w:hAnsi="Arial" w:cs="Arial"/>
              <w:lang w:val="en-GB"/>
            </w:rPr>
            <w:t>Table of Contents</w:t>
          </w:r>
        </w:p>
        <w:p w14:paraId="6FCDB63B" w14:textId="350A5985" w:rsidR="00110A77" w:rsidRPr="009F50AA" w:rsidRDefault="00110A77">
          <w:pPr>
            <w:pStyle w:val="TOC1"/>
            <w:tabs>
              <w:tab w:val="right" w:leader="dot" w:pos="9016"/>
            </w:tabs>
            <w:rPr>
              <w:rFonts w:ascii="Arial" w:eastAsiaTheme="minorEastAsia" w:hAnsi="Arial" w:cs="Arial"/>
              <w:noProof/>
              <w:kern w:val="2"/>
              <w:szCs w:val="24"/>
              <w:lang w:eastAsia="en-GB"/>
              <w14:ligatures w14:val="standardContextual"/>
            </w:rPr>
          </w:pPr>
          <w:r w:rsidRPr="009F50AA">
            <w:rPr>
              <w:rFonts w:ascii="Arial" w:hAnsi="Arial" w:cs="Arial"/>
            </w:rPr>
            <w:fldChar w:fldCharType="begin"/>
          </w:r>
          <w:r w:rsidRPr="009F50AA">
            <w:rPr>
              <w:rFonts w:ascii="Arial" w:hAnsi="Arial" w:cs="Arial"/>
            </w:rPr>
            <w:instrText xml:space="preserve"> TOC \o "1-3" \h \z \u </w:instrText>
          </w:r>
          <w:r w:rsidRPr="009F50AA">
            <w:rPr>
              <w:rFonts w:ascii="Arial" w:hAnsi="Arial" w:cs="Arial"/>
            </w:rPr>
            <w:fldChar w:fldCharType="separate"/>
          </w:r>
          <w:hyperlink w:anchor="_Toc216218425" w:history="1">
            <w:r w:rsidRPr="009F50AA">
              <w:rPr>
                <w:rStyle w:val="Hyperlink"/>
                <w:rFonts w:ascii="Arial" w:hAnsi="Arial" w:cs="Arial"/>
                <w:noProof/>
              </w:rPr>
              <w:t>Introduction</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_Toc216218425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3</w:t>
            </w:r>
            <w:r w:rsidRPr="009F50AA">
              <w:rPr>
                <w:rFonts w:ascii="Arial" w:hAnsi="Arial" w:cs="Arial"/>
                <w:noProof/>
                <w:webHidden/>
              </w:rPr>
              <w:fldChar w:fldCharType="end"/>
            </w:r>
          </w:hyperlink>
        </w:p>
        <w:p w14:paraId="41D4E47A" w14:textId="04D669D1" w:rsidR="00110A77" w:rsidRPr="009F50AA" w:rsidRDefault="00110A77">
          <w:pPr>
            <w:pStyle w:val="TOC1"/>
            <w:tabs>
              <w:tab w:val="right" w:leader="dot" w:pos="9016"/>
            </w:tabs>
            <w:rPr>
              <w:rFonts w:ascii="Arial" w:eastAsiaTheme="minorEastAsia" w:hAnsi="Arial" w:cs="Arial"/>
              <w:noProof/>
              <w:kern w:val="2"/>
              <w:szCs w:val="24"/>
              <w:lang w:eastAsia="en-GB"/>
              <w14:ligatures w14:val="standardContextual"/>
            </w:rPr>
          </w:pPr>
          <w:hyperlink w:anchor="_Toc216218426" w:history="1">
            <w:r w:rsidRPr="009F50AA">
              <w:rPr>
                <w:rStyle w:val="Hyperlink"/>
                <w:rFonts w:ascii="Arial" w:hAnsi="Arial" w:cs="Arial"/>
                <w:noProof/>
              </w:rPr>
              <w:t>Element 1: Segmentation, Targeting, Differentiation, and Positioning (STDP) Analysis for Hydra HomeCell</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_Toc216218426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4</w:t>
            </w:r>
            <w:r w:rsidRPr="009F50AA">
              <w:rPr>
                <w:rFonts w:ascii="Arial" w:hAnsi="Arial" w:cs="Arial"/>
                <w:noProof/>
                <w:webHidden/>
              </w:rPr>
              <w:fldChar w:fldCharType="end"/>
            </w:r>
          </w:hyperlink>
        </w:p>
        <w:p w14:paraId="1F4DFDA8" w14:textId="72E35582" w:rsidR="00110A77" w:rsidRPr="009F50AA" w:rsidRDefault="00110A77">
          <w:pPr>
            <w:pStyle w:val="TOC2"/>
            <w:tabs>
              <w:tab w:val="right" w:leader="dot" w:pos="9016"/>
            </w:tabs>
            <w:rPr>
              <w:rFonts w:ascii="Arial" w:eastAsiaTheme="minorEastAsia" w:hAnsi="Arial" w:cs="Arial"/>
              <w:noProof/>
              <w:kern w:val="2"/>
              <w:szCs w:val="24"/>
              <w:lang w:eastAsia="en-GB"/>
              <w14:ligatures w14:val="standardContextual"/>
            </w:rPr>
          </w:pPr>
          <w:hyperlink w:anchor="_Toc216218427" w:history="1">
            <w:r w:rsidRPr="009F50AA">
              <w:rPr>
                <w:rStyle w:val="Hyperlink"/>
                <w:rFonts w:ascii="Arial" w:hAnsi="Arial" w:cs="Arial"/>
                <w:noProof/>
              </w:rPr>
              <w:t>Hydra HomeCell Overview</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_Toc216218427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4</w:t>
            </w:r>
            <w:r w:rsidRPr="009F50AA">
              <w:rPr>
                <w:rFonts w:ascii="Arial" w:hAnsi="Arial" w:cs="Arial"/>
                <w:noProof/>
                <w:webHidden/>
              </w:rPr>
              <w:fldChar w:fldCharType="end"/>
            </w:r>
          </w:hyperlink>
        </w:p>
        <w:p w14:paraId="0E08C7A3" w14:textId="3BBE6D0E" w:rsidR="00110A77" w:rsidRPr="009F50AA" w:rsidRDefault="00110A77">
          <w:pPr>
            <w:pStyle w:val="TOC2"/>
            <w:tabs>
              <w:tab w:val="right" w:leader="dot" w:pos="9016"/>
            </w:tabs>
            <w:rPr>
              <w:rFonts w:ascii="Arial" w:eastAsiaTheme="minorEastAsia" w:hAnsi="Arial" w:cs="Arial"/>
              <w:noProof/>
              <w:kern w:val="2"/>
              <w:szCs w:val="24"/>
              <w:lang w:eastAsia="en-GB"/>
              <w14:ligatures w14:val="standardContextual"/>
            </w:rPr>
          </w:pPr>
          <w:hyperlink w:anchor="_Toc216218428" w:history="1">
            <w:r w:rsidRPr="009F50AA">
              <w:rPr>
                <w:rStyle w:val="Hyperlink"/>
                <w:rFonts w:ascii="Arial" w:hAnsi="Arial" w:cs="Arial"/>
                <w:noProof/>
              </w:rPr>
              <w:t>STDP</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_Toc216218428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4</w:t>
            </w:r>
            <w:r w:rsidRPr="009F50AA">
              <w:rPr>
                <w:rFonts w:ascii="Arial" w:hAnsi="Arial" w:cs="Arial"/>
                <w:noProof/>
                <w:webHidden/>
              </w:rPr>
              <w:fldChar w:fldCharType="end"/>
            </w:r>
          </w:hyperlink>
        </w:p>
        <w:p w14:paraId="01DF7523" w14:textId="75D51F51" w:rsidR="00110A77" w:rsidRPr="009F50AA" w:rsidRDefault="00110A77">
          <w:pPr>
            <w:pStyle w:val="TOC3"/>
            <w:tabs>
              <w:tab w:val="right" w:leader="dot" w:pos="9016"/>
            </w:tabs>
            <w:rPr>
              <w:rFonts w:ascii="Arial" w:eastAsiaTheme="minorEastAsia" w:hAnsi="Arial" w:cs="Arial"/>
              <w:noProof/>
              <w:kern w:val="2"/>
              <w:szCs w:val="24"/>
              <w:lang w:eastAsia="en-GB"/>
              <w14:ligatures w14:val="standardContextual"/>
            </w:rPr>
          </w:pPr>
          <w:hyperlink w:anchor="_Toc216218429" w:history="1">
            <w:r w:rsidRPr="009F50AA">
              <w:rPr>
                <w:rStyle w:val="Hyperlink"/>
                <w:rFonts w:ascii="Arial" w:hAnsi="Arial" w:cs="Arial"/>
                <w:noProof/>
              </w:rPr>
              <w:t>Segmentation</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_Toc216218429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5</w:t>
            </w:r>
            <w:r w:rsidRPr="009F50AA">
              <w:rPr>
                <w:rFonts w:ascii="Arial" w:hAnsi="Arial" w:cs="Arial"/>
                <w:noProof/>
                <w:webHidden/>
              </w:rPr>
              <w:fldChar w:fldCharType="end"/>
            </w:r>
          </w:hyperlink>
        </w:p>
        <w:p w14:paraId="749D66AD" w14:textId="27D70C85" w:rsidR="00110A77" w:rsidRPr="009F50AA" w:rsidRDefault="00110A77">
          <w:pPr>
            <w:pStyle w:val="TOC3"/>
            <w:tabs>
              <w:tab w:val="right" w:leader="dot" w:pos="9016"/>
            </w:tabs>
            <w:rPr>
              <w:rFonts w:ascii="Arial" w:eastAsiaTheme="minorEastAsia" w:hAnsi="Arial" w:cs="Arial"/>
              <w:noProof/>
              <w:kern w:val="2"/>
              <w:szCs w:val="24"/>
              <w:lang w:eastAsia="en-GB"/>
              <w14:ligatures w14:val="standardContextual"/>
            </w:rPr>
          </w:pPr>
          <w:hyperlink w:anchor="_Toc216218430" w:history="1">
            <w:r w:rsidRPr="009F50AA">
              <w:rPr>
                <w:rStyle w:val="Hyperlink"/>
                <w:rFonts w:ascii="Arial" w:hAnsi="Arial" w:cs="Arial"/>
                <w:noProof/>
              </w:rPr>
              <w:t>Targeting</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_Toc216218430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6</w:t>
            </w:r>
            <w:r w:rsidRPr="009F50AA">
              <w:rPr>
                <w:rFonts w:ascii="Arial" w:hAnsi="Arial" w:cs="Arial"/>
                <w:noProof/>
                <w:webHidden/>
              </w:rPr>
              <w:fldChar w:fldCharType="end"/>
            </w:r>
          </w:hyperlink>
        </w:p>
        <w:p w14:paraId="5578E612" w14:textId="526B8F32" w:rsidR="00110A77" w:rsidRPr="009F50AA" w:rsidRDefault="00110A77">
          <w:pPr>
            <w:pStyle w:val="TOC3"/>
            <w:tabs>
              <w:tab w:val="right" w:leader="dot" w:pos="9016"/>
            </w:tabs>
            <w:rPr>
              <w:rFonts w:ascii="Arial" w:eastAsiaTheme="minorEastAsia" w:hAnsi="Arial" w:cs="Arial"/>
              <w:noProof/>
              <w:kern w:val="2"/>
              <w:szCs w:val="24"/>
              <w:lang w:eastAsia="en-GB"/>
              <w14:ligatures w14:val="standardContextual"/>
            </w:rPr>
          </w:pPr>
          <w:hyperlink w:anchor="_Toc216218431" w:history="1">
            <w:r w:rsidRPr="009F50AA">
              <w:rPr>
                <w:rStyle w:val="Hyperlink"/>
                <w:rFonts w:ascii="Arial" w:hAnsi="Arial" w:cs="Arial"/>
                <w:noProof/>
              </w:rPr>
              <w:t>Positioning</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_Toc216218431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6</w:t>
            </w:r>
            <w:r w:rsidRPr="009F50AA">
              <w:rPr>
                <w:rFonts w:ascii="Arial" w:hAnsi="Arial" w:cs="Arial"/>
                <w:noProof/>
                <w:webHidden/>
              </w:rPr>
              <w:fldChar w:fldCharType="end"/>
            </w:r>
          </w:hyperlink>
        </w:p>
        <w:p w14:paraId="1A1F2E9D" w14:textId="47369CC8" w:rsidR="00110A77" w:rsidRPr="009F50AA" w:rsidRDefault="00110A77">
          <w:pPr>
            <w:pStyle w:val="TOC3"/>
            <w:tabs>
              <w:tab w:val="right" w:leader="dot" w:pos="9016"/>
            </w:tabs>
            <w:rPr>
              <w:rFonts w:ascii="Arial" w:eastAsiaTheme="minorEastAsia" w:hAnsi="Arial" w:cs="Arial"/>
              <w:noProof/>
              <w:kern w:val="2"/>
              <w:szCs w:val="24"/>
              <w:lang w:eastAsia="en-GB"/>
              <w14:ligatures w14:val="standardContextual"/>
            </w:rPr>
          </w:pPr>
          <w:hyperlink w:anchor="_Toc216218432" w:history="1">
            <w:r w:rsidRPr="009F50AA">
              <w:rPr>
                <w:rStyle w:val="Hyperlink"/>
                <w:rFonts w:ascii="Arial" w:hAnsi="Arial" w:cs="Arial"/>
                <w:noProof/>
              </w:rPr>
              <w:t>Differentiation</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_Toc216218432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7</w:t>
            </w:r>
            <w:r w:rsidRPr="009F50AA">
              <w:rPr>
                <w:rFonts w:ascii="Arial" w:hAnsi="Arial" w:cs="Arial"/>
                <w:noProof/>
                <w:webHidden/>
              </w:rPr>
              <w:fldChar w:fldCharType="end"/>
            </w:r>
          </w:hyperlink>
        </w:p>
        <w:p w14:paraId="394BE9FE" w14:textId="76BDDF16" w:rsidR="00110A77" w:rsidRPr="009F50AA" w:rsidRDefault="00110A77">
          <w:pPr>
            <w:pStyle w:val="TOC1"/>
            <w:tabs>
              <w:tab w:val="right" w:leader="dot" w:pos="9016"/>
            </w:tabs>
            <w:rPr>
              <w:rFonts w:ascii="Arial" w:eastAsiaTheme="minorEastAsia" w:hAnsi="Arial" w:cs="Arial"/>
              <w:noProof/>
              <w:kern w:val="2"/>
              <w:szCs w:val="24"/>
              <w:lang w:eastAsia="en-GB"/>
              <w14:ligatures w14:val="standardContextual"/>
            </w:rPr>
          </w:pPr>
          <w:hyperlink w:anchor="_Toc216218433" w:history="1">
            <w:r w:rsidRPr="009F50AA">
              <w:rPr>
                <w:rStyle w:val="Hyperlink"/>
                <w:rFonts w:ascii="Arial" w:hAnsi="Arial" w:cs="Arial"/>
                <w:noProof/>
              </w:rPr>
              <w:t>Element 2: Marketing Mix - 4Ps</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_Toc216218433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9</w:t>
            </w:r>
            <w:r w:rsidRPr="009F50AA">
              <w:rPr>
                <w:rFonts w:ascii="Arial" w:hAnsi="Arial" w:cs="Arial"/>
                <w:noProof/>
                <w:webHidden/>
              </w:rPr>
              <w:fldChar w:fldCharType="end"/>
            </w:r>
          </w:hyperlink>
        </w:p>
        <w:p w14:paraId="305C8E84" w14:textId="23E82F88" w:rsidR="00110A77" w:rsidRPr="009F50AA" w:rsidRDefault="00110A77">
          <w:pPr>
            <w:pStyle w:val="TOC2"/>
            <w:tabs>
              <w:tab w:val="right" w:leader="dot" w:pos="9016"/>
            </w:tabs>
            <w:rPr>
              <w:rFonts w:ascii="Arial" w:eastAsiaTheme="minorEastAsia" w:hAnsi="Arial" w:cs="Arial"/>
              <w:noProof/>
              <w:kern w:val="2"/>
              <w:szCs w:val="24"/>
              <w:lang w:eastAsia="en-GB"/>
              <w14:ligatures w14:val="standardContextual"/>
            </w:rPr>
          </w:pPr>
          <w:hyperlink w:anchor="_Toc216218434" w:history="1">
            <w:r w:rsidRPr="009F50AA">
              <w:rPr>
                <w:rStyle w:val="Hyperlink"/>
                <w:rFonts w:ascii="Arial" w:hAnsi="Arial" w:cs="Arial"/>
                <w:noProof/>
              </w:rPr>
              <w:t>Product: Hydra HomeCell</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_Toc216218434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9</w:t>
            </w:r>
            <w:r w:rsidRPr="009F50AA">
              <w:rPr>
                <w:rFonts w:ascii="Arial" w:hAnsi="Arial" w:cs="Arial"/>
                <w:noProof/>
                <w:webHidden/>
              </w:rPr>
              <w:fldChar w:fldCharType="end"/>
            </w:r>
          </w:hyperlink>
        </w:p>
        <w:p w14:paraId="69D41E3D" w14:textId="109D2790" w:rsidR="00110A77" w:rsidRPr="009F50AA" w:rsidRDefault="00110A77">
          <w:pPr>
            <w:pStyle w:val="TOC2"/>
            <w:tabs>
              <w:tab w:val="right" w:leader="dot" w:pos="9016"/>
            </w:tabs>
            <w:rPr>
              <w:rFonts w:ascii="Arial" w:eastAsiaTheme="minorEastAsia" w:hAnsi="Arial" w:cs="Arial"/>
              <w:noProof/>
              <w:kern w:val="2"/>
              <w:szCs w:val="24"/>
              <w:lang w:eastAsia="en-GB"/>
              <w14:ligatures w14:val="standardContextual"/>
            </w:rPr>
          </w:pPr>
          <w:hyperlink w:anchor="_Toc216218435" w:history="1">
            <w:r w:rsidRPr="009F50AA">
              <w:rPr>
                <w:rStyle w:val="Hyperlink"/>
                <w:rFonts w:ascii="Arial" w:hAnsi="Arial" w:cs="Arial"/>
                <w:noProof/>
              </w:rPr>
              <w:t>Price: Pricing Strategy for Hydra HomeCell</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_Toc216218435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10</w:t>
            </w:r>
            <w:r w:rsidRPr="009F50AA">
              <w:rPr>
                <w:rFonts w:ascii="Arial" w:hAnsi="Arial" w:cs="Arial"/>
                <w:noProof/>
                <w:webHidden/>
              </w:rPr>
              <w:fldChar w:fldCharType="end"/>
            </w:r>
          </w:hyperlink>
        </w:p>
        <w:p w14:paraId="09990486" w14:textId="39ECA34F" w:rsidR="00110A77" w:rsidRPr="009F50AA" w:rsidRDefault="00110A77">
          <w:pPr>
            <w:pStyle w:val="TOC2"/>
            <w:tabs>
              <w:tab w:val="right" w:leader="dot" w:pos="9016"/>
            </w:tabs>
            <w:rPr>
              <w:rFonts w:ascii="Arial" w:eastAsiaTheme="minorEastAsia" w:hAnsi="Arial" w:cs="Arial"/>
              <w:noProof/>
              <w:kern w:val="2"/>
              <w:szCs w:val="24"/>
              <w:lang w:eastAsia="en-GB"/>
              <w14:ligatures w14:val="standardContextual"/>
            </w:rPr>
          </w:pPr>
          <w:hyperlink w:anchor="_Toc216218436" w:history="1">
            <w:r w:rsidRPr="009F50AA">
              <w:rPr>
                <w:rStyle w:val="Hyperlink"/>
                <w:rFonts w:ascii="Arial" w:hAnsi="Arial" w:cs="Arial"/>
                <w:noProof/>
              </w:rPr>
              <w:t>Place: Distribution Strategy for Hydra HomeCell</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_Toc216218436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10</w:t>
            </w:r>
            <w:r w:rsidRPr="009F50AA">
              <w:rPr>
                <w:rFonts w:ascii="Arial" w:hAnsi="Arial" w:cs="Arial"/>
                <w:noProof/>
                <w:webHidden/>
              </w:rPr>
              <w:fldChar w:fldCharType="end"/>
            </w:r>
          </w:hyperlink>
        </w:p>
        <w:p w14:paraId="4E4F2D8B" w14:textId="6AFA582E" w:rsidR="00110A77" w:rsidRPr="009F50AA" w:rsidRDefault="00110A77">
          <w:pPr>
            <w:pStyle w:val="TOC2"/>
            <w:tabs>
              <w:tab w:val="right" w:leader="dot" w:pos="9016"/>
            </w:tabs>
            <w:rPr>
              <w:rFonts w:ascii="Arial" w:eastAsiaTheme="minorEastAsia" w:hAnsi="Arial" w:cs="Arial"/>
              <w:noProof/>
              <w:kern w:val="2"/>
              <w:szCs w:val="24"/>
              <w:lang w:eastAsia="en-GB"/>
              <w14:ligatures w14:val="standardContextual"/>
            </w:rPr>
          </w:pPr>
          <w:hyperlink w:anchor="_Toc216218437" w:history="1">
            <w:r w:rsidRPr="009F50AA">
              <w:rPr>
                <w:rStyle w:val="Hyperlink"/>
                <w:rFonts w:ascii="Arial" w:hAnsi="Arial" w:cs="Arial"/>
                <w:noProof/>
              </w:rPr>
              <w:t>Promotion: Promotional Strategies for Hydra HomeCell</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_Toc216218437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11</w:t>
            </w:r>
            <w:r w:rsidRPr="009F50AA">
              <w:rPr>
                <w:rFonts w:ascii="Arial" w:hAnsi="Arial" w:cs="Arial"/>
                <w:noProof/>
                <w:webHidden/>
              </w:rPr>
              <w:fldChar w:fldCharType="end"/>
            </w:r>
          </w:hyperlink>
        </w:p>
        <w:p w14:paraId="4E93156C" w14:textId="5C05AE91" w:rsidR="00110A77" w:rsidRPr="009F50AA" w:rsidRDefault="00110A77">
          <w:pPr>
            <w:pStyle w:val="TOC1"/>
            <w:tabs>
              <w:tab w:val="right" w:leader="dot" w:pos="9016"/>
            </w:tabs>
            <w:rPr>
              <w:rFonts w:ascii="Arial" w:eastAsiaTheme="minorEastAsia" w:hAnsi="Arial" w:cs="Arial"/>
              <w:noProof/>
              <w:kern w:val="2"/>
              <w:szCs w:val="24"/>
              <w:lang w:eastAsia="en-GB"/>
              <w14:ligatures w14:val="standardContextual"/>
            </w:rPr>
          </w:pPr>
          <w:hyperlink w:anchor="_Toc216218438" w:history="1">
            <w:r w:rsidRPr="009F50AA">
              <w:rPr>
                <w:rStyle w:val="Hyperlink"/>
                <w:rFonts w:ascii="Arial" w:hAnsi="Arial" w:cs="Arial"/>
                <w:noProof/>
              </w:rPr>
              <w:t>Element 3: Marketing Strategy Pitch</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_Toc216218438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12</w:t>
            </w:r>
            <w:r w:rsidRPr="009F50AA">
              <w:rPr>
                <w:rFonts w:ascii="Arial" w:hAnsi="Arial" w:cs="Arial"/>
                <w:noProof/>
                <w:webHidden/>
              </w:rPr>
              <w:fldChar w:fldCharType="end"/>
            </w:r>
          </w:hyperlink>
        </w:p>
        <w:p w14:paraId="7BA9A799" w14:textId="6000B42E" w:rsidR="00110A77" w:rsidRPr="009F50AA" w:rsidRDefault="00110A77">
          <w:pPr>
            <w:pStyle w:val="TOC1"/>
            <w:tabs>
              <w:tab w:val="right" w:leader="dot" w:pos="9016"/>
            </w:tabs>
            <w:rPr>
              <w:rFonts w:ascii="Arial" w:eastAsiaTheme="minorEastAsia" w:hAnsi="Arial" w:cs="Arial"/>
              <w:noProof/>
              <w:kern w:val="2"/>
              <w:szCs w:val="24"/>
              <w:lang w:eastAsia="en-GB"/>
              <w14:ligatures w14:val="standardContextual"/>
            </w:rPr>
          </w:pPr>
          <w:hyperlink w:anchor="_Toc216218439" w:history="1">
            <w:r w:rsidRPr="009F50AA">
              <w:rPr>
                <w:rStyle w:val="Hyperlink"/>
                <w:rFonts w:ascii="Arial" w:hAnsi="Arial" w:cs="Arial"/>
                <w:noProof/>
              </w:rPr>
              <w:t>Element 4: Reflection</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_Toc216218439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13</w:t>
            </w:r>
            <w:r w:rsidRPr="009F50AA">
              <w:rPr>
                <w:rFonts w:ascii="Arial" w:hAnsi="Arial" w:cs="Arial"/>
                <w:noProof/>
                <w:webHidden/>
              </w:rPr>
              <w:fldChar w:fldCharType="end"/>
            </w:r>
          </w:hyperlink>
        </w:p>
        <w:p w14:paraId="368F90D8" w14:textId="123DDE06" w:rsidR="00110A77" w:rsidRPr="009F50AA" w:rsidRDefault="00110A77">
          <w:pPr>
            <w:pStyle w:val="TOC1"/>
            <w:tabs>
              <w:tab w:val="right" w:leader="dot" w:pos="9016"/>
            </w:tabs>
            <w:rPr>
              <w:rFonts w:ascii="Arial" w:eastAsiaTheme="minorEastAsia" w:hAnsi="Arial" w:cs="Arial"/>
              <w:noProof/>
              <w:kern w:val="2"/>
              <w:szCs w:val="24"/>
              <w:lang w:eastAsia="en-GB"/>
              <w14:ligatures w14:val="standardContextual"/>
            </w:rPr>
          </w:pPr>
          <w:hyperlink w:anchor="_Toc216218440" w:history="1">
            <w:r w:rsidRPr="009F50AA">
              <w:rPr>
                <w:rStyle w:val="Hyperlink"/>
                <w:rFonts w:ascii="Arial" w:hAnsi="Arial" w:cs="Arial"/>
                <w:noProof/>
              </w:rPr>
              <w:t>Conclusion</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_Toc216218440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15</w:t>
            </w:r>
            <w:r w:rsidRPr="009F50AA">
              <w:rPr>
                <w:rFonts w:ascii="Arial" w:hAnsi="Arial" w:cs="Arial"/>
                <w:noProof/>
                <w:webHidden/>
              </w:rPr>
              <w:fldChar w:fldCharType="end"/>
            </w:r>
          </w:hyperlink>
        </w:p>
        <w:p w14:paraId="3CB4767A" w14:textId="18EC17AD" w:rsidR="00110A77" w:rsidRPr="009F50AA" w:rsidRDefault="00110A77">
          <w:pPr>
            <w:pStyle w:val="TOC1"/>
            <w:tabs>
              <w:tab w:val="right" w:leader="dot" w:pos="9016"/>
            </w:tabs>
            <w:rPr>
              <w:rFonts w:ascii="Arial" w:eastAsiaTheme="minorEastAsia" w:hAnsi="Arial" w:cs="Arial"/>
              <w:noProof/>
              <w:kern w:val="2"/>
              <w:szCs w:val="24"/>
              <w:lang w:eastAsia="en-GB"/>
              <w14:ligatures w14:val="standardContextual"/>
            </w:rPr>
          </w:pPr>
          <w:hyperlink w:anchor="_Toc216218441" w:history="1">
            <w:r w:rsidRPr="009F50AA">
              <w:rPr>
                <w:rStyle w:val="Hyperlink"/>
                <w:rFonts w:ascii="Arial" w:hAnsi="Arial" w:cs="Arial"/>
                <w:noProof/>
              </w:rPr>
              <w:t>Reflection</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_Toc216218441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16</w:t>
            </w:r>
            <w:r w:rsidRPr="009F50AA">
              <w:rPr>
                <w:rFonts w:ascii="Arial" w:hAnsi="Arial" w:cs="Arial"/>
                <w:noProof/>
                <w:webHidden/>
              </w:rPr>
              <w:fldChar w:fldCharType="end"/>
            </w:r>
          </w:hyperlink>
        </w:p>
        <w:p w14:paraId="799520B4" w14:textId="3454FE3F" w:rsidR="00110A77" w:rsidRPr="009F50AA" w:rsidRDefault="00110A77">
          <w:pPr>
            <w:rPr>
              <w:rFonts w:ascii="Arial" w:hAnsi="Arial" w:cs="Arial"/>
            </w:rPr>
          </w:pPr>
          <w:r w:rsidRPr="009F50AA">
            <w:rPr>
              <w:rFonts w:ascii="Arial" w:hAnsi="Arial" w:cs="Arial"/>
              <w:b/>
              <w:bCs/>
            </w:rPr>
            <w:fldChar w:fldCharType="end"/>
          </w:r>
        </w:p>
      </w:sdtContent>
    </w:sdt>
    <w:p w14:paraId="34E3C066" w14:textId="110F4665" w:rsidR="00110A77" w:rsidRPr="009F50AA" w:rsidRDefault="00110A77" w:rsidP="00110A77">
      <w:pPr>
        <w:rPr>
          <w:rFonts w:ascii="Arial" w:hAnsi="Arial" w:cs="Arial"/>
        </w:rPr>
      </w:pPr>
      <w:r w:rsidRPr="009F50AA">
        <w:rPr>
          <w:rFonts w:ascii="Arial" w:hAnsi="Arial" w:cs="Arial"/>
        </w:rPr>
        <w:br w:type="page"/>
      </w:r>
    </w:p>
    <w:p w14:paraId="79A8B48F" w14:textId="77777777" w:rsidR="00110A77" w:rsidRPr="009F50AA" w:rsidRDefault="00110A77" w:rsidP="00110A77">
      <w:pPr>
        <w:rPr>
          <w:rFonts w:ascii="Arial" w:hAnsi="Arial" w:cs="Arial"/>
        </w:rPr>
        <w:sectPr w:rsidR="00110A77" w:rsidRPr="009F50AA" w:rsidSect="009F50AA">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0432844" w14:textId="77777777" w:rsidR="00B747E4" w:rsidRPr="009F50AA" w:rsidRDefault="004F6CF0" w:rsidP="00B747E4">
      <w:pPr>
        <w:pStyle w:val="Heading1"/>
        <w:rPr>
          <w:rFonts w:ascii="Arial" w:hAnsi="Arial" w:cs="Arial"/>
        </w:rPr>
      </w:pPr>
      <w:bookmarkStart w:id="0" w:name="_Toc215702167"/>
      <w:bookmarkStart w:id="1" w:name="_Toc216218425"/>
      <w:r w:rsidRPr="009F50AA">
        <w:rPr>
          <w:rFonts w:ascii="Arial" w:hAnsi="Arial" w:cs="Arial"/>
        </w:rPr>
        <w:lastRenderedPageBreak/>
        <w:t>Introduction</w:t>
      </w:r>
      <w:bookmarkEnd w:id="0"/>
      <w:bookmarkEnd w:id="1"/>
    </w:p>
    <w:p w14:paraId="326CE823" w14:textId="266D8B26" w:rsidR="0029302F" w:rsidRPr="009F50AA" w:rsidRDefault="00110A77" w:rsidP="005B2204">
      <w:pPr>
        <w:rPr>
          <w:rFonts w:ascii="Arial" w:hAnsi="Arial" w:cs="Arial"/>
        </w:rPr>
      </w:pPr>
      <w:r w:rsidRPr="009F50AA">
        <w:rPr>
          <w:rFonts w:ascii="Arial" w:hAnsi="Arial" w:cs="Arial"/>
        </w:rPr>
        <w:t xml:space="preserve">The Hydra </w:t>
      </w:r>
      <w:proofErr w:type="spellStart"/>
      <w:r w:rsidRPr="009F50AA">
        <w:rPr>
          <w:rFonts w:ascii="Arial" w:hAnsi="Arial" w:cs="Arial"/>
        </w:rPr>
        <w:t>HomeCell</w:t>
      </w:r>
      <w:proofErr w:type="spellEnd"/>
      <w:r w:rsidRPr="009F50AA">
        <w:rPr>
          <w:rFonts w:ascii="Arial" w:hAnsi="Arial" w:cs="Arial"/>
        </w:rPr>
        <w:t xml:space="preserve"> is a new brand of </w:t>
      </w:r>
      <w:r w:rsidR="00293E33" w:rsidRPr="009F50AA">
        <w:rPr>
          <w:rFonts w:ascii="Arial" w:hAnsi="Arial" w:cs="Arial"/>
        </w:rPr>
        <w:t>Toyota,</w:t>
      </w:r>
      <w:r w:rsidRPr="009F50AA">
        <w:rPr>
          <w:rFonts w:ascii="Arial" w:hAnsi="Arial" w:cs="Arial"/>
        </w:rPr>
        <w:t xml:space="preserve"> and it is aimed at satisfying the increasing need of clean, reliable and sustainable energy storage. Through the hydrogen fuel cell technology, it provides </w:t>
      </w:r>
      <w:r w:rsidR="00293E33" w:rsidRPr="009F50AA">
        <w:rPr>
          <w:rFonts w:ascii="Arial" w:hAnsi="Arial" w:cs="Arial"/>
        </w:rPr>
        <w:t>homeowners</w:t>
      </w:r>
      <w:r w:rsidRPr="009F50AA">
        <w:rPr>
          <w:rFonts w:ascii="Arial" w:hAnsi="Arial" w:cs="Arial"/>
        </w:rPr>
        <w:t xml:space="preserve"> with another option to conventional energy systems which guarantees energy security at a time when there is an increase in the cost of energy </w:t>
      </w:r>
      <w:r w:rsidR="00293E33" w:rsidRPr="009F50AA">
        <w:rPr>
          <w:rFonts w:ascii="Arial" w:hAnsi="Arial" w:cs="Arial"/>
        </w:rPr>
        <w:t>and</w:t>
      </w:r>
      <w:r w:rsidRPr="009F50AA">
        <w:rPr>
          <w:rFonts w:ascii="Arial" w:hAnsi="Arial" w:cs="Arial"/>
        </w:rPr>
        <w:t xml:space="preserve"> when there is instability in the grid. As a high-end, environmentally friendly product, Hydra </w:t>
      </w:r>
      <w:proofErr w:type="spellStart"/>
      <w:r w:rsidRPr="009F50AA">
        <w:rPr>
          <w:rFonts w:ascii="Arial" w:hAnsi="Arial" w:cs="Arial"/>
        </w:rPr>
        <w:t>HomeCell</w:t>
      </w:r>
      <w:proofErr w:type="spellEnd"/>
      <w:r w:rsidRPr="009F50AA">
        <w:rPr>
          <w:rFonts w:ascii="Arial" w:hAnsi="Arial" w:cs="Arial"/>
        </w:rPr>
        <w:t xml:space="preserve"> is in line with the global trends of using renewable energy (Precedence Research, 202</w:t>
      </w:r>
      <w:r w:rsidR="00926F32" w:rsidRPr="009F50AA">
        <w:rPr>
          <w:rFonts w:ascii="Arial" w:hAnsi="Arial" w:cs="Arial"/>
        </w:rPr>
        <w:t>4</w:t>
      </w:r>
      <w:r w:rsidRPr="009F50AA">
        <w:rPr>
          <w:rFonts w:ascii="Arial" w:hAnsi="Arial" w:cs="Arial"/>
        </w:rPr>
        <w:t>).</w:t>
      </w:r>
    </w:p>
    <w:p w14:paraId="730D0C2D" w14:textId="2056865A" w:rsidR="00E939D4" w:rsidRPr="009F50AA" w:rsidRDefault="00E939D4" w:rsidP="00B747E4">
      <w:pPr>
        <w:rPr>
          <w:rFonts w:ascii="Arial" w:hAnsi="Arial" w:cs="Arial"/>
        </w:rPr>
      </w:pPr>
      <w:r w:rsidRPr="009F50AA">
        <w:rPr>
          <w:rFonts w:ascii="Arial" w:hAnsi="Arial" w:cs="Arial"/>
        </w:rPr>
        <w:br w:type="page"/>
      </w:r>
    </w:p>
    <w:p w14:paraId="1E9AEB3D" w14:textId="36AA4C19" w:rsidR="009D69C2" w:rsidRPr="009F50AA" w:rsidRDefault="009D69C2" w:rsidP="00B747E4">
      <w:pPr>
        <w:pStyle w:val="Heading1"/>
        <w:rPr>
          <w:rFonts w:ascii="Arial" w:hAnsi="Arial" w:cs="Arial"/>
        </w:rPr>
      </w:pPr>
      <w:bookmarkStart w:id="2" w:name="_Toc216218426"/>
      <w:r w:rsidRPr="009F50AA">
        <w:rPr>
          <w:rFonts w:ascii="Arial" w:hAnsi="Arial" w:cs="Arial"/>
        </w:rPr>
        <w:lastRenderedPageBreak/>
        <w:t xml:space="preserve">Element 1: Segmentation, Targeting, Differentiation, and Positioning (STDP) Analysis for Hydra </w:t>
      </w:r>
      <w:proofErr w:type="spellStart"/>
      <w:r w:rsidRPr="009F50AA">
        <w:rPr>
          <w:rFonts w:ascii="Arial" w:hAnsi="Arial" w:cs="Arial"/>
        </w:rPr>
        <w:t>HomeCell</w:t>
      </w:r>
      <w:bookmarkEnd w:id="2"/>
      <w:proofErr w:type="spellEnd"/>
    </w:p>
    <w:p w14:paraId="4F19356F" w14:textId="1ED001A6" w:rsidR="0029302F" w:rsidRPr="009F50AA" w:rsidRDefault="0029302F" w:rsidP="0029302F">
      <w:pPr>
        <w:pStyle w:val="Heading2"/>
        <w:rPr>
          <w:rFonts w:ascii="Arial" w:hAnsi="Arial" w:cs="Arial"/>
        </w:rPr>
      </w:pPr>
      <w:bookmarkStart w:id="3" w:name="_Toc216218427"/>
      <w:r w:rsidRPr="009F50AA">
        <w:rPr>
          <w:rFonts w:ascii="Arial" w:hAnsi="Arial" w:cs="Arial"/>
        </w:rPr>
        <w:t xml:space="preserve">Hydra </w:t>
      </w:r>
      <w:proofErr w:type="spellStart"/>
      <w:r w:rsidRPr="009F50AA">
        <w:rPr>
          <w:rFonts w:ascii="Arial" w:hAnsi="Arial" w:cs="Arial"/>
        </w:rPr>
        <w:t>HomeCell</w:t>
      </w:r>
      <w:proofErr w:type="spellEnd"/>
      <w:r w:rsidRPr="009F50AA">
        <w:rPr>
          <w:rFonts w:ascii="Arial" w:hAnsi="Arial" w:cs="Arial"/>
        </w:rPr>
        <w:t xml:space="preserve"> Overview</w:t>
      </w:r>
      <w:bookmarkEnd w:id="3"/>
    </w:p>
    <w:p w14:paraId="0FC4F332" w14:textId="6912EFD4" w:rsidR="005B2204" w:rsidRPr="009F50AA" w:rsidRDefault="007C621A" w:rsidP="005B2204">
      <w:pPr>
        <w:rPr>
          <w:rFonts w:ascii="Arial" w:hAnsi="Arial" w:cs="Arial"/>
        </w:rPr>
      </w:pPr>
      <w:r w:rsidRPr="009F50AA">
        <w:rPr>
          <w:rFonts w:ascii="Arial" w:hAnsi="Arial" w:cs="Arial"/>
        </w:rPr>
        <w:t xml:space="preserve">Toyota is entering renewable energy through Hydra </w:t>
      </w:r>
      <w:proofErr w:type="spellStart"/>
      <w:r w:rsidRPr="009F50AA">
        <w:rPr>
          <w:rFonts w:ascii="Arial" w:hAnsi="Arial" w:cs="Arial"/>
        </w:rPr>
        <w:t>HomeCell</w:t>
      </w:r>
      <w:proofErr w:type="spellEnd"/>
      <w:r w:rsidRPr="009F50AA">
        <w:rPr>
          <w:rFonts w:ascii="Arial" w:hAnsi="Arial" w:cs="Arial"/>
        </w:rPr>
        <w:t xml:space="preserve"> which is a household-based energy storage powered by hydrogen. Hydra </w:t>
      </w:r>
      <w:proofErr w:type="spellStart"/>
      <w:r w:rsidRPr="009F50AA">
        <w:rPr>
          <w:rFonts w:ascii="Arial" w:hAnsi="Arial" w:cs="Arial"/>
        </w:rPr>
        <w:t>HomeCell</w:t>
      </w:r>
      <w:proofErr w:type="spellEnd"/>
      <w:r w:rsidRPr="009F50AA">
        <w:rPr>
          <w:rFonts w:ascii="Arial" w:hAnsi="Arial" w:cs="Arial"/>
        </w:rPr>
        <w:t xml:space="preserve"> is a </w:t>
      </w:r>
      <w:r w:rsidR="007D79C2" w:rsidRPr="009F50AA">
        <w:rPr>
          <w:rFonts w:ascii="Arial" w:hAnsi="Arial" w:cs="Arial"/>
        </w:rPr>
        <w:t>long-term</w:t>
      </w:r>
      <w:r w:rsidRPr="009F50AA">
        <w:rPr>
          <w:rFonts w:ascii="Arial" w:hAnsi="Arial" w:cs="Arial"/>
        </w:rPr>
        <w:t xml:space="preserve"> solution to energy independence with the increase of instability and energy prices in the grid.</w:t>
      </w:r>
    </w:p>
    <w:p w14:paraId="04CB2666" w14:textId="77777777" w:rsidR="005B2204" w:rsidRPr="009F50AA" w:rsidRDefault="005B2204" w:rsidP="005B2204">
      <w:pPr>
        <w:keepNext/>
        <w:jc w:val="center"/>
        <w:rPr>
          <w:rFonts w:ascii="Arial" w:hAnsi="Arial" w:cs="Arial"/>
        </w:rPr>
      </w:pPr>
      <w:r w:rsidRPr="009F50AA">
        <w:rPr>
          <w:rFonts w:ascii="Arial" w:hAnsi="Arial" w:cs="Arial"/>
          <w:noProof/>
        </w:rPr>
        <w:drawing>
          <wp:inline distT="0" distB="0" distL="0" distR="0" wp14:anchorId="39F4145E" wp14:editId="63BE36E8">
            <wp:extent cx="1460488" cy="1416232"/>
            <wp:effectExtent l="0" t="0" r="6985" b="0"/>
            <wp:docPr id="948980685"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980685" name="Picture 1" descr="A close-up of a logo&#10;&#10;AI-generated content may be incorrect."/>
                    <pic:cNvPicPr/>
                  </pic:nvPicPr>
                  <pic:blipFill>
                    <a:blip r:embed="rId10"/>
                    <a:stretch>
                      <a:fillRect/>
                    </a:stretch>
                  </pic:blipFill>
                  <pic:spPr>
                    <a:xfrm>
                      <a:off x="0" y="0"/>
                      <a:ext cx="1461242" cy="1416963"/>
                    </a:xfrm>
                    <a:prstGeom prst="rect">
                      <a:avLst/>
                    </a:prstGeom>
                  </pic:spPr>
                </pic:pic>
              </a:graphicData>
            </a:graphic>
          </wp:inline>
        </w:drawing>
      </w:r>
    </w:p>
    <w:p w14:paraId="008CDA7F" w14:textId="5F1254FE" w:rsidR="005B2204" w:rsidRPr="009F50AA" w:rsidRDefault="005B2204" w:rsidP="005B2204">
      <w:pPr>
        <w:pStyle w:val="Caption"/>
        <w:spacing w:line="360" w:lineRule="auto"/>
        <w:jc w:val="center"/>
        <w:rPr>
          <w:rFonts w:ascii="Arial" w:hAnsi="Arial" w:cs="Arial"/>
        </w:rPr>
      </w:pPr>
      <w:r w:rsidRPr="009F50AA">
        <w:rPr>
          <w:rFonts w:ascii="Arial" w:hAnsi="Arial" w:cs="Arial"/>
        </w:rPr>
        <w:t xml:space="preserve">Figure </w:t>
      </w:r>
      <w:r w:rsidR="004941F9" w:rsidRPr="009F50AA">
        <w:rPr>
          <w:rFonts w:ascii="Arial" w:hAnsi="Arial" w:cs="Arial"/>
        </w:rPr>
        <w:fldChar w:fldCharType="begin"/>
      </w:r>
      <w:r w:rsidR="004941F9" w:rsidRPr="009F50AA">
        <w:rPr>
          <w:rFonts w:ascii="Arial" w:hAnsi="Arial" w:cs="Arial"/>
        </w:rPr>
        <w:instrText xml:space="preserve"> SEQ Figure \* ARABIC </w:instrText>
      </w:r>
      <w:r w:rsidR="004941F9" w:rsidRPr="009F50AA">
        <w:rPr>
          <w:rFonts w:ascii="Arial" w:hAnsi="Arial" w:cs="Arial"/>
        </w:rPr>
        <w:fldChar w:fldCharType="separate"/>
      </w:r>
      <w:r w:rsidR="00F83AE0" w:rsidRPr="009F50AA">
        <w:rPr>
          <w:rFonts w:ascii="Arial" w:hAnsi="Arial" w:cs="Arial"/>
          <w:noProof/>
        </w:rPr>
        <w:t>1</w:t>
      </w:r>
      <w:r w:rsidR="004941F9" w:rsidRPr="009F50AA">
        <w:rPr>
          <w:rFonts w:ascii="Arial" w:hAnsi="Arial" w:cs="Arial"/>
          <w:noProof/>
        </w:rPr>
        <w:fldChar w:fldCharType="end"/>
      </w:r>
      <w:r w:rsidRPr="009F50AA">
        <w:rPr>
          <w:rFonts w:ascii="Arial" w:hAnsi="Arial" w:cs="Arial"/>
        </w:rPr>
        <w:t>: The New Brand</w:t>
      </w:r>
    </w:p>
    <w:p w14:paraId="08C4E67E" w14:textId="134D5D8B" w:rsidR="005B2204" w:rsidRPr="009F50AA" w:rsidRDefault="005B2204" w:rsidP="005B2204">
      <w:pPr>
        <w:jc w:val="center"/>
        <w:rPr>
          <w:rFonts w:ascii="Arial" w:hAnsi="Arial" w:cs="Arial"/>
        </w:rPr>
      </w:pPr>
      <w:r w:rsidRPr="009F50AA">
        <w:rPr>
          <w:rFonts w:ascii="Arial" w:hAnsi="Arial" w:cs="Arial"/>
        </w:rPr>
        <w:t>Source: Author</w:t>
      </w:r>
    </w:p>
    <w:p w14:paraId="1A0DE40D" w14:textId="32BF5A58" w:rsidR="0029302F" w:rsidRPr="009F50AA" w:rsidRDefault="007C621A" w:rsidP="005B2204">
      <w:pPr>
        <w:rPr>
          <w:rFonts w:ascii="Arial" w:hAnsi="Arial" w:cs="Arial"/>
        </w:rPr>
      </w:pPr>
      <w:r w:rsidRPr="009F50AA">
        <w:rPr>
          <w:rFonts w:ascii="Arial" w:hAnsi="Arial" w:cs="Arial"/>
        </w:rPr>
        <w:t xml:space="preserve">Hydra </w:t>
      </w:r>
      <w:proofErr w:type="spellStart"/>
      <w:r w:rsidRPr="009F50AA">
        <w:rPr>
          <w:rFonts w:ascii="Arial" w:hAnsi="Arial" w:cs="Arial"/>
        </w:rPr>
        <w:t>HomeCell</w:t>
      </w:r>
      <w:proofErr w:type="spellEnd"/>
      <w:r w:rsidRPr="009F50AA">
        <w:rPr>
          <w:rFonts w:ascii="Arial" w:hAnsi="Arial" w:cs="Arial"/>
        </w:rPr>
        <w:t xml:space="preserve"> is a long-term and environmentally sustainable energy storage technology due to Toyota reputation of safety and innovation. Another aspect that the product exploits is the demand of clean energy and sustainability on a global scale (Rolo, Costa &amp; Brito, 2023).</w:t>
      </w:r>
    </w:p>
    <w:p w14:paraId="21F27435" w14:textId="5974C702" w:rsidR="0029302F" w:rsidRPr="009F50AA" w:rsidRDefault="0029302F" w:rsidP="005B2204">
      <w:pPr>
        <w:pStyle w:val="Heading2"/>
        <w:rPr>
          <w:rFonts w:ascii="Arial" w:hAnsi="Arial" w:cs="Arial"/>
        </w:rPr>
      </w:pPr>
      <w:bookmarkStart w:id="4" w:name="_Toc216218428"/>
      <w:r w:rsidRPr="009F50AA">
        <w:rPr>
          <w:rFonts w:ascii="Arial" w:hAnsi="Arial" w:cs="Arial"/>
        </w:rPr>
        <w:t>STDP</w:t>
      </w:r>
      <w:bookmarkEnd w:id="4"/>
    </w:p>
    <w:p w14:paraId="149D2FB6" w14:textId="77777777" w:rsidR="005B2204" w:rsidRPr="009F50AA" w:rsidRDefault="005B2204" w:rsidP="005B2204">
      <w:pPr>
        <w:keepNext/>
        <w:jc w:val="center"/>
        <w:rPr>
          <w:rFonts w:ascii="Arial" w:hAnsi="Arial" w:cs="Arial"/>
        </w:rPr>
      </w:pPr>
      <w:r w:rsidRPr="009F50AA">
        <w:rPr>
          <w:rFonts w:ascii="Arial" w:hAnsi="Arial" w:cs="Arial"/>
          <w:noProof/>
        </w:rPr>
        <w:drawing>
          <wp:inline distT="0" distB="0" distL="0" distR="0" wp14:anchorId="3115469F" wp14:editId="1842FD8F">
            <wp:extent cx="2817495" cy="1616075"/>
            <wp:effectExtent l="0" t="0" r="1905" b="3175"/>
            <wp:docPr id="969617145" name="Picture 5" descr="Understanding the STDP Process in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Understanding the STDP Process in Market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17495" cy="1616075"/>
                    </a:xfrm>
                    <a:prstGeom prst="rect">
                      <a:avLst/>
                    </a:prstGeom>
                    <a:noFill/>
                    <a:ln>
                      <a:noFill/>
                    </a:ln>
                  </pic:spPr>
                </pic:pic>
              </a:graphicData>
            </a:graphic>
          </wp:inline>
        </w:drawing>
      </w:r>
    </w:p>
    <w:p w14:paraId="6D3C0DCA" w14:textId="66EA9172" w:rsidR="005B2204" w:rsidRPr="009F50AA" w:rsidRDefault="005B2204" w:rsidP="005B2204">
      <w:pPr>
        <w:pStyle w:val="Caption"/>
        <w:jc w:val="center"/>
        <w:rPr>
          <w:rFonts w:ascii="Arial" w:hAnsi="Arial" w:cs="Arial"/>
        </w:rPr>
      </w:pPr>
      <w:r w:rsidRPr="009F50AA">
        <w:rPr>
          <w:rFonts w:ascii="Arial" w:hAnsi="Arial" w:cs="Arial"/>
        </w:rPr>
        <w:t xml:space="preserve">Figure </w:t>
      </w:r>
      <w:r w:rsidR="004941F9" w:rsidRPr="009F50AA">
        <w:rPr>
          <w:rFonts w:ascii="Arial" w:hAnsi="Arial" w:cs="Arial"/>
        </w:rPr>
        <w:fldChar w:fldCharType="begin"/>
      </w:r>
      <w:r w:rsidR="004941F9" w:rsidRPr="009F50AA">
        <w:rPr>
          <w:rFonts w:ascii="Arial" w:hAnsi="Arial" w:cs="Arial"/>
        </w:rPr>
        <w:instrText xml:space="preserve"> SEQ Figure \* ARABIC </w:instrText>
      </w:r>
      <w:r w:rsidR="004941F9" w:rsidRPr="009F50AA">
        <w:rPr>
          <w:rFonts w:ascii="Arial" w:hAnsi="Arial" w:cs="Arial"/>
        </w:rPr>
        <w:fldChar w:fldCharType="separate"/>
      </w:r>
      <w:r w:rsidR="00F83AE0" w:rsidRPr="009F50AA">
        <w:rPr>
          <w:rFonts w:ascii="Arial" w:hAnsi="Arial" w:cs="Arial"/>
          <w:noProof/>
        </w:rPr>
        <w:t>2</w:t>
      </w:r>
      <w:r w:rsidR="004941F9" w:rsidRPr="009F50AA">
        <w:rPr>
          <w:rFonts w:ascii="Arial" w:hAnsi="Arial" w:cs="Arial"/>
          <w:noProof/>
        </w:rPr>
        <w:fldChar w:fldCharType="end"/>
      </w:r>
      <w:r w:rsidRPr="009F50AA">
        <w:rPr>
          <w:rFonts w:ascii="Arial" w:hAnsi="Arial" w:cs="Arial"/>
        </w:rPr>
        <w:t>: STDP Analysis</w:t>
      </w:r>
    </w:p>
    <w:p w14:paraId="6BB18737" w14:textId="18703DF6" w:rsidR="005B2204" w:rsidRPr="009F50AA" w:rsidRDefault="005B2204" w:rsidP="005B2204">
      <w:pPr>
        <w:jc w:val="center"/>
        <w:rPr>
          <w:rFonts w:ascii="Arial" w:hAnsi="Arial" w:cs="Arial"/>
        </w:rPr>
      </w:pPr>
      <w:r w:rsidRPr="009F50AA">
        <w:rPr>
          <w:rFonts w:ascii="Arial" w:hAnsi="Arial" w:cs="Arial"/>
        </w:rPr>
        <w:t xml:space="preserve">Source: </w:t>
      </w:r>
      <w:r w:rsidR="008C5782" w:rsidRPr="009F50AA">
        <w:rPr>
          <w:rFonts w:ascii="Arial" w:hAnsi="Arial" w:cs="Arial"/>
        </w:rPr>
        <w:t>(Fripp, 2022)</w:t>
      </w:r>
    </w:p>
    <w:p w14:paraId="367A0EAA" w14:textId="741526C2" w:rsidR="0029302F" w:rsidRPr="009F50AA" w:rsidRDefault="00110A77" w:rsidP="005B2204">
      <w:pPr>
        <w:rPr>
          <w:rFonts w:ascii="Arial" w:hAnsi="Arial" w:cs="Arial"/>
        </w:rPr>
      </w:pPr>
      <w:r w:rsidRPr="009F50AA">
        <w:rPr>
          <w:rFonts w:ascii="Arial" w:hAnsi="Arial" w:cs="Arial"/>
        </w:rPr>
        <w:t xml:space="preserve">Segmentation, Targeting, Differentiation, and Positioning (STDP) is a marketing model that is applied to analyse and design marketing strategies. Segmentation breaks a wide market into small groups sharing common characteristics. Targeting concentrates on groups to be targeted, whereas Differentiation makes the product </w:t>
      </w:r>
      <w:r w:rsidRPr="009F50AA">
        <w:rPr>
          <w:rFonts w:ascii="Arial" w:hAnsi="Arial" w:cs="Arial"/>
        </w:rPr>
        <w:lastRenderedPageBreak/>
        <w:t>special. Lastly, Positioning describes the perception of the product as compared to the competitors (Fripp, 2022).</w:t>
      </w:r>
    </w:p>
    <w:p w14:paraId="03916674" w14:textId="77777777" w:rsidR="0029302F" w:rsidRPr="009F50AA" w:rsidRDefault="0029302F" w:rsidP="00A630A3">
      <w:pPr>
        <w:pStyle w:val="Heading3"/>
        <w:rPr>
          <w:rFonts w:ascii="Arial" w:hAnsi="Arial" w:cs="Arial"/>
        </w:rPr>
      </w:pPr>
      <w:bookmarkStart w:id="5" w:name="_Toc216218429"/>
      <w:r w:rsidRPr="009F50AA">
        <w:rPr>
          <w:rFonts w:ascii="Arial" w:hAnsi="Arial" w:cs="Arial"/>
        </w:rPr>
        <w:t>Segmentation</w:t>
      </w:r>
      <w:bookmarkEnd w:id="5"/>
    </w:p>
    <w:p w14:paraId="1DD242CB" w14:textId="784AFB56" w:rsidR="00FE362D" w:rsidRPr="009F50AA" w:rsidRDefault="00FE362D" w:rsidP="00FE362D">
      <w:pPr>
        <w:rPr>
          <w:rFonts w:ascii="Arial" w:hAnsi="Arial" w:cs="Arial"/>
        </w:rPr>
      </w:pPr>
      <w:r w:rsidRPr="009F50AA">
        <w:rPr>
          <w:rStyle w:val="Strong"/>
          <w:rFonts w:ascii="Arial" w:hAnsi="Arial" w:cs="Arial"/>
          <w:szCs w:val="24"/>
        </w:rPr>
        <w:t xml:space="preserve">Demographic Segmentation: </w:t>
      </w:r>
      <w:r w:rsidRPr="009F50AA">
        <w:rPr>
          <w:rFonts w:ascii="Arial" w:hAnsi="Arial" w:cs="Arial"/>
          <w:szCs w:val="24"/>
        </w:rPr>
        <w:t xml:space="preserve">Hydra </w:t>
      </w:r>
      <w:proofErr w:type="spellStart"/>
      <w:r w:rsidRPr="009F50AA">
        <w:rPr>
          <w:rFonts w:ascii="Arial" w:hAnsi="Arial" w:cs="Arial"/>
          <w:szCs w:val="24"/>
        </w:rPr>
        <w:t>HomeCell</w:t>
      </w:r>
      <w:proofErr w:type="spellEnd"/>
      <w:r w:rsidRPr="009F50AA">
        <w:rPr>
          <w:rFonts w:ascii="Arial" w:hAnsi="Arial" w:cs="Arial"/>
          <w:szCs w:val="24"/>
        </w:rPr>
        <w:t xml:space="preserve"> segmentation method takes into account such attributes as demographic factors. Homeowners with middle-to-high income and aged between 30 and 70 years tend to invest in premium and long-term energy solutions (Patel et al., 2024). These consumers consider energy independence and sustainability as key decision-making factors.</w:t>
      </w:r>
    </w:p>
    <w:p w14:paraId="47510187" w14:textId="6D519A53" w:rsidR="00FE362D" w:rsidRPr="009F50AA" w:rsidRDefault="00FE362D" w:rsidP="00FE362D">
      <w:pPr>
        <w:rPr>
          <w:rFonts w:ascii="Arial" w:hAnsi="Arial" w:cs="Arial"/>
        </w:rPr>
      </w:pPr>
      <w:r w:rsidRPr="009F50AA">
        <w:rPr>
          <w:rStyle w:val="Strong"/>
          <w:rFonts w:ascii="Arial" w:hAnsi="Arial" w:cs="Arial"/>
          <w:szCs w:val="24"/>
        </w:rPr>
        <w:t xml:space="preserve">Geographic (Regional) Segmentation: </w:t>
      </w:r>
      <w:r w:rsidRPr="009F50AA">
        <w:rPr>
          <w:rFonts w:ascii="Arial" w:hAnsi="Arial" w:cs="Arial"/>
          <w:szCs w:val="24"/>
        </w:rPr>
        <w:t xml:space="preserve">Hydra </w:t>
      </w:r>
      <w:proofErr w:type="spellStart"/>
      <w:r w:rsidRPr="009F50AA">
        <w:rPr>
          <w:rFonts w:ascii="Arial" w:hAnsi="Arial" w:cs="Arial"/>
          <w:szCs w:val="24"/>
        </w:rPr>
        <w:t>HomeCell</w:t>
      </w:r>
      <w:proofErr w:type="spellEnd"/>
      <w:r w:rsidRPr="009F50AA">
        <w:rPr>
          <w:rFonts w:ascii="Arial" w:hAnsi="Arial" w:cs="Arial"/>
          <w:szCs w:val="24"/>
        </w:rPr>
        <w:t xml:space="preserve"> shall focus on grid-unreliable or solar-powered sites that have high energy storage demands. Figure 3 shows that the hydrogen energy storage market is expanding, with a forecast of USD 459.5 billion by 2032, particularly in regions prone to grid instability or those highly concentrated on renewable energy adoption (P&amp;S Intelligence, 2025).</w:t>
      </w:r>
    </w:p>
    <w:p w14:paraId="41961709" w14:textId="77777777" w:rsidR="00FE362D" w:rsidRPr="009F50AA" w:rsidRDefault="00FE362D" w:rsidP="00FE362D">
      <w:pPr>
        <w:keepNext/>
        <w:jc w:val="center"/>
        <w:rPr>
          <w:rFonts w:ascii="Arial" w:hAnsi="Arial" w:cs="Arial"/>
          <w:szCs w:val="24"/>
        </w:rPr>
      </w:pPr>
      <w:r w:rsidRPr="009F50AA">
        <w:rPr>
          <w:rFonts w:ascii="Arial" w:hAnsi="Arial" w:cs="Arial"/>
          <w:noProof/>
          <w:szCs w:val="24"/>
        </w:rPr>
        <w:drawing>
          <wp:inline distT="0" distB="0" distL="0" distR="0" wp14:anchorId="4BF62795" wp14:editId="3D59622F">
            <wp:extent cx="2718399" cy="2040393"/>
            <wp:effectExtent l="0" t="0" r="6350" b="0"/>
            <wp:docPr id="2" name="Picture 1" descr="Hydrogen Energy Storage Market Size, and Growth Report,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ydrogen Energy Storage Market Size, and Growth Report, 203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18399" cy="2040393"/>
                    </a:xfrm>
                    <a:prstGeom prst="rect">
                      <a:avLst/>
                    </a:prstGeom>
                    <a:noFill/>
                    <a:ln>
                      <a:noFill/>
                    </a:ln>
                  </pic:spPr>
                </pic:pic>
              </a:graphicData>
            </a:graphic>
          </wp:inline>
        </w:drawing>
      </w:r>
    </w:p>
    <w:p w14:paraId="35FE99F3" w14:textId="77777777" w:rsidR="00FE362D" w:rsidRPr="009F50AA" w:rsidRDefault="00FE362D" w:rsidP="00FE362D">
      <w:pPr>
        <w:pStyle w:val="Caption"/>
        <w:spacing w:line="360" w:lineRule="auto"/>
        <w:jc w:val="center"/>
        <w:rPr>
          <w:rFonts w:ascii="Arial" w:hAnsi="Arial" w:cs="Arial"/>
          <w:sz w:val="24"/>
          <w:szCs w:val="24"/>
        </w:rPr>
      </w:pPr>
      <w:r w:rsidRPr="009F50AA">
        <w:rPr>
          <w:rFonts w:ascii="Arial" w:hAnsi="Arial" w:cs="Arial"/>
          <w:sz w:val="24"/>
          <w:szCs w:val="24"/>
        </w:rPr>
        <w:t xml:space="preserve">Figure </w:t>
      </w:r>
      <w:r w:rsidRPr="009F50AA">
        <w:rPr>
          <w:rFonts w:ascii="Arial" w:hAnsi="Arial" w:cs="Arial"/>
          <w:sz w:val="24"/>
          <w:szCs w:val="24"/>
        </w:rPr>
        <w:fldChar w:fldCharType="begin"/>
      </w:r>
      <w:r w:rsidRPr="009F50AA">
        <w:rPr>
          <w:rFonts w:ascii="Arial" w:hAnsi="Arial" w:cs="Arial"/>
          <w:sz w:val="24"/>
          <w:szCs w:val="24"/>
        </w:rPr>
        <w:instrText xml:space="preserve"> SEQ Figure \* ARABIC </w:instrText>
      </w:r>
      <w:r w:rsidRPr="009F50AA">
        <w:rPr>
          <w:rFonts w:ascii="Arial" w:hAnsi="Arial" w:cs="Arial"/>
          <w:sz w:val="24"/>
          <w:szCs w:val="24"/>
        </w:rPr>
        <w:fldChar w:fldCharType="separate"/>
      </w:r>
      <w:r w:rsidRPr="009F50AA">
        <w:rPr>
          <w:rFonts w:ascii="Arial" w:hAnsi="Arial" w:cs="Arial"/>
          <w:noProof/>
          <w:sz w:val="24"/>
          <w:szCs w:val="24"/>
        </w:rPr>
        <w:t>3</w:t>
      </w:r>
      <w:r w:rsidRPr="009F50AA">
        <w:rPr>
          <w:rFonts w:ascii="Arial" w:hAnsi="Arial" w:cs="Arial"/>
          <w:noProof/>
          <w:sz w:val="24"/>
          <w:szCs w:val="24"/>
        </w:rPr>
        <w:fldChar w:fldCharType="end"/>
      </w:r>
      <w:r w:rsidRPr="009F50AA">
        <w:rPr>
          <w:rFonts w:ascii="Arial" w:hAnsi="Arial" w:cs="Arial"/>
          <w:sz w:val="24"/>
          <w:szCs w:val="24"/>
        </w:rPr>
        <w:t>: Hydrogen Energy Market</w:t>
      </w:r>
    </w:p>
    <w:p w14:paraId="06DC041A" w14:textId="6170722B" w:rsidR="00FE362D" w:rsidRPr="009F50AA" w:rsidRDefault="00FE362D" w:rsidP="00027F38">
      <w:pPr>
        <w:jc w:val="center"/>
        <w:rPr>
          <w:rFonts w:ascii="Arial" w:hAnsi="Arial" w:cs="Arial"/>
          <w:szCs w:val="24"/>
        </w:rPr>
      </w:pPr>
      <w:r w:rsidRPr="009F50AA">
        <w:rPr>
          <w:rFonts w:ascii="Arial" w:hAnsi="Arial" w:cs="Arial"/>
          <w:szCs w:val="24"/>
        </w:rPr>
        <w:t>Source: (P&amp;S Intelligence, 2025)</w:t>
      </w:r>
    </w:p>
    <w:p w14:paraId="784F1BC2" w14:textId="5A5183CD" w:rsidR="00FE362D" w:rsidRPr="009F50AA" w:rsidRDefault="00FE362D" w:rsidP="00FE362D">
      <w:pPr>
        <w:rPr>
          <w:rFonts w:ascii="Arial" w:hAnsi="Arial" w:cs="Arial"/>
        </w:rPr>
      </w:pPr>
      <w:r w:rsidRPr="009F50AA">
        <w:rPr>
          <w:rStyle w:val="Strong"/>
          <w:rFonts w:ascii="Arial" w:hAnsi="Arial" w:cs="Arial"/>
          <w:szCs w:val="24"/>
        </w:rPr>
        <w:t xml:space="preserve">Psychographic Segmentation: </w:t>
      </w:r>
      <w:proofErr w:type="spellStart"/>
      <w:r w:rsidRPr="009F50AA">
        <w:rPr>
          <w:rFonts w:ascii="Arial" w:hAnsi="Arial" w:cs="Arial"/>
          <w:szCs w:val="24"/>
        </w:rPr>
        <w:t>Psychographically</w:t>
      </w:r>
      <w:proofErr w:type="spellEnd"/>
      <w:r w:rsidRPr="009F50AA">
        <w:rPr>
          <w:rFonts w:ascii="Arial" w:hAnsi="Arial" w:cs="Arial"/>
          <w:szCs w:val="24"/>
        </w:rPr>
        <w:t>, the product is addressed to customers who are tech-savvy and eco-conscious and who prefer innovative and sustainable technologies. Consumers in this segment are more concerned about their carbon footprint and actively seek green energy solutions.</w:t>
      </w:r>
    </w:p>
    <w:p w14:paraId="72EE30E0" w14:textId="45441025" w:rsidR="00FE362D" w:rsidRPr="009F50AA" w:rsidRDefault="00FE362D" w:rsidP="00FE362D">
      <w:pPr>
        <w:rPr>
          <w:rFonts w:ascii="Arial" w:hAnsi="Arial" w:cs="Arial"/>
        </w:rPr>
      </w:pPr>
      <w:r w:rsidRPr="009F50AA">
        <w:rPr>
          <w:rStyle w:val="Strong"/>
          <w:rFonts w:ascii="Arial" w:hAnsi="Arial" w:cs="Arial"/>
          <w:szCs w:val="24"/>
        </w:rPr>
        <w:t xml:space="preserve">Behavioural Segmentation: </w:t>
      </w:r>
      <w:r w:rsidRPr="009F50AA">
        <w:rPr>
          <w:rFonts w:ascii="Arial" w:hAnsi="Arial" w:cs="Arial"/>
          <w:szCs w:val="24"/>
        </w:rPr>
        <w:t xml:space="preserve">Hydra </w:t>
      </w:r>
      <w:proofErr w:type="spellStart"/>
      <w:r w:rsidRPr="009F50AA">
        <w:rPr>
          <w:rFonts w:ascii="Arial" w:hAnsi="Arial" w:cs="Arial"/>
          <w:szCs w:val="24"/>
        </w:rPr>
        <w:t>HomeCell</w:t>
      </w:r>
      <w:proofErr w:type="spellEnd"/>
      <w:r w:rsidRPr="009F50AA">
        <w:rPr>
          <w:rFonts w:ascii="Arial" w:hAnsi="Arial" w:cs="Arial"/>
          <w:szCs w:val="24"/>
        </w:rPr>
        <w:t xml:space="preserve"> will fit well with early adopters who are concerned with energy security and long-term cost-effectiveness. According to Figure 4, the market segment of home hydrogen energy storage currently accounts for only 9.81, indicating significant untapped potential for environmentally friendly energy sources that allow consumers to save money and reduce long-term dependence on the grid (P&amp;S Intelligence, 2025).</w:t>
      </w:r>
    </w:p>
    <w:p w14:paraId="4CC79DFB" w14:textId="77777777" w:rsidR="0029302F" w:rsidRPr="009F50AA" w:rsidRDefault="0029302F" w:rsidP="00A630A3">
      <w:pPr>
        <w:pStyle w:val="Heading3"/>
        <w:rPr>
          <w:rFonts w:ascii="Arial" w:hAnsi="Arial" w:cs="Arial"/>
        </w:rPr>
      </w:pPr>
      <w:bookmarkStart w:id="6" w:name="_Toc216218430"/>
      <w:r w:rsidRPr="009F50AA">
        <w:rPr>
          <w:rFonts w:ascii="Arial" w:hAnsi="Arial" w:cs="Arial"/>
        </w:rPr>
        <w:lastRenderedPageBreak/>
        <w:t>Targeting</w:t>
      </w:r>
      <w:bookmarkEnd w:id="6"/>
    </w:p>
    <w:p w14:paraId="32414271" w14:textId="6EA18F32" w:rsidR="00A630A3" w:rsidRPr="009F50AA" w:rsidRDefault="00045172" w:rsidP="005B2204">
      <w:pPr>
        <w:rPr>
          <w:rFonts w:ascii="Arial" w:hAnsi="Arial" w:cs="Arial"/>
        </w:rPr>
      </w:pPr>
      <w:r w:rsidRPr="009F50AA">
        <w:rPr>
          <w:rFonts w:ascii="Arial" w:hAnsi="Arial" w:cs="Arial"/>
        </w:rPr>
        <w:t xml:space="preserve">The optimum market of Hydra </w:t>
      </w:r>
      <w:proofErr w:type="spellStart"/>
      <w:r w:rsidRPr="009F50AA">
        <w:rPr>
          <w:rFonts w:ascii="Arial" w:hAnsi="Arial" w:cs="Arial"/>
        </w:rPr>
        <w:t>HomeCell</w:t>
      </w:r>
      <w:proofErr w:type="spellEnd"/>
      <w:r w:rsidRPr="009F50AA">
        <w:rPr>
          <w:rFonts w:ascii="Arial" w:hAnsi="Arial" w:cs="Arial"/>
        </w:rPr>
        <w:t xml:space="preserve"> consists of homeowners in areas where the grid systems are not reliable or where there is a high level of adoption of solar systems. As Figure 4 shows, the residential hydrogen storage market is underdeveloped and will occupy only 9.81% of the entire market in 2024 (Precedence Research, 202</w:t>
      </w:r>
      <w:r w:rsidR="000B48B0" w:rsidRPr="009F50AA">
        <w:rPr>
          <w:rFonts w:ascii="Arial" w:hAnsi="Arial" w:cs="Arial"/>
        </w:rPr>
        <w:t>4</w:t>
      </w:r>
      <w:r w:rsidRPr="009F50AA">
        <w:rPr>
          <w:rFonts w:ascii="Arial" w:hAnsi="Arial" w:cs="Arial"/>
        </w:rPr>
        <w:t xml:space="preserve">). This is a huge expansion prospect to Hydra </w:t>
      </w:r>
      <w:proofErr w:type="spellStart"/>
      <w:r w:rsidRPr="009F50AA">
        <w:rPr>
          <w:rFonts w:ascii="Arial" w:hAnsi="Arial" w:cs="Arial"/>
        </w:rPr>
        <w:t>HomeCell</w:t>
      </w:r>
      <w:proofErr w:type="spellEnd"/>
      <w:r w:rsidRPr="009F50AA">
        <w:rPr>
          <w:rFonts w:ascii="Arial" w:hAnsi="Arial" w:cs="Arial"/>
        </w:rPr>
        <w:t xml:space="preserve"> to respond to the new demands of residential customers.</w:t>
      </w:r>
    </w:p>
    <w:p w14:paraId="6E3865EA" w14:textId="77777777" w:rsidR="00A630A3" w:rsidRPr="009F50AA" w:rsidRDefault="00A630A3" w:rsidP="00A630A3">
      <w:pPr>
        <w:keepNext/>
        <w:jc w:val="center"/>
        <w:rPr>
          <w:rFonts w:ascii="Arial" w:hAnsi="Arial" w:cs="Arial"/>
        </w:rPr>
      </w:pPr>
      <w:r w:rsidRPr="009F50AA">
        <w:rPr>
          <w:rFonts w:ascii="Arial" w:hAnsi="Arial" w:cs="Arial"/>
          <w:noProof/>
        </w:rPr>
        <w:drawing>
          <wp:inline distT="0" distB="0" distL="0" distR="0" wp14:anchorId="6282D21D" wp14:editId="27705F41">
            <wp:extent cx="3139168" cy="1765782"/>
            <wp:effectExtent l="0" t="0" r="4445" b="6350"/>
            <wp:docPr id="2110129570" name="Picture 3" descr="A graph showing the amount of storage of ener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129570" name="Picture 3" descr="A graph showing the amount of storage of energy&#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40530" cy="1766548"/>
                    </a:xfrm>
                    <a:prstGeom prst="rect">
                      <a:avLst/>
                    </a:prstGeom>
                    <a:noFill/>
                  </pic:spPr>
                </pic:pic>
              </a:graphicData>
            </a:graphic>
          </wp:inline>
        </w:drawing>
      </w:r>
    </w:p>
    <w:p w14:paraId="04AAB3C1" w14:textId="7BC6ABE5" w:rsidR="00A630A3" w:rsidRPr="009F50AA" w:rsidRDefault="00A630A3" w:rsidP="00A630A3">
      <w:pPr>
        <w:pStyle w:val="Caption"/>
        <w:spacing w:line="360" w:lineRule="auto"/>
        <w:jc w:val="center"/>
        <w:rPr>
          <w:rFonts w:ascii="Arial" w:hAnsi="Arial" w:cs="Arial"/>
        </w:rPr>
      </w:pPr>
      <w:r w:rsidRPr="009F50AA">
        <w:rPr>
          <w:rFonts w:ascii="Arial" w:hAnsi="Arial" w:cs="Arial"/>
        </w:rPr>
        <w:t xml:space="preserve">Figure </w:t>
      </w:r>
      <w:r w:rsidR="004941F9" w:rsidRPr="009F50AA">
        <w:rPr>
          <w:rFonts w:ascii="Arial" w:hAnsi="Arial" w:cs="Arial"/>
        </w:rPr>
        <w:fldChar w:fldCharType="begin"/>
      </w:r>
      <w:r w:rsidR="004941F9" w:rsidRPr="009F50AA">
        <w:rPr>
          <w:rFonts w:ascii="Arial" w:hAnsi="Arial" w:cs="Arial"/>
        </w:rPr>
        <w:instrText xml:space="preserve"> SEQ Figure \* ARABIC </w:instrText>
      </w:r>
      <w:r w:rsidR="004941F9" w:rsidRPr="009F50AA">
        <w:rPr>
          <w:rFonts w:ascii="Arial" w:hAnsi="Arial" w:cs="Arial"/>
        </w:rPr>
        <w:fldChar w:fldCharType="separate"/>
      </w:r>
      <w:r w:rsidR="00F83AE0" w:rsidRPr="009F50AA">
        <w:rPr>
          <w:rFonts w:ascii="Arial" w:hAnsi="Arial" w:cs="Arial"/>
          <w:noProof/>
        </w:rPr>
        <w:t>4</w:t>
      </w:r>
      <w:r w:rsidR="004941F9" w:rsidRPr="009F50AA">
        <w:rPr>
          <w:rFonts w:ascii="Arial" w:hAnsi="Arial" w:cs="Arial"/>
          <w:noProof/>
        </w:rPr>
        <w:fldChar w:fldCharType="end"/>
      </w:r>
      <w:r w:rsidRPr="009F50AA">
        <w:rPr>
          <w:rFonts w:ascii="Arial" w:hAnsi="Arial" w:cs="Arial"/>
        </w:rPr>
        <w:t>: Hydrogen Energy Storage Market Share</w:t>
      </w:r>
    </w:p>
    <w:p w14:paraId="406B44BA" w14:textId="5053D8D4" w:rsidR="00A630A3" w:rsidRPr="009F50AA" w:rsidRDefault="00A630A3" w:rsidP="00A630A3">
      <w:pPr>
        <w:jc w:val="center"/>
        <w:rPr>
          <w:rFonts w:ascii="Arial" w:hAnsi="Arial" w:cs="Arial"/>
        </w:rPr>
      </w:pPr>
      <w:r w:rsidRPr="009F50AA">
        <w:rPr>
          <w:rFonts w:ascii="Arial" w:hAnsi="Arial" w:cs="Arial"/>
        </w:rPr>
        <w:t xml:space="preserve">Source: </w:t>
      </w:r>
      <w:r w:rsidR="008C5782" w:rsidRPr="009F50AA">
        <w:rPr>
          <w:rFonts w:ascii="Arial" w:hAnsi="Arial" w:cs="Arial"/>
        </w:rPr>
        <w:t>(Precedence Research, 202</w:t>
      </w:r>
      <w:r w:rsidR="000B48B0" w:rsidRPr="009F50AA">
        <w:rPr>
          <w:rFonts w:ascii="Arial" w:hAnsi="Arial" w:cs="Arial"/>
        </w:rPr>
        <w:t>4</w:t>
      </w:r>
      <w:r w:rsidR="008C5782" w:rsidRPr="009F50AA">
        <w:rPr>
          <w:rFonts w:ascii="Arial" w:hAnsi="Arial" w:cs="Arial"/>
        </w:rPr>
        <w:t>)</w:t>
      </w:r>
    </w:p>
    <w:p w14:paraId="453471E7" w14:textId="3BF82C27" w:rsidR="0029302F" w:rsidRPr="009F50AA" w:rsidRDefault="00045172" w:rsidP="005B2204">
      <w:pPr>
        <w:rPr>
          <w:rFonts w:ascii="Arial" w:hAnsi="Arial" w:cs="Arial"/>
        </w:rPr>
      </w:pPr>
      <w:r w:rsidRPr="009F50AA">
        <w:rPr>
          <w:rFonts w:ascii="Arial" w:hAnsi="Arial" w:cs="Arial"/>
        </w:rPr>
        <w:t xml:space="preserve">The early adopters constitute the target market and are driven by environmental sustainability and energy security. These are consumers who are in search of long term and reliable energy solutions. Hydra </w:t>
      </w:r>
      <w:proofErr w:type="spellStart"/>
      <w:r w:rsidRPr="009F50AA">
        <w:rPr>
          <w:rFonts w:ascii="Arial" w:hAnsi="Arial" w:cs="Arial"/>
        </w:rPr>
        <w:t>HomeCell</w:t>
      </w:r>
      <w:proofErr w:type="spellEnd"/>
      <w:r w:rsidRPr="009F50AA">
        <w:rPr>
          <w:rFonts w:ascii="Arial" w:hAnsi="Arial" w:cs="Arial"/>
        </w:rPr>
        <w:t xml:space="preserve"> will attract families that want to lessen the use of conventional energy sources and invest in the energy self-sufficiency in the long term (</w:t>
      </w:r>
      <w:proofErr w:type="spellStart"/>
      <w:r w:rsidRPr="009F50AA">
        <w:rPr>
          <w:rFonts w:ascii="Arial" w:hAnsi="Arial" w:cs="Arial"/>
        </w:rPr>
        <w:t>Lubello</w:t>
      </w:r>
      <w:proofErr w:type="spellEnd"/>
      <w:r w:rsidRPr="009F50AA">
        <w:rPr>
          <w:rFonts w:ascii="Arial" w:hAnsi="Arial" w:cs="Arial"/>
        </w:rPr>
        <w:t xml:space="preserve"> et al., 2022). With the growing hydrogen infrastructure, especially in sun-heavy areas, Hydra </w:t>
      </w:r>
      <w:proofErr w:type="spellStart"/>
      <w:r w:rsidRPr="009F50AA">
        <w:rPr>
          <w:rFonts w:ascii="Arial" w:hAnsi="Arial" w:cs="Arial"/>
        </w:rPr>
        <w:t>HomeCell</w:t>
      </w:r>
      <w:proofErr w:type="spellEnd"/>
      <w:r w:rsidRPr="009F50AA">
        <w:rPr>
          <w:rFonts w:ascii="Arial" w:hAnsi="Arial" w:cs="Arial"/>
        </w:rPr>
        <w:t xml:space="preserve"> will be the perfect answer to the needs of households that require a stable and scalable energy storage system (Precedence Research, 202</w:t>
      </w:r>
      <w:r w:rsidR="000B48B0" w:rsidRPr="009F50AA">
        <w:rPr>
          <w:rFonts w:ascii="Arial" w:hAnsi="Arial" w:cs="Arial"/>
        </w:rPr>
        <w:t>4</w:t>
      </w:r>
      <w:r w:rsidRPr="009F50AA">
        <w:rPr>
          <w:rFonts w:ascii="Arial" w:hAnsi="Arial" w:cs="Arial"/>
        </w:rPr>
        <w:t>).</w:t>
      </w:r>
    </w:p>
    <w:p w14:paraId="2F854D7B" w14:textId="7715290F" w:rsidR="005B2204" w:rsidRPr="009F50AA" w:rsidRDefault="0029302F" w:rsidP="005B2204">
      <w:pPr>
        <w:pStyle w:val="Heading3"/>
        <w:rPr>
          <w:rFonts w:ascii="Arial" w:hAnsi="Arial" w:cs="Arial"/>
        </w:rPr>
      </w:pPr>
      <w:bookmarkStart w:id="7" w:name="_Toc216218431"/>
      <w:r w:rsidRPr="009F50AA">
        <w:rPr>
          <w:rFonts w:ascii="Arial" w:hAnsi="Arial" w:cs="Arial"/>
        </w:rPr>
        <w:t>Positioning</w:t>
      </w:r>
      <w:bookmarkEnd w:id="7"/>
    </w:p>
    <w:p w14:paraId="005223F0" w14:textId="6E60136A" w:rsidR="005B2204" w:rsidRPr="009F50AA" w:rsidRDefault="00045172" w:rsidP="005B2204">
      <w:pPr>
        <w:rPr>
          <w:rFonts w:ascii="Arial" w:hAnsi="Arial" w:cs="Arial"/>
        </w:rPr>
      </w:pPr>
      <w:r w:rsidRPr="009F50AA">
        <w:rPr>
          <w:rFonts w:ascii="Arial" w:hAnsi="Arial" w:cs="Arial"/>
        </w:rPr>
        <w:t xml:space="preserve">Hydra </w:t>
      </w:r>
      <w:proofErr w:type="spellStart"/>
      <w:r w:rsidRPr="009F50AA">
        <w:rPr>
          <w:rFonts w:ascii="Arial" w:hAnsi="Arial" w:cs="Arial"/>
        </w:rPr>
        <w:t>HomeCell</w:t>
      </w:r>
      <w:proofErr w:type="spellEnd"/>
      <w:r w:rsidRPr="009F50AA">
        <w:rPr>
          <w:rFonts w:ascii="Arial" w:hAnsi="Arial" w:cs="Arial"/>
        </w:rPr>
        <w:t xml:space="preserve"> will be placed as a high end, environmentally friendly, and innovative energy storage system. It will highlight its hydrogen fuel cell technology that has a better energy density and longer lives than the conventional battery-based systems (Bajra, 2021). As Figure 5 indicates, the increase in sector-specific hydrogen demand implies a rise in heat and power energy demand by 2035, which means that the potential of Hydra </w:t>
      </w:r>
      <w:proofErr w:type="spellStart"/>
      <w:r w:rsidRPr="009F50AA">
        <w:rPr>
          <w:rFonts w:ascii="Arial" w:hAnsi="Arial" w:cs="Arial"/>
        </w:rPr>
        <w:t>HomeCell</w:t>
      </w:r>
      <w:proofErr w:type="spellEnd"/>
      <w:r w:rsidRPr="009F50AA">
        <w:rPr>
          <w:rFonts w:ascii="Arial" w:hAnsi="Arial" w:cs="Arial"/>
        </w:rPr>
        <w:t xml:space="preserve"> to become a source of residential energy in the long-term may increase (Department for Energy Security &amp; Net Zero, 2023). The product will be positioned as a high-quality option among home owners who want to find high-quality </w:t>
      </w:r>
      <w:r w:rsidRPr="009F50AA">
        <w:rPr>
          <w:rFonts w:ascii="Arial" w:hAnsi="Arial" w:cs="Arial"/>
        </w:rPr>
        <w:lastRenderedPageBreak/>
        <w:t>and environmentally-friendly energy sources that will ensure they save money and not be dependent on the grid in the long run.</w:t>
      </w:r>
    </w:p>
    <w:p w14:paraId="0AC63DC6" w14:textId="77777777" w:rsidR="005B2204" w:rsidRPr="009F50AA" w:rsidRDefault="005B2204" w:rsidP="005B2204">
      <w:pPr>
        <w:keepNext/>
        <w:jc w:val="center"/>
        <w:rPr>
          <w:rFonts w:ascii="Arial" w:hAnsi="Arial" w:cs="Arial"/>
        </w:rPr>
      </w:pPr>
      <w:r w:rsidRPr="009F50AA">
        <w:rPr>
          <w:rFonts w:ascii="Arial" w:hAnsi="Arial" w:cs="Arial"/>
          <w:noProof/>
          <w14:ligatures w14:val="standardContextual"/>
        </w:rPr>
        <w:drawing>
          <wp:inline distT="0" distB="0" distL="0" distR="0" wp14:anchorId="742D12B5" wp14:editId="00339B59">
            <wp:extent cx="2676413" cy="1616344"/>
            <wp:effectExtent l="0" t="0" r="0" b="3175"/>
            <wp:docPr id="1390263581"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263581" name="Picture 1" descr="A graph of different colored bars&#10;&#10;AI-generated content may be incorrect."/>
                    <pic:cNvPicPr/>
                  </pic:nvPicPr>
                  <pic:blipFill>
                    <a:blip r:embed="rId14"/>
                    <a:stretch>
                      <a:fillRect/>
                    </a:stretch>
                  </pic:blipFill>
                  <pic:spPr>
                    <a:xfrm>
                      <a:off x="0" y="0"/>
                      <a:ext cx="2677117" cy="1616769"/>
                    </a:xfrm>
                    <a:prstGeom prst="rect">
                      <a:avLst/>
                    </a:prstGeom>
                  </pic:spPr>
                </pic:pic>
              </a:graphicData>
            </a:graphic>
          </wp:inline>
        </w:drawing>
      </w:r>
    </w:p>
    <w:p w14:paraId="723C7EBD" w14:textId="6227C31F" w:rsidR="005B2204" w:rsidRPr="009F50AA" w:rsidRDefault="005B2204" w:rsidP="005B2204">
      <w:pPr>
        <w:pStyle w:val="Caption"/>
        <w:spacing w:line="360" w:lineRule="auto"/>
        <w:jc w:val="center"/>
        <w:rPr>
          <w:rFonts w:ascii="Arial" w:hAnsi="Arial" w:cs="Arial"/>
        </w:rPr>
      </w:pPr>
      <w:r w:rsidRPr="009F50AA">
        <w:rPr>
          <w:rFonts w:ascii="Arial" w:hAnsi="Arial" w:cs="Arial"/>
        </w:rPr>
        <w:t xml:space="preserve">Figure </w:t>
      </w:r>
      <w:r w:rsidR="004941F9" w:rsidRPr="009F50AA">
        <w:rPr>
          <w:rFonts w:ascii="Arial" w:hAnsi="Arial" w:cs="Arial"/>
        </w:rPr>
        <w:fldChar w:fldCharType="begin"/>
      </w:r>
      <w:r w:rsidR="004941F9" w:rsidRPr="009F50AA">
        <w:rPr>
          <w:rFonts w:ascii="Arial" w:hAnsi="Arial" w:cs="Arial"/>
        </w:rPr>
        <w:instrText xml:space="preserve"> SEQ Figure \* ARABIC </w:instrText>
      </w:r>
      <w:r w:rsidR="004941F9" w:rsidRPr="009F50AA">
        <w:rPr>
          <w:rFonts w:ascii="Arial" w:hAnsi="Arial" w:cs="Arial"/>
        </w:rPr>
        <w:fldChar w:fldCharType="separate"/>
      </w:r>
      <w:r w:rsidR="00F83AE0" w:rsidRPr="009F50AA">
        <w:rPr>
          <w:rFonts w:ascii="Arial" w:hAnsi="Arial" w:cs="Arial"/>
          <w:noProof/>
        </w:rPr>
        <w:t>5</w:t>
      </w:r>
      <w:r w:rsidR="004941F9" w:rsidRPr="009F50AA">
        <w:rPr>
          <w:rFonts w:ascii="Arial" w:hAnsi="Arial" w:cs="Arial"/>
          <w:noProof/>
        </w:rPr>
        <w:fldChar w:fldCharType="end"/>
      </w:r>
      <w:r w:rsidRPr="009F50AA">
        <w:rPr>
          <w:rFonts w:ascii="Arial" w:hAnsi="Arial" w:cs="Arial"/>
        </w:rPr>
        <w:t>: Hydrogen Demand by Sector</w:t>
      </w:r>
    </w:p>
    <w:p w14:paraId="3698461B" w14:textId="5E5DB118" w:rsidR="005B2204" w:rsidRPr="009F50AA" w:rsidRDefault="005B2204" w:rsidP="005B2204">
      <w:pPr>
        <w:jc w:val="center"/>
        <w:rPr>
          <w:rFonts w:ascii="Arial" w:hAnsi="Arial" w:cs="Arial"/>
        </w:rPr>
      </w:pPr>
      <w:r w:rsidRPr="009F50AA">
        <w:rPr>
          <w:rFonts w:ascii="Arial" w:hAnsi="Arial" w:cs="Arial"/>
        </w:rPr>
        <w:t xml:space="preserve">Source: </w:t>
      </w:r>
      <w:r w:rsidR="008C5782" w:rsidRPr="009F50AA">
        <w:rPr>
          <w:rFonts w:ascii="Arial" w:hAnsi="Arial" w:cs="Arial"/>
        </w:rPr>
        <w:t>(Department for Energy Security &amp; Net Zero, 2023)</w:t>
      </w:r>
    </w:p>
    <w:p w14:paraId="63F0D50B" w14:textId="251EC405" w:rsidR="0029302F" w:rsidRPr="009F50AA" w:rsidRDefault="00045172" w:rsidP="005B2204">
      <w:pPr>
        <w:rPr>
          <w:rFonts w:ascii="Arial" w:hAnsi="Arial" w:cs="Arial"/>
        </w:rPr>
      </w:pPr>
      <w:r w:rsidRPr="009F50AA">
        <w:rPr>
          <w:rFonts w:ascii="Arial" w:hAnsi="Arial" w:cs="Arial"/>
        </w:rPr>
        <w:t xml:space="preserve">By marketing Hydra </w:t>
      </w:r>
      <w:proofErr w:type="spellStart"/>
      <w:r w:rsidRPr="009F50AA">
        <w:rPr>
          <w:rFonts w:ascii="Arial" w:hAnsi="Arial" w:cs="Arial"/>
        </w:rPr>
        <w:t>HomeCell</w:t>
      </w:r>
      <w:proofErr w:type="spellEnd"/>
      <w:r w:rsidRPr="009F50AA">
        <w:rPr>
          <w:rFonts w:ascii="Arial" w:hAnsi="Arial" w:cs="Arial"/>
        </w:rPr>
        <w:t xml:space="preserve"> as a high-tech solution, it will stand out of the conventional, less-efficient energy storage solutions. The safety and innovation brand equity of Toyota is another strong factor in this respect, as it makes consumers identify Hydra </w:t>
      </w:r>
      <w:proofErr w:type="spellStart"/>
      <w:r w:rsidRPr="009F50AA">
        <w:rPr>
          <w:rFonts w:ascii="Arial" w:hAnsi="Arial" w:cs="Arial"/>
        </w:rPr>
        <w:t>HomeCell</w:t>
      </w:r>
      <w:proofErr w:type="spellEnd"/>
      <w:r w:rsidRPr="009F50AA">
        <w:rPr>
          <w:rFonts w:ascii="Arial" w:hAnsi="Arial" w:cs="Arial"/>
        </w:rPr>
        <w:t xml:space="preserve"> with the high reliability and the technology of the future (Yap and McLellan, 2023).</w:t>
      </w:r>
    </w:p>
    <w:p w14:paraId="40BB8A8A" w14:textId="77777777" w:rsidR="005B2204" w:rsidRPr="009F50AA" w:rsidRDefault="005B2204" w:rsidP="005B2204">
      <w:pPr>
        <w:keepNext/>
        <w:jc w:val="center"/>
        <w:rPr>
          <w:rFonts w:ascii="Arial" w:hAnsi="Arial" w:cs="Arial"/>
        </w:rPr>
      </w:pPr>
      <w:r w:rsidRPr="009F50AA">
        <w:rPr>
          <w:rFonts w:ascii="Arial" w:hAnsi="Arial" w:cs="Arial"/>
          <w:noProof/>
        </w:rPr>
        <w:drawing>
          <wp:inline distT="0" distB="0" distL="0" distR="0" wp14:anchorId="71A38279" wp14:editId="5BA2A16C">
            <wp:extent cx="2955021" cy="1828800"/>
            <wp:effectExtent l="0" t="0" r="0" b="0"/>
            <wp:docPr id="245253681" name="Picture 1" descr="A diagram of brand percep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253681" name="Picture 1" descr="A diagram of brand perception&#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55809" cy="1829288"/>
                    </a:xfrm>
                    <a:prstGeom prst="rect">
                      <a:avLst/>
                    </a:prstGeom>
                    <a:noFill/>
                    <a:ln>
                      <a:noFill/>
                    </a:ln>
                  </pic:spPr>
                </pic:pic>
              </a:graphicData>
            </a:graphic>
          </wp:inline>
        </w:drawing>
      </w:r>
    </w:p>
    <w:p w14:paraId="0C4304B4" w14:textId="0ACC3148" w:rsidR="005B2204" w:rsidRPr="009F50AA" w:rsidRDefault="005B2204" w:rsidP="005B2204">
      <w:pPr>
        <w:pStyle w:val="Caption"/>
        <w:spacing w:line="360" w:lineRule="auto"/>
        <w:jc w:val="center"/>
        <w:rPr>
          <w:rFonts w:ascii="Arial" w:hAnsi="Arial" w:cs="Arial"/>
        </w:rPr>
      </w:pPr>
      <w:r w:rsidRPr="009F50AA">
        <w:rPr>
          <w:rFonts w:ascii="Arial" w:hAnsi="Arial" w:cs="Arial"/>
        </w:rPr>
        <w:t xml:space="preserve">Figure </w:t>
      </w:r>
      <w:r w:rsidR="004941F9" w:rsidRPr="009F50AA">
        <w:rPr>
          <w:rFonts w:ascii="Arial" w:hAnsi="Arial" w:cs="Arial"/>
        </w:rPr>
        <w:fldChar w:fldCharType="begin"/>
      </w:r>
      <w:r w:rsidR="004941F9" w:rsidRPr="009F50AA">
        <w:rPr>
          <w:rFonts w:ascii="Arial" w:hAnsi="Arial" w:cs="Arial"/>
        </w:rPr>
        <w:instrText xml:space="preserve"> SEQ Figure \* ARABIC </w:instrText>
      </w:r>
      <w:r w:rsidR="004941F9" w:rsidRPr="009F50AA">
        <w:rPr>
          <w:rFonts w:ascii="Arial" w:hAnsi="Arial" w:cs="Arial"/>
        </w:rPr>
        <w:fldChar w:fldCharType="separate"/>
      </w:r>
      <w:r w:rsidR="00F83AE0" w:rsidRPr="009F50AA">
        <w:rPr>
          <w:rFonts w:ascii="Arial" w:hAnsi="Arial" w:cs="Arial"/>
          <w:noProof/>
        </w:rPr>
        <w:t>6</w:t>
      </w:r>
      <w:r w:rsidR="004941F9" w:rsidRPr="009F50AA">
        <w:rPr>
          <w:rFonts w:ascii="Arial" w:hAnsi="Arial" w:cs="Arial"/>
          <w:noProof/>
        </w:rPr>
        <w:fldChar w:fldCharType="end"/>
      </w:r>
      <w:r w:rsidRPr="009F50AA">
        <w:rPr>
          <w:rFonts w:ascii="Arial" w:hAnsi="Arial" w:cs="Arial"/>
        </w:rPr>
        <w:t>: Positioning</w:t>
      </w:r>
    </w:p>
    <w:p w14:paraId="2AA80E8D" w14:textId="55C53939" w:rsidR="005B2204" w:rsidRPr="009F50AA" w:rsidRDefault="008C5782" w:rsidP="008C5782">
      <w:pPr>
        <w:jc w:val="center"/>
        <w:rPr>
          <w:rFonts w:ascii="Arial" w:hAnsi="Arial" w:cs="Arial"/>
        </w:rPr>
      </w:pPr>
      <w:r w:rsidRPr="009F50AA">
        <w:rPr>
          <w:rFonts w:ascii="Arial" w:hAnsi="Arial" w:cs="Arial"/>
        </w:rPr>
        <w:t>Source: (Bajra, 2021)</w:t>
      </w:r>
    </w:p>
    <w:p w14:paraId="7620EFEF" w14:textId="77777777" w:rsidR="0029302F" w:rsidRPr="009F50AA" w:rsidRDefault="0029302F" w:rsidP="00A630A3">
      <w:pPr>
        <w:pStyle w:val="Heading3"/>
        <w:rPr>
          <w:rFonts w:ascii="Arial" w:hAnsi="Arial" w:cs="Arial"/>
        </w:rPr>
      </w:pPr>
      <w:bookmarkStart w:id="8" w:name="_Toc216218432"/>
      <w:r w:rsidRPr="009F50AA">
        <w:rPr>
          <w:rFonts w:ascii="Arial" w:hAnsi="Arial" w:cs="Arial"/>
        </w:rPr>
        <w:t>Differentiation</w:t>
      </w:r>
      <w:bookmarkEnd w:id="8"/>
    </w:p>
    <w:p w14:paraId="52F294F6" w14:textId="120D320B" w:rsidR="00045172" w:rsidRPr="009F50AA" w:rsidRDefault="00293E33" w:rsidP="00045172">
      <w:pPr>
        <w:rPr>
          <w:rFonts w:ascii="Arial" w:hAnsi="Arial" w:cs="Arial"/>
        </w:rPr>
      </w:pPr>
      <w:r w:rsidRPr="009F50AA">
        <w:rPr>
          <w:rFonts w:ascii="Arial" w:hAnsi="Arial" w:cs="Arial"/>
        </w:rPr>
        <w:t xml:space="preserve">Various characteristics will be used to differentiate the Hydra </w:t>
      </w:r>
      <w:proofErr w:type="spellStart"/>
      <w:r w:rsidRPr="009F50AA">
        <w:rPr>
          <w:rFonts w:ascii="Arial" w:hAnsi="Arial" w:cs="Arial"/>
        </w:rPr>
        <w:t>HomeCell</w:t>
      </w:r>
      <w:proofErr w:type="spellEnd"/>
      <w:r w:rsidRPr="009F50AA">
        <w:rPr>
          <w:rFonts w:ascii="Arial" w:hAnsi="Arial" w:cs="Arial"/>
        </w:rPr>
        <w:t xml:space="preserve">. The Hydrogen fuel cell technology offers more energy and life compared to lithium-ion batteries. Long term energy storage is a better reserve to instability of domestic grid. Hydra </w:t>
      </w:r>
      <w:proofErr w:type="spellStart"/>
      <w:r w:rsidRPr="009F50AA">
        <w:rPr>
          <w:rFonts w:ascii="Arial" w:hAnsi="Arial" w:cs="Arial"/>
        </w:rPr>
        <w:t>HomeCell</w:t>
      </w:r>
      <w:proofErr w:type="spellEnd"/>
      <w:r w:rsidRPr="009F50AA">
        <w:rPr>
          <w:rFonts w:ascii="Arial" w:hAnsi="Arial" w:cs="Arial"/>
        </w:rPr>
        <w:t xml:space="preserve"> will become the most identifiable amongst the market where reliability and durability are the most important features (Toyota Motor Corporation, 2025). The product has a competitive edge since Toyota has an image of quality and innovation. Modular architecture enables the Hydra </w:t>
      </w:r>
      <w:proofErr w:type="spellStart"/>
      <w:r w:rsidRPr="009F50AA">
        <w:rPr>
          <w:rFonts w:ascii="Arial" w:hAnsi="Arial" w:cs="Arial"/>
        </w:rPr>
        <w:t>HomeCell</w:t>
      </w:r>
      <w:proofErr w:type="spellEnd"/>
      <w:r w:rsidRPr="009F50AA">
        <w:rPr>
          <w:rFonts w:ascii="Arial" w:hAnsi="Arial" w:cs="Arial"/>
        </w:rPr>
        <w:t xml:space="preserve"> to adapt to its homeowner to tailor and scale to its energy requirements (Patel et al., 2024). Figure 3 shows that the market of </w:t>
      </w:r>
      <w:r w:rsidRPr="009F50AA">
        <w:rPr>
          <w:rFonts w:ascii="Arial" w:hAnsi="Arial" w:cs="Arial"/>
        </w:rPr>
        <w:lastRenderedPageBreak/>
        <w:t xml:space="preserve">hydrogen energy storage is expanding at a very high rate, and Hydra </w:t>
      </w:r>
      <w:proofErr w:type="spellStart"/>
      <w:r w:rsidRPr="009F50AA">
        <w:rPr>
          <w:rFonts w:ascii="Arial" w:hAnsi="Arial" w:cs="Arial"/>
        </w:rPr>
        <w:t>HomeCell</w:t>
      </w:r>
      <w:proofErr w:type="spellEnd"/>
      <w:r w:rsidRPr="009F50AA">
        <w:rPr>
          <w:rFonts w:ascii="Arial" w:hAnsi="Arial" w:cs="Arial"/>
        </w:rPr>
        <w:t xml:space="preserve"> will have the opportunity to exploit this market and offer a sustainable and efficient household energy storage solution (P&amp;S Intelligence, 2025).</w:t>
      </w:r>
    </w:p>
    <w:p w14:paraId="088D6F04" w14:textId="4CB6BD22" w:rsidR="00810039" w:rsidRPr="009F50AA" w:rsidRDefault="00810039" w:rsidP="005B2204">
      <w:pPr>
        <w:spacing w:after="200"/>
        <w:rPr>
          <w:rFonts w:ascii="Arial" w:hAnsi="Arial" w:cs="Arial"/>
        </w:rPr>
      </w:pPr>
      <w:r w:rsidRPr="009F50AA">
        <w:rPr>
          <w:rFonts w:ascii="Arial" w:hAnsi="Arial" w:cs="Arial"/>
        </w:rPr>
        <w:br w:type="page"/>
      </w:r>
    </w:p>
    <w:p w14:paraId="0D54F201" w14:textId="7BDF720B" w:rsidR="00E16CBD" w:rsidRPr="009F50AA" w:rsidRDefault="004F6CF0" w:rsidP="00DA3DC6">
      <w:pPr>
        <w:pStyle w:val="Heading1"/>
        <w:rPr>
          <w:rFonts w:ascii="Arial" w:hAnsi="Arial" w:cs="Arial"/>
        </w:rPr>
      </w:pPr>
      <w:bookmarkStart w:id="9" w:name="_Toc215702171"/>
      <w:bookmarkStart w:id="10" w:name="_Toc216218433"/>
      <w:r w:rsidRPr="009F50AA">
        <w:rPr>
          <w:rFonts w:ascii="Arial" w:hAnsi="Arial" w:cs="Arial"/>
        </w:rPr>
        <w:lastRenderedPageBreak/>
        <w:t xml:space="preserve">Element 2: </w:t>
      </w:r>
      <w:bookmarkEnd w:id="9"/>
      <w:r w:rsidR="00E60FF8" w:rsidRPr="009F50AA">
        <w:rPr>
          <w:rFonts w:ascii="Arial" w:hAnsi="Arial" w:cs="Arial"/>
        </w:rPr>
        <w:t>Marketing Mix - 4Ps</w:t>
      </w:r>
      <w:bookmarkEnd w:id="10"/>
    </w:p>
    <w:p w14:paraId="61E3D975" w14:textId="5FDDD8EA" w:rsidR="007A4DE4" w:rsidRPr="009F50AA" w:rsidRDefault="00045172" w:rsidP="005B2204">
      <w:pPr>
        <w:rPr>
          <w:rFonts w:ascii="Arial" w:hAnsi="Arial" w:cs="Arial"/>
        </w:rPr>
      </w:pPr>
      <w:r w:rsidRPr="009F50AA">
        <w:rPr>
          <w:rFonts w:ascii="Arial" w:hAnsi="Arial" w:cs="Arial"/>
        </w:rPr>
        <w:t xml:space="preserve">The 4Ps Marketing Mix (Product, Price, Place, Promotion) offers a systematic approach </w:t>
      </w:r>
      <w:r w:rsidR="00EB031F" w:rsidRPr="009F50AA">
        <w:rPr>
          <w:rFonts w:ascii="Arial" w:hAnsi="Arial" w:cs="Arial"/>
        </w:rPr>
        <w:t xml:space="preserve">for </w:t>
      </w:r>
      <w:r w:rsidRPr="009F50AA">
        <w:rPr>
          <w:rFonts w:ascii="Arial" w:hAnsi="Arial" w:cs="Arial"/>
        </w:rPr>
        <w:t xml:space="preserve">Toyota supports </w:t>
      </w:r>
      <w:r w:rsidR="00EB031F" w:rsidRPr="009F50AA">
        <w:rPr>
          <w:rFonts w:ascii="Arial" w:hAnsi="Arial" w:cs="Arial"/>
        </w:rPr>
        <w:t>its new brand development</w:t>
      </w:r>
      <w:r w:rsidR="00DF7C6C" w:rsidRPr="009F50AA">
        <w:rPr>
          <w:rFonts w:ascii="Arial" w:hAnsi="Arial" w:cs="Arial"/>
        </w:rPr>
        <w:t xml:space="preserve"> which has been presented below:</w:t>
      </w:r>
      <w:r w:rsidRPr="009F50AA">
        <w:rPr>
          <w:rFonts w:ascii="Arial" w:hAnsi="Arial" w:cs="Arial"/>
        </w:rPr>
        <w:t xml:space="preserve"> </w:t>
      </w:r>
    </w:p>
    <w:p w14:paraId="0A75AE3B" w14:textId="77777777" w:rsidR="005B2204" w:rsidRPr="009F50AA" w:rsidRDefault="005B2204" w:rsidP="005B2204">
      <w:pPr>
        <w:keepNext/>
        <w:jc w:val="center"/>
        <w:rPr>
          <w:rFonts w:ascii="Arial" w:hAnsi="Arial" w:cs="Arial"/>
        </w:rPr>
      </w:pPr>
      <w:r w:rsidRPr="009F50AA">
        <w:rPr>
          <w:rFonts w:ascii="Arial" w:hAnsi="Arial" w:cs="Arial"/>
          <w:noProof/>
        </w:rPr>
        <w:drawing>
          <wp:inline distT="0" distB="0" distL="0" distR="0" wp14:anchorId="5D63DA33" wp14:editId="1048A374">
            <wp:extent cx="1648679" cy="1648679"/>
            <wp:effectExtent l="0" t="0" r="8890" b="8890"/>
            <wp:docPr id="476931467" name="Picture 1" descr="Marketing Mix | Universal Marketing Diction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Mix | Universal Marketing Dictionar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48679" cy="1648679"/>
                    </a:xfrm>
                    <a:prstGeom prst="rect">
                      <a:avLst/>
                    </a:prstGeom>
                    <a:noFill/>
                    <a:ln>
                      <a:noFill/>
                    </a:ln>
                  </pic:spPr>
                </pic:pic>
              </a:graphicData>
            </a:graphic>
          </wp:inline>
        </w:drawing>
      </w:r>
    </w:p>
    <w:p w14:paraId="5FA9D5E3" w14:textId="2CA05B8D" w:rsidR="005B2204" w:rsidRPr="009F50AA" w:rsidRDefault="005B2204" w:rsidP="005B2204">
      <w:pPr>
        <w:pStyle w:val="Caption"/>
        <w:spacing w:line="360" w:lineRule="auto"/>
        <w:jc w:val="center"/>
        <w:rPr>
          <w:rFonts w:ascii="Arial" w:hAnsi="Arial" w:cs="Arial"/>
        </w:rPr>
      </w:pPr>
      <w:r w:rsidRPr="009F50AA">
        <w:rPr>
          <w:rFonts w:ascii="Arial" w:hAnsi="Arial" w:cs="Arial"/>
        </w:rPr>
        <w:t xml:space="preserve">Figure </w:t>
      </w:r>
      <w:r w:rsidR="004941F9" w:rsidRPr="009F50AA">
        <w:rPr>
          <w:rFonts w:ascii="Arial" w:hAnsi="Arial" w:cs="Arial"/>
        </w:rPr>
        <w:fldChar w:fldCharType="begin"/>
      </w:r>
      <w:r w:rsidR="004941F9" w:rsidRPr="009F50AA">
        <w:rPr>
          <w:rFonts w:ascii="Arial" w:hAnsi="Arial" w:cs="Arial"/>
        </w:rPr>
        <w:instrText xml:space="preserve"> SEQ Figure \* ARABIC </w:instrText>
      </w:r>
      <w:r w:rsidR="004941F9" w:rsidRPr="009F50AA">
        <w:rPr>
          <w:rFonts w:ascii="Arial" w:hAnsi="Arial" w:cs="Arial"/>
        </w:rPr>
        <w:fldChar w:fldCharType="separate"/>
      </w:r>
      <w:r w:rsidR="00F83AE0" w:rsidRPr="009F50AA">
        <w:rPr>
          <w:rFonts w:ascii="Arial" w:hAnsi="Arial" w:cs="Arial"/>
          <w:noProof/>
        </w:rPr>
        <w:t>7</w:t>
      </w:r>
      <w:r w:rsidR="004941F9" w:rsidRPr="009F50AA">
        <w:rPr>
          <w:rFonts w:ascii="Arial" w:hAnsi="Arial" w:cs="Arial"/>
          <w:noProof/>
        </w:rPr>
        <w:fldChar w:fldCharType="end"/>
      </w:r>
      <w:r w:rsidRPr="009F50AA">
        <w:rPr>
          <w:rFonts w:ascii="Arial" w:hAnsi="Arial" w:cs="Arial"/>
        </w:rPr>
        <w:t>: Marketing Mix</w:t>
      </w:r>
    </w:p>
    <w:p w14:paraId="516AD4E1" w14:textId="74988001" w:rsidR="005B2204" w:rsidRPr="009F50AA" w:rsidRDefault="005B2204" w:rsidP="00F83AE0">
      <w:pPr>
        <w:jc w:val="center"/>
        <w:rPr>
          <w:rFonts w:ascii="Arial" w:hAnsi="Arial" w:cs="Arial"/>
          <w:sz w:val="28"/>
          <w:szCs w:val="24"/>
        </w:rPr>
      </w:pPr>
      <w:r w:rsidRPr="009F50AA">
        <w:rPr>
          <w:rFonts w:ascii="Arial" w:hAnsi="Arial" w:cs="Arial"/>
        </w:rPr>
        <w:t>Source:</w:t>
      </w:r>
      <w:r w:rsidR="002A70E7" w:rsidRPr="009F50AA">
        <w:rPr>
          <w:rFonts w:ascii="Arial" w:hAnsi="Arial" w:cs="Arial"/>
        </w:rPr>
        <w:t xml:space="preserve"> (Universal Marketing Dictionary, 2023)</w:t>
      </w:r>
      <w:r w:rsidR="002A70E7" w:rsidRPr="009F50AA">
        <w:rPr>
          <w:rFonts w:ascii="Arial" w:hAnsi="Arial" w:cs="Arial"/>
          <w:sz w:val="28"/>
          <w:szCs w:val="24"/>
        </w:rPr>
        <w:t xml:space="preserve"> </w:t>
      </w:r>
    </w:p>
    <w:p w14:paraId="7D1A58D5" w14:textId="77777777" w:rsidR="007A4DE4" w:rsidRPr="009F50AA" w:rsidRDefault="007A4DE4" w:rsidP="005B2204">
      <w:pPr>
        <w:pStyle w:val="Heading2"/>
        <w:rPr>
          <w:rFonts w:ascii="Arial" w:hAnsi="Arial" w:cs="Arial"/>
        </w:rPr>
      </w:pPr>
      <w:bookmarkStart w:id="11" w:name="_Toc216218434"/>
      <w:r w:rsidRPr="009F50AA">
        <w:rPr>
          <w:rFonts w:ascii="Arial" w:hAnsi="Arial" w:cs="Arial"/>
        </w:rPr>
        <w:t xml:space="preserve">Product: Hydra </w:t>
      </w:r>
      <w:proofErr w:type="spellStart"/>
      <w:r w:rsidRPr="009F50AA">
        <w:rPr>
          <w:rFonts w:ascii="Arial" w:hAnsi="Arial" w:cs="Arial"/>
        </w:rPr>
        <w:t>HomeCell</w:t>
      </w:r>
      <w:bookmarkEnd w:id="11"/>
      <w:proofErr w:type="spellEnd"/>
    </w:p>
    <w:p w14:paraId="1AA9E903" w14:textId="77777777" w:rsidR="00926F32" w:rsidRPr="009F50AA" w:rsidRDefault="00926F32" w:rsidP="00926F32">
      <w:pPr>
        <w:rPr>
          <w:rFonts w:ascii="Arial" w:hAnsi="Arial" w:cs="Arial"/>
        </w:rPr>
      </w:pPr>
      <w:r w:rsidRPr="009F50AA">
        <w:rPr>
          <w:rFonts w:ascii="Arial" w:hAnsi="Arial" w:cs="Arial"/>
        </w:rPr>
        <w:t xml:space="preserve">Product: Hydra </w:t>
      </w:r>
      <w:proofErr w:type="spellStart"/>
      <w:r w:rsidRPr="009F50AA">
        <w:rPr>
          <w:rFonts w:ascii="Arial" w:hAnsi="Arial" w:cs="Arial"/>
        </w:rPr>
        <w:t>HomeCell</w:t>
      </w:r>
      <w:proofErr w:type="spellEnd"/>
    </w:p>
    <w:p w14:paraId="035CC81F" w14:textId="3F0F09FA" w:rsidR="00926F32" w:rsidRPr="009F50AA" w:rsidRDefault="00926F32" w:rsidP="00926F32">
      <w:pPr>
        <w:rPr>
          <w:rFonts w:ascii="Arial" w:hAnsi="Arial" w:cs="Arial"/>
        </w:rPr>
      </w:pPr>
      <w:r w:rsidRPr="009F50AA">
        <w:rPr>
          <w:rFonts w:ascii="Arial" w:hAnsi="Arial" w:cs="Arial"/>
        </w:rPr>
        <w:t xml:space="preserve">Hydra </w:t>
      </w:r>
      <w:proofErr w:type="spellStart"/>
      <w:r w:rsidRPr="009F50AA">
        <w:rPr>
          <w:rFonts w:ascii="Arial" w:hAnsi="Arial" w:cs="Arial"/>
        </w:rPr>
        <w:t>HomeCell</w:t>
      </w:r>
      <w:proofErr w:type="spellEnd"/>
      <w:r w:rsidRPr="009F50AA">
        <w:rPr>
          <w:rFonts w:ascii="Arial" w:hAnsi="Arial" w:cs="Arial"/>
        </w:rPr>
        <w:t xml:space="preserve"> is a residential hydrogen fuel cell energy storage that Toyota created to solve grid instability, escalating household energy prices, and increased demand of sustainable power solutions (Rolo, Costa &amp; Brito, 2023).</w:t>
      </w:r>
    </w:p>
    <w:p w14:paraId="4841A03F" w14:textId="77777777" w:rsidR="00926F32" w:rsidRPr="009F50AA" w:rsidRDefault="00926F32" w:rsidP="00926F32">
      <w:pPr>
        <w:keepNext/>
        <w:jc w:val="center"/>
        <w:rPr>
          <w:rFonts w:ascii="Arial" w:hAnsi="Arial" w:cs="Arial"/>
        </w:rPr>
      </w:pPr>
      <w:r w:rsidRPr="009F50AA">
        <w:rPr>
          <w:rFonts w:ascii="Arial" w:hAnsi="Arial" w:cs="Arial"/>
          <w:noProof/>
        </w:rPr>
        <w:drawing>
          <wp:inline distT="0" distB="0" distL="0" distR="0" wp14:anchorId="08495847" wp14:editId="00CC6141">
            <wp:extent cx="1360867" cy="2073166"/>
            <wp:effectExtent l="0" t="0" r="0" b="3810"/>
            <wp:docPr id="3" name="Picture 1" descr="A white rectangular object with a blue l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99073" name="Picture 1" descr="A white rectangular object with a blue light&#10;&#10;AI-generated content may be incorrect."/>
                    <pic:cNvPicPr/>
                  </pic:nvPicPr>
                  <pic:blipFill>
                    <a:blip r:embed="rId17"/>
                    <a:stretch>
                      <a:fillRect/>
                    </a:stretch>
                  </pic:blipFill>
                  <pic:spPr>
                    <a:xfrm>
                      <a:off x="0" y="0"/>
                      <a:ext cx="1361107" cy="2073531"/>
                    </a:xfrm>
                    <a:prstGeom prst="rect">
                      <a:avLst/>
                    </a:prstGeom>
                  </pic:spPr>
                </pic:pic>
              </a:graphicData>
            </a:graphic>
          </wp:inline>
        </w:drawing>
      </w:r>
    </w:p>
    <w:p w14:paraId="18AD70A6" w14:textId="77777777" w:rsidR="00926F32" w:rsidRPr="009F50AA" w:rsidRDefault="00926F32" w:rsidP="00926F32">
      <w:pPr>
        <w:pStyle w:val="Caption"/>
        <w:spacing w:line="360" w:lineRule="auto"/>
        <w:jc w:val="center"/>
        <w:rPr>
          <w:rFonts w:ascii="Arial" w:hAnsi="Arial" w:cs="Arial"/>
          <w:sz w:val="28"/>
          <w:szCs w:val="24"/>
        </w:rPr>
      </w:pPr>
      <w:r w:rsidRPr="009F50AA">
        <w:rPr>
          <w:rFonts w:ascii="Arial" w:hAnsi="Arial" w:cs="Arial"/>
        </w:rPr>
        <w:t xml:space="preserve">Figure </w:t>
      </w:r>
      <w:r w:rsidR="00A2262A" w:rsidRPr="009F50AA">
        <w:rPr>
          <w:rFonts w:ascii="Arial" w:hAnsi="Arial" w:cs="Arial"/>
        </w:rPr>
        <w:fldChar w:fldCharType="begin"/>
      </w:r>
      <w:r w:rsidR="00A2262A" w:rsidRPr="009F50AA">
        <w:rPr>
          <w:rFonts w:ascii="Arial" w:hAnsi="Arial" w:cs="Arial"/>
        </w:rPr>
        <w:instrText xml:space="preserve"> SEQ Figure \* ARABIC </w:instrText>
      </w:r>
      <w:r w:rsidR="00A2262A" w:rsidRPr="009F50AA">
        <w:rPr>
          <w:rFonts w:ascii="Arial" w:hAnsi="Arial" w:cs="Arial"/>
        </w:rPr>
        <w:fldChar w:fldCharType="separate"/>
      </w:r>
      <w:r w:rsidRPr="009F50AA">
        <w:rPr>
          <w:rFonts w:ascii="Arial" w:hAnsi="Arial" w:cs="Arial"/>
          <w:noProof/>
        </w:rPr>
        <w:t>8</w:t>
      </w:r>
      <w:r w:rsidR="00A2262A" w:rsidRPr="009F50AA">
        <w:rPr>
          <w:rFonts w:ascii="Arial" w:hAnsi="Arial" w:cs="Arial"/>
          <w:noProof/>
        </w:rPr>
        <w:fldChar w:fldCharType="end"/>
      </w:r>
      <w:r w:rsidRPr="009F50AA">
        <w:rPr>
          <w:rFonts w:ascii="Arial" w:hAnsi="Arial" w:cs="Arial"/>
        </w:rPr>
        <w:t xml:space="preserve">: </w:t>
      </w:r>
      <w:proofErr w:type="spellStart"/>
      <w:r w:rsidRPr="009F50AA">
        <w:rPr>
          <w:rFonts w:ascii="Arial" w:hAnsi="Arial" w:cs="Arial"/>
        </w:rPr>
        <w:t>Hyda</w:t>
      </w:r>
      <w:proofErr w:type="spellEnd"/>
      <w:r w:rsidRPr="009F50AA">
        <w:rPr>
          <w:rFonts w:ascii="Arial" w:hAnsi="Arial" w:cs="Arial"/>
        </w:rPr>
        <w:t xml:space="preserve"> </w:t>
      </w:r>
      <w:proofErr w:type="spellStart"/>
      <w:r w:rsidRPr="009F50AA">
        <w:rPr>
          <w:rFonts w:ascii="Arial" w:hAnsi="Arial" w:cs="Arial"/>
        </w:rPr>
        <w:t>Homecell</w:t>
      </w:r>
      <w:proofErr w:type="spellEnd"/>
    </w:p>
    <w:p w14:paraId="13E6C649" w14:textId="74A5251C" w:rsidR="00926F32" w:rsidRPr="009F50AA" w:rsidRDefault="00926F32" w:rsidP="00212B90">
      <w:pPr>
        <w:jc w:val="center"/>
        <w:rPr>
          <w:rFonts w:ascii="Arial" w:hAnsi="Arial" w:cs="Arial"/>
        </w:rPr>
      </w:pPr>
      <w:r w:rsidRPr="009F50AA">
        <w:rPr>
          <w:rFonts w:ascii="Arial" w:hAnsi="Arial" w:cs="Arial"/>
        </w:rPr>
        <w:t>Source: Author</w:t>
      </w:r>
    </w:p>
    <w:p w14:paraId="2F3836DD" w14:textId="77777777" w:rsidR="00926F32" w:rsidRPr="009F50AA" w:rsidRDefault="00926F32" w:rsidP="00926F32">
      <w:pPr>
        <w:rPr>
          <w:rFonts w:ascii="Arial" w:hAnsi="Arial" w:cs="Arial"/>
        </w:rPr>
      </w:pPr>
    </w:p>
    <w:p w14:paraId="1976114D" w14:textId="17519119" w:rsidR="00926F32" w:rsidRPr="009F50AA" w:rsidRDefault="00926F32" w:rsidP="00926F32">
      <w:pPr>
        <w:rPr>
          <w:rFonts w:ascii="Arial" w:hAnsi="Arial" w:cs="Arial"/>
          <w:b/>
          <w:bCs/>
        </w:rPr>
      </w:pPr>
      <w:r w:rsidRPr="009F50AA">
        <w:rPr>
          <w:rFonts w:ascii="Arial" w:hAnsi="Arial" w:cs="Arial"/>
          <w:b/>
          <w:bCs/>
        </w:rPr>
        <w:t>Core Product Value:</w:t>
      </w:r>
    </w:p>
    <w:p w14:paraId="618267C0" w14:textId="77777777" w:rsidR="00926F32" w:rsidRPr="009F50AA" w:rsidRDefault="00926F32" w:rsidP="00926F32">
      <w:pPr>
        <w:rPr>
          <w:rFonts w:ascii="Arial" w:hAnsi="Arial" w:cs="Arial"/>
        </w:rPr>
      </w:pPr>
      <w:r w:rsidRPr="009F50AA">
        <w:rPr>
          <w:rFonts w:ascii="Arial" w:hAnsi="Arial" w:cs="Arial"/>
        </w:rPr>
        <w:t xml:space="preserve">Simply, Hydra </w:t>
      </w:r>
      <w:proofErr w:type="spellStart"/>
      <w:r w:rsidRPr="009F50AA">
        <w:rPr>
          <w:rFonts w:ascii="Arial" w:hAnsi="Arial" w:cs="Arial"/>
        </w:rPr>
        <w:t>HomeCell</w:t>
      </w:r>
      <w:proofErr w:type="spellEnd"/>
      <w:r w:rsidRPr="009F50AA">
        <w:rPr>
          <w:rFonts w:ascii="Arial" w:hAnsi="Arial" w:cs="Arial"/>
        </w:rPr>
        <w:t xml:space="preserve"> provides its customers with energy security, reliability and long-term independence. The most important value proposition is the 24/7 access to clean and reliable electricity especially where the grid is not reliable and volatile. With </w:t>
      </w:r>
      <w:r w:rsidRPr="009F50AA">
        <w:rPr>
          <w:rFonts w:ascii="Arial" w:hAnsi="Arial" w:cs="Arial"/>
        </w:rPr>
        <w:lastRenderedPageBreak/>
        <w:t>the help of hydrogen as a clean energy carrier, the system will decrease the reliance on the traditional energy grids and help to ensure the absence of emissions to the household energy consumption, which will correspond to the growing consumer demand regarding sustainable solutions (</w:t>
      </w:r>
      <w:proofErr w:type="spellStart"/>
      <w:r w:rsidRPr="009F50AA">
        <w:rPr>
          <w:rFonts w:ascii="Arial" w:hAnsi="Arial" w:cs="Arial"/>
        </w:rPr>
        <w:t>Lubello</w:t>
      </w:r>
      <w:proofErr w:type="spellEnd"/>
      <w:r w:rsidRPr="009F50AA">
        <w:rPr>
          <w:rFonts w:ascii="Arial" w:hAnsi="Arial" w:cs="Arial"/>
        </w:rPr>
        <w:t xml:space="preserve"> et al., 2022; Rolo, Costa &amp; Brito, 2023).</w:t>
      </w:r>
    </w:p>
    <w:p w14:paraId="62D3141A" w14:textId="77777777" w:rsidR="00926F32" w:rsidRPr="009F50AA" w:rsidRDefault="00926F32" w:rsidP="00926F32">
      <w:pPr>
        <w:rPr>
          <w:rFonts w:ascii="Arial" w:hAnsi="Arial" w:cs="Arial"/>
          <w:b/>
          <w:bCs/>
        </w:rPr>
      </w:pPr>
      <w:r w:rsidRPr="009F50AA">
        <w:rPr>
          <w:rFonts w:ascii="Arial" w:hAnsi="Arial" w:cs="Arial"/>
          <w:b/>
          <w:bCs/>
        </w:rPr>
        <w:t>Actual Product:</w:t>
      </w:r>
    </w:p>
    <w:p w14:paraId="56B7241A" w14:textId="77777777" w:rsidR="00926F32" w:rsidRPr="009F50AA" w:rsidRDefault="00926F32" w:rsidP="00926F32">
      <w:pPr>
        <w:rPr>
          <w:rFonts w:ascii="Arial" w:hAnsi="Arial" w:cs="Arial"/>
        </w:rPr>
      </w:pPr>
      <w:r w:rsidRPr="009F50AA">
        <w:rPr>
          <w:rFonts w:ascii="Arial" w:hAnsi="Arial" w:cs="Arial"/>
        </w:rPr>
        <w:t xml:space="preserve">The real product is a hydrogen fuel cell-powered energy storage system which transforms hydrogen stored into electricity to be used in homes. Hydra </w:t>
      </w:r>
      <w:proofErr w:type="spellStart"/>
      <w:r w:rsidRPr="009F50AA">
        <w:rPr>
          <w:rFonts w:ascii="Arial" w:hAnsi="Arial" w:cs="Arial"/>
        </w:rPr>
        <w:t>HomeCell</w:t>
      </w:r>
      <w:proofErr w:type="spellEnd"/>
      <w:r w:rsidRPr="009F50AA">
        <w:rPr>
          <w:rFonts w:ascii="Arial" w:hAnsi="Arial" w:cs="Arial"/>
        </w:rPr>
        <w:t xml:space="preserve"> has greater power density and a longer storage time than traditional lithium-ion batteries. Toyota is an engineering firm, which has provided high safety levels with leakage and pressure technology. Its design can be expanded to increase storage capacity according to the energy demand of the household due to the possibility of scalability and modularity (Yap and McLellan, 2023; Patel et al., 2024).</w:t>
      </w:r>
    </w:p>
    <w:p w14:paraId="4AF0E08C" w14:textId="77777777" w:rsidR="00926F32" w:rsidRPr="009F50AA" w:rsidRDefault="00926F32" w:rsidP="00926F32">
      <w:pPr>
        <w:rPr>
          <w:rFonts w:ascii="Arial" w:hAnsi="Arial" w:cs="Arial"/>
          <w:b/>
          <w:bCs/>
        </w:rPr>
      </w:pPr>
      <w:r w:rsidRPr="009F50AA">
        <w:rPr>
          <w:rFonts w:ascii="Arial" w:hAnsi="Arial" w:cs="Arial"/>
          <w:b/>
          <w:bCs/>
        </w:rPr>
        <w:t>Augmented Product:</w:t>
      </w:r>
    </w:p>
    <w:p w14:paraId="65611F8C" w14:textId="575179BD" w:rsidR="00926F32" w:rsidRPr="009F50AA" w:rsidRDefault="00926F32" w:rsidP="00926F32">
      <w:pPr>
        <w:rPr>
          <w:rFonts w:ascii="Arial" w:hAnsi="Arial" w:cs="Arial"/>
        </w:rPr>
      </w:pPr>
      <w:r w:rsidRPr="009F50AA">
        <w:rPr>
          <w:rFonts w:ascii="Arial" w:hAnsi="Arial" w:cs="Arial"/>
        </w:rPr>
        <w:t xml:space="preserve">The augmented product will contain professional in-store installation, maintenance services, system monitoring, and long-term warranties that will have the assistance of Toyota worldwide services. An instruction on how to incorporate Hydra </w:t>
      </w:r>
      <w:proofErr w:type="spellStart"/>
      <w:r w:rsidRPr="009F50AA">
        <w:rPr>
          <w:rFonts w:ascii="Arial" w:hAnsi="Arial" w:cs="Arial"/>
        </w:rPr>
        <w:t>HomeCell</w:t>
      </w:r>
      <w:proofErr w:type="spellEnd"/>
      <w:r w:rsidRPr="009F50AA">
        <w:rPr>
          <w:rFonts w:ascii="Arial" w:hAnsi="Arial" w:cs="Arial"/>
        </w:rPr>
        <w:t xml:space="preserve"> with renewable energy sources like the use of solar power also adds value to it. The operation with zero emissions, and water is the sole by-product, strengthens the brand positioning of Toyota as a high-quality and environmentally friendly company (</w:t>
      </w:r>
      <w:proofErr w:type="spellStart"/>
      <w:r w:rsidRPr="009F50AA">
        <w:rPr>
          <w:rFonts w:ascii="Arial" w:hAnsi="Arial" w:cs="Arial"/>
        </w:rPr>
        <w:t>Lubello</w:t>
      </w:r>
      <w:proofErr w:type="spellEnd"/>
      <w:r w:rsidRPr="009F50AA">
        <w:rPr>
          <w:rFonts w:ascii="Arial" w:hAnsi="Arial" w:cs="Arial"/>
        </w:rPr>
        <w:t xml:space="preserve"> et al., 2022).</w:t>
      </w:r>
    </w:p>
    <w:p w14:paraId="27213D52" w14:textId="77777777" w:rsidR="007A4DE4" w:rsidRPr="009F50AA" w:rsidRDefault="007A4DE4" w:rsidP="005B2204">
      <w:pPr>
        <w:pStyle w:val="Heading2"/>
        <w:rPr>
          <w:rFonts w:ascii="Arial" w:hAnsi="Arial" w:cs="Arial"/>
        </w:rPr>
      </w:pPr>
      <w:bookmarkStart w:id="12" w:name="_Toc216218435"/>
      <w:r w:rsidRPr="009F50AA">
        <w:rPr>
          <w:rFonts w:ascii="Arial" w:hAnsi="Arial" w:cs="Arial"/>
        </w:rPr>
        <w:t xml:space="preserve">Price: Pricing Strategy for Hydra </w:t>
      </w:r>
      <w:proofErr w:type="spellStart"/>
      <w:r w:rsidRPr="009F50AA">
        <w:rPr>
          <w:rFonts w:ascii="Arial" w:hAnsi="Arial" w:cs="Arial"/>
        </w:rPr>
        <w:t>HomeCell</w:t>
      </w:r>
      <w:bookmarkEnd w:id="12"/>
      <w:proofErr w:type="spellEnd"/>
    </w:p>
    <w:p w14:paraId="655950FF" w14:textId="77777777" w:rsidR="00045172" w:rsidRPr="009F50AA" w:rsidRDefault="00045172" w:rsidP="00045172">
      <w:pPr>
        <w:rPr>
          <w:rFonts w:ascii="Arial" w:hAnsi="Arial" w:cs="Arial"/>
        </w:rPr>
      </w:pPr>
      <w:r w:rsidRPr="009F50AA">
        <w:rPr>
          <w:rFonts w:ascii="Arial" w:hAnsi="Arial" w:cs="Arial"/>
        </w:rPr>
        <w:t xml:space="preserve">The Hydra </w:t>
      </w:r>
      <w:proofErr w:type="spellStart"/>
      <w:r w:rsidRPr="009F50AA">
        <w:rPr>
          <w:rFonts w:ascii="Arial" w:hAnsi="Arial" w:cs="Arial"/>
        </w:rPr>
        <w:t>HomeCell</w:t>
      </w:r>
      <w:proofErr w:type="spellEnd"/>
      <w:r w:rsidRPr="009F50AA">
        <w:rPr>
          <w:rFonts w:ascii="Arial" w:hAnsi="Arial" w:cs="Arial"/>
        </w:rPr>
        <w:t xml:space="preserve"> pricing strategy will be based on the premium pricing model according to the high-technology and energy independence in the long run that the product will provide. The first one will involve installation, Hydrogen </w:t>
      </w:r>
      <w:proofErr w:type="spellStart"/>
      <w:r w:rsidRPr="009F50AA">
        <w:rPr>
          <w:rFonts w:ascii="Arial" w:hAnsi="Arial" w:cs="Arial"/>
        </w:rPr>
        <w:t>refueling</w:t>
      </w:r>
      <w:proofErr w:type="spellEnd"/>
      <w:r w:rsidRPr="009F50AA">
        <w:rPr>
          <w:rFonts w:ascii="Arial" w:hAnsi="Arial" w:cs="Arial"/>
        </w:rPr>
        <w:t>, and fuel cell technology. Since the hydrogen technology is in its early stages, the price will be comparable to those of other similar high-end residential energy options (Ogbonnaya et al., 2021).</w:t>
      </w:r>
    </w:p>
    <w:p w14:paraId="49493FCC" w14:textId="3009DDAE" w:rsidR="00045172" w:rsidRPr="009F50AA" w:rsidRDefault="00045172" w:rsidP="00045172">
      <w:pPr>
        <w:rPr>
          <w:rFonts w:ascii="Arial" w:hAnsi="Arial" w:cs="Arial"/>
        </w:rPr>
      </w:pPr>
      <w:r w:rsidRPr="009F50AA">
        <w:rPr>
          <w:rFonts w:ascii="Arial" w:hAnsi="Arial" w:cs="Arial"/>
        </w:rPr>
        <w:t xml:space="preserve">To bring Hydra </w:t>
      </w:r>
      <w:proofErr w:type="spellStart"/>
      <w:r w:rsidRPr="009F50AA">
        <w:rPr>
          <w:rFonts w:ascii="Arial" w:hAnsi="Arial" w:cs="Arial"/>
        </w:rPr>
        <w:t>HomeCell</w:t>
      </w:r>
      <w:proofErr w:type="spellEnd"/>
      <w:r w:rsidRPr="009F50AA">
        <w:rPr>
          <w:rFonts w:ascii="Arial" w:hAnsi="Arial" w:cs="Arial"/>
        </w:rPr>
        <w:t xml:space="preserve"> closer to the people, the price model will have the installation packages according to the location and the complexity of the installation. There will also be funding possibilities to divide the initial price into several payments to suit a wider audience of consumers (Jakob &amp; Steckel, 2022). Also, it will include maintenance and service packages where the customers can get the knowledge of </w:t>
      </w:r>
      <w:r w:rsidRPr="009F50AA">
        <w:rPr>
          <w:rFonts w:ascii="Arial" w:hAnsi="Arial" w:cs="Arial"/>
        </w:rPr>
        <w:lastRenderedPageBreak/>
        <w:t>Toyota in terms of maintaining the performance and life of the product.</w:t>
      </w:r>
      <w:r w:rsidR="00EB031F" w:rsidRPr="009F50AA">
        <w:rPr>
          <w:rFonts w:ascii="Arial" w:hAnsi="Arial" w:cs="Arial"/>
        </w:rPr>
        <w:t xml:space="preserve"> </w:t>
      </w:r>
      <w:r w:rsidRPr="009F50AA">
        <w:rPr>
          <w:rFonts w:ascii="Arial" w:hAnsi="Arial" w:cs="Arial"/>
        </w:rPr>
        <w:t xml:space="preserve">The price of Hydra </w:t>
      </w:r>
      <w:proofErr w:type="spellStart"/>
      <w:r w:rsidRPr="009F50AA">
        <w:rPr>
          <w:rFonts w:ascii="Arial" w:hAnsi="Arial" w:cs="Arial"/>
        </w:rPr>
        <w:t>HomeCell</w:t>
      </w:r>
      <w:proofErr w:type="spellEnd"/>
      <w:r w:rsidRPr="009F50AA">
        <w:rPr>
          <w:rFonts w:ascii="Arial" w:hAnsi="Arial" w:cs="Arial"/>
        </w:rPr>
        <w:t xml:space="preserve"> will be lowered in the regions where the adoption of hydrogen energy is promoted by subsidies to increase its competitiveness in the market (Ogbonnaya et al., 2021).</w:t>
      </w:r>
    </w:p>
    <w:p w14:paraId="7422ECF9" w14:textId="77777777" w:rsidR="007A4DE4" w:rsidRPr="009F50AA" w:rsidRDefault="007A4DE4" w:rsidP="005B2204">
      <w:pPr>
        <w:pStyle w:val="Heading2"/>
        <w:rPr>
          <w:rFonts w:ascii="Arial" w:hAnsi="Arial" w:cs="Arial"/>
        </w:rPr>
      </w:pPr>
      <w:bookmarkStart w:id="13" w:name="_Toc216218436"/>
      <w:r w:rsidRPr="009F50AA">
        <w:rPr>
          <w:rFonts w:ascii="Arial" w:hAnsi="Arial" w:cs="Arial"/>
        </w:rPr>
        <w:t xml:space="preserve">Place: Distribution Strategy for Hydra </w:t>
      </w:r>
      <w:proofErr w:type="spellStart"/>
      <w:r w:rsidRPr="009F50AA">
        <w:rPr>
          <w:rFonts w:ascii="Arial" w:hAnsi="Arial" w:cs="Arial"/>
        </w:rPr>
        <w:t>HomeCell</w:t>
      </w:r>
      <w:bookmarkEnd w:id="13"/>
      <w:proofErr w:type="spellEnd"/>
    </w:p>
    <w:p w14:paraId="01CB2B23" w14:textId="77777777" w:rsidR="00045172" w:rsidRPr="009F50AA" w:rsidRDefault="00045172" w:rsidP="00045172">
      <w:pPr>
        <w:rPr>
          <w:rFonts w:ascii="Arial" w:hAnsi="Arial" w:cs="Arial"/>
        </w:rPr>
      </w:pPr>
      <w:r w:rsidRPr="009F50AA">
        <w:rPr>
          <w:rFonts w:ascii="Arial" w:hAnsi="Arial" w:cs="Arial"/>
        </w:rPr>
        <w:t xml:space="preserve">Hydra </w:t>
      </w:r>
      <w:proofErr w:type="spellStart"/>
      <w:r w:rsidRPr="009F50AA">
        <w:rPr>
          <w:rFonts w:ascii="Arial" w:hAnsi="Arial" w:cs="Arial"/>
        </w:rPr>
        <w:t>HomeCell</w:t>
      </w:r>
      <w:proofErr w:type="spellEnd"/>
      <w:r w:rsidRPr="009F50AA">
        <w:rPr>
          <w:rFonts w:ascii="Arial" w:hAnsi="Arial" w:cs="Arial"/>
        </w:rPr>
        <w:t xml:space="preserve"> distribution strategy will utilize the vast global network and network with clean energy providers that Toyota has to deliver the product to the target markets. Direct sales will be the main distribution option by Toyota dealership and online. This strategy guarantees customers the advantage of the Toyota brand image and customized customer service and also allows them to build their own energy plan online (Jakob and Steckel, 2022).</w:t>
      </w:r>
    </w:p>
    <w:p w14:paraId="6A429C0E" w14:textId="0EC91E56" w:rsidR="00045172" w:rsidRPr="009F50AA" w:rsidRDefault="00045172" w:rsidP="00045172">
      <w:pPr>
        <w:rPr>
          <w:rFonts w:ascii="Arial" w:hAnsi="Arial" w:cs="Arial"/>
        </w:rPr>
      </w:pPr>
      <w:r w:rsidRPr="009F50AA">
        <w:rPr>
          <w:rFonts w:ascii="Arial" w:hAnsi="Arial" w:cs="Arial"/>
        </w:rPr>
        <w:t xml:space="preserve">Also important in marketing Hydra </w:t>
      </w:r>
      <w:proofErr w:type="spellStart"/>
      <w:r w:rsidRPr="009F50AA">
        <w:rPr>
          <w:rFonts w:ascii="Arial" w:hAnsi="Arial" w:cs="Arial"/>
        </w:rPr>
        <w:t>HomeCell</w:t>
      </w:r>
      <w:proofErr w:type="spellEnd"/>
      <w:r w:rsidRPr="009F50AA">
        <w:rPr>
          <w:rFonts w:ascii="Arial" w:hAnsi="Arial" w:cs="Arial"/>
        </w:rPr>
        <w:t xml:space="preserve"> will be partnerships with solar providers. Such alliances will enable Toyota to sell the product to existing homeowners who are already using solar power to develop a complete energy system</w:t>
      </w:r>
      <w:r w:rsidR="00EB031F" w:rsidRPr="009F50AA">
        <w:rPr>
          <w:rFonts w:ascii="Arial" w:hAnsi="Arial" w:cs="Arial"/>
        </w:rPr>
        <w:t xml:space="preserve"> </w:t>
      </w:r>
      <w:r w:rsidRPr="009F50AA">
        <w:rPr>
          <w:rFonts w:ascii="Arial" w:hAnsi="Arial" w:cs="Arial"/>
        </w:rPr>
        <w:t>(Patel et al., 2024).</w:t>
      </w:r>
    </w:p>
    <w:p w14:paraId="1869A3BA" w14:textId="05E1083A" w:rsidR="00045172" w:rsidRPr="009F50AA" w:rsidRDefault="00045172" w:rsidP="00045172">
      <w:pPr>
        <w:rPr>
          <w:rFonts w:ascii="Arial" w:hAnsi="Arial" w:cs="Arial"/>
        </w:rPr>
      </w:pPr>
      <w:r w:rsidRPr="009F50AA">
        <w:rPr>
          <w:rFonts w:ascii="Arial" w:hAnsi="Arial" w:cs="Arial"/>
        </w:rPr>
        <w:t xml:space="preserve">Also, the product will be </w:t>
      </w:r>
      <w:r w:rsidR="00EB031F" w:rsidRPr="009F50AA">
        <w:rPr>
          <w:rFonts w:ascii="Arial" w:hAnsi="Arial" w:cs="Arial"/>
        </w:rPr>
        <w:t>channelled</w:t>
      </w:r>
      <w:r w:rsidRPr="009F50AA">
        <w:rPr>
          <w:rFonts w:ascii="Arial" w:hAnsi="Arial" w:cs="Arial"/>
        </w:rPr>
        <w:t xml:space="preserve"> via certified energy retailers and home improvement stores dealing in renewable energy technologies. These retailers will inform consumers on the benefits of hydrogen energy storage and provide Hydra </w:t>
      </w:r>
      <w:proofErr w:type="spellStart"/>
      <w:r w:rsidRPr="009F50AA">
        <w:rPr>
          <w:rFonts w:ascii="Arial" w:hAnsi="Arial" w:cs="Arial"/>
        </w:rPr>
        <w:t>HomeCell</w:t>
      </w:r>
      <w:proofErr w:type="spellEnd"/>
      <w:r w:rsidRPr="009F50AA">
        <w:rPr>
          <w:rFonts w:ascii="Arial" w:hAnsi="Arial" w:cs="Arial"/>
        </w:rPr>
        <w:t xml:space="preserve"> as a sub-offering to an energy-efficient back-off home upgrade (Jakob &amp; Steckel, 2022).</w:t>
      </w:r>
    </w:p>
    <w:p w14:paraId="603C3762" w14:textId="77777777" w:rsidR="007A4DE4" w:rsidRPr="009F50AA" w:rsidRDefault="007A4DE4" w:rsidP="005B2204">
      <w:pPr>
        <w:pStyle w:val="Heading2"/>
        <w:rPr>
          <w:rFonts w:ascii="Arial" w:hAnsi="Arial" w:cs="Arial"/>
        </w:rPr>
      </w:pPr>
      <w:bookmarkStart w:id="14" w:name="_Toc216218437"/>
      <w:r w:rsidRPr="009F50AA">
        <w:rPr>
          <w:rFonts w:ascii="Arial" w:hAnsi="Arial" w:cs="Arial"/>
        </w:rPr>
        <w:t xml:space="preserve">Promotion: Promotional Strategies for Hydra </w:t>
      </w:r>
      <w:proofErr w:type="spellStart"/>
      <w:r w:rsidRPr="009F50AA">
        <w:rPr>
          <w:rFonts w:ascii="Arial" w:hAnsi="Arial" w:cs="Arial"/>
        </w:rPr>
        <w:t>HomeCell</w:t>
      </w:r>
      <w:bookmarkEnd w:id="14"/>
      <w:proofErr w:type="spellEnd"/>
    </w:p>
    <w:p w14:paraId="39A01174" w14:textId="77777777" w:rsidR="00293E33" w:rsidRPr="009F50AA" w:rsidRDefault="00293E33" w:rsidP="00293E33">
      <w:pPr>
        <w:rPr>
          <w:rFonts w:ascii="Arial" w:hAnsi="Arial" w:cs="Arial"/>
        </w:rPr>
      </w:pPr>
      <w:r w:rsidRPr="009F50AA">
        <w:rPr>
          <w:rFonts w:ascii="Arial" w:hAnsi="Arial" w:cs="Arial"/>
        </w:rPr>
        <w:t xml:space="preserve">The Hydra </w:t>
      </w:r>
      <w:proofErr w:type="spellStart"/>
      <w:r w:rsidRPr="009F50AA">
        <w:rPr>
          <w:rFonts w:ascii="Arial" w:hAnsi="Arial" w:cs="Arial"/>
        </w:rPr>
        <w:t>HomeCell</w:t>
      </w:r>
      <w:proofErr w:type="spellEnd"/>
      <w:r w:rsidRPr="009F50AA">
        <w:rPr>
          <w:rFonts w:ascii="Arial" w:hAnsi="Arial" w:cs="Arial"/>
        </w:rPr>
        <w:t xml:space="preserve"> advertising strategy will focus on technology, environmental friendliness and sustainable energy activities of Toyota. The social media campaigns will be part of digital marketing that will inform people about hydrogen energy and why it is better than traditional energy storage. The content marketing will focus on the long-term savings, energy self-sufficiency, and impact on the environment (</w:t>
      </w:r>
      <w:proofErr w:type="spellStart"/>
      <w:r w:rsidRPr="009F50AA">
        <w:rPr>
          <w:rFonts w:ascii="Arial" w:hAnsi="Arial" w:cs="Arial"/>
        </w:rPr>
        <w:t>Lubello</w:t>
      </w:r>
      <w:proofErr w:type="spellEnd"/>
      <w:r w:rsidRPr="009F50AA">
        <w:rPr>
          <w:rFonts w:ascii="Arial" w:hAnsi="Arial" w:cs="Arial"/>
        </w:rPr>
        <w:t xml:space="preserve"> et al., 2022).</w:t>
      </w:r>
    </w:p>
    <w:p w14:paraId="4CCA68AE" w14:textId="77777777" w:rsidR="00293E33" w:rsidRPr="009F50AA" w:rsidRDefault="00293E33" w:rsidP="00293E33">
      <w:pPr>
        <w:rPr>
          <w:rFonts w:ascii="Arial" w:hAnsi="Arial" w:cs="Arial"/>
        </w:rPr>
      </w:pPr>
      <w:r w:rsidRPr="009F50AA">
        <w:rPr>
          <w:rFonts w:ascii="Arial" w:hAnsi="Arial" w:cs="Arial"/>
        </w:rPr>
        <w:t xml:space="preserve">Hydra </w:t>
      </w:r>
      <w:proofErr w:type="spellStart"/>
      <w:r w:rsidRPr="009F50AA">
        <w:rPr>
          <w:rFonts w:ascii="Arial" w:hAnsi="Arial" w:cs="Arial"/>
        </w:rPr>
        <w:t>HomeCell</w:t>
      </w:r>
      <w:proofErr w:type="spellEnd"/>
      <w:r w:rsidRPr="009F50AA">
        <w:rPr>
          <w:rFonts w:ascii="Arial" w:hAnsi="Arial" w:cs="Arial"/>
        </w:rPr>
        <w:t xml:space="preserve"> requires environmental activists, green NGOs, and sustainability influencers to gain trust. Collaborations with these organisations will increase the level of awareness and promote the environmental friendliness of the product, and the brand will be consistent with the consumer values of sustainability and clean energy (Jakob and Steckel, 2022). The TV commercials, print advertisements, and billboards will also be focused on the areas that have a high energy instability or interest in clean </w:t>
      </w:r>
      <w:r w:rsidRPr="009F50AA">
        <w:rPr>
          <w:rFonts w:ascii="Arial" w:hAnsi="Arial" w:cs="Arial"/>
        </w:rPr>
        <w:lastRenderedPageBreak/>
        <w:t>energy in an effort to market Toyota as a safe and reliable car (Yap and McLellan, 2023).</w:t>
      </w:r>
    </w:p>
    <w:p w14:paraId="32E38BAC" w14:textId="5E7206F8" w:rsidR="0094718E" w:rsidRPr="009F50AA" w:rsidRDefault="000F7A08" w:rsidP="000F7A08">
      <w:pPr>
        <w:spacing w:line="276" w:lineRule="auto"/>
        <w:jc w:val="left"/>
        <w:rPr>
          <w:rFonts w:ascii="Arial" w:hAnsi="Arial" w:cs="Arial"/>
        </w:rPr>
      </w:pPr>
      <w:r w:rsidRPr="009F50AA">
        <w:rPr>
          <w:rFonts w:ascii="Arial" w:hAnsi="Arial" w:cs="Arial"/>
        </w:rPr>
        <w:br w:type="page"/>
      </w:r>
    </w:p>
    <w:p w14:paraId="68632758" w14:textId="577CA4CE" w:rsidR="000F7A08" w:rsidRPr="009F50AA" w:rsidRDefault="004F6CF0" w:rsidP="00E20C83">
      <w:pPr>
        <w:pStyle w:val="Heading1"/>
        <w:rPr>
          <w:rFonts w:ascii="Arial" w:hAnsi="Arial" w:cs="Arial"/>
        </w:rPr>
      </w:pPr>
      <w:bookmarkStart w:id="15" w:name="_Toc215702176"/>
      <w:bookmarkStart w:id="16" w:name="_Toc216218438"/>
      <w:r w:rsidRPr="009F50AA">
        <w:rPr>
          <w:rFonts w:ascii="Arial" w:hAnsi="Arial" w:cs="Arial"/>
        </w:rPr>
        <w:lastRenderedPageBreak/>
        <w:t>Element 3: Marketing Strategy Pitch</w:t>
      </w:r>
      <w:bookmarkEnd w:id="15"/>
      <w:bookmarkEnd w:id="16"/>
    </w:p>
    <w:p w14:paraId="236DAC5E" w14:textId="18C5A567" w:rsidR="00662E28" w:rsidRPr="009F50AA" w:rsidRDefault="00215944" w:rsidP="00662E28">
      <w:pPr>
        <w:rPr>
          <w:rFonts w:ascii="Arial" w:hAnsi="Arial" w:cs="Arial"/>
        </w:rPr>
      </w:pPr>
      <w:r w:rsidRPr="009F50AA">
        <w:rPr>
          <w:rFonts w:ascii="Arial" w:hAnsi="Arial" w:cs="Arial"/>
          <w:noProof/>
          <w14:ligatures w14:val="standardContextual"/>
        </w:rPr>
        <w:drawing>
          <wp:inline distT="0" distB="0" distL="0" distR="0" wp14:anchorId="7167147E" wp14:editId="36EEB995">
            <wp:extent cx="5731510" cy="413893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138930"/>
                    </a:xfrm>
                    <a:prstGeom prst="rect">
                      <a:avLst/>
                    </a:prstGeom>
                  </pic:spPr>
                </pic:pic>
              </a:graphicData>
            </a:graphic>
          </wp:inline>
        </w:drawing>
      </w:r>
    </w:p>
    <w:p w14:paraId="38ABB6C7" w14:textId="3CFDE035" w:rsidR="009D69C2" w:rsidRPr="009F50AA" w:rsidRDefault="009D69C2" w:rsidP="003E3FA0">
      <w:pPr>
        <w:pStyle w:val="Heading1"/>
        <w:rPr>
          <w:rFonts w:ascii="Arial" w:hAnsi="Arial" w:cs="Arial"/>
        </w:rPr>
      </w:pPr>
      <w:bookmarkStart w:id="17" w:name="_Toc216218439"/>
      <w:r w:rsidRPr="009F50AA">
        <w:rPr>
          <w:rFonts w:ascii="Arial" w:hAnsi="Arial" w:cs="Arial"/>
        </w:rPr>
        <w:t>Element 4: Reflection</w:t>
      </w:r>
      <w:bookmarkEnd w:id="17"/>
    </w:p>
    <w:p w14:paraId="06064E87" w14:textId="289F7A58" w:rsidR="00DA3DC6" w:rsidRPr="009F50AA" w:rsidRDefault="00045172" w:rsidP="00F83AE0">
      <w:pPr>
        <w:rPr>
          <w:rFonts w:ascii="Arial" w:hAnsi="Arial" w:cs="Arial"/>
        </w:rPr>
      </w:pPr>
      <w:r w:rsidRPr="009F50AA">
        <w:rPr>
          <w:rFonts w:ascii="Arial" w:hAnsi="Arial" w:cs="Arial"/>
        </w:rPr>
        <w:t>The Reflective Cycle by Gibbs offers a systematic method of reflection particularly within the business and education environment (</w:t>
      </w:r>
      <w:r w:rsidR="000B48B0" w:rsidRPr="009F50AA">
        <w:rPr>
          <w:rStyle w:val="Strong"/>
          <w:rFonts w:ascii="Arial" w:hAnsi="Arial" w:cs="Arial"/>
          <w:b w:val="0"/>
          <w:bCs w:val="0"/>
        </w:rPr>
        <w:t>Gibbs, 1988</w:t>
      </w:r>
      <w:r w:rsidRPr="009F50AA">
        <w:rPr>
          <w:rFonts w:ascii="Arial" w:hAnsi="Arial" w:cs="Arial"/>
        </w:rPr>
        <w:t xml:space="preserve">). </w:t>
      </w:r>
      <w:r w:rsidR="008F56AA" w:rsidRPr="009F50AA">
        <w:rPr>
          <w:rFonts w:ascii="Arial" w:hAnsi="Arial" w:cs="Arial"/>
        </w:rPr>
        <w:t xml:space="preserve">My marketing pitch strategy reflection has been presented below trough Gibbs reflective cycle: </w:t>
      </w:r>
    </w:p>
    <w:p w14:paraId="782A77CE" w14:textId="77777777" w:rsidR="00F83AE0" w:rsidRPr="009F50AA" w:rsidRDefault="00DA3DC6" w:rsidP="00F83AE0">
      <w:pPr>
        <w:keepNext/>
        <w:jc w:val="center"/>
        <w:rPr>
          <w:rFonts w:ascii="Arial" w:hAnsi="Arial" w:cs="Arial"/>
        </w:rPr>
      </w:pPr>
      <w:r w:rsidRPr="009F50AA">
        <w:rPr>
          <w:rFonts w:ascii="Arial" w:hAnsi="Arial" w:cs="Arial"/>
          <w:noProof/>
        </w:rPr>
        <w:drawing>
          <wp:inline distT="0" distB="0" distL="0" distR="0" wp14:anchorId="0B01E7F8" wp14:editId="1EB5EEBF">
            <wp:extent cx="1888096" cy="1888096"/>
            <wp:effectExtent l="0" t="0" r="0" b="0"/>
            <wp:docPr id="2083153247" name="Picture 2"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Gibbs Reflective Cycle - Free Template Download &amp; Guid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88289" cy="1888289"/>
                    </a:xfrm>
                    <a:prstGeom prst="rect">
                      <a:avLst/>
                    </a:prstGeom>
                    <a:noFill/>
                    <a:ln>
                      <a:noFill/>
                    </a:ln>
                  </pic:spPr>
                </pic:pic>
              </a:graphicData>
            </a:graphic>
          </wp:inline>
        </w:drawing>
      </w:r>
    </w:p>
    <w:p w14:paraId="3A7591DD" w14:textId="1EBF48B6" w:rsidR="00DA3DC6" w:rsidRPr="009F50AA" w:rsidRDefault="00F83AE0" w:rsidP="00F83AE0">
      <w:pPr>
        <w:pStyle w:val="Caption"/>
        <w:spacing w:line="360" w:lineRule="auto"/>
        <w:jc w:val="center"/>
        <w:rPr>
          <w:rFonts w:ascii="Arial" w:hAnsi="Arial" w:cs="Arial"/>
        </w:rPr>
      </w:pPr>
      <w:r w:rsidRPr="009F50AA">
        <w:rPr>
          <w:rFonts w:ascii="Arial" w:hAnsi="Arial" w:cs="Arial"/>
        </w:rPr>
        <w:t xml:space="preserve">Figure </w:t>
      </w:r>
      <w:r w:rsidR="004941F9" w:rsidRPr="009F50AA">
        <w:rPr>
          <w:rFonts w:ascii="Arial" w:hAnsi="Arial" w:cs="Arial"/>
        </w:rPr>
        <w:fldChar w:fldCharType="begin"/>
      </w:r>
      <w:r w:rsidR="004941F9" w:rsidRPr="009F50AA">
        <w:rPr>
          <w:rFonts w:ascii="Arial" w:hAnsi="Arial" w:cs="Arial"/>
        </w:rPr>
        <w:instrText xml:space="preserve"> SEQ Figure \* ARABIC </w:instrText>
      </w:r>
      <w:r w:rsidR="004941F9" w:rsidRPr="009F50AA">
        <w:rPr>
          <w:rFonts w:ascii="Arial" w:hAnsi="Arial" w:cs="Arial"/>
        </w:rPr>
        <w:fldChar w:fldCharType="separate"/>
      </w:r>
      <w:r w:rsidRPr="009F50AA">
        <w:rPr>
          <w:rFonts w:ascii="Arial" w:hAnsi="Arial" w:cs="Arial"/>
          <w:noProof/>
        </w:rPr>
        <w:t>9</w:t>
      </w:r>
      <w:r w:rsidR="004941F9" w:rsidRPr="009F50AA">
        <w:rPr>
          <w:rFonts w:ascii="Arial" w:hAnsi="Arial" w:cs="Arial"/>
          <w:noProof/>
        </w:rPr>
        <w:fldChar w:fldCharType="end"/>
      </w:r>
      <w:r w:rsidRPr="009F50AA">
        <w:rPr>
          <w:rFonts w:ascii="Arial" w:hAnsi="Arial" w:cs="Arial"/>
        </w:rPr>
        <w:t>: Gibbs Reflective Cycle</w:t>
      </w:r>
    </w:p>
    <w:p w14:paraId="59B5C94B" w14:textId="693C86FF" w:rsidR="00DA3DC6" w:rsidRPr="009F50AA" w:rsidRDefault="00DA3DC6" w:rsidP="00F83AE0">
      <w:pPr>
        <w:jc w:val="center"/>
        <w:rPr>
          <w:rFonts w:ascii="Arial" w:hAnsi="Arial" w:cs="Arial"/>
          <w:szCs w:val="24"/>
        </w:rPr>
      </w:pPr>
      <w:r w:rsidRPr="009F50AA">
        <w:rPr>
          <w:rFonts w:ascii="Arial" w:hAnsi="Arial" w:cs="Arial"/>
          <w:szCs w:val="24"/>
        </w:rPr>
        <w:t>Source:</w:t>
      </w:r>
      <w:r w:rsidR="002A70E7" w:rsidRPr="009F50AA">
        <w:rPr>
          <w:rFonts w:ascii="Arial" w:hAnsi="Arial" w:cs="Arial"/>
          <w:szCs w:val="24"/>
        </w:rPr>
        <w:t xml:space="preserve"> </w:t>
      </w:r>
      <w:r w:rsidR="002A70E7" w:rsidRPr="009F50AA">
        <w:rPr>
          <w:rFonts w:ascii="Arial" w:hAnsi="Arial" w:cs="Arial"/>
        </w:rPr>
        <w:t>(</w:t>
      </w:r>
      <w:r w:rsidR="000B48B0" w:rsidRPr="009F50AA">
        <w:rPr>
          <w:rStyle w:val="Strong"/>
          <w:rFonts w:ascii="Arial" w:hAnsi="Arial" w:cs="Arial"/>
          <w:b w:val="0"/>
          <w:bCs w:val="0"/>
        </w:rPr>
        <w:t>Gibbs, 1988</w:t>
      </w:r>
      <w:r w:rsidR="002A70E7" w:rsidRPr="009F50AA">
        <w:rPr>
          <w:rFonts w:ascii="Arial" w:hAnsi="Arial" w:cs="Arial"/>
        </w:rPr>
        <w:t>)</w:t>
      </w:r>
      <w:r w:rsidR="002A70E7" w:rsidRPr="009F50AA">
        <w:rPr>
          <w:rFonts w:ascii="Arial" w:hAnsi="Arial" w:cs="Arial"/>
          <w:szCs w:val="24"/>
        </w:rPr>
        <w:t xml:space="preserve"> </w:t>
      </w:r>
      <w:r w:rsidR="000B48B0" w:rsidRPr="009F50AA">
        <w:rPr>
          <w:rFonts w:ascii="Arial" w:hAnsi="Arial" w:cs="Arial"/>
          <w:szCs w:val="24"/>
        </w:rPr>
        <w:t xml:space="preserve"> </w:t>
      </w:r>
    </w:p>
    <w:p w14:paraId="7B57A006" w14:textId="40AE9F88" w:rsidR="00877588" w:rsidRPr="009F50AA" w:rsidRDefault="00877588" w:rsidP="00877588">
      <w:pPr>
        <w:rPr>
          <w:rFonts w:ascii="Arial" w:hAnsi="Arial" w:cs="Arial"/>
        </w:rPr>
      </w:pPr>
      <w:r w:rsidRPr="009F50AA">
        <w:rPr>
          <w:rFonts w:ascii="Arial" w:hAnsi="Arial" w:cs="Arial"/>
          <w:b/>
          <w:bCs/>
        </w:rPr>
        <w:t>Description:</w:t>
      </w:r>
      <w:r w:rsidRPr="009F50AA">
        <w:rPr>
          <w:rFonts w:ascii="Arial" w:hAnsi="Arial" w:cs="Arial"/>
        </w:rPr>
        <w:t xml:space="preserve"> In the third element of the marketing portfolio, I presented a marketing strategy pitch in which Hydra </w:t>
      </w:r>
      <w:proofErr w:type="spellStart"/>
      <w:r w:rsidRPr="009F50AA">
        <w:rPr>
          <w:rFonts w:ascii="Arial" w:hAnsi="Arial" w:cs="Arial"/>
        </w:rPr>
        <w:t>HomeCell</w:t>
      </w:r>
      <w:proofErr w:type="spellEnd"/>
      <w:r w:rsidRPr="009F50AA">
        <w:rPr>
          <w:rFonts w:ascii="Arial" w:hAnsi="Arial" w:cs="Arial"/>
        </w:rPr>
        <w:t xml:space="preserve"> has been presented as a high-end reliable </w:t>
      </w:r>
      <w:r w:rsidRPr="009F50AA">
        <w:rPr>
          <w:rFonts w:ascii="Arial" w:hAnsi="Arial" w:cs="Arial"/>
        </w:rPr>
        <w:lastRenderedPageBreak/>
        <w:t>and sustainable residential power system. The pitch was effective in conveying the value proposition of the product, market segmentation, pricing justification and sustainable energy story, with a long-term clean energy product being hydrogen fuel cell technology. I organized the pitch logically connecting segmentation, positioning and marketing mix into a logical story of market-entry.</w:t>
      </w:r>
    </w:p>
    <w:p w14:paraId="062AF961" w14:textId="77777777" w:rsidR="00CF014A" w:rsidRPr="009F50AA" w:rsidRDefault="00CF014A" w:rsidP="00877588">
      <w:pPr>
        <w:rPr>
          <w:rFonts w:ascii="Arial" w:hAnsi="Arial" w:cs="Arial"/>
        </w:rPr>
      </w:pPr>
    </w:p>
    <w:p w14:paraId="646FFB01" w14:textId="39ADB0F7" w:rsidR="00877588" w:rsidRPr="009F50AA" w:rsidRDefault="00877588" w:rsidP="00877588">
      <w:pPr>
        <w:rPr>
          <w:rFonts w:ascii="Arial" w:hAnsi="Arial" w:cs="Arial"/>
        </w:rPr>
      </w:pPr>
      <w:r w:rsidRPr="009F50AA">
        <w:rPr>
          <w:rFonts w:ascii="Arial" w:hAnsi="Arial" w:cs="Arial"/>
          <w:b/>
          <w:bCs/>
        </w:rPr>
        <w:t>Feelings:</w:t>
      </w:r>
      <w:r w:rsidRPr="009F50AA">
        <w:rPr>
          <w:rFonts w:ascii="Arial" w:hAnsi="Arial" w:cs="Arial"/>
        </w:rPr>
        <w:t xml:space="preserve"> I was comfortable in introducing the sustainability and technology issues, as I had good research-based support. I was however a bit confused in explaining the premium pricing model especially when I predicted questions to be raised on affordability and adoption barriers to residential consumers.</w:t>
      </w:r>
    </w:p>
    <w:p w14:paraId="576ACC72" w14:textId="77777777" w:rsidR="00CF014A" w:rsidRPr="009F50AA" w:rsidRDefault="00CF014A" w:rsidP="00877588">
      <w:pPr>
        <w:rPr>
          <w:rFonts w:ascii="Arial" w:hAnsi="Arial" w:cs="Arial"/>
        </w:rPr>
      </w:pPr>
    </w:p>
    <w:p w14:paraId="2D390AD6" w14:textId="37320DA7" w:rsidR="00877588" w:rsidRPr="009F50AA" w:rsidRDefault="00877588" w:rsidP="00877588">
      <w:pPr>
        <w:rPr>
          <w:rFonts w:ascii="Arial" w:hAnsi="Arial" w:cs="Arial"/>
        </w:rPr>
      </w:pPr>
      <w:r w:rsidRPr="009F50AA">
        <w:rPr>
          <w:rFonts w:ascii="Arial" w:hAnsi="Arial" w:cs="Arial"/>
          <w:b/>
          <w:bCs/>
        </w:rPr>
        <w:t xml:space="preserve">Evaluation: </w:t>
      </w:r>
      <w:r w:rsidRPr="009F50AA">
        <w:rPr>
          <w:rFonts w:ascii="Arial" w:hAnsi="Arial" w:cs="Arial"/>
        </w:rPr>
        <w:t>Clarity and professional delivery were one of the strengths of my presentation. I have employed the right marketing words, matched the strategy with the trends of clean energy and actually tapped the brand equity that Toyota enjoys to warrant trust and reliability. The sustainability narrative and market logic were found to be persuasive according to the class feedback. One weakness however, was the lack of depth in the explanation of consumer price sensitivity and alternative pricing models, which decreased how convincing the argument on the commercial feasibility was.</w:t>
      </w:r>
      <w:r w:rsidR="00CF014A" w:rsidRPr="009F50AA">
        <w:rPr>
          <w:rFonts w:ascii="Arial" w:hAnsi="Arial" w:cs="Arial"/>
        </w:rPr>
        <w:t xml:space="preserve"> In addition, I was somewhat nervous while presenting the pitch in the class but later I performed well. </w:t>
      </w:r>
    </w:p>
    <w:p w14:paraId="16428A26" w14:textId="77777777" w:rsidR="00CF014A" w:rsidRPr="009F50AA" w:rsidRDefault="00CF014A" w:rsidP="00877588">
      <w:pPr>
        <w:rPr>
          <w:rFonts w:ascii="Arial" w:hAnsi="Arial" w:cs="Arial"/>
          <w:b/>
          <w:bCs/>
        </w:rPr>
      </w:pPr>
    </w:p>
    <w:p w14:paraId="3684C134" w14:textId="11BA9C6A" w:rsidR="00877588" w:rsidRPr="009F50AA" w:rsidRDefault="00877588" w:rsidP="00877588">
      <w:pPr>
        <w:rPr>
          <w:rFonts w:ascii="Arial" w:hAnsi="Arial" w:cs="Arial"/>
        </w:rPr>
      </w:pPr>
      <w:r w:rsidRPr="009F50AA">
        <w:rPr>
          <w:rFonts w:ascii="Arial" w:hAnsi="Arial" w:cs="Arial"/>
          <w:b/>
          <w:bCs/>
        </w:rPr>
        <w:t>Analysis:</w:t>
      </w:r>
      <w:r w:rsidR="00CF014A" w:rsidRPr="009F50AA">
        <w:rPr>
          <w:rFonts w:ascii="Arial" w:hAnsi="Arial" w:cs="Arial"/>
        </w:rPr>
        <w:t xml:space="preserve"> </w:t>
      </w:r>
      <w:r w:rsidRPr="009F50AA">
        <w:rPr>
          <w:rFonts w:ascii="Arial" w:hAnsi="Arial" w:cs="Arial"/>
        </w:rPr>
        <w:t>On reflection on Gibbs Cycle, I can admit that my strategic thinking was solid, but I paid more attention to the benefits of products and sustainability, rather than the behavioural pricing perceptions. Perceived value, reduction of risk, and financial flexibility are vital in the technology market, especially in the emergent markets, and I might have presented a better case in these areas in the pitch.</w:t>
      </w:r>
    </w:p>
    <w:p w14:paraId="3F0F425C" w14:textId="77777777" w:rsidR="00CF014A" w:rsidRPr="009F50AA" w:rsidRDefault="00CF014A" w:rsidP="00877588">
      <w:pPr>
        <w:rPr>
          <w:rFonts w:ascii="Arial" w:hAnsi="Arial" w:cs="Arial"/>
        </w:rPr>
      </w:pPr>
    </w:p>
    <w:p w14:paraId="4F351FF6" w14:textId="5A426878" w:rsidR="00877588" w:rsidRPr="009F50AA" w:rsidRDefault="00877588" w:rsidP="00877588">
      <w:pPr>
        <w:rPr>
          <w:rFonts w:ascii="Arial" w:hAnsi="Arial" w:cs="Arial"/>
        </w:rPr>
      </w:pPr>
      <w:r w:rsidRPr="009F50AA">
        <w:rPr>
          <w:rFonts w:ascii="Arial" w:hAnsi="Arial" w:cs="Arial"/>
          <w:b/>
          <w:bCs/>
        </w:rPr>
        <w:t>Conclusion:</w:t>
      </w:r>
      <w:r w:rsidR="00CF014A" w:rsidRPr="009F50AA">
        <w:rPr>
          <w:rFonts w:ascii="Arial" w:hAnsi="Arial" w:cs="Arial"/>
        </w:rPr>
        <w:t xml:space="preserve"> </w:t>
      </w:r>
      <w:r w:rsidRPr="009F50AA">
        <w:rPr>
          <w:rFonts w:ascii="Arial" w:hAnsi="Arial" w:cs="Arial"/>
        </w:rPr>
        <w:t>The experience enhanced my skills of presentation, strategy storytelling and critical thinking. It emphasized the need to balance the positioning choice based on innovation with the pricing logic that is customer-oriented.</w:t>
      </w:r>
    </w:p>
    <w:p w14:paraId="726F86E7" w14:textId="77777777" w:rsidR="00CF014A" w:rsidRPr="009F50AA" w:rsidRDefault="00CF014A" w:rsidP="00877588">
      <w:pPr>
        <w:rPr>
          <w:rFonts w:ascii="Arial" w:hAnsi="Arial" w:cs="Arial"/>
          <w:b/>
          <w:bCs/>
        </w:rPr>
      </w:pPr>
    </w:p>
    <w:p w14:paraId="324DE141" w14:textId="77777777" w:rsidR="00CF014A" w:rsidRPr="009F50AA" w:rsidRDefault="00CF014A" w:rsidP="00877588">
      <w:pPr>
        <w:rPr>
          <w:rFonts w:ascii="Arial" w:hAnsi="Arial" w:cs="Arial"/>
          <w:b/>
          <w:bCs/>
        </w:rPr>
      </w:pPr>
    </w:p>
    <w:p w14:paraId="2847EB9A" w14:textId="77777777" w:rsidR="00CF014A" w:rsidRPr="009F50AA" w:rsidRDefault="00CF014A" w:rsidP="00877588">
      <w:pPr>
        <w:rPr>
          <w:rFonts w:ascii="Arial" w:hAnsi="Arial" w:cs="Arial"/>
          <w:b/>
          <w:bCs/>
        </w:rPr>
      </w:pPr>
    </w:p>
    <w:p w14:paraId="570F72B6" w14:textId="77777777" w:rsidR="00CF014A" w:rsidRPr="009F50AA" w:rsidRDefault="00CF014A" w:rsidP="00877588">
      <w:pPr>
        <w:rPr>
          <w:rFonts w:ascii="Arial" w:hAnsi="Arial" w:cs="Arial"/>
          <w:b/>
          <w:bCs/>
        </w:rPr>
      </w:pPr>
    </w:p>
    <w:p w14:paraId="2E299822" w14:textId="7517877A" w:rsidR="000F276A" w:rsidRPr="009F50AA" w:rsidRDefault="00877588" w:rsidP="000F276A">
      <w:pPr>
        <w:rPr>
          <w:rFonts w:ascii="Arial" w:hAnsi="Arial" w:cs="Arial"/>
          <w:b/>
          <w:bCs/>
        </w:rPr>
      </w:pPr>
      <w:r w:rsidRPr="009F50AA">
        <w:rPr>
          <w:rFonts w:ascii="Arial" w:hAnsi="Arial" w:cs="Arial"/>
          <w:b/>
          <w:bCs/>
        </w:rPr>
        <w:lastRenderedPageBreak/>
        <w:t>Action Plan</w:t>
      </w:r>
      <w:r w:rsidR="00CF014A" w:rsidRPr="009F50AA">
        <w:rPr>
          <w:rFonts w:ascii="Arial" w:hAnsi="Arial" w:cs="Arial"/>
          <w:b/>
          <w:bCs/>
        </w:rPr>
        <w:t>:</w:t>
      </w:r>
      <w:r w:rsidR="000F276A" w:rsidRPr="009F50AA">
        <w:rPr>
          <w:rFonts w:ascii="Arial" w:hAnsi="Arial" w:cs="Arial"/>
          <w:b/>
          <w:bCs/>
        </w:rPr>
        <w:t xml:space="preserve"> </w:t>
      </w:r>
      <w:r w:rsidR="000F276A" w:rsidRPr="009F50AA">
        <w:rPr>
          <w:rFonts w:ascii="Arial" w:hAnsi="Arial" w:cs="Arial"/>
        </w:rPr>
        <w:t>For brand development capabilities as proposed by</w:t>
      </w:r>
      <w:r w:rsidR="000F276A" w:rsidRPr="009F50AA">
        <w:rPr>
          <w:rFonts w:ascii="Arial" w:hAnsi="Arial" w:cs="Arial"/>
          <w:b/>
          <w:bCs/>
        </w:rPr>
        <w:t xml:space="preserve"> (</w:t>
      </w:r>
      <w:r w:rsidR="000F276A" w:rsidRPr="009F50AA">
        <w:rPr>
          <w:rFonts w:ascii="Arial" w:hAnsi="Arial" w:cs="Arial"/>
          <w:sz w:val="22"/>
          <w:shd w:val="clear" w:color="auto" w:fill="FFFFFF"/>
        </w:rPr>
        <w:t>Munir et al., 2024)</w:t>
      </w:r>
      <w:r w:rsidR="000F276A" w:rsidRPr="009F50AA">
        <w:rPr>
          <w:rFonts w:ascii="Arial" w:hAnsi="Arial" w:cs="Arial"/>
        </w:rPr>
        <w:t>, I would concentrate on getting more consumer insights by</w:t>
      </w:r>
      <w:r w:rsidR="000F276A" w:rsidRPr="009F50AA">
        <w:rPr>
          <w:rFonts w:ascii="Arial" w:hAnsi="Arial" w:cs="Arial"/>
          <w:b/>
          <w:bCs/>
        </w:rPr>
        <w:t xml:space="preserve"> </w:t>
      </w:r>
      <w:r w:rsidR="000F276A" w:rsidRPr="009F50AA">
        <w:rPr>
          <w:rFonts w:ascii="Arial" w:hAnsi="Arial" w:cs="Arial"/>
        </w:rPr>
        <w:t>surveying or conducting focus groups to streamline the pricing structure and make sure that</w:t>
      </w:r>
      <w:r w:rsidR="000F276A" w:rsidRPr="009F50AA">
        <w:rPr>
          <w:rFonts w:ascii="Arial" w:hAnsi="Arial" w:cs="Arial"/>
          <w:b/>
          <w:bCs/>
        </w:rPr>
        <w:t xml:space="preserve"> </w:t>
      </w:r>
      <w:r w:rsidR="000F276A" w:rsidRPr="009F50AA">
        <w:rPr>
          <w:rFonts w:ascii="Arial" w:hAnsi="Arial" w:cs="Arial"/>
        </w:rPr>
        <w:t>this is more accepted in the market. I will also consider other pricing strategies such as</w:t>
      </w:r>
      <w:r w:rsidR="000F276A" w:rsidRPr="009F50AA">
        <w:rPr>
          <w:rFonts w:ascii="Arial" w:hAnsi="Arial" w:cs="Arial"/>
          <w:b/>
          <w:bCs/>
        </w:rPr>
        <w:t xml:space="preserve"> </w:t>
      </w:r>
      <w:r w:rsidR="000F276A" w:rsidRPr="009F50AA">
        <w:rPr>
          <w:rFonts w:ascii="Arial" w:hAnsi="Arial" w:cs="Arial"/>
        </w:rPr>
        <w:t>subscription to reduce the entry barrier to customers. Moreover, I will concentrate on</w:t>
      </w:r>
      <w:r w:rsidR="00D70D11" w:rsidRPr="009F50AA">
        <w:rPr>
          <w:rFonts w:ascii="Arial" w:hAnsi="Arial" w:cs="Arial"/>
        </w:rPr>
        <w:t xml:space="preserve"> improving following</w:t>
      </w:r>
      <w:r w:rsidR="000F276A" w:rsidRPr="009F50AA">
        <w:rPr>
          <w:rFonts w:ascii="Arial" w:hAnsi="Arial" w:cs="Arial"/>
        </w:rPr>
        <w:t xml:space="preserve"> </w:t>
      </w:r>
      <w:r w:rsidR="00D70D11" w:rsidRPr="009F50AA">
        <w:rPr>
          <w:rFonts w:ascii="Arial" w:hAnsi="Arial" w:cs="Arial"/>
        </w:rPr>
        <w:t xml:space="preserve">skills to improve my marketing pitch strategy: </w:t>
      </w:r>
    </w:p>
    <w:tbl>
      <w:tblPr>
        <w:tblStyle w:val="TableGridLight"/>
        <w:tblW w:w="0" w:type="auto"/>
        <w:tblLook w:val="04A0" w:firstRow="1" w:lastRow="0" w:firstColumn="1" w:lastColumn="0" w:noHBand="0" w:noVBand="1"/>
      </w:tblPr>
      <w:tblGrid>
        <w:gridCol w:w="2152"/>
        <w:gridCol w:w="2440"/>
        <w:gridCol w:w="2389"/>
        <w:gridCol w:w="2035"/>
      </w:tblGrid>
      <w:tr w:rsidR="00CF014A" w:rsidRPr="009F50AA" w14:paraId="41E2B7CB" w14:textId="77777777" w:rsidTr="00CF014A">
        <w:tc>
          <w:tcPr>
            <w:tcW w:w="0" w:type="auto"/>
            <w:hideMark/>
          </w:tcPr>
          <w:p w14:paraId="0E565BBE" w14:textId="77777777" w:rsidR="00CF014A" w:rsidRPr="009F50AA" w:rsidRDefault="00CF014A" w:rsidP="00CF014A">
            <w:pPr>
              <w:jc w:val="center"/>
              <w:rPr>
                <w:rFonts w:ascii="Arial" w:eastAsia="Times New Roman" w:hAnsi="Arial" w:cs="Arial"/>
                <w:b/>
                <w:bCs/>
                <w:szCs w:val="24"/>
                <w:lang w:val="en-US"/>
              </w:rPr>
            </w:pPr>
            <w:r w:rsidRPr="009F50AA">
              <w:rPr>
                <w:rFonts w:ascii="Arial" w:eastAsia="Times New Roman" w:hAnsi="Arial" w:cs="Arial"/>
                <w:b/>
                <w:bCs/>
                <w:szCs w:val="24"/>
                <w:lang w:val="en-US"/>
              </w:rPr>
              <w:t>Development Area</w:t>
            </w:r>
          </w:p>
        </w:tc>
        <w:tc>
          <w:tcPr>
            <w:tcW w:w="0" w:type="auto"/>
            <w:hideMark/>
          </w:tcPr>
          <w:p w14:paraId="220A4E3C" w14:textId="77777777" w:rsidR="00CF014A" w:rsidRPr="009F50AA" w:rsidRDefault="00CF014A" w:rsidP="00CF014A">
            <w:pPr>
              <w:jc w:val="center"/>
              <w:rPr>
                <w:rFonts w:ascii="Arial" w:eastAsia="Times New Roman" w:hAnsi="Arial" w:cs="Arial"/>
                <w:b/>
                <w:bCs/>
                <w:szCs w:val="24"/>
                <w:lang w:val="en-US"/>
              </w:rPr>
            </w:pPr>
            <w:r w:rsidRPr="009F50AA">
              <w:rPr>
                <w:rFonts w:ascii="Arial" w:eastAsia="Times New Roman" w:hAnsi="Arial" w:cs="Arial"/>
                <w:b/>
                <w:bCs/>
                <w:szCs w:val="24"/>
                <w:lang w:val="en-US"/>
              </w:rPr>
              <w:t>Identified Weakness / Challenge</w:t>
            </w:r>
          </w:p>
        </w:tc>
        <w:tc>
          <w:tcPr>
            <w:tcW w:w="0" w:type="auto"/>
            <w:hideMark/>
          </w:tcPr>
          <w:p w14:paraId="00680ED8" w14:textId="77777777" w:rsidR="00CF014A" w:rsidRPr="009F50AA" w:rsidRDefault="00CF014A" w:rsidP="00CF014A">
            <w:pPr>
              <w:jc w:val="center"/>
              <w:rPr>
                <w:rFonts w:ascii="Arial" w:eastAsia="Times New Roman" w:hAnsi="Arial" w:cs="Arial"/>
                <w:b/>
                <w:bCs/>
                <w:szCs w:val="24"/>
                <w:lang w:val="en-US"/>
              </w:rPr>
            </w:pPr>
            <w:r w:rsidRPr="009F50AA">
              <w:rPr>
                <w:rFonts w:ascii="Arial" w:eastAsia="Times New Roman" w:hAnsi="Arial" w:cs="Arial"/>
                <w:b/>
                <w:bCs/>
                <w:szCs w:val="24"/>
                <w:lang w:val="en-US"/>
              </w:rPr>
              <w:t>Planned Action</w:t>
            </w:r>
          </w:p>
        </w:tc>
        <w:tc>
          <w:tcPr>
            <w:tcW w:w="0" w:type="auto"/>
            <w:hideMark/>
          </w:tcPr>
          <w:p w14:paraId="330E2D0A" w14:textId="77777777" w:rsidR="00CF014A" w:rsidRPr="009F50AA" w:rsidRDefault="00CF014A" w:rsidP="00CF014A">
            <w:pPr>
              <w:jc w:val="center"/>
              <w:rPr>
                <w:rFonts w:ascii="Arial" w:eastAsia="Times New Roman" w:hAnsi="Arial" w:cs="Arial"/>
                <w:b/>
                <w:bCs/>
                <w:szCs w:val="24"/>
                <w:lang w:val="en-US"/>
              </w:rPr>
            </w:pPr>
            <w:r w:rsidRPr="009F50AA">
              <w:rPr>
                <w:rFonts w:ascii="Arial" w:eastAsia="Times New Roman" w:hAnsi="Arial" w:cs="Arial"/>
                <w:b/>
                <w:bCs/>
                <w:szCs w:val="24"/>
                <w:lang w:val="en-US"/>
              </w:rPr>
              <w:t>Expected Improvement</w:t>
            </w:r>
          </w:p>
        </w:tc>
      </w:tr>
      <w:tr w:rsidR="00CF014A" w:rsidRPr="009F50AA" w14:paraId="6B88203A" w14:textId="77777777" w:rsidTr="00CF014A">
        <w:tc>
          <w:tcPr>
            <w:tcW w:w="0" w:type="auto"/>
            <w:hideMark/>
          </w:tcPr>
          <w:p w14:paraId="31B1C2D6" w14:textId="77777777" w:rsidR="00CF014A" w:rsidRPr="009F50AA" w:rsidRDefault="00CF014A" w:rsidP="00CF014A">
            <w:pPr>
              <w:jc w:val="left"/>
              <w:rPr>
                <w:rFonts w:ascii="Arial" w:eastAsia="Times New Roman" w:hAnsi="Arial" w:cs="Arial"/>
                <w:szCs w:val="24"/>
                <w:lang w:val="en-US"/>
              </w:rPr>
            </w:pPr>
            <w:r w:rsidRPr="009F50AA">
              <w:rPr>
                <w:rFonts w:ascii="Arial" w:eastAsia="Times New Roman" w:hAnsi="Arial" w:cs="Arial"/>
                <w:b/>
                <w:bCs/>
                <w:szCs w:val="24"/>
                <w:lang w:val="en-US"/>
              </w:rPr>
              <w:t>Pitch delivery skills</w:t>
            </w:r>
          </w:p>
        </w:tc>
        <w:tc>
          <w:tcPr>
            <w:tcW w:w="0" w:type="auto"/>
            <w:hideMark/>
          </w:tcPr>
          <w:p w14:paraId="0B8C484A"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Reduced confidence when explaining pricing and handling questions during the class presentation</w:t>
            </w:r>
          </w:p>
        </w:tc>
        <w:tc>
          <w:tcPr>
            <w:tcW w:w="0" w:type="auto"/>
            <w:hideMark/>
          </w:tcPr>
          <w:p w14:paraId="1FBDE95F" w14:textId="77777777" w:rsidR="00CF014A" w:rsidRPr="009F50AA" w:rsidRDefault="00CF014A" w:rsidP="00B31F37">
            <w:pPr>
              <w:rPr>
                <w:rFonts w:ascii="Arial" w:eastAsia="Times New Roman" w:hAnsi="Arial" w:cs="Arial"/>
                <w:szCs w:val="24"/>
                <w:lang w:val="en-US"/>
              </w:rPr>
            </w:pPr>
            <w:proofErr w:type="spellStart"/>
            <w:r w:rsidRPr="009F50AA">
              <w:rPr>
                <w:rFonts w:ascii="Arial" w:eastAsia="Times New Roman" w:hAnsi="Arial" w:cs="Arial"/>
                <w:szCs w:val="24"/>
                <w:lang w:val="en-US"/>
              </w:rPr>
              <w:t>Practise</w:t>
            </w:r>
            <w:proofErr w:type="spellEnd"/>
            <w:r w:rsidRPr="009F50AA">
              <w:rPr>
                <w:rFonts w:ascii="Arial" w:eastAsia="Times New Roman" w:hAnsi="Arial" w:cs="Arial"/>
                <w:szCs w:val="24"/>
                <w:lang w:val="en-US"/>
              </w:rPr>
              <w:t xml:space="preserve"> structured pitch rehearsals and simulate Q&amp;A sessions before presentations</w:t>
            </w:r>
          </w:p>
        </w:tc>
        <w:tc>
          <w:tcPr>
            <w:tcW w:w="0" w:type="auto"/>
            <w:hideMark/>
          </w:tcPr>
          <w:p w14:paraId="53AE949D"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More confident, fluent and persuasive pitch delivery</w:t>
            </w:r>
          </w:p>
        </w:tc>
      </w:tr>
      <w:tr w:rsidR="00CF014A" w:rsidRPr="009F50AA" w14:paraId="4CFC23EC" w14:textId="77777777" w:rsidTr="00CF014A">
        <w:tc>
          <w:tcPr>
            <w:tcW w:w="0" w:type="auto"/>
            <w:hideMark/>
          </w:tcPr>
          <w:p w14:paraId="60493F10" w14:textId="77777777" w:rsidR="00CF014A" w:rsidRPr="009F50AA" w:rsidRDefault="00CF014A" w:rsidP="00CF014A">
            <w:pPr>
              <w:jc w:val="left"/>
              <w:rPr>
                <w:rFonts w:ascii="Arial" w:eastAsia="Times New Roman" w:hAnsi="Arial" w:cs="Arial"/>
                <w:szCs w:val="24"/>
                <w:lang w:val="en-US"/>
              </w:rPr>
            </w:pPr>
            <w:r w:rsidRPr="009F50AA">
              <w:rPr>
                <w:rFonts w:ascii="Arial" w:eastAsia="Times New Roman" w:hAnsi="Arial" w:cs="Arial"/>
                <w:b/>
                <w:bCs/>
                <w:szCs w:val="24"/>
                <w:lang w:val="en-US"/>
              </w:rPr>
              <w:t>Research skills</w:t>
            </w:r>
          </w:p>
        </w:tc>
        <w:tc>
          <w:tcPr>
            <w:tcW w:w="0" w:type="auto"/>
            <w:hideMark/>
          </w:tcPr>
          <w:p w14:paraId="75053B86"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Limited depth in consumer price sensitivity and early-stage market adoption data</w:t>
            </w:r>
          </w:p>
        </w:tc>
        <w:tc>
          <w:tcPr>
            <w:tcW w:w="0" w:type="auto"/>
            <w:hideMark/>
          </w:tcPr>
          <w:p w14:paraId="64C98767"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Conduct primary research such as short surveys and secondary analysis of similar clean-energy launches</w:t>
            </w:r>
          </w:p>
        </w:tc>
        <w:tc>
          <w:tcPr>
            <w:tcW w:w="0" w:type="auto"/>
            <w:hideMark/>
          </w:tcPr>
          <w:p w14:paraId="225C60D9"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Stronger evidence-based marketing decisions</w:t>
            </w:r>
          </w:p>
        </w:tc>
      </w:tr>
      <w:tr w:rsidR="00CF014A" w:rsidRPr="009F50AA" w14:paraId="2F34FCA4" w14:textId="77777777" w:rsidTr="00CF014A">
        <w:tc>
          <w:tcPr>
            <w:tcW w:w="0" w:type="auto"/>
            <w:hideMark/>
          </w:tcPr>
          <w:p w14:paraId="7FFAEC52" w14:textId="77777777" w:rsidR="00CF014A" w:rsidRPr="009F50AA" w:rsidRDefault="00CF014A" w:rsidP="00CF014A">
            <w:pPr>
              <w:jc w:val="left"/>
              <w:rPr>
                <w:rFonts w:ascii="Arial" w:eastAsia="Times New Roman" w:hAnsi="Arial" w:cs="Arial"/>
                <w:szCs w:val="24"/>
                <w:lang w:val="en-US"/>
              </w:rPr>
            </w:pPr>
            <w:r w:rsidRPr="009F50AA">
              <w:rPr>
                <w:rFonts w:ascii="Arial" w:eastAsia="Times New Roman" w:hAnsi="Arial" w:cs="Arial"/>
                <w:b/>
                <w:bCs/>
                <w:szCs w:val="24"/>
                <w:lang w:val="en-US"/>
              </w:rPr>
              <w:t>New brand development skills</w:t>
            </w:r>
          </w:p>
        </w:tc>
        <w:tc>
          <w:tcPr>
            <w:tcW w:w="0" w:type="auto"/>
            <w:hideMark/>
          </w:tcPr>
          <w:p w14:paraId="584912F4"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Over-reliance on sustainability messaging without full commercial framing</w:t>
            </w:r>
          </w:p>
        </w:tc>
        <w:tc>
          <w:tcPr>
            <w:tcW w:w="0" w:type="auto"/>
            <w:hideMark/>
          </w:tcPr>
          <w:p w14:paraId="0668FC93"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Develop multiple brand value propositions combining innovation, cost savings and trust</w:t>
            </w:r>
          </w:p>
        </w:tc>
        <w:tc>
          <w:tcPr>
            <w:tcW w:w="0" w:type="auto"/>
            <w:hideMark/>
          </w:tcPr>
          <w:p w14:paraId="04AE5664"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More balanced and market-ready brand positioning</w:t>
            </w:r>
          </w:p>
        </w:tc>
      </w:tr>
      <w:tr w:rsidR="00CF014A" w:rsidRPr="009F50AA" w14:paraId="5F1B2430" w14:textId="77777777" w:rsidTr="00CF014A">
        <w:tc>
          <w:tcPr>
            <w:tcW w:w="0" w:type="auto"/>
            <w:hideMark/>
          </w:tcPr>
          <w:p w14:paraId="1ECCEFE7" w14:textId="77777777" w:rsidR="00CF014A" w:rsidRPr="009F50AA" w:rsidRDefault="00CF014A" w:rsidP="00CF014A">
            <w:pPr>
              <w:jc w:val="left"/>
              <w:rPr>
                <w:rFonts w:ascii="Arial" w:eastAsia="Times New Roman" w:hAnsi="Arial" w:cs="Arial"/>
                <w:szCs w:val="24"/>
                <w:lang w:val="en-US"/>
              </w:rPr>
            </w:pPr>
            <w:r w:rsidRPr="009F50AA">
              <w:rPr>
                <w:rFonts w:ascii="Arial" w:eastAsia="Times New Roman" w:hAnsi="Arial" w:cs="Arial"/>
                <w:b/>
                <w:bCs/>
                <w:szCs w:val="24"/>
                <w:lang w:val="en-US"/>
              </w:rPr>
              <w:t>Time management skills</w:t>
            </w:r>
          </w:p>
        </w:tc>
        <w:tc>
          <w:tcPr>
            <w:tcW w:w="0" w:type="auto"/>
            <w:hideMark/>
          </w:tcPr>
          <w:p w14:paraId="371C3FF8"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Time pressure during pitch preparation affected refinement of pricing strategy</w:t>
            </w:r>
          </w:p>
        </w:tc>
        <w:tc>
          <w:tcPr>
            <w:tcW w:w="0" w:type="auto"/>
            <w:hideMark/>
          </w:tcPr>
          <w:p w14:paraId="51CED8C5"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Create a structured preparation timeline with clear milestones for research, design and rehearsal</w:t>
            </w:r>
          </w:p>
        </w:tc>
        <w:tc>
          <w:tcPr>
            <w:tcW w:w="0" w:type="auto"/>
            <w:hideMark/>
          </w:tcPr>
          <w:p w14:paraId="075EE8F1"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 xml:space="preserve">Improved </w:t>
            </w:r>
            <w:proofErr w:type="spellStart"/>
            <w:r w:rsidRPr="009F50AA">
              <w:rPr>
                <w:rFonts w:ascii="Arial" w:eastAsia="Times New Roman" w:hAnsi="Arial" w:cs="Arial"/>
                <w:szCs w:val="24"/>
                <w:lang w:val="en-US"/>
              </w:rPr>
              <w:t>organisation</w:t>
            </w:r>
            <w:proofErr w:type="spellEnd"/>
            <w:r w:rsidRPr="009F50AA">
              <w:rPr>
                <w:rFonts w:ascii="Arial" w:eastAsia="Times New Roman" w:hAnsi="Arial" w:cs="Arial"/>
                <w:szCs w:val="24"/>
                <w:lang w:val="en-US"/>
              </w:rPr>
              <w:t xml:space="preserve"> and higher quality outputs</w:t>
            </w:r>
          </w:p>
        </w:tc>
      </w:tr>
      <w:tr w:rsidR="00CF014A" w:rsidRPr="009F50AA" w14:paraId="3D1A4C8C" w14:textId="77777777" w:rsidTr="00CF014A">
        <w:tc>
          <w:tcPr>
            <w:tcW w:w="0" w:type="auto"/>
            <w:hideMark/>
          </w:tcPr>
          <w:p w14:paraId="2F483FF2" w14:textId="77777777" w:rsidR="00CF014A" w:rsidRPr="009F50AA" w:rsidRDefault="00CF014A" w:rsidP="00CF014A">
            <w:pPr>
              <w:jc w:val="left"/>
              <w:rPr>
                <w:rFonts w:ascii="Arial" w:eastAsia="Times New Roman" w:hAnsi="Arial" w:cs="Arial"/>
                <w:szCs w:val="24"/>
                <w:lang w:val="en-US"/>
              </w:rPr>
            </w:pPr>
            <w:r w:rsidRPr="009F50AA">
              <w:rPr>
                <w:rFonts w:ascii="Arial" w:eastAsia="Times New Roman" w:hAnsi="Arial" w:cs="Arial"/>
                <w:b/>
                <w:bCs/>
                <w:szCs w:val="24"/>
                <w:lang w:val="en-US"/>
              </w:rPr>
              <w:lastRenderedPageBreak/>
              <w:t>Communication skills</w:t>
            </w:r>
          </w:p>
        </w:tc>
        <w:tc>
          <w:tcPr>
            <w:tcW w:w="0" w:type="auto"/>
            <w:hideMark/>
          </w:tcPr>
          <w:p w14:paraId="01CA0015"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Complex technical and pricing concepts were not always communicated simply</w:t>
            </w:r>
          </w:p>
        </w:tc>
        <w:tc>
          <w:tcPr>
            <w:tcW w:w="0" w:type="auto"/>
            <w:hideMark/>
          </w:tcPr>
          <w:p w14:paraId="3D71DEF3"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Use clearer visuals, simplified language and comparative value charts</w:t>
            </w:r>
          </w:p>
        </w:tc>
        <w:tc>
          <w:tcPr>
            <w:tcW w:w="0" w:type="auto"/>
            <w:hideMark/>
          </w:tcPr>
          <w:p w14:paraId="5482E865"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Improved audience understanding and engagement</w:t>
            </w:r>
          </w:p>
        </w:tc>
      </w:tr>
    </w:tbl>
    <w:p w14:paraId="1FA3C21B" w14:textId="77777777" w:rsidR="00CF014A" w:rsidRPr="009F50AA" w:rsidRDefault="00CF014A" w:rsidP="00877588">
      <w:pPr>
        <w:rPr>
          <w:rFonts w:ascii="Arial" w:hAnsi="Arial" w:cs="Arial"/>
          <w:b/>
          <w:bCs/>
        </w:rPr>
      </w:pPr>
    </w:p>
    <w:p w14:paraId="2BFA4D5A" w14:textId="77777777" w:rsidR="00EB031F" w:rsidRPr="009F50AA" w:rsidRDefault="00EB031F" w:rsidP="0029302F">
      <w:pPr>
        <w:pStyle w:val="Heading1"/>
        <w:rPr>
          <w:rFonts w:ascii="Arial" w:hAnsi="Arial" w:cs="Arial"/>
        </w:rPr>
      </w:pPr>
      <w:bookmarkStart w:id="18" w:name="_Toc215702182"/>
      <w:bookmarkStart w:id="19" w:name="_Toc216218440"/>
    </w:p>
    <w:p w14:paraId="51AB3B49" w14:textId="3C763E4D" w:rsidR="00797A79" w:rsidRPr="009F50AA" w:rsidRDefault="00EE1A0D" w:rsidP="0029302F">
      <w:pPr>
        <w:pStyle w:val="Heading1"/>
        <w:rPr>
          <w:rFonts w:ascii="Arial" w:hAnsi="Arial" w:cs="Arial"/>
        </w:rPr>
      </w:pPr>
      <w:r w:rsidRPr="009F50AA">
        <w:rPr>
          <w:rFonts w:ascii="Arial" w:hAnsi="Arial" w:cs="Arial"/>
        </w:rPr>
        <w:t>Conclusion</w:t>
      </w:r>
      <w:bookmarkEnd w:id="18"/>
      <w:bookmarkEnd w:id="19"/>
    </w:p>
    <w:p w14:paraId="23C7CE36" w14:textId="13B9B933" w:rsidR="009D69C2" w:rsidRPr="009F50AA" w:rsidRDefault="00045172" w:rsidP="009D69C2">
      <w:pPr>
        <w:rPr>
          <w:rFonts w:ascii="Arial" w:hAnsi="Arial" w:cs="Arial"/>
        </w:rPr>
      </w:pPr>
      <w:r w:rsidRPr="009F50AA">
        <w:rPr>
          <w:rFonts w:ascii="Arial" w:hAnsi="Arial" w:cs="Arial"/>
        </w:rPr>
        <w:t xml:space="preserve">Finally, the creation of the Hydra </w:t>
      </w:r>
      <w:proofErr w:type="spellStart"/>
      <w:r w:rsidRPr="009F50AA">
        <w:rPr>
          <w:rFonts w:ascii="Arial" w:hAnsi="Arial" w:cs="Arial"/>
        </w:rPr>
        <w:t>HomeCell</w:t>
      </w:r>
      <w:proofErr w:type="spellEnd"/>
      <w:r w:rsidRPr="009F50AA">
        <w:rPr>
          <w:rFonts w:ascii="Arial" w:hAnsi="Arial" w:cs="Arial"/>
        </w:rPr>
        <w:t xml:space="preserve"> brand was a good experience on how to work with the dynamism in the clean energy market and the implementation of the marketing strategies. Through market research, segmentation, and 4Ps, I was capable of developing a holistic brand plan that will make Hydra a dependable, environmentally-friendly energy source. The project has developed critical thinking, strategy planning, and research capabilities, which will make me prepared to meet future obstacles in the field of marketing and brand development.</w:t>
      </w:r>
    </w:p>
    <w:p w14:paraId="3D29C9DF" w14:textId="07324ECD" w:rsidR="00EE1A0D" w:rsidRPr="009F50AA" w:rsidRDefault="00EE1A0D" w:rsidP="009D69C2">
      <w:pPr>
        <w:rPr>
          <w:rFonts w:ascii="Arial" w:hAnsi="Arial" w:cs="Arial"/>
        </w:rPr>
      </w:pPr>
      <w:r w:rsidRPr="009F50AA">
        <w:rPr>
          <w:rFonts w:ascii="Arial" w:hAnsi="Arial" w:cs="Arial"/>
        </w:rPr>
        <w:br w:type="page"/>
      </w:r>
    </w:p>
    <w:p w14:paraId="64A64FAD" w14:textId="5B1D3C11" w:rsidR="00EE1A0D" w:rsidRPr="009F50AA" w:rsidRDefault="00EE1A0D" w:rsidP="00EE1A0D">
      <w:pPr>
        <w:pStyle w:val="Heading1"/>
        <w:rPr>
          <w:rFonts w:ascii="Arial" w:hAnsi="Arial" w:cs="Arial"/>
        </w:rPr>
      </w:pPr>
      <w:bookmarkStart w:id="20" w:name="_Toc215702183"/>
      <w:bookmarkStart w:id="21" w:name="_Toc216218441"/>
      <w:r w:rsidRPr="009F50AA">
        <w:rPr>
          <w:rFonts w:ascii="Arial" w:hAnsi="Arial" w:cs="Arial"/>
        </w:rPr>
        <w:lastRenderedPageBreak/>
        <w:t>Ref</w:t>
      </w:r>
      <w:bookmarkEnd w:id="20"/>
      <w:bookmarkEnd w:id="21"/>
      <w:r w:rsidR="000B48B0" w:rsidRPr="009F50AA">
        <w:rPr>
          <w:rFonts w:ascii="Arial" w:hAnsi="Arial" w:cs="Arial"/>
        </w:rPr>
        <w:t>erences</w:t>
      </w:r>
    </w:p>
    <w:p w14:paraId="5FF0B69D" w14:textId="77777777" w:rsidR="000B48B0" w:rsidRPr="009F50AA" w:rsidRDefault="000B48B0" w:rsidP="00F83AE0">
      <w:pPr>
        <w:ind w:left="720" w:hanging="720"/>
        <w:rPr>
          <w:rFonts w:ascii="Arial" w:hAnsi="Arial" w:cs="Arial"/>
        </w:rPr>
      </w:pPr>
      <w:r w:rsidRPr="009F50AA">
        <w:rPr>
          <w:rFonts w:ascii="Arial" w:hAnsi="Arial" w:cs="Arial"/>
        </w:rPr>
        <w:t xml:space="preserve">Bajra, A. (2021, August 12). </w:t>
      </w:r>
      <w:r w:rsidRPr="009F50AA">
        <w:rPr>
          <w:rFonts w:ascii="Arial" w:hAnsi="Arial" w:cs="Arial"/>
          <w:i/>
          <w:iCs/>
        </w:rPr>
        <w:t>Using perceptual mapping for competitive analysis</w:t>
      </w:r>
      <w:r w:rsidRPr="009F50AA">
        <w:rPr>
          <w:rFonts w:ascii="Arial" w:hAnsi="Arial" w:cs="Arial"/>
        </w:rPr>
        <w:t xml:space="preserve">. Medium. </w:t>
      </w:r>
      <w:hyperlink r:id="rId20" w:tgtFrame="_new" w:history="1">
        <w:r w:rsidRPr="009F50AA">
          <w:rPr>
            <w:rStyle w:val="Hyperlink"/>
            <w:rFonts w:ascii="Arial" w:hAnsi="Arial" w:cs="Arial"/>
          </w:rPr>
          <w:t>https://anupambajra.medium.com/using-perceptual-mapping-for-competitive-analysis-9aae239ec736</w:t>
        </w:r>
      </w:hyperlink>
      <w:r w:rsidRPr="009F50AA">
        <w:rPr>
          <w:rFonts w:ascii="Arial" w:hAnsi="Arial" w:cs="Arial"/>
        </w:rPr>
        <w:t xml:space="preserve"> (Accessed: 08 December 2025).</w:t>
      </w:r>
    </w:p>
    <w:p w14:paraId="309A9072" w14:textId="77777777" w:rsidR="000B48B0" w:rsidRPr="009F50AA" w:rsidRDefault="000B48B0" w:rsidP="00F83AE0">
      <w:pPr>
        <w:ind w:left="720" w:hanging="720"/>
        <w:rPr>
          <w:rFonts w:ascii="Arial" w:hAnsi="Arial" w:cs="Arial"/>
        </w:rPr>
      </w:pPr>
      <w:proofErr w:type="spellStart"/>
      <w:r w:rsidRPr="009F50AA">
        <w:rPr>
          <w:rFonts w:ascii="Arial" w:hAnsi="Arial" w:cs="Arial"/>
        </w:rPr>
        <w:t>Czinkota</w:t>
      </w:r>
      <w:proofErr w:type="spellEnd"/>
      <w:r w:rsidRPr="009F50AA">
        <w:rPr>
          <w:rFonts w:ascii="Arial" w:hAnsi="Arial" w:cs="Arial"/>
        </w:rPr>
        <w:t xml:space="preserve">, M. R., </w:t>
      </w:r>
      <w:proofErr w:type="spellStart"/>
      <w:r w:rsidRPr="009F50AA">
        <w:rPr>
          <w:rFonts w:ascii="Arial" w:hAnsi="Arial" w:cs="Arial"/>
        </w:rPr>
        <w:t>Kotabe</w:t>
      </w:r>
      <w:proofErr w:type="spellEnd"/>
      <w:r w:rsidRPr="009F50AA">
        <w:rPr>
          <w:rFonts w:ascii="Arial" w:hAnsi="Arial" w:cs="Arial"/>
        </w:rPr>
        <w:t xml:space="preserve">, M., </w:t>
      </w:r>
      <w:proofErr w:type="spellStart"/>
      <w:r w:rsidRPr="009F50AA">
        <w:rPr>
          <w:rFonts w:ascii="Arial" w:hAnsi="Arial" w:cs="Arial"/>
        </w:rPr>
        <w:t>Vrontis</w:t>
      </w:r>
      <w:proofErr w:type="spellEnd"/>
      <w:r w:rsidRPr="009F50AA">
        <w:rPr>
          <w:rFonts w:ascii="Arial" w:hAnsi="Arial" w:cs="Arial"/>
        </w:rPr>
        <w:t>, D., &amp; Shams, S. R. (2021). </w:t>
      </w:r>
      <w:r w:rsidRPr="009F50AA">
        <w:rPr>
          <w:rFonts w:ascii="Arial" w:hAnsi="Arial" w:cs="Arial"/>
          <w:i/>
          <w:iCs/>
        </w:rPr>
        <w:t>Marketing management: Past, present and future</w:t>
      </w:r>
      <w:r w:rsidRPr="009F50AA">
        <w:rPr>
          <w:rFonts w:ascii="Arial" w:hAnsi="Arial" w:cs="Arial"/>
        </w:rPr>
        <w:t>. Springer Nature.</w:t>
      </w:r>
    </w:p>
    <w:p w14:paraId="34A43AAF" w14:textId="77777777" w:rsidR="000B48B0" w:rsidRPr="009F50AA" w:rsidRDefault="000B48B0" w:rsidP="00F83AE0">
      <w:pPr>
        <w:ind w:left="720" w:hanging="720"/>
        <w:rPr>
          <w:rFonts w:ascii="Arial" w:hAnsi="Arial" w:cs="Arial"/>
        </w:rPr>
      </w:pPr>
      <w:r w:rsidRPr="009F50AA">
        <w:rPr>
          <w:rFonts w:ascii="Arial" w:hAnsi="Arial" w:cs="Arial"/>
        </w:rPr>
        <w:t xml:space="preserve">Department for Energy Security &amp; Net Zero. (2023, December 14). </w:t>
      </w:r>
      <w:r w:rsidRPr="009F50AA">
        <w:rPr>
          <w:rFonts w:ascii="Arial" w:hAnsi="Arial" w:cs="Arial"/>
          <w:i/>
          <w:iCs/>
        </w:rPr>
        <w:t>Hydrogen production delivery roadmap</w:t>
      </w:r>
      <w:r w:rsidRPr="009F50AA">
        <w:rPr>
          <w:rFonts w:ascii="Arial" w:hAnsi="Arial" w:cs="Arial"/>
        </w:rPr>
        <w:t xml:space="preserve">. GOV.UK. </w:t>
      </w:r>
      <w:hyperlink r:id="rId21" w:tgtFrame="_new" w:history="1">
        <w:r w:rsidRPr="009F50AA">
          <w:rPr>
            <w:rStyle w:val="Hyperlink"/>
            <w:rFonts w:ascii="Arial" w:hAnsi="Arial" w:cs="Arial"/>
          </w:rPr>
          <w:t>https://www.gov.uk/government/publications/hydrogen-production-delivery-roadmap/hydrogen-production-delivery-roadmap</w:t>
        </w:r>
      </w:hyperlink>
      <w:r w:rsidRPr="009F50AA">
        <w:rPr>
          <w:rFonts w:ascii="Arial" w:hAnsi="Arial" w:cs="Arial"/>
        </w:rPr>
        <w:t xml:space="preserve"> (Accessed: 06 December 2025).</w:t>
      </w:r>
    </w:p>
    <w:p w14:paraId="1B6C1A2D" w14:textId="77777777" w:rsidR="000B48B0" w:rsidRPr="009F50AA" w:rsidRDefault="000B48B0" w:rsidP="00F83AE0">
      <w:pPr>
        <w:ind w:left="720" w:hanging="720"/>
        <w:rPr>
          <w:rFonts w:ascii="Arial" w:hAnsi="Arial" w:cs="Arial"/>
        </w:rPr>
      </w:pPr>
      <w:r w:rsidRPr="009F50AA">
        <w:rPr>
          <w:rFonts w:ascii="Arial" w:hAnsi="Arial" w:cs="Arial"/>
        </w:rPr>
        <w:t xml:space="preserve">Dwivedi, A., &amp; McDonald, B. (2025). A model of brand price </w:t>
      </w:r>
      <w:proofErr w:type="spellStart"/>
      <w:r w:rsidRPr="009F50AA">
        <w:rPr>
          <w:rFonts w:ascii="Arial" w:hAnsi="Arial" w:cs="Arial"/>
        </w:rPr>
        <w:t>premiumness</w:t>
      </w:r>
      <w:proofErr w:type="spellEnd"/>
      <w:r w:rsidRPr="009F50AA">
        <w:rPr>
          <w:rFonts w:ascii="Arial" w:hAnsi="Arial" w:cs="Arial"/>
        </w:rPr>
        <w:t xml:space="preserve"> and its marketing outcomes. </w:t>
      </w:r>
      <w:r w:rsidRPr="009F50AA">
        <w:rPr>
          <w:rFonts w:ascii="Arial" w:hAnsi="Arial" w:cs="Arial"/>
          <w:i/>
          <w:iCs/>
        </w:rPr>
        <w:t>Journal of Marketing Theory and Practice</w:t>
      </w:r>
      <w:r w:rsidRPr="009F50AA">
        <w:rPr>
          <w:rFonts w:ascii="Arial" w:hAnsi="Arial" w:cs="Arial"/>
        </w:rPr>
        <w:t xml:space="preserve">, 1-22. Available at: </w:t>
      </w:r>
      <w:hyperlink r:id="rId22" w:history="1">
        <w:r w:rsidRPr="009F50AA">
          <w:rPr>
            <w:rStyle w:val="Hyperlink"/>
            <w:rFonts w:ascii="Arial" w:hAnsi="Arial" w:cs="Arial"/>
          </w:rPr>
          <w:t>https://www.tandfonline.com/doi/pdf/10.1080/10696679.2025.2544671</w:t>
        </w:r>
      </w:hyperlink>
      <w:r w:rsidRPr="009F50AA">
        <w:rPr>
          <w:rFonts w:ascii="Arial" w:hAnsi="Arial" w:cs="Arial"/>
        </w:rPr>
        <w:t xml:space="preserve"> (Accessed: 07 December 2025).</w:t>
      </w:r>
    </w:p>
    <w:p w14:paraId="1D34F895" w14:textId="77777777" w:rsidR="000B48B0" w:rsidRPr="009F50AA" w:rsidRDefault="000B48B0" w:rsidP="00F83AE0">
      <w:pPr>
        <w:ind w:left="720" w:hanging="720"/>
        <w:rPr>
          <w:rFonts w:ascii="Arial" w:hAnsi="Arial" w:cs="Arial"/>
        </w:rPr>
      </w:pPr>
      <w:r w:rsidRPr="009F50AA">
        <w:rPr>
          <w:rFonts w:ascii="Arial" w:hAnsi="Arial" w:cs="Arial"/>
        </w:rPr>
        <w:t xml:space="preserve">Fripp, G. (2022). </w:t>
      </w:r>
      <w:r w:rsidRPr="009F50AA">
        <w:rPr>
          <w:rFonts w:ascii="Arial" w:hAnsi="Arial" w:cs="Arial"/>
          <w:i/>
          <w:iCs/>
        </w:rPr>
        <w:t>Understanding the STDP process in marketing</w:t>
      </w:r>
      <w:r w:rsidRPr="009F50AA">
        <w:rPr>
          <w:rFonts w:ascii="Arial" w:hAnsi="Arial" w:cs="Arial"/>
        </w:rPr>
        <w:t xml:space="preserve">. Segmentation Study Guide. </w:t>
      </w:r>
      <w:hyperlink r:id="rId23" w:tgtFrame="_new" w:history="1">
        <w:r w:rsidRPr="009F50AA">
          <w:rPr>
            <w:rStyle w:val="Hyperlink"/>
            <w:rFonts w:ascii="Arial" w:hAnsi="Arial" w:cs="Arial"/>
          </w:rPr>
          <w:t>https://www.segmentationstudyguide.com/understanding-the-stdp-process-in-marketing/</w:t>
        </w:r>
      </w:hyperlink>
      <w:r w:rsidRPr="009F50AA">
        <w:rPr>
          <w:rFonts w:ascii="Arial" w:hAnsi="Arial" w:cs="Arial"/>
        </w:rPr>
        <w:t xml:space="preserve"> (Accessed: 09 December 2025).</w:t>
      </w:r>
    </w:p>
    <w:p w14:paraId="14312381" w14:textId="77777777" w:rsidR="000B48B0" w:rsidRPr="009F50AA" w:rsidRDefault="000B48B0" w:rsidP="000B48B0">
      <w:pPr>
        <w:ind w:left="720" w:hanging="720"/>
        <w:rPr>
          <w:rFonts w:ascii="Arial" w:hAnsi="Arial" w:cs="Arial"/>
        </w:rPr>
      </w:pPr>
      <w:r w:rsidRPr="009F50AA">
        <w:rPr>
          <w:rStyle w:val="Strong"/>
          <w:rFonts w:ascii="Arial" w:hAnsi="Arial" w:cs="Arial"/>
          <w:b w:val="0"/>
          <w:bCs w:val="0"/>
        </w:rPr>
        <w:t>Gibbs, G. (1988).</w:t>
      </w:r>
      <w:r w:rsidRPr="009F50AA">
        <w:rPr>
          <w:rFonts w:ascii="Arial" w:hAnsi="Arial" w:cs="Arial"/>
        </w:rPr>
        <w:t xml:space="preserve"> </w:t>
      </w:r>
      <w:r w:rsidRPr="009F50AA">
        <w:rPr>
          <w:rStyle w:val="Emphasis"/>
          <w:rFonts w:ascii="Arial" w:hAnsi="Arial" w:cs="Arial"/>
        </w:rPr>
        <w:t>Learning by doing: A guide to teaching and learning methods.</w:t>
      </w:r>
      <w:r w:rsidRPr="009F50AA">
        <w:rPr>
          <w:rFonts w:ascii="Arial" w:hAnsi="Arial" w:cs="Arial"/>
        </w:rPr>
        <w:t xml:space="preserve"> Oxford Polytechnic.</w:t>
      </w:r>
    </w:p>
    <w:p w14:paraId="3C2BC842" w14:textId="77777777" w:rsidR="000B48B0" w:rsidRPr="009F50AA" w:rsidRDefault="000B48B0" w:rsidP="00F83AE0">
      <w:pPr>
        <w:ind w:left="720" w:hanging="720"/>
        <w:rPr>
          <w:rFonts w:ascii="Arial" w:hAnsi="Arial" w:cs="Arial"/>
        </w:rPr>
      </w:pPr>
      <w:r w:rsidRPr="009F50AA">
        <w:rPr>
          <w:rFonts w:ascii="Arial" w:hAnsi="Arial" w:cs="Arial"/>
        </w:rPr>
        <w:t>Jakob, M., &amp; Steckel, J. C. (2022). </w:t>
      </w:r>
      <w:r w:rsidRPr="009F50AA">
        <w:rPr>
          <w:rFonts w:ascii="Arial" w:hAnsi="Arial" w:cs="Arial"/>
          <w:i/>
          <w:iCs/>
        </w:rPr>
        <w:t>The political economy of coal: obstacles to clean energy transitions</w:t>
      </w:r>
      <w:r w:rsidRPr="009F50AA">
        <w:rPr>
          <w:rFonts w:ascii="Arial" w:hAnsi="Arial" w:cs="Arial"/>
        </w:rPr>
        <w:t xml:space="preserve"> (p. 364). Taylor &amp; Francis. Available at: </w:t>
      </w:r>
      <w:hyperlink r:id="rId24" w:history="1">
        <w:r w:rsidRPr="009F50AA">
          <w:rPr>
            <w:rStyle w:val="Hyperlink"/>
            <w:rFonts w:ascii="Arial" w:hAnsi="Arial" w:cs="Arial"/>
          </w:rPr>
          <w:t>https://library.oapen.org/bitstream/handle/20.500.12657/52615/1/9781000551556.pdf</w:t>
        </w:r>
      </w:hyperlink>
      <w:r w:rsidRPr="009F50AA">
        <w:rPr>
          <w:rFonts w:ascii="Arial" w:hAnsi="Arial" w:cs="Arial"/>
        </w:rPr>
        <w:t xml:space="preserve"> (Accessed: 08 December 2025).</w:t>
      </w:r>
    </w:p>
    <w:p w14:paraId="76AE4EE2" w14:textId="77777777" w:rsidR="000B48B0" w:rsidRPr="009F50AA" w:rsidRDefault="000B48B0" w:rsidP="009D35F8">
      <w:pPr>
        <w:ind w:left="720" w:hanging="720"/>
        <w:rPr>
          <w:rFonts w:ascii="Arial" w:hAnsi="Arial" w:cs="Arial"/>
        </w:rPr>
      </w:pPr>
      <w:r w:rsidRPr="009F50AA">
        <w:rPr>
          <w:rFonts w:ascii="Arial" w:hAnsi="Arial" w:cs="Arial"/>
        </w:rPr>
        <w:t>Liu, G., Guo, T., Wang, P., Jiang, H., Wang, H., Zhao, X., ... &amp; Xu, Y. (2024). Economic analysis of hydrogen energy systems: A global perspective. </w:t>
      </w:r>
      <w:proofErr w:type="spellStart"/>
      <w:r w:rsidRPr="009F50AA">
        <w:rPr>
          <w:rFonts w:ascii="Arial" w:hAnsi="Arial" w:cs="Arial"/>
          <w:i/>
          <w:iCs/>
        </w:rPr>
        <w:t>Heliyon</w:t>
      </w:r>
      <w:proofErr w:type="spellEnd"/>
      <w:r w:rsidRPr="009F50AA">
        <w:rPr>
          <w:rFonts w:ascii="Arial" w:hAnsi="Arial" w:cs="Arial"/>
        </w:rPr>
        <w:t>, </w:t>
      </w:r>
      <w:r w:rsidRPr="009F50AA">
        <w:rPr>
          <w:rFonts w:ascii="Arial" w:hAnsi="Arial" w:cs="Arial"/>
          <w:i/>
          <w:iCs/>
        </w:rPr>
        <w:t>10</w:t>
      </w:r>
      <w:r w:rsidRPr="009F50AA">
        <w:rPr>
          <w:rFonts w:ascii="Arial" w:hAnsi="Arial" w:cs="Arial"/>
        </w:rPr>
        <w:t xml:space="preserve">(18). Available at: </w:t>
      </w:r>
      <w:hyperlink r:id="rId25" w:history="1">
        <w:r w:rsidRPr="009F50AA">
          <w:rPr>
            <w:rStyle w:val="Hyperlink"/>
            <w:rFonts w:ascii="Arial" w:hAnsi="Arial" w:cs="Arial"/>
          </w:rPr>
          <w:t>https://www.cell.com/heliyon/pdf/S2405-8440(24)12250-5.pdf</w:t>
        </w:r>
      </w:hyperlink>
      <w:r w:rsidRPr="009F50AA">
        <w:rPr>
          <w:rFonts w:ascii="Arial" w:hAnsi="Arial" w:cs="Arial"/>
        </w:rPr>
        <w:t xml:space="preserve"> (Accessed: 08 December 2025).</w:t>
      </w:r>
    </w:p>
    <w:p w14:paraId="18153C2D" w14:textId="77777777" w:rsidR="000B48B0" w:rsidRPr="009F50AA" w:rsidRDefault="000B48B0" w:rsidP="00F83AE0">
      <w:pPr>
        <w:ind w:left="720" w:hanging="720"/>
        <w:rPr>
          <w:rFonts w:ascii="Arial" w:hAnsi="Arial" w:cs="Arial"/>
        </w:rPr>
      </w:pPr>
      <w:proofErr w:type="spellStart"/>
      <w:r w:rsidRPr="009F50AA">
        <w:rPr>
          <w:rFonts w:ascii="Arial" w:hAnsi="Arial" w:cs="Arial"/>
        </w:rPr>
        <w:t>Lubello</w:t>
      </w:r>
      <w:proofErr w:type="spellEnd"/>
      <w:r w:rsidRPr="009F50AA">
        <w:rPr>
          <w:rFonts w:ascii="Arial" w:hAnsi="Arial" w:cs="Arial"/>
        </w:rPr>
        <w:t xml:space="preserve">, P., </w:t>
      </w:r>
      <w:proofErr w:type="spellStart"/>
      <w:r w:rsidRPr="009F50AA">
        <w:rPr>
          <w:rFonts w:ascii="Arial" w:hAnsi="Arial" w:cs="Arial"/>
        </w:rPr>
        <w:t>Pasqui</w:t>
      </w:r>
      <w:proofErr w:type="spellEnd"/>
      <w:r w:rsidRPr="009F50AA">
        <w:rPr>
          <w:rFonts w:ascii="Arial" w:hAnsi="Arial" w:cs="Arial"/>
        </w:rPr>
        <w:t xml:space="preserve">, M., Mati, A., &amp; </w:t>
      </w:r>
      <w:proofErr w:type="spellStart"/>
      <w:r w:rsidRPr="009F50AA">
        <w:rPr>
          <w:rFonts w:ascii="Arial" w:hAnsi="Arial" w:cs="Arial"/>
        </w:rPr>
        <w:t>Carcasci</w:t>
      </w:r>
      <w:proofErr w:type="spellEnd"/>
      <w:r w:rsidRPr="009F50AA">
        <w:rPr>
          <w:rFonts w:ascii="Arial" w:hAnsi="Arial" w:cs="Arial"/>
        </w:rPr>
        <w:t>, C. (2022). Assessment of hydrogen-based long term electrical energy storage in residential energy systems. </w:t>
      </w:r>
      <w:r w:rsidRPr="009F50AA">
        <w:rPr>
          <w:rFonts w:ascii="Arial" w:hAnsi="Arial" w:cs="Arial"/>
          <w:i/>
          <w:iCs/>
        </w:rPr>
        <w:t>Smart Energy</w:t>
      </w:r>
      <w:r w:rsidRPr="009F50AA">
        <w:rPr>
          <w:rFonts w:ascii="Arial" w:hAnsi="Arial" w:cs="Arial"/>
        </w:rPr>
        <w:t>, </w:t>
      </w:r>
      <w:r w:rsidRPr="009F50AA">
        <w:rPr>
          <w:rFonts w:ascii="Arial" w:hAnsi="Arial" w:cs="Arial"/>
          <w:i/>
          <w:iCs/>
        </w:rPr>
        <w:t>8</w:t>
      </w:r>
      <w:r w:rsidRPr="009F50AA">
        <w:rPr>
          <w:rFonts w:ascii="Arial" w:hAnsi="Arial" w:cs="Arial"/>
        </w:rPr>
        <w:t xml:space="preserve">, 100088. Available at: </w:t>
      </w:r>
      <w:hyperlink r:id="rId26" w:history="1">
        <w:r w:rsidRPr="009F50AA">
          <w:rPr>
            <w:rStyle w:val="Hyperlink"/>
            <w:rFonts w:ascii="Arial" w:hAnsi="Arial" w:cs="Arial"/>
          </w:rPr>
          <w:t>https://www.sciencedirect.com/science/article/pii/S2666955222000260</w:t>
        </w:r>
      </w:hyperlink>
      <w:r w:rsidRPr="009F50AA">
        <w:rPr>
          <w:rFonts w:ascii="Arial" w:hAnsi="Arial" w:cs="Arial"/>
        </w:rPr>
        <w:t xml:space="preserve"> (Accessed: 08 December 2025).</w:t>
      </w:r>
    </w:p>
    <w:p w14:paraId="01B2386F" w14:textId="77777777" w:rsidR="000B48B0" w:rsidRPr="009F50AA" w:rsidRDefault="000B48B0" w:rsidP="000B48B0">
      <w:pPr>
        <w:ind w:left="720" w:hanging="720"/>
        <w:rPr>
          <w:rFonts w:ascii="Arial" w:hAnsi="Arial" w:cs="Arial"/>
        </w:rPr>
      </w:pPr>
      <w:r w:rsidRPr="009F50AA">
        <w:rPr>
          <w:rFonts w:ascii="Arial" w:hAnsi="Arial" w:cs="Arial"/>
          <w:sz w:val="22"/>
          <w:shd w:val="clear" w:color="auto" w:fill="FFFFFF"/>
        </w:rPr>
        <w:lastRenderedPageBreak/>
        <w:t xml:space="preserve">Munir, A., Kadir, N., Umar, F., </w:t>
      </w:r>
      <w:proofErr w:type="spellStart"/>
      <w:r w:rsidRPr="009F50AA">
        <w:rPr>
          <w:rFonts w:ascii="Arial" w:hAnsi="Arial" w:cs="Arial"/>
          <w:sz w:val="22"/>
          <w:shd w:val="clear" w:color="auto" w:fill="FFFFFF"/>
        </w:rPr>
        <w:t>Pasryb</w:t>
      </w:r>
      <w:proofErr w:type="spellEnd"/>
      <w:r w:rsidRPr="009F50AA">
        <w:rPr>
          <w:rFonts w:ascii="Arial" w:hAnsi="Arial" w:cs="Arial"/>
          <w:sz w:val="22"/>
          <w:shd w:val="clear" w:color="auto" w:fill="FFFFFF"/>
        </w:rPr>
        <w:t xml:space="preserve">, A &amp; Sulaiman, S. (2024). Brand capabilities in digital marketing: The key to enhancing marketing </w:t>
      </w:r>
      <w:proofErr w:type="spellStart"/>
      <w:proofErr w:type="gramStart"/>
      <w:r w:rsidRPr="009F50AA">
        <w:rPr>
          <w:rFonts w:ascii="Arial" w:hAnsi="Arial" w:cs="Arial"/>
          <w:sz w:val="22"/>
          <w:shd w:val="clear" w:color="auto" w:fill="FFFFFF"/>
        </w:rPr>
        <w:t>performance.</w:t>
      </w:r>
      <w:r w:rsidRPr="009F50AA">
        <w:rPr>
          <w:rFonts w:ascii="Arial" w:hAnsi="Arial" w:cs="Arial"/>
          <w:i/>
          <w:iCs/>
          <w:sz w:val="22"/>
        </w:rPr>
        <w:t>International</w:t>
      </w:r>
      <w:proofErr w:type="spellEnd"/>
      <w:proofErr w:type="gramEnd"/>
      <w:r w:rsidRPr="009F50AA">
        <w:rPr>
          <w:rFonts w:ascii="Arial" w:hAnsi="Arial" w:cs="Arial"/>
          <w:i/>
          <w:iCs/>
          <w:sz w:val="22"/>
        </w:rPr>
        <w:t xml:space="preserve"> Journal of Data and Network Science</w:t>
      </w:r>
      <w:r w:rsidRPr="009F50AA">
        <w:rPr>
          <w:rFonts w:ascii="Arial" w:hAnsi="Arial" w:cs="Arial"/>
          <w:sz w:val="22"/>
          <w:shd w:val="clear" w:color="auto" w:fill="FFFFFF"/>
        </w:rPr>
        <w:t>, 8(2), 947-956.</w:t>
      </w:r>
    </w:p>
    <w:p w14:paraId="2D2BA2A3" w14:textId="77777777" w:rsidR="000B48B0" w:rsidRPr="009F50AA" w:rsidRDefault="000B48B0" w:rsidP="00F83AE0">
      <w:pPr>
        <w:ind w:left="720" w:hanging="720"/>
        <w:rPr>
          <w:rFonts w:ascii="Arial" w:hAnsi="Arial" w:cs="Arial"/>
        </w:rPr>
      </w:pPr>
      <w:r w:rsidRPr="009F50AA">
        <w:rPr>
          <w:rFonts w:ascii="Arial" w:hAnsi="Arial" w:cs="Arial"/>
        </w:rPr>
        <w:t>Ogbonnaya, C., Abeykoon, C., Nasser, A., Turan, A., &amp; Ume, C. S. (2021). Prospects of integrated photovoltaic-fuel cell systems in a hydrogen economy: A comprehensive review. </w:t>
      </w:r>
      <w:r w:rsidRPr="009F50AA">
        <w:rPr>
          <w:rFonts w:ascii="Arial" w:hAnsi="Arial" w:cs="Arial"/>
          <w:i/>
          <w:iCs/>
        </w:rPr>
        <w:t>Energies</w:t>
      </w:r>
      <w:r w:rsidRPr="009F50AA">
        <w:rPr>
          <w:rFonts w:ascii="Arial" w:hAnsi="Arial" w:cs="Arial"/>
        </w:rPr>
        <w:t>, </w:t>
      </w:r>
      <w:r w:rsidRPr="009F50AA">
        <w:rPr>
          <w:rFonts w:ascii="Arial" w:hAnsi="Arial" w:cs="Arial"/>
          <w:i/>
          <w:iCs/>
        </w:rPr>
        <w:t>14</w:t>
      </w:r>
      <w:r w:rsidRPr="009F50AA">
        <w:rPr>
          <w:rFonts w:ascii="Arial" w:hAnsi="Arial" w:cs="Arial"/>
        </w:rPr>
        <w:t xml:space="preserve">(20), 6827. Available at: </w:t>
      </w:r>
      <w:hyperlink r:id="rId27" w:history="1">
        <w:r w:rsidRPr="009F50AA">
          <w:rPr>
            <w:rStyle w:val="Hyperlink"/>
            <w:rFonts w:ascii="Arial" w:hAnsi="Arial" w:cs="Arial"/>
          </w:rPr>
          <w:t>https://www.mdpi.com/1996-1073/14/20/6827</w:t>
        </w:r>
      </w:hyperlink>
      <w:r w:rsidRPr="009F50AA">
        <w:rPr>
          <w:rFonts w:ascii="Arial" w:hAnsi="Arial" w:cs="Arial"/>
        </w:rPr>
        <w:t xml:space="preserve"> (Accessed: 08 December 2025).</w:t>
      </w:r>
    </w:p>
    <w:p w14:paraId="7E0B166A" w14:textId="77777777" w:rsidR="000B48B0" w:rsidRPr="009F50AA" w:rsidRDefault="000B48B0" w:rsidP="00F83AE0">
      <w:pPr>
        <w:ind w:left="720" w:hanging="720"/>
        <w:rPr>
          <w:rFonts w:ascii="Arial" w:hAnsi="Arial" w:cs="Arial"/>
        </w:rPr>
      </w:pPr>
      <w:r w:rsidRPr="009F50AA">
        <w:rPr>
          <w:rFonts w:ascii="Arial" w:hAnsi="Arial" w:cs="Arial"/>
        </w:rPr>
        <w:t xml:space="preserve">P&amp;S Intelligence (2025) </w:t>
      </w:r>
      <w:r w:rsidRPr="009F50AA">
        <w:rPr>
          <w:rFonts w:ascii="Arial" w:hAnsi="Arial" w:cs="Arial"/>
          <w:i/>
          <w:iCs/>
        </w:rPr>
        <w:t>Hydrogen Energy Storage Market Size &amp; Share Analysis: Emerging Trends, Growth Opportunities, Competitive Landscape and Forecasts (2019–2032)</w:t>
      </w:r>
      <w:r w:rsidRPr="009F50AA">
        <w:rPr>
          <w:rFonts w:ascii="Arial" w:hAnsi="Arial" w:cs="Arial"/>
        </w:rPr>
        <w:t xml:space="preserve">. Available at: </w:t>
      </w:r>
      <w:hyperlink r:id="rId28" w:tgtFrame="_new" w:history="1">
        <w:r w:rsidRPr="009F50AA">
          <w:rPr>
            <w:rStyle w:val="Hyperlink"/>
            <w:rFonts w:ascii="Arial" w:hAnsi="Arial" w:cs="Arial"/>
          </w:rPr>
          <w:t>https://www.psmarketresearch.com/market-analysis/hydrogen-storage-market</w:t>
        </w:r>
      </w:hyperlink>
      <w:r w:rsidRPr="009F50AA">
        <w:rPr>
          <w:rFonts w:ascii="Arial" w:hAnsi="Arial" w:cs="Arial"/>
        </w:rPr>
        <w:t xml:space="preserve"> (Accessed: 05 December 2025).</w:t>
      </w:r>
    </w:p>
    <w:p w14:paraId="0A67D121" w14:textId="77777777" w:rsidR="000B48B0" w:rsidRPr="009F50AA" w:rsidRDefault="000B48B0" w:rsidP="00F83AE0">
      <w:pPr>
        <w:ind w:left="720" w:hanging="720"/>
        <w:rPr>
          <w:rFonts w:ascii="Arial" w:hAnsi="Arial" w:cs="Arial"/>
        </w:rPr>
      </w:pPr>
      <w:r w:rsidRPr="009F50AA">
        <w:rPr>
          <w:rFonts w:ascii="Arial" w:hAnsi="Arial" w:cs="Arial"/>
        </w:rPr>
        <w:t>Patel, S. K. S., Gupta, R. K., Rohit, M. V., &amp; Lee, J. K. (2024). Recent developments in hydrogen production, storage, and transportation: Challenges, opportunities, and perspectives. </w:t>
      </w:r>
      <w:r w:rsidRPr="009F50AA">
        <w:rPr>
          <w:rFonts w:ascii="Arial" w:hAnsi="Arial" w:cs="Arial"/>
          <w:i/>
          <w:iCs/>
        </w:rPr>
        <w:t>Fire</w:t>
      </w:r>
      <w:r w:rsidRPr="009F50AA">
        <w:rPr>
          <w:rFonts w:ascii="Arial" w:hAnsi="Arial" w:cs="Arial"/>
        </w:rPr>
        <w:t>, </w:t>
      </w:r>
      <w:r w:rsidRPr="009F50AA">
        <w:rPr>
          <w:rFonts w:ascii="Arial" w:hAnsi="Arial" w:cs="Arial"/>
          <w:i/>
          <w:iCs/>
        </w:rPr>
        <w:t>7</w:t>
      </w:r>
      <w:r w:rsidRPr="009F50AA">
        <w:rPr>
          <w:rFonts w:ascii="Arial" w:hAnsi="Arial" w:cs="Arial"/>
        </w:rPr>
        <w:t xml:space="preserve">(7), 233. Available at: </w:t>
      </w:r>
      <w:hyperlink r:id="rId29" w:history="1">
        <w:r w:rsidRPr="009F50AA">
          <w:rPr>
            <w:rStyle w:val="Hyperlink"/>
            <w:rFonts w:ascii="Arial" w:hAnsi="Arial" w:cs="Arial"/>
          </w:rPr>
          <w:t>https://www.mdpi.com/2571-6255/7/7/233</w:t>
        </w:r>
      </w:hyperlink>
      <w:r w:rsidRPr="009F50AA">
        <w:rPr>
          <w:rFonts w:ascii="Arial" w:hAnsi="Arial" w:cs="Arial"/>
        </w:rPr>
        <w:t xml:space="preserve"> (Accessed: 04 December 2025).</w:t>
      </w:r>
    </w:p>
    <w:p w14:paraId="4BCE92C3" w14:textId="77777777" w:rsidR="000B48B0" w:rsidRPr="009F50AA" w:rsidRDefault="000B48B0" w:rsidP="00442089">
      <w:pPr>
        <w:ind w:left="720" w:hanging="720"/>
        <w:rPr>
          <w:rFonts w:ascii="Arial" w:hAnsi="Arial" w:cs="Arial"/>
        </w:rPr>
      </w:pPr>
      <w:r w:rsidRPr="009F50AA">
        <w:rPr>
          <w:rFonts w:ascii="Arial" w:hAnsi="Arial" w:cs="Arial"/>
        </w:rPr>
        <w:t xml:space="preserve">Precedence Research (2024) </w:t>
      </w:r>
      <w:r w:rsidRPr="009F50AA">
        <w:rPr>
          <w:rFonts w:ascii="Arial" w:hAnsi="Arial" w:cs="Arial"/>
          <w:i/>
          <w:iCs/>
        </w:rPr>
        <w:t>Hydrogen Energy Storage Market Analysis: Market Size, Applications, and Regional Insights 2025–2034</w:t>
      </w:r>
      <w:r w:rsidRPr="009F50AA">
        <w:rPr>
          <w:rFonts w:ascii="Arial" w:hAnsi="Arial" w:cs="Arial"/>
        </w:rPr>
        <w:t xml:space="preserve">. Available at: </w:t>
      </w:r>
      <w:hyperlink r:id="rId30" w:tgtFrame="_new" w:history="1">
        <w:r w:rsidRPr="009F50AA">
          <w:rPr>
            <w:rStyle w:val="Hyperlink"/>
            <w:rFonts w:ascii="Arial" w:hAnsi="Arial" w:cs="Arial"/>
          </w:rPr>
          <w:t>https://www.precedenceresearch.com/hydrogen-energy-storage-market</w:t>
        </w:r>
      </w:hyperlink>
      <w:r w:rsidRPr="009F50AA">
        <w:rPr>
          <w:rFonts w:ascii="Arial" w:hAnsi="Arial" w:cs="Arial"/>
        </w:rPr>
        <w:t xml:space="preserve"> (Accessed: 08 December 2025).</w:t>
      </w:r>
    </w:p>
    <w:p w14:paraId="4EE13062" w14:textId="77777777" w:rsidR="000B48B0" w:rsidRPr="009F50AA" w:rsidRDefault="000B48B0" w:rsidP="00F83AE0">
      <w:pPr>
        <w:ind w:left="720" w:hanging="720"/>
        <w:rPr>
          <w:rFonts w:ascii="Arial" w:hAnsi="Arial" w:cs="Arial"/>
        </w:rPr>
      </w:pPr>
      <w:r w:rsidRPr="009F50AA">
        <w:rPr>
          <w:rFonts w:ascii="Arial" w:hAnsi="Arial" w:cs="Arial"/>
        </w:rPr>
        <w:t>Rolo, I., Costa, V. A., &amp; Brito, F. P. (2023). Hydrogen-based energy systems: current technology development status, opportunities and challenges. </w:t>
      </w:r>
      <w:r w:rsidRPr="009F50AA">
        <w:rPr>
          <w:rFonts w:ascii="Arial" w:hAnsi="Arial" w:cs="Arial"/>
          <w:i/>
          <w:iCs/>
        </w:rPr>
        <w:t>Energies</w:t>
      </w:r>
      <w:r w:rsidRPr="009F50AA">
        <w:rPr>
          <w:rFonts w:ascii="Arial" w:hAnsi="Arial" w:cs="Arial"/>
        </w:rPr>
        <w:t>, </w:t>
      </w:r>
      <w:r w:rsidRPr="009F50AA">
        <w:rPr>
          <w:rFonts w:ascii="Arial" w:hAnsi="Arial" w:cs="Arial"/>
          <w:i/>
          <w:iCs/>
        </w:rPr>
        <w:t>17</w:t>
      </w:r>
      <w:r w:rsidRPr="009F50AA">
        <w:rPr>
          <w:rFonts w:ascii="Arial" w:hAnsi="Arial" w:cs="Arial"/>
        </w:rPr>
        <w:t xml:space="preserve">(1), 180. Available at: </w:t>
      </w:r>
      <w:hyperlink r:id="rId31" w:history="1">
        <w:r w:rsidRPr="009F50AA">
          <w:rPr>
            <w:rStyle w:val="Hyperlink"/>
            <w:rFonts w:ascii="Arial" w:hAnsi="Arial" w:cs="Arial"/>
          </w:rPr>
          <w:t>https://www.mdpi.com/1996-1073/17/1/180</w:t>
        </w:r>
      </w:hyperlink>
      <w:r w:rsidRPr="009F50AA">
        <w:rPr>
          <w:rFonts w:ascii="Arial" w:hAnsi="Arial" w:cs="Arial"/>
        </w:rPr>
        <w:t xml:space="preserve"> (Accessed: 08 December 2025).</w:t>
      </w:r>
    </w:p>
    <w:p w14:paraId="300A0EDF" w14:textId="77777777" w:rsidR="000B48B0" w:rsidRPr="009F50AA" w:rsidRDefault="000B48B0" w:rsidP="00F83AE0">
      <w:pPr>
        <w:ind w:left="720" w:hanging="720"/>
        <w:rPr>
          <w:rFonts w:ascii="Arial" w:hAnsi="Arial" w:cs="Arial"/>
        </w:rPr>
      </w:pPr>
      <w:r w:rsidRPr="009F50AA">
        <w:rPr>
          <w:rFonts w:ascii="Arial" w:hAnsi="Arial" w:cs="Arial"/>
        </w:rPr>
        <w:t xml:space="preserve">Toyota Motor Corporation (2025) </w:t>
      </w:r>
      <w:r w:rsidRPr="009F50AA">
        <w:rPr>
          <w:rFonts w:ascii="Arial" w:hAnsi="Arial" w:cs="Arial"/>
          <w:i/>
          <w:iCs/>
        </w:rPr>
        <w:t>Toyota Motor Corporation: Corporate Overview</w:t>
      </w:r>
      <w:r w:rsidRPr="009F50AA">
        <w:rPr>
          <w:rFonts w:ascii="Arial" w:hAnsi="Arial" w:cs="Arial"/>
        </w:rPr>
        <w:t xml:space="preserve">. Available at: </w:t>
      </w:r>
      <w:hyperlink r:id="rId32" w:tgtFrame="_new" w:history="1">
        <w:r w:rsidRPr="009F50AA">
          <w:rPr>
            <w:rStyle w:val="Hyperlink"/>
            <w:rFonts w:ascii="Arial" w:hAnsi="Arial" w:cs="Arial"/>
          </w:rPr>
          <w:t>https://global.toyota/en/company/profile/overview/index.html</w:t>
        </w:r>
      </w:hyperlink>
      <w:r w:rsidRPr="009F50AA">
        <w:rPr>
          <w:rFonts w:ascii="Arial" w:hAnsi="Arial" w:cs="Arial"/>
        </w:rPr>
        <w:t xml:space="preserve"> (Accessed: 07 December 2025).</w:t>
      </w:r>
    </w:p>
    <w:p w14:paraId="0CE950BD" w14:textId="77777777" w:rsidR="000B48B0" w:rsidRPr="009F50AA" w:rsidRDefault="000B48B0" w:rsidP="00F83AE0">
      <w:pPr>
        <w:ind w:left="720" w:hanging="720"/>
        <w:rPr>
          <w:rFonts w:ascii="Arial" w:hAnsi="Arial" w:cs="Arial"/>
        </w:rPr>
      </w:pPr>
      <w:r w:rsidRPr="009F50AA">
        <w:rPr>
          <w:rFonts w:ascii="Arial" w:hAnsi="Arial" w:cs="Arial"/>
        </w:rPr>
        <w:t xml:space="preserve">Universal Marketing Dictionary. (2023). </w:t>
      </w:r>
      <w:r w:rsidRPr="009F50AA">
        <w:rPr>
          <w:rFonts w:ascii="Arial" w:hAnsi="Arial" w:cs="Arial"/>
          <w:i/>
          <w:iCs/>
        </w:rPr>
        <w:t>Marketing mix</w:t>
      </w:r>
      <w:r w:rsidRPr="009F50AA">
        <w:rPr>
          <w:rFonts w:ascii="Arial" w:hAnsi="Arial" w:cs="Arial"/>
        </w:rPr>
        <w:t xml:space="preserve">. Retrieved December 9, 2025, from </w:t>
      </w:r>
      <w:hyperlink r:id="rId33" w:tgtFrame="_new" w:history="1">
        <w:r w:rsidRPr="009F50AA">
          <w:rPr>
            <w:rStyle w:val="Hyperlink"/>
            <w:rFonts w:ascii="Arial" w:hAnsi="Arial" w:cs="Arial"/>
          </w:rPr>
          <w:t>https://marketing-dictionary.org/m/marketing-mix/</w:t>
        </w:r>
      </w:hyperlink>
      <w:r w:rsidRPr="009F50AA">
        <w:rPr>
          <w:rFonts w:ascii="Arial" w:hAnsi="Arial" w:cs="Arial"/>
        </w:rPr>
        <w:t xml:space="preserve"> (Accessed: 09 December 2025).</w:t>
      </w:r>
    </w:p>
    <w:p w14:paraId="6DCB2053" w14:textId="77777777" w:rsidR="000B48B0" w:rsidRPr="009F50AA" w:rsidRDefault="000B48B0" w:rsidP="000B48B0">
      <w:pPr>
        <w:ind w:left="720" w:hanging="720"/>
        <w:rPr>
          <w:rFonts w:ascii="Arial" w:hAnsi="Arial" w:cs="Arial"/>
        </w:rPr>
      </w:pPr>
      <w:r w:rsidRPr="009F50AA">
        <w:rPr>
          <w:rFonts w:ascii="Arial" w:hAnsi="Arial" w:cs="Arial"/>
        </w:rPr>
        <w:t>Yap, J., &amp; McLellan, B. (2023). A historical analysis of hydrogen economy research, development, and expectations, 1972 to 2020. </w:t>
      </w:r>
      <w:r w:rsidRPr="009F50AA">
        <w:rPr>
          <w:rFonts w:ascii="Arial" w:hAnsi="Arial" w:cs="Arial"/>
          <w:i/>
          <w:iCs/>
        </w:rPr>
        <w:t>Environments</w:t>
      </w:r>
      <w:r w:rsidRPr="009F50AA">
        <w:rPr>
          <w:rFonts w:ascii="Arial" w:hAnsi="Arial" w:cs="Arial"/>
        </w:rPr>
        <w:t>, </w:t>
      </w:r>
      <w:r w:rsidRPr="009F50AA">
        <w:rPr>
          <w:rFonts w:ascii="Arial" w:hAnsi="Arial" w:cs="Arial"/>
          <w:i/>
          <w:iCs/>
        </w:rPr>
        <w:t>10</w:t>
      </w:r>
      <w:r w:rsidRPr="009F50AA">
        <w:rPr>
          <w:rFonts w:ascii="Arial" w:hAnsi="Arial" w:cs="Arial"/>
        </w:rPr>
        <w:t xml:space="preserve">(1), 11. Available at: </w:t>
      </w:r>
      <w:hyperlink r:id="rId34" w:history="1">
        <w:r w:rsidRPr="009F50AA">
          <w:rPr>
            <w:rStyle w:val="Hyperlink"/>
            <w:rFonts w:ascii="Arial" w:hAnsi="Arial" w:cs="Arial"/>
          </w:rPr>
          <w:t>https://www.mdpi.com/2076-3298/10/1/11</w:t>
        </w:r>
      </w:hyperlink>
      <w:r w:rsidRPr="009F50AA">
        <w:rPr>
          <w:rFonts w:ascii="Arial" w:hAnsi="Arial" w:cs="Arial"/>
        </w:rPr>
        <w:t xml:space="preserve"> (Accessed: 08 December 2025).</w:t>
      </w:r>
    </w:p>
    <w:sectPr w:rsidR="000B48B0" w:rsidRPr="009F50AA" w:rsidSect="009F50AA">
      <w:footerReference w:type="default" r:id="rId3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1F9A4" w14:textId="77777777" w:rsidR="004941F9" w:rsidRDefault="004941F9" w:rsidP="004F6CF0">
      <w:pPr>
        <w:spacing w:line="240" w:lineRule="auto"/>
      </w:pPr>
      <w:r>
        <w:separator/>
      </w:r>
    </w:p>
  </w:endnote>
  <w:endnote w:type="continuationSeparator" w:id="0">
    <w:p w14:paraId="1667838C" w14:textId="77777777" w:rsidR="004941F9" w:rsidRDefault="004941F9" w:rsidP="004F6C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9853284"/>
      <w:docPartObj>
        <w:docPartGallery w:val="Page Numbers (Bottom of Page)"/>
        <w:docPartUnique/>
      </w:docPartObj>
    </w:sdtPr>
    <w:sdtEndPr/>
    <w:sdtContent>
      <w:p w14:paraId="7DD2C1F9" w14:textId="1CDCE720" w:rsidR="00110A77" w:rsidRDefault="00110A77">
        <w:pPr>
          <w:pStyle w:val="Footer"/>
          <w:jc w:val="right"/>
        </w:pPr>
        <w:r>
          <w:t xml:space="preserve">Page | </w:t>
        </w:r>
        <w:r>
          <w:fldChar w:fldCharType="begin"/>
        </w:r>
        <w:r>
          <w:instrText>PAGE   \* MERGEFORMAT</w:instrText>
        </w:r>
        <w:r>
          <w:fldChar w:fldCharType="separate"/>
        </w:r>
        <w:r>
          <w:t>2</w:t>
        </w:r>
        <w:r>
          <w:fldChar w:fldCharType="end"/>
        </w:r>
        <w:r>
          <w:t xml:space="preserve"> </w:t>
        </w:r>
      </w:p>
    </w:sdtContent>
  </w:sdt>
  <w:p w14:paraId="179BD03D" w14:textId="77777777" w:rsidR="00110A77" w:rsidRDefault="00110A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9372409"/>
      <w:docPartObj>
        <w:docPartGallery w:val="Page Numbers (Bottom of Page)"/>
        <w:docPartUnique/>
      </w:docPartObj>
    </w:sdtPr>
    <w:sdtEndPr>
      <w:rPr>
        <w:noProof/>
      </w:rPr>
    </w:sdtEndPr>
    <w:sdtContent>
      <w:p w14:paraId="0810B2ED" w14:textId="75759180" w:rsidR="004F6CF0" w:rsidRDefault="004F6C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84E638" w14:textId="77777777" w:rsidR="004F6CF0" w:rsidRDefault="004F6C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9EB92" w14:textId="77777777" w:rsidR="004941F9" w:rsidRDefault="004941F9" w:rsidP="004F6CF0">
      <w:pPr>
        <w:spacing w:line="240" w:lineRule="auto"/>
      </w:pPr>
      <w:r>
        <w:separator/>
      </w:r>
    </w:p>
  </w:footnote>
  <w:footnote w:type="continuationSeparator" w:id="0">
    <w:p w14:paraId="083FA5A8" w14:textId="77777777" w:rsidR="004941F9" w:rsidRDefault="004941F9" w:rsidP="004F6CF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82465"/>
    <w:multiLevelType w:val="multilevel"/>
    <w:tmpl w:val="DFD0A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63566"/>
    <w:multiLevelType w:val="hybridMultilevel"/>
    <w:tmpl w:val="81541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7508F"/>
    <w:multiLevelType w:val="hybridMultilevel"/>
    <w:tmpl w:val="8FBA4828"/>
    <w:lvl w:ilvl="0" w:tplc="0809000B">
      <w:start w:val="1"/>
      <w:numFmt w:val="bullet"/>
      <w:lvlText w:val=""/>
      <w:lvlJc w:val="left"/>
      <w:pPr>
        <w:ind w:left="1710" w:hanging="360"/>
      </w:pPr>
      <w:rPr>
        <w:rFonts w:ascii="Wingdings" w:hAnsi="Wingdings" w:hint="default"/>
      </w:rPr>
    </w:lvl>
    <w:lvl w:ilvl="1" w:tplc="08090003" w:tentative="1">
      <w:start w:val="1"/>
      <w:numFmt w:val="bullet"/>
      <w:lvlText w:val="o"/>
      <w:lvlJc w:val="left"/>
      <w:pPr>
        <w:ind w:left="2430" w:hanging="360"/>
      </w:pPr>
      <w:rPr>
        <w:rFonts w:ascii="Courier New" w:hAnsi="Courier New" w:cs="Courier New" w:hint="default"/>
      </w:rPr>
    </w:lvl>
    <w:lvl w:ilvl="2" w:tplc="08090005" w:tentative="1">
      <w:start w:val="1"/>
      <w:numFmt w:val="bullet"/>
      <w:lvlText w:val=""/>
      <w:lvlJc w:val="left"/>
      <w:pPr>
        <w:ind w:left="3150" w:hanging="360"/>
      </w:pPr>
      <w:rPr>
        <w:rFonts w:ascii="Wingdings" w:hAnsi="Wingdings" w:hint="default"/>
      </w:rPr>
    </w:lvl>
    <w:lvl w:ilvl="3" w:tplc="08090001" w:tentative="1">
      <w:start w:val="1"/>
      <w:numFmt w:val="bullet"/>
      <w:lvlText w:val=""/>
      <w:lvlJc w:val="left"/>
      <w:pPr>
        <w:ind w:left="3870" w:hanging="360"/>
      </w:pPr>
      <w:rPr>
        <w:rFonts w:ascii="Symbol" w:hAnsi="Symbol" w:hint="default"/>
      </w:rPr>
    </w:lvl>
    <w:lvl w:ilvl="4" w:tplc="08090003" w:tentative="1">
      <w:start w:val="1"/>
      <w:numFmt w:val="bullet"/>
      <w:lvlText w:val="o"/>
      <w:lvlJc w:val="left"/>
      <w:pPr>
        <w:ind w:left="4590" w:hanging="360"/>
      </w:pPr>
      <w:rPr>
        <w:rFonts w:ascii="Courier New" w:hAnsi="Courier New" w:cs="Courier New" w:hint="default"/>
      </w:rPr>
    </w:lvl>
    <w:lvl w:ilvl="5" w:tplc="08090005" w:tentative="1">
      <w:start w:val="1"/>
      <w:numFmt w:val="bullet"/>
      <w:lvlText w:val=""/>
      <w:lvlJc w:val="left"/>
      <w:pPr>
        <w:ind w:left="5310" w:hanging="360"/>
      </w:pPr>
      <w:rPr>
        <w:rFonts w:ascii="Wingdings" w:hAnsi="Wingdings" w:hint="default"/>
      </w:rPr>
    </w:lvl>
    <w:lvl w:ilvl="6" w:tplc="08090001" w:tentative="1">
      <w:start w:val="1"/>
      <w:numFmt w:val="bullet"/>
      <w:lvlText w:val=""/>
      <w:lvlJc w:val="left"/>
      <w:pPr>
        <w:ind w:left="6030" w:hanging="360"/>
      </w:pPr>
      <w:rPr>
        <w:rFonts w:ascii="Symbol" w:hAnsi="Symbol" w:hint="default"/>
      </w:rPr>
    </w:lvl>
    <w:lvl w:ilvl="7" w:tplc="08090003" w:tentative="1">
      <w:start w:val="1"/>
      <w:numFmt w:val="bullet"/>
      <w:lvlText w:val="o"/>
      <w:lvlJc w:val="left"/>
      <w:pPr>
        <w:ind w:left="6750" w:hanging="360"/>
      </w:pPr>
      <w:rPr>
        <w:rFonts w:ascii="Courier New" w:hAnsi="Courier New" w:cs="Courier New" w:hint="default"/>
      </w:rPr>
    </w:lvl>
    <w:lvl w:ilvl="8" w:tplc="08090005" w:tentative="1">
      <w:start w:val="1"/>
      <w:numFmt w:val="bullet"/>
      <w:lvlText w:val=""/>
      <w:lvlJc w:val="left"/>
      <w:pPr>
        <w:ind w:left="7470" w:hanging="360"/>
      </w:pPr>
      <w:rPr>
        <w:rFonts w:ascii="Wingdings" w:hAnsi="Wingdings" w:hint="default"/>
      </w:rPr>
    </w:lvl>
  </w:abstractNum>
  <w:abstractNum w:abstractNumId="3" w15:restartNumberingAfterBreak="0">
    <w:nsid w:val="17624338"/>
    <w:multiLevelType w:val="multilevel"/>
    <w:tmpl w:val="D51AF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5055FD"/>
    <w:multiLevelType w:val="hybridMultilevel"/>
    <w:tmpl w:val="7CDC6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32164"/>
    <w:multiLevelType w:val="multilevel"/>
    <w:tmpl w:val="79BA4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2E3384"/>
    <w:multiLevelType w:val="hybridMultilevel"/>
    <w:tmpl w:val="F5E27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8E57F1"/>
    <w:multiLevelType w:val="multilevel"/>
    <w:tmpl w:val="FA4A8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27238F"/>
    <w:multiLevelType w:val="hybridMultilevel"/>
    <w:tmpl w:val="A840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622209"/>
    <w:multiLevelType w:val="hybridMultilevel"/>
    <w:tmpl w:val="B5A6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223366"/>
    <w:multiLevelType w:val="hybridMultilevel"/>
    <w:tmpl w:val="065C6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3B3724"/>
    <w:multiLevelType w:val="hybridMultilevel"/>
    <w:tmpl w:val="4E4C1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2F0D7F"/>
    <w:multiLevelType w:val="multilevel"/>
    <w:tmpl w:val="EC4E0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26168C"/>
    <w:multiLevelType w:val="multilevel"/>
    <w:tmpl w:val="7C1CA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1B3C9E"/>
    <w:multiLevelType w:val="hybridMultilevel"/>
    <w:tmpl w:val="93AE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27686A"/>
    <w:multiLevelType w:val="multilevel"/>
    <w:tmpl w:val="CDCA4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786502"/>
    <w:multiLevelType w:val="multilevel"/>
    <w:tmpl w:val="B0B82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C12133"/>
    <w:multiLevelType w:val="hybridMultilevel"/>
    <w:tmpl w:val="CE24B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303459">
    <w:abstractNumId w:val="11"/>
  </w:num>
  <w:num w:numId="2" w16cid:durableId="2026974358">
    <w:abstractNumId w:val="9"/>
  </w:num>
  <w:num w:numId="3" w16cid:durableId="1516843808">
    <w:abstractNumId w:val="1"/>
  </w:num>
  <w:num w:numId="4" w16cid:durableId="133181672">
    <w:abstractNumId w:val="8"/>
  </w:num>
  <w:num w:numId="5" w16cid:durableId="158429571">
    <w:abstractNumId w:val="4"/>
  </w:num>
  <w:num w:numId="6" w16cid:durableId="614947518">
    <w:abstractNumId w:val="17"/>
  </w:num>
  <w:num w:numId="7" w16cid:durableId="828134249">
    <w:abstractNumId w:val="2"/>
  </w:num>
  <w:num w:numId="8" w16cid:durableId="451021159">
    <w:abstractNumId w:val="14"/>
  </w:num>
  <w:num w:numId="9" w16cid:durableId="491532352">
    <w:abstractNumId w:val="10"/>
  </w:num>
  <w:num w:numId="10" w16cid:durableId="1173757878">
    <w:abstractNumId w:val="7"/>
  </w:num>
  <w:num w:numId="11" w16cid:durableId="1187065004">
    <w:abstractNumId w:val="3"/>
  </w:num>
  <w:num w:numId="12" w16cid:durableId="898251467">
    <w:abstractNumId w:val="13"/>
  </w:num>
  <w:num w:numId="13" w16cid:durableId="1721973537">
    <w:abstractNumId w:val="0"/>
  </w:num>
  <w:num w:numId="14" w16cid:durableId="1991471779">
    <w:abstractNumId w:val="12"/>
  </w:num>
  <w:num w:numId="15" w16cid:durableId="1497111445">
    <w:abstractNumId w:val="5"/>
  </w:num>
  <w:num w:numId="16" w16cid:durableId="1260675032">
    <w:abstractNumId w:val="16"/>
  </w:num>
  <w:num w:numId="17" w16cid:durableId="425349467">
    <w:abstractNumId w:val="15"/>
  </w:num>
  <w:num w:numId="18" w16cid:durableId="550121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7F7"/>
    <w:rsid w:val="00005179"/>
    <w:rsid w:val="00010B22"/>
    <w:rsid w:val="00027F38"/>
    <w:rsid w:val="00036161"/>
    <w:rsid w:val="00045172"/>
    <w:rsid w:val="0006590D"/>
    <w:rsid w:val="000859A5"/>
    <w:rsid w:val="000B48B0"/>
    <w:rsid w:val="000F276A"/>
    <w:rsid w:val="000F7A08"/>
    <w:rsid w:val="00110A77"/>
    <w:rsid w:val="0018139F"/>
    <w:rsid w:val="001A421D"/>
    <w:rsid w:val="001D323B"/>
    <w:rsid w:val="001F48BD"/>
    <w:rsid w:val="00207416"/>
    <w:rsid w:val="00212B90"/>
    <w:rsid w:val="00215944"/>
    <w:rsid w:val="0029302F"/>
    <w:rsid w:val="002933A7"/>
    <w:rsid w:val="00293E33"/>
    <w:rsid w:val="002A70E7"/>
    <w:rsid w:val="002E5AD5"/>
    <w:rsid w:val="00315907"/>
    <w:rsid w:val="003349DF"/>
    <w:rsid w:val="00346837"/>
    <w:rsid w:val="00373B7D"/>
    <w:rsid w:val="003B1231"/>
    <w:rsid w:val="003B5299"/>
    <w:rsid w:val="003E3FA0"/>
    <w:rsid w:val="00401E80"/>
    <w:rsid w:val="00442089"/>
    <w:rsid w:val="004466D1"/>
    <w:rsid w:val="00451EF7"/>
    <w:rsid w:val="0046780B"/>
    <w:rsid w:val="00481E18"/>
    <w:rsid w:val="004941F9"/>
    <w:rsid w:val="004C3B76"/>
    <w:rsid w:val="004C7590"/>
    <w:rsid w:val="004F6CF0"/>
    <w:rsid w:val="00522AA7"/>
    <w:rsid w:val="00567C5C"/>
    <w:rsid w:val="005B2204"/>
    <w:rsid w:val="005F38BC"/>
    <w:rsid w:val="00662E28"/>
    <w:rsid w:val="00705546"/>
    <w:rsid w:val="0073255E"/>
    <w:rsid w:val="007541F9"/>
    <w:rsid w:val="00797A79"/>
    <w:rsid w:val="007A4DE4"/>
    <w:rsid w:val="007A5E7E"/>
    <w:rsid w:val="007B15DD"/>
    <w:rsid w:val="007C621A"/>
    <w:rsid w:val="007D79C2"/>
    <w:rsid w:val="00810039"/>
    <w:rsid w:val="00862C87"/>
    <w:rsid w:val="008710E8"/>
    <w:rsid w:val="00877588"/>
    <w:rsid w:val="008B4790"/>
    <w:rsid w:val="008C5782"/>
    <w:rsid w:val="008E142F"/>
    <w:rsid w:val="008F56AA"/>
    <w:rsid w:val="00926F32"/>
    <w:rsid w:val="0093677F"/>
    <w:rsid w:val="0094718E"/>
    <w:rsid w:val="009C3ACE"/>
    <w:rsid w:val="009D35F8"/>
    <w:rsid w:val="009D69C2"/>
    <w:rsid w:val="009F355C"/>
    <w:rsid w:val="009F50AA"/>
    <w:rsid w:val="00A05022"/>
    <w:rsid w:val="00A167F7"/>
    <w:rsid w:val="00A2262A"/>
    <w:rsid w:val="00A630A3"/>
    <w:rsid w:val="00B31F37"/>
    <w:rsid w:val="00B747E4"/>
    <w:rsid w:val="00BA68AE"/>
    <w:rsid w:val="00BC23EF"/>
    <w:rsid w:val="00BC6692"/>
    <w:rsid w:val="00BD4FFB"/>
    <w:rsid w:val="00BD758A"/>
    <w:rsid w:val="00BF5ED7"/>
    <w:rsid w:val="00C1682B"/>
    <w:rsid w:val="00C35F39"/>
    <w:rsid w:val="00C52408"/>
    <w:rsid w:val="00C668FB"/>
    <w:rsid w:val="00C7594F"/>
    <w:rsid w:val="00CD6099"/>
    <w:rsid w:val="00CF014A"/>
    <w:rsid w:val="00D46EB1"/>
    <w:rsid w:val="00D70D11"/>
    <w:rsid w:val="00D76F52"/>
    <w:rsid w:val="00DA3DC6"/>
    <w:rsid w:val="00DB1FCD"/>
    <w:rsid w:val="00DF7C6C"/>
    <w:rsid w:val="00E16CBD"/>
    <w:rsid w:val="00E17EE7"/>
    <w:rsid w:val="00E20C83"/>
    <w:rsid w:val="00E50249"/>
    <w:rsid w:val="00E60FF8"/>
    <w:rsid w:val="00E939D4"/>
    <w:rsid w:val="00EB031F"/>
    <w:rsid w:val="00EB218B"/>
    <w:rsid w:val="00EE1A0D"/>
    <w:rsid w:val="00F0680F"/>
    <w:rsid w:val="00F25F2A"/>
    <w:rsid w:val="00F83AE0"/>
    <w:rsid w:val="00FB249F"/>
    <w:rsid w:val="00FD3FA7"/>
    <w:rsid w:val="00FE362D"/>
    <w:rsid w:val="00FF6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E584A"/>
  <w15:chartTrackingRefBased/>
  <w15:docId w15:val="{6D38E4CA-14D6-4712-92AD-6973DAD1D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F32"/>
    <w:pPr>
      <w:spacing w:after="0" w:line="360" w:lineRule="auto"/>
      <w:jc w:val="both"/>
    </w:pPr>
    <w:rPr>
      <w:rFonts w:ascii="Times New Roman" w:hAnsi="Times New Roman"/>
      <w:kern w:val="0"/>
      <w:sz w:val="24"/>
      <w14:ligatures w14:val="none"/>
    </w:rPr>
  </w:style>
  <w:style w:type="paragraph" w:styleId="Heading1">
    <w:name w:val="heading 1"/>
    <w:basedOn w:val="Normal"/>
    <w:link w:val="Heading1Char"/>
    <w:uiPriority w:val="9"/>
    <w:qFormat/>
    <w:rsid w:val="000F7A08"/>
    <w:pPr>
      <w:widowControl w:val="0"/>
      <w:autoSpaceDE w:val="0"/>
      <w:autoSpaceDN w:val="0"/>
      <w:spacing w:before="120" w:after="120"/>
      <w:jc w:val="center"/>
      <w:outlineLvl w:val="0"/>
    </w:pPr>
    <w:rPr>
      <w:rFonts w:eastAsia="Trebuchet MS" w:cs="Trebuchet MS"/>
      <w:b/>
      <w:bCs/>
      <w:kern w:val="2"/>
      <w:sz w:val="32"/>
      <w:szCs w:val="28"/>
      <w14:ligatures w14:val="standardContextual"/>
    </w:rPr>
  </w:style>
  <w:style w:type="paragraph" w:styleId="Heading2">
    <w:name w:val="heading 2"/>
    <w:basedOn w:val="Normal"/>
    <w:next w:val="Normal"/>
    <w:link w:val="Heading2Char"/>
    <w:uiPriority w:val="9"/>
    <w:unhideWhenUsed/>
    <w:qFormat/>
    <w:rsid w:val="00346837"/>
    <w:pPr>
      <w:keepNext/>
      <w:keepLines/>
      <w:spacing w:before="120" w:after="120"/>
      <w:outlineLvl w:val="1"/>
    </w:pPr>
    <w:rPr>
      <w:rFonts w:eastAsiaTheme="majorEastAsia" w:cstheme="majorBidi"/>
      <w:b/>
      <w:bCs/>
      <w:i/>
      <w:color w:val="000000" w:themeColor="text1"/>
      <w:sz w:val="28"/>
      <w:szCs w:val="26"/>
    </w:rPr>
  </w:style>
  <w:style w:type="paragraph" w:styleId="Heading3">
    <w:name w:val="heading 3"/>
    <w:basedOn w:val="Normal"/>
    <w:next w:val="Normal"/>
    <w:link w:val="Heading3Char"/>
    <w:uiPriority w:val="9"/>
    <w:unhideWhenUsed/>
    <w:qFormat/>
    <w:rsid w:val="00A630A3"/>
    <w:pPr>
      <w:keepNext/>
      <w:keepLines/>
      <w:spacing w:before="120" w:after="120"/>
      <w:outlineLvl w:val="2"/>
    </w:pPr>
    <w:rPr>
      <w:rFonts w:eastAsiaTheme="majorEastAsia" w:cstheme="majorBidi"/>
      <w:b/>
      <w:i/>
      <w:color w:val="000000" w:themeColor="text1"/>
      <w:szCs w:val="28"/>
      <w:u w:val="single"/>
    </w:rPr>
  </w:style>
  <w:style w:type="paragraph" w:styleId="Heading4">
    <w:name w:val="heading 4"/>
    <w:basedOn w:val="Normal"/>
    <w:next w:val="Normal"/>
    <w:link w:val="Heading4Char"/>
    <w:uiPriority w:val="9"/>
    <w:unhideWhenUsed/>
    <w:qFormat/>
    <w:rsid w:val="00A167F7"/>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A167F7"/>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A167F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167F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167F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167F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2AA7"/>
    <w:pPr>
      <w:widowControl w:val="0"/>
      <w:autoSpaceDE w:val="0"/>
      <w:autoSpaceDN w:val="0"/>
      <w:ind w:left="720"/>
      <w:contextualSpacing/>
    </w:pPr>
    <w:rPr>
      <w:rFonts w:eastAsia="Trebuchet MS" w:cs="Trebuchet MS"/>
    </w:rPr>
  </w:style>
  <w:style w:type="paragraph" w:styleId="NoSpacing">
    <w:name w:val="No Spacing"/>
    <w:uiPriority w:val="1"/>
    <w:rsid w:val="00522AA7"/>
    <w:pPr>
      <w:widowControl w:val="0"/>
      <w:autoSpaceDE w:val="0"/>
      <w:autoSpaceDN w:val="0"/>
      <w:spacing w:after="0" w:line="360" w:lineRule="auto"/>
      <w:jc w:val="both"/>
    </w:pPr>
    <w:rPr>
      <w:rFonts w:ascii="Times New Roman" w:eastAsia="Trebuchet MS" w:hAnsi="Times New Roman" w:cs="Trebuchet MS"/>
      <w:sz w:val="24"/>
    </w:rPr>
  </w:style>
  <w:style w:type="character" w:customStyle="1" w:styleId="Heading1Char">
    <w:name w:val="Heading 1 Char"/>
    <w:basedOn w:val="DefaultParagraphFont"/>
    <w:link w:val="Heading1"/>
    <w:uiPriority w:val="9"/>
    <w:rsid w:val="000F7A08"/>
    <w:rPr>
      <w:rFonts w:ascii="Times New Roman" w:eastAsia="Trebuchet MS" w:hAnsi="Times New Roman" w:cs="Trebuchet MS"/>
      <w:b/>
      <w:bCs/>
      <w:sz w:val="32"/>
      <w:szCs w:val="28"/>
    </w:rPr>
  </w:style>
  <w:style w:type="character" w:customStyle="1" w:styleId="Heading2Char">
    <w:name w:val="Heading 2 Char"/>
    <w:basedOn w:val="DefaultParagraphFont"/>
    <w:link w:val="Heading2"/>
    <w:uiPriority w:val="9"/>
    <w:rsid w:val="00346837"/>
    <w:rPr>
      <w:rFonts w:ascii="Times New Roman" w:eastAsiaTheme="majorEastAsia" w:hAnsi="Times New Roman" w:cstheme="majorBidi"/>
      <w:b/>
      <w:bCs/>
      <w:i/>
      <w:color w:val="000000" w:themeColor="text1"/>
      <w:kern w:val="0"/>
      <w:sz w:val="28"/>
      <w:szCs w:val="26"/>
      <w14:ligatures w14:val="none"/>
    </w:rPr>
  </w:style>
  <w:style w:type="paragraph" w:styleId="Title">
    <w:name w:val="Title"/>
    <w:basedOn w:val="Normal"/>
    <w:next w:val="Normal"/>
    <w:link w:val="TitleChar"/>
    <w:uiPriority w:val="10"/>
    <w:qFormat/>
    <w:rsid w:val="00C35F39"/>
    <w:pPr>
      <w:pBdr>
        <w:bottom w:val="single" w:sz="8" w:space="4" w:color="4F81BD" w:themeColor="accent1"/>
      </w:pBdr>
      <w:spacing w:after="300"/>
      <w:contextualSpacing/>
    </w:pPr>
    <w:rPr>
      <w:rFonts w:eastAsiaTheme="majorEastAsia" w:cstheme="majorBidi"/>
      <w:b/>
      <w:color w:val="17365D" w:themeColor="text2" w:themeShade="BF"/>
      <w:spacing w:val="5"/>
      <w:kern w:val="28"/>
      <w:szCs w:val="52"/>
    </w:rPr>
  </w:style>
  <w:style w:type="character" w:customStyle="1" w:styleId="TitleChar">
    <w:name w:val="Title Char"/>
    <w:basedOn w:val="DefaultParagraphFont"/>
    <w:link w:val="Title"/>
    <w:uiPriority w:val="10"/>
    <w:rsid w:val="00C35F39"/>
    <w:rPr>
      <w:rFonts w:eastAsiaTheme="majorEastAsia" w:cstheme="majorBidi"/>
      <w:b/>
      <w:color w:val="17365D" w:themeColor="text2" w:themeShade="BF"/>
      <w:spacing w:val="5"/>
      <w:kern w:val="28"/>
      <w:sz w:val="24"/>
      <w:szCs w:val="52"/>
    </w:rPr>
  </w:style>
  <w:style w:type="character" w:customStyle="1" w:styleId="Heading3Char">
    <w:name w:val="Heading 3 Char"/>
    <w:basedOn w:val="DefaultParagraphFont"/>
    <w:link w:val="Heading3"/>
    <w:uiPriority w:val="9"/>
    <w:rsid w:val="00A630A3"/>
    <w:rPr>
      <w:rFonts w:ascii="Times New Roman" w:eastAsiaTheme="majorEastAsia" w:hAnsi="Times New Roman" w:cstheme="majorBidi"/>
      <w:b/>
      <w:i/>
      <w:color w:val="000000" w:themeColor="text1"/>
      <w:kern w:val="0"/>
      <w:sz w:val="24"/>
      <w:szCs w:val="28"/>
      <w:u w:val="single"/>
      <w14:ligatures w14:val="none"/>
    </w:rPr>
  </w:style>
  <w:style w:type="character" w:customStyle="1" w:styleId="Heading4Char">
    <w:name w:val="Heading 4 Char"/>
    <w:basedOn w:val="DefaultParagraphFont"/>
    <w:link w:val="Heading4"/>
    <w:uiPriority w:val="9"/>
    <w:rsid w:val="00A167F7"/>
    <w:rPr>
      <w:rFonts w:eastAsiaTheme="majorEastAsia" w:cstheme="majorBidi"/>
      <w:i/>
      <w:iCs/>
      <w:color w:val="365F91" w:themeColor="accent1" w:themeShade="BF"/>
      <w:kern w:val="0"/>
      <w:sz w:val="24"/>
      <w14:ligatures w14:val="none"/>
    </w:rPr>
  </w:style>
  <w:style w:type="character" w:customStyle="1" w:styleId="Heading5Char">
    <w:name w:val="Heading 5 Char"/>
    <w:basedOn w:val="DefaultParagraphFont"/>
    <w:link w:val="Heading5"/>
    <w:uiPriority w:val="9"/>
    <w:semiHidden/>
    <w:rsid w:val="00A167F7"/>
    <w:rPr>
      <w:rFonts w:eastAsiaTheme="majorEastAsia" w:cstheme="majorBidi"/>
      <w:color w:val="365F91" w:themeColor="accent1" w:themeShade="BF"/>
      <w:kern w:val="0"/>
      <w:sz w:val="24"/>
      <w14:ligatures w14:val="none"/>
    </w:rPr>
  </w:style>
  <w:style w:type="character" w:customStyle="1" w:styleId="Heading6Char">
    <w:name w:val="Heading 6 Char"/>
    <w:basedOn w:val="DefaultParagraphFont"/>
    <w:link w:val="Heading6"/>
    <w:uiPriority w:val="9"/>
    <w:semiHidden/>
    <w:rsid w:val="00A167F7"/>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A167F7"/>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A167F7"/>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A167F7"/>
    <w:rPr>
      <w:rFonts w:eastAsiaTheme="majorEastAsia" w:cstheme="majorBidi"/>
      <w:color w:val="272727" w:themeColor="text1" w:themeTint="D8"/>
      <w:kern w:val="0"/>
      <w:sz w:val="24"/>
      <w14:ligatures w14:val="none"/>
    </w:rPr>
  </w:style>
  <w:style w:type="paragraph" w:styleId="Subtitle">
    <w:name w:val="Subtitle"/>
    <w:basedOn w:val="Normal"/>
    <w:next w:val="Normal"/>
    <w:link w:val="SubtitleChar"/>
    <w:uiPriority w:val="11"/>
    <w:qFormat/>
    <w:rsid w:val="00A167F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67F7"/>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A167F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167F7"/>
    <w:rPr>
      <w:rFonts w:ascii="Times New Roman" w:hAnsi="Times New Roman"/>
      <w:i/>
      <w:iCs/>
      <w:color w:val="404040" w:themeColor="text1" w:themeTint="BF"/>
      <w:kern w:val="0"/>
      <w:sz w:val="24"/>
      <w14:ligatures w14:val="none"/>
    </w:rPr>
  </w:style>
  <w:style w:type="character" w:styleId="IntenseEmphasis">
    <w:name w:val="Intense Emphasis"/>
    <w:basedOn w:val="DefaultParagraphFont"/>
    <w:uiPriority w:val="21"/>
    <w:qFormat/>
    <w:rsid w:val="00A167F7"/>
    <w:rPr>
      <w:i/>
      <w:iCs/>
      <w:color w:val="365F91" w:themeColor="accent1" w:themeShade="BF"/>
    </w:rPr>
  </w:style>
  <w:style w:type="paragraph" w:styleId="IntenseQuote">
    <w:name w:val="Intense Quote"/>
    <w:basedOn w:val="Normal"/>
    <w:next w:val="Normal"/>
    <w:link w:val="IntenseQuoteChar"/>
    <w:uiPriority w:val="30"/>
    <w:qFormat/>
    <w:rsid w:val="00A167F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167F7"/>
    <w:rPr>
      <w:rFonts w:ascii="Times New Roman" w:hAnsi="Times New Roman"/>
      <w:i/>
      <w:iCs/>
      <w:color w:val="365F91" w:themeColor="accent1" w:themeShade="BF"/>
      <w:kern w:val="0"/>
      <w:sz w:val="24"/>
      <w14:ligatures w14:val="none"/>
    </w:rPr>
  </w:style>
  <w:style w:type="character" w:styleId="IntenseReference">
    <w:name w:val="Intense Reference"/>
    <w:basedOn w:val="DefaultParagraphFont"/>
    <w:uiPriority w:val="32"/>
    <w:qFormat/>
    <w:rsid w:val="00A167F7"/>
    <w:rPr>
      <w:b/>
      <w:bCs/>
      <w:smallCaps/>
      <w:color w:val="365F91" w:themeColor="accent1" w:themeShade="BF"/>
      <w:spacing w:val="5"/>
    </w:rPr>
  </w:style>
  <w:style w:type="paragraph" w:styleId="NormalWeb">
    <w:name w:val="Normal (Web)"/>
    <w:basedOn w:val="Normal"/>
    <w:uiPriority w:val="99"/>
    <w:unhideWhenUsed/>
    <w:rsid w:val="00EB218B"/>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4F6CF0"/>
    <w:pPr>
      <w:tabs>
        <w:tab w:val="center" w:pos="4513"/>
        <w:tab w:val="right" w:pos="9026"/>
      </w:tabs>
      <w:spacing w:line="240" w:lineRule="auto"/>
    </w:pPr>
  </w:style>
  <w:style w:type="character" w:customStyle="1" w:styleId="HeaderChar">
    <w:name w:val="Header Char"/>
    <w:basedOn w:val="DefaultParagraphFont"/>
    <w:link w:val="Header"/>
    <w:uiPriority w:val="99"/>
    <w:rsid w:val="004F6CF0"/>
    <w:rPr>
      <w:rFonts w:ascii="Times New Roman" w:hAnsi="Times New Roman"/>
      <w:kern w:val="0"/>
      <w:sz w:val="24"/>
      <w14:ligatures w14:val="none"/>
    </w:rPr>
  </w:style>
  <w:style w:type="paragraph" w:styleId="Footer">
    <w:name w:val="footer"/>
    <w:basedOn w:val="Normal"/>
    <w:link w:val="FooterChar"/>
    <w:uiPriority w:val="99"/>
    <w:unhideWhenUsed/>
    <w:rsid w:val="004F6CF0"/>
    <w:pPr>
      <w:tabs>
        <w:tab w:val="center" w:pos="4513"/>
        <w:tab w:val="right" w:pos="9026"/>
      </w:tabs>
      <w:spacing w:line="240" w:lineRule="auto"/>
    </w:pPr>
  </w:style>
  <w:style w:type="character" w:customStyle="1" w:styleId="FooterChar">
    <w:name w:val="Footer Char"/>
    <w:basedOn w:val="DefaultParagraphFont"/>
    <w:link w:val="Footer"/>
    <w:uiPriority w:val="99"/>
    <w:rsid w:val="004F6CF0"/>
    <w:rPr>
      <w:rFonts w:ascii="Times New Roman" w:hAnsi="Times New Roman"/>
      <w:kern w:val="0"/>
      <w:sz w:val="24"/>
      <w14:ligatures w14:val="none"/>
    </w:rPr>
  </w:style>
  <w:style w:type="paragraph" w:styleId="TOCHeading">
    <w:name w:val="TOC Heading"/>
    <w:basedOn w:val="Heading1"/>
    <w:next w:val="Normal"/>
    <w:uiPriority w:val="39"/>
    <w:unhideWhenUsed/>
    <w:qFormat/>
    <w:rsid w:val="00EE1A0D"/>
    <w:pPr>
      <w:keepNext/>
      <w:keepLines/>
      <w:widowControl/>
      <w:autoSpaceDE/>
      <w:autoSpaceDN/>
      <w:spacing w:before="240" w:line="259" w:lineRule="auto"/>
      <w:jc w:val="left"/>
      <w:outlineLvl w:val="9"/>
    </w:pPr>
    <w:rPr>
      <w:rFonts w:asciiTheme="majorHAnsi" w:eastAsiaTheme="majorEastAsia" w:hAnsiTheme="majorHAnsi" w:cstheme="majorBidi"/>
      <w:b w:val="0"/>
      <w:bCs w:val="0"/>
      <w:color w:val="365F91" w:themeColor="accent1" w:themeShade="BF"/>
      <w:kern w:val="0"/>
      <w:szCs w:val="32"/>
      <w:lang w:val="en-US"/>
      <w14:ligatures w14:val="none"/>
    </w:rPr>
  </w:style>
  <w:style w:type="paragraph" w:styleId="TOC1">
    <w:name w:val="toc 1"/>
    <w:basedOn w:val="Normal"/>
    <w:next w:val="Normal"/>
    <w:autoRedefine/>
    <w:uiPriority w:val="39"/>
    <w:unhideWhenUsed/>
    <w:rsid w:val="00EE1A0D"/>
    <w:pPr>
      <w:spacing w:after="100"/>
    </w:pPr>
  </w:style>
  <w:style w:type="paragraph" w:styleId="TOC2">
    <w:name w:val="toc 2"/>
    <w:basedOn w:val="Normal"/>
    <w:next w:val="Normal"/>
    <w:autoRedefine/>
    <w:uiPriority w:val="39"/>
    <w:unhideWhenUsed/>
    <w:rsid w:val="00EE1A0D"/>
    <w:pPr>
      <w:spacing w:after="100"/>
      <w:ind w:left="240"/>
    </w:pPr>
  </w:style>
  <w:style w:type="paragraph" w:styleId="TOC3">
    <w:name w:val="toc 3"/>
    <w:basedOn w:val="Normal"/>
    <w:next w:val="Normal"/>
    <w:autoRedefine/>
    <w:uiPriority w:val="39"/>
    <w:unhideWhenUsed/>
    <w:rsid w:val="00EE1A0D"/>
    <w:pPr>
      <w:spacing w:after="100"/>
      <w:ind w:left="480"/>
    </w:pPr>
  </w:style>
  <w:style w:type="character" w:styleId="Hyperlink">
    <w:name w:val="Hyperlink"/>
    <w:basedOn w:val="DefaultParagraphFont"/>
    <w:uiPriority w:val="99"/>
    <w:unhideWhenUsed/>
    <w:rsid w:val="00EE1A0D"/>
    <w:rPr>
      <w:color w:val="0000FF" w:themeColor="hyperlink"/>
      <w:u w:val="single"/>
    </w:rPr>
  </w:style>
  <w:style w:type="paragraph" w:styleId="Caption">
    <w:name w:val="caption"/>
    <w:basedOn w:val="Normal"/>
    <w:next w:val="Normal"/>
    <w:uiPriority w:val="35"/>
    <w:unhideWhenUsed/>
    <w:qFormat/>
    <w:rsid w:val="00EE1A0D"/>
    <w:pPr>
      <w:spacing w:line="240" w:lineRule="auto"/>
    </w:pPr>
    <w:rPr>
      <w:i/>
      <w:iCs/>
      <w:color w:val="1F497D" w:themeColor="text2"/>
      <w:sz w:val="18"/>
      <w:szCs w:val="18"/>
    </w:rPr>
  </w:style>
  <w:style w:type="character" w:styleId="UnresolvedMention">
    <w:name w:val="Unresolved Mention"/>
    <w:basedOn w:val="DefaultParagraphFont"/>
    <w:uiPriority w:val="99"/>
    <w:semiHidden/>
    <w:unhideWhenUsed/>
    <w:rsid w:val="00797A79"/>
    <w:rPr>
      <w:color w:val="605E5C"/>
      <w:shd w:val="clear" w:color="auto" w:fill="E1DFDD"/>
    </w:rPr>
  </w:style>
  <w:style w:type="character" w:styleId="FollowedHyperlink">
    <w:name w:val="FollowedHyperlink"/>
    <w:basedOn w:val="DefaultParagraphFont"/>
    <w:uiPriority w:val="99"/>
    <w:semiHidden/>
    <w:unhideWhenUsed/>
    <w:rsid w:val="00C668FB"/>
    <w:rPr>
      <w:color w:val="800080" w:themeColor="followedHyperlink"/>
      <w:u w:val="single"/>
    </w:rPr>
  </w:style>
  <w:style w:type="character" w:styleId="Strong">
    <w:name w:val="Strong"/>
    <w:basedOn w:val="DefaultParagraphFont"/>
    <w:uiPriority w:val="22"/>
    <w:qFormat/>
    <w:rsid w:val="00CF014A"/>
    <w:rPr>
      <w:b/>
      <w:bCs/>
    </w:rPr>
  </w:style>
  <w:style w:type="table" w:styleId="TableGridLight">
    <w:name w:val="Grid Table Light"/>
    <w:basedOn w:val="TableNormal"/>
    <w:uiPriority w:val="40"/>
    <w:rsid w:val="00CF014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Emphasis">
    <w:name w:val="Emphasis"/>
    <w:basedOn w:val="DefaultParagraphFont"/>
    <w:uiPriority w:val="20"/>
    <w:qFormat/>
    <w:rsid w:val="00FE362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44026">
      <w:bodyDiv w:val="1"/>
      <w:marLeft w:val="0"/>
      <w:marRight w:val="0"/>
      <w:marTop w:val="0"/>
      <w:marBottom w:val="0"/>
      <w:divBdr>
        <w:top w:val="none" w:sz="0" w:space="0" w:color="auto"/>
        <w:left w:val="none" w:sz="0" w:space="0" w:color="auto"/>
        <w:bottom w:val="none" w:sz="0" w:space="0" w:color="auto"/>
        <w:right w:val="none" w:sz="0" w:space="0" w:color="auto"/>
      </w:divBdr>
    </w:div>
    <w:div w:id="35400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sciencedirect.com/science/article/pii/S2666955222000260" TargetMode="External"/><Relationship Id="rId21" Type="http://schemas.openxmlformats.org/officeDocument/2006/relationships/hyperlink" Target="https://www.gov.uk/government/publications/hydrogen-production-delivery-roadmap/hydrogen-production-delivery-roadmap?utm_source=chatgpt.com" TargetMode="External"/><Relationship Id="rId34" Type="http://schemas.openxmlformats.org/officeDocument/2006/relationships/hyperlink" Target="https://www.mdpi.com/2076-3298/10/1/11"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cell.com/heliyon/pdf/S2405-8440(24)12250-5.pdf" TargetMode="External"/><Relationship Id="rId33" Type="http://schemas.openxmlformats.org/officeDocument/2006/relationships/hyperlink" Target="https://marketing-dictionary.org/m/marketing-mix/?utm_source=chatgpt.com"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anupambajra.medium.com/using-perceptual-mapping-for-competitive-analysis-9aae239ec736?utm_source=chatgpt.com" TargetMode="External"/><Relationship Id="rId29" Type="http://schemas.openxmlformats.org/officeDocument/2006/relationships/hyperlink" Target="https://www.mdpi.com/2571-6255/7/7/23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library.oapen.org/bitstream/handle/20.500.12657/52615/1/9781000551556.pdf" TargetMode="External"/><Relationship Id="rId32" Type="http://schemas.openxmlformats.org/officeDocument/2006/relationships/hyperlink" Target="https://global.toyota/en/company/profile/overview/index.html?utm_source=chatgpt.co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segmentationstudyguide.com/understanding-the-stdp-process-in-marketing/?utm_source=chatgpt.com" TargetMode="External"/><Relationship Id="rId28" Type="http://schemas.openxmlformats.org/officeDocument/2006/relationships/hyperlink" Target="https://www.psmarketresearch.com/market-analysis/hydrogen-storage-market"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hyperlink" Target="https://www.mdpi.com/1996-1073/17/1/18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s://www.tandfonline.com/doi/pdf/10.1080/10696679.2025.2544671" TargetMode="External"/><Relationship Id="rId27" Type="http://schemas.openxmlformats.org/officeDocument/2006/relationships/hyperlink" Target="https://www.mdpi.com/1996-1073/14/20/6827" TargetMode="External"/><Relationship Id="rId30" Type="http://schemas.openxmlformats.org/officeDocument/2006/relationships/hyperlink" Target="https://www.precedenceresearch.com/hydrogen-energy-storage-market?utm_source=chatgpt.com" TargetMode="Externa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FAEA3-34D9-46CB-AB40-9BDCC4ABA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3716</Words>
  <Characters>21186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Zarin Tashnim</dc:creator>
  <cp:keywords/>
  <dc:description/>
  <cp:lastModifiedBy>moinul hasan</cp:lastModifiedBy>
  <cp:revision>2</cp:revision>
  <dcterms:created xsi:type="dcterms:W3CDTF">2025-12-17T09:21:00Z</dcterms:created>
  <dcterms:modified xsi:type="dcterms:W3CDTF">2025-12-17T09:21:00Z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9757e7e3-c852-484a-b541-7e09cf3ab81e</vt:lpwstr>
  </property>
  <property fmtid="{D5CDD505-2E9C-101B-9397-08002B2CF9AE}" pid="3" name="MSIP_Label_defa4170-0d19-0005-0004-bc88714345d2_Enabled">
    <vt:lpwstr>true</vt:lpwstr>
  </property>
  <property fmtid="{D5CDD505-2E9C-101B-9397-08002B2CF9AE}" pid="4" name="MSIP_Label_defa4170-0d19-0005-0004-bc88714345d2_SetDate">
    <vt:lpwstr>2025-12-08T12:43:21Z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545b7eca-ec8e-4c6b-8551-38bac7675953</vt:lpwstr>
  </property>
  <property fmtid="{D5CDD505-2E9C-101B-9397-08002B2CF9AE}" pid="8" name="MSIP_Label_defa4170-0d19-0005-0004-bc88714345d2_ActionId">
    <vt:lpwstr>4cc0cfde-e9fc-42c2-aca9-bf0f92df5aff</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ies>
</file>