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30B07" w14:textId="77777777" w:rsidR="007B7EBD" w:rsidRDefault="007B7EBD">
      <w:pPr>
        <w:jc w:val="center"/>
        <w:rPr>
          <w:b/>
          <w:sz w:val="32"/>
          <w:szCs w:val="32"/>
        </w:rPr>
      </w:pPr>
    </w:p>
    <w:p w14:paraId="04A77D66" w14:textId="77777777" w:rsidR="007B7EBD" w:rsidRDefault="007B7EBD">
      <w:pPr>
        <w:jc w:val="center"/>
        <w:rPr>
          <w:b/>
          <w:sz w:val="32"/>
          <w:szCs w:val="32"/>
        </w:rPr>
      </w:pPr>
    </w:p>
    <w:p w14:paraId="2ECB5514" w14:textId="77777777" w:rsidR="007B7EBD" w:rsidRDefault="007B7EBD">
      <w:pPr>
        <w:jc w:val="center"/>
        <w:rPr>
          <w:b/>
          <w:sz w:val="32"/>
          <w:szCs w:val="32"/>
        </w:rPr>
      </w:pPr>
    </w:p>
    <w:p w14:paraId="0DB7CEC8" w14:textId="77777777" w:rsidR="007B7EBD" w:rsidRDefault="007B7EBD">
      <w:pPr>
        <w:jc w:val="center"/>
        <w:rPr>
          <w:b/>
          <w:sz w:val="32"/>
          <w:szCs w:val="32"/>
        </w:rPr>
      </w:pPr>
    </w:p>
    <w:p w14:paraId="796A250E" w14:textId="77777777" w:rsidR="007B7EBD" w:rsidRDefault="007B7EBD">
      <w:pPr>
        <w:jc w:val="center"/>
        <w:rPr>
          <w:b/>
          <w:sz w:val="32"/>
          <w:szCs w:val="32"/>
        </w:rPr>
      </w:pPr>
    </w:p>
    <w:p w14:paraId="7911D4B7" w14:textId="77777777" w:rsidR="007B7EBD" w:rsidRDefault="007B7EBD">
      <w:pPr>
        <w:jc w:val="center"/>
        <w:rPr>
          <w:b/>
          <w:sz w:val="32"/>
          <w:szCs w:val="32"/>
        </w:rPr>
      </w:pPr>
    </w:p>
    <w:p w14:paraId="5ACC9911" w14:textId="77777777" w:rsidR="007B7EBD" w:rsidRDefault="007B7EBD">
      <w:pPr>
        <w:jc w:val="center"/>
        <w:rPr>
          <w:b/>
          <w:sz w:val="32"/>
          <w:szCs w:val="32"/>
        </w:rPr>
      </w:pPr>
    </w:p>
    <w:p w14:paraId="36AD8246" w14:textId="77777777" w:rsidR="007B7EBD" w:rsidRDefault="007B7EBD">
      <w:pPr>
        <w:jc w:val="center"/>
        <w:rPr>
          <w:b/>
          <w:sz w:val="32"/>
          <w:szCs w:val="32"/>
        </w:rPr>
      </w:pPr>
    </w:p>
    <w:p w14:paraId="6D4C65C6" w14:textId="77777777" w:rsidR="007B7EBD" w:rsidRDefault="007B7EBD">
      <w:pPr>
        <w:jc w:val="center"/>
        <w:rPr>
          <w:b/>
          <w:sz w:val="32"/>
          <w:szCs w:val="32"/>
        </w:rPr>
      </w:pPr>
    </w:p>
    <w:p w14:paraId="5DAD20E1" w14:textId="77777777" w:rsidR="007B7EBD" w:rsidRDefault="007B7EBD">
      <w:pPr>
        <w:jc w:val="center"/>
        <w:rPr>
          <w:b/>
          <w:sz w:val="32"/>
          <w:szCs w:val="32"/>
        </w:rPr>
      </w:pPr>
    </w:p>
    <w:p w14:paraId="23441F61" w14:textId="77777777" w:rsidR="007B7EBD" w:rsidRDefault="007B7EBD">
      <w:pPr>
        <w:jc w:val="center"/>
        <w:rPr>
          <w:b/>
          <w:sz w:val="32"/>
          <w:szCs w:val="32"/>
        </w:rPr>
      </w:pPr>
    </w:p>
    <w:p w14:paraId="1C2077F9" w14:textId="77777777" w:rsidR="007B7EBD" w:rsidRDefault="007B7EBD">
      <w:pPr>
        <w:jc w:val="center"/>
        <w:rPr>
          <w:b/>
          <w:sz w:val="32"/>
          <w:szCs w:val="32"/>
        </w:rPr>
      </w:pPr>
    </w:p>
    <w:p w14:paraId="4139F092" w14:textId="77777777" w:rsidR="007B7EBD" w:rsidRDefault="007B7EBD">
      <w:pPr>
        <w:jc w:val="center"/>
        <w:rPr>
          <w:b/>
          <w:sz w:val="32"/>
          <w:szCs w:val="32"/>
        </w:rPr>
      </w:pPr>
    </w:p>
    <w:p w14:paraId="2BBF23C8" w14:textId="77777777" w:rsidR="007B7EBD" w:rsidRDefault="007B7EBD">
      <w:pPr>
        <w:jc w:val="center"/>
        <w:rPr>
          <w:b/>
          <w:sz w:val="32"/>
          <w:szCs w:val="32"/>
        </w:rPr>
      </w:pPr>
    </w:p>
    <w:p w14:paraId="00000001" w14:textId="66CEEF4C" w:rsidR="00094877" w:rsidRDefault="007B7EBD">
      <w:pPr>
        <w:jc w:val="center"/>
        <w:rPr>
          <w:b/>
          <w:sz w:val="32"/>
          <w:szCs w:val="32"/>
        </w:rPr>
      </w:pPr>
      <w:r>
        <w:rPr>
          <w:b/>
          <w:sz w:val="32"/>
          <w:szCs w:val="32"/>
        </w:rPr>
        <w:t>PSYCHOLOGY IN HEALTH AND SOCIAL CARE</w:t>
      </w:r>
    </w:p>
    <w:p w14:paraId="2B545FF5" w14:textId="67AEAE63" w:rsidR="00AA18C5" w:rsidRDefault="00AA18C5">
      <w:pPr>
        <w:jc w:val="center"/>
        <w:rPr>
          <w:b/>
          <w:sz w:val="32"/>
          <w:szCs w:val="32"/>
        </w:rPr>
      </w:pPr>
      <w:r>
        <w:rPr>
          <w:b/>
          <w:sz w:val="32"/>
          <w:szCs w:val="32"/>
        </w:rPr>
        <w:t>Report</w:t>
      </w:r>
    </w:p>
    <w:p w14:paraId="22CB14DB" w14:textId="3B98C353" w:rsidR="00AA18C5" w:rsidRDefault="00AA18C5">
      <w:pPr>
        <w:jc w:val="center"/>
        <w:rPr>
          <w:b/>
          <w:sz w:val="32"/>
          <w:szCs w:val="32"/>
        </w:rPr>
      </w:pPr>
      <w:r>
        <w:rPr>
          <w:b/>
          <w:sz w:val="32"/>
          <w:szCs w:val="32"/>
        </w:rPr>
        <w:t xml:space="preserve">Lecture Donna Holder </w:t>
      </w:r>
    </w:p>
    <w:p w14:paraId="444E7FE0" w14:textId="5877DDF1" w:rsidR="00AA18C5" w:rsidRDefault="00AA18C5">
      <w:pPr>
        <w:jc w:val="center"/>
        <w:rPr>
          <w:b/>
          <w:sz w:val="32"/>
          <w:szCs w:val="32"/>
        </w:rPr>
      </w:pPr>
      <w:r>
        <w:rPr>
          <w:b/>
          <w:sz w:val="32"/>
          <w:szCs w:val="32"/>
        </w:rPr>
        <w:t>Hasena khatun 2127944</w:t>
      </w:r>
    </w:p>
    <w:p w14:paraId="00000002" w14:textId="77777777" w:rsidR="00094877" w:rsidRDefault="009A73B9">
      <w:pPr>
        <w:jc w:val="center"/>
        <w:rPr>
          <w:b/>
          <w:sz w:val="32"/>
          <w:szCs w:val="32"/>
        </w:rPr>
      </w:pPr>
      <w:r>
        <w:br w:type="page"/>
      </w:r>
    </w:p>
    <w:sdt>
      <w:sdtPr>
        <w:rPr>
          <w:rFonts w:ascii="Arial" w:eastAsia="Arial" w:hAnsi="Arial" w:cs="Arial"/>
          <w:color w:val="auto"/>
          <w:sz w:val="22"/>
          <w:szCs w:val="22"/>
          <w:lang w:val="en"/>
        </w:rPr>
        <w:id w:val="94144752"/>
        <w:docPartObj>
          <w:docPartGallery w:val="Table of Contents"/>
          <w:docPartUnique/>
        </w:docPartObj>
      </w:sdtPr>
      <w:sdtEndPr>
        <w:rPr>
          <w:b/>
          <w:bCs/>
          <w:noProof/>
        </w:rPr>
      </w:sdtEndPr>
      <w:sdtContent>
        <w:p w14:paraId="7DCAC410" w14:textId="4774D3A5" w:rsidR="007B7EBD" w:rsidRPr="007B7EBD" w:rsidRDefault="007B7EBD" w:rsidP="007B7EBD">
          <w:pPr>
            <w:pStyle w:val="TOCHeading"/>
            <w:jc w:val="center"/>
            <w:rPr>
              <w:rFonts w:ascii="Arial" w:hAnsi="Arial" w:cs="Arial"/>
              <w:b/>
              <w:bCs/>
              <w:color w:val="auto"/>
            </w:rPr>
          </w:pPr>
          <w:r w:rsidRPr="007B7EBD">
            <w:rPr>
              <w:rFonts w:ascii="Arial" w:hAnsi="Arial" w:cs="Arial"/>
              <w:b/>
              <w:bCs/>
              <w:color w:val="auto"/>
            </w:rPr>
            <w:t>Table of Contents</w:t>
          </w:r>
        </w:p>
        <w:p w14:paraId="0D1DF4F4" w14:textId="6480848B" w:rsidR="007B7EBD" w:rsidRPr="007B7EBD" w:rsidRDefault="007B7EBD">
          <w:pPr>
            <w:pStyle w:val="TOC1"/>
            <w:tabs>
              <w:tab w:val="right" w:leader="dot" w:pos="9350"/>
            </w:tabs>
            <w:rPr>
              <w:noProof/>
              <w:sz w:val="24"/>
              <w:szCs w:val="24"/>
            </w:rPr>
          </w:pPr>
          <w:r w:rsidRPr="007B7EBD">
            <w:rPr>
              <w:sz w:val="24"/>
              <w:szCs w:val="24"/>
            </w:rPr>
            <w:fldChar w:fldCharType="begin"/>
          </w:r>
          <w:r w:rsidRPr="007B7EBD">
            <w:rPr>
              <w:sz w:val="24"/>
              <w:szCs w:val="24"/>
            </w:rPr>
            <w:instrText xml:space="preserve"> TOC \o "1-3" \h \z \u </w:instrText>
          </w:r>
          <w:r w:rsidRPr="007B7EBD">
            <w:rPr>
              <w:sz w:val="24"/>
              <w:szCs w:val="24"/>
            </w:rPr>
            <w:fldChar w:fldCharType="separate"/>
          </w:r>
          <w:hyperlink w:anchor="_Toc127630455" w:history="1">
            <w:r w:rsidRPr="007B7EBD">
              <w:rPr>
                <w:rStyle w:val="Hyperlink"/>
                <w:noProof/>
                <w:sz w:val="24"/>
                <w:szCs w:val="24"/>
              </w:rPr>
              <w:t>Task 1</w:t>
            </w:r>
            <w:r w:rsidRPr="007B7EBD">
              <w:rPr>
                <w:noProof/>
                <w:webHidden/>
                <w:sz w:val="24"/>
                <w:szCs w:val="24"/>
              </w:rPr>
              <w:tab/>
            </w:r>
            <w:r w:rsidRPr="007B7EBD">
              <w:rPr>
                <w:noProof/>
                <w:webHidden/>
                <w:sz w:val="24"/>
                <w:szCs w:val="24"/>
              </w:rPr>
              <w:fldChar w:fldCharType="begin"/>
            </w:r>
            <w:r w:rsidRPr="007B7EBD">
              <w:rPr>
                <w:noProof/>
                <w:webHidden/>
                <w:sz w:val="24"/>
                <w:szCs w:val="24"/>
              </w:rPr>
              <w:instrText xml:space="preserve"> PAGEREF _Toc127630455 \h </w:instrText>
            </w:r>
            <w:r w:rsidRPr="007B7EBD">
              <w:rPr>
                <w:noProof/>
                <w:webHidden/>
                <w:sz w:val="24"/>
                <w:szCs w:val="24"/>
              </w:rPr>
            </w:r>
            <w:r w:rsidRPr="007B7EBD">
              <w:rPr>
                <w:noProof/>
                <w:webHidden/>
                <w:sz w:val="24"/>
                <w:szCs w:val="24"/>
              </w:rPr>
              <w:fldChar w:fldCharType="separate"/>
            </w:r>
            <w:r w:rsidRPr="007B7EBD">
              <w:rPr>
                <w:noProof/>
                <w:webHidden/>
                <w:sz w:val="24"/>
                <w:szCs w:val="24"/>
              </w:rPr>
              <w:t>3</w:t>
            </w:r>
            <w:r w:rsidRPr="007B7EBD">
              <w:rPr>
                <w:noProof/>
                <w:webHidden/>
                <w:sz w:val="24"/>
                <w:szCs w:val="24"/>
              </w:rPr>
              <w:fldChar w:fldCharType="end"/>
            </w:r>
          </w:hyperlink>
        </w:p>
        <w:p w14:paraId="514AFD18" w14:textId="5C2203C6" w:rsidR="007B7EBD" w:rsidRPr="007B7EBD" w:rsidRDefault="009A73B9">
          <w:pPr>
            <w:pStyle w:val="TOC1"/>
            <w:tabs>
              <w:tab w:val="right" w:leader="dot" w:pos="9350"/>
            </w:tabs>
            <w:rPr>
              <w:noProof/>
              <w:sz w:val="24"/>
              <w:szCs w:val="24"/>
            </w:rPr>
          </w:pPr>
          <w:hyperlink w:anchor="_Toc127630456" w:history="1">
            <w:r w:rsidR="007B7EBD" w:rsidRPr="007B7EBD">
              <w:rPr>
                <w:rStyle w:val="Hyperlink"/>
                <w:noProof/>
                <w:sz w:val="24"/>
                <w:szCs w:val="24"/>
              </w:rPr>
              <w:t>Task 2</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_Toc127630456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3</w:t>
            </w:r>
            <w:r w:rsidR="007B7EBD" w:rsidRPr="007B7EBD">
              <w:rPr>
                <w:noProof/>
                <w:webHidden/>
                <w:sz w:val="24"/>
                <w:szCs w:val="24"/>
              </w:rPr>
              <w:fldChar w:fldCharType="end"/>
            </w:r>
          </w:hyperlink>
        </w:p>
        <w:p w14:paraId="44DC745C" w14:textId="4CC5684E" w:rsidR="007B7EBD" w:rsidRPr="007B7EBD" w:rsidRDefault="009A73B9">
          <w:pPr>
            <w:pStyle w:val="TOC1"/>
            <w:tabs>
              <w:tab w:val="right" w:leader="dot" w:pos="9350"/>
            </w:tabs>
            <w:rPr>
              <w:noProof/>
              <w:sz w:val="24"/>
              <w:szCs w:val="24"/>
            </w:rPr>
          </w:pPr>
          <w:hyperlink w:anchor="_Toc127630457" w:history="1">
            <w:r w:rsidR="007B7EBD" w:rsidRPr="007B7EBD">
              <w:rPr>
                <w:rStyle w:val="Hyperlink"/>
                <w:noProof/>
                <w:sz w:val="24"/>
                <w:szCs w:val="24"/>
              </w:rPr>
              <w:t>Article 1</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_Toc127630457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3</w:t>
            </w:r>
            <w:r w:rsidR="007B7EBD" w:rsidRPr="007B7EBD">
              <w:rPr>
                <w:noProof/>
                <w:webHidden/>
                <w:sz w:val="24"/>
                <w:szCs w:val="24"/>
              </w:rPr>
              <w:fldChar w:fldCharType="end"/>
            </w:r>
          </w:hyperlink>
        </w:p>
        <w:p w14:paraId="5868C3D0" w14:textId="7AA272CB" w:rsidR="007B7EBD" w:rsidRPr="007B7EBD" w:rsidRDefault="009A73B9">
          <w:pPr>
            <w:pStyle w:val="TOC1"/>
            <w:tabs>
              <w:tab w:val="right" w:leader="dot" w:pos="9350"/>
            </w:tabs>
            <w:rPr>
              <w:noProof/>
              <w:sz w:val="24"/>
              <w:szCs w:val="24"/>
            </w:rPr>
          </w:pPr>
          <w:hyperlink w:anchor="_Toc127630458" w:history="1">
            <w:r w:rsidR="007B7EBD" w:rsidRPr="007B7EBD">
              <w:rPr>
                <w:rStyle w:val="Hyperlink"/>
                <w:noProof/>
                <w:sz w:val="24"/>
                <w:szCs w:val="24"/>
                <w:highlight w:val="white"/>
              </w:rPr>
              <w:t>Article 2</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_Toc127630458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3</w:t>
            </w:r>
            <w:r w:rsidR="007B7EBD" w:rsidRPr="007B7EBD">
              <w:rPr>
                <w:noProof/>
                <w:webHidden/>
                <w:sz w:val="24"/>
                <w:szCs w:val="24"/>
              </w:rPr>
              <w:fldChar w:fldCharType="end"/>
            </w:r>
          </w:hyperlink>
        </w:p>
        <w:p w14:paraId="462CECF6" w14:textId="41982053" w:rsidR="007B7EBD" w:rsidRPr="007B7EBD" w:rsidRDefault="009A73B9">
          <w:pPr>
            <w:pStyle w:val="TOC1"/>
            <w:tabs>
              <w:tab w:val="right" w:leader="dot" w:pos="9350"/>
            </w:tabs>
            <w:rPr>
              <w:noProof/>
              <w:sz w:val="24"/>
              <w:szCs w:val="24"/>
            </w:rPr>
          </w:pPr>
          <w:hyperlink w:anchor="_Toc127630459" w:history="1">
            <w:r w:rsidR="007B7EBD" w:rsidRPr="007B7EBD">
              <w:rPr>
                <w:rStyle w:val="Hyperlink"/>
                <w:noProof/>
                <w:sz w:val="24"/>
                <w:szCs w:val="24"/>
                <w:highlight w:val="white"/>
              </w:rPr>
              <w:t>Article 3</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_Toc127630459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4</w:t>
            </w:r>
            <w:r w:rsidR="007B7EBD" w:rsidRPr="007B7EBD">
              <w:rPr>
                <w:noProof/>
                <w:webHidden/>
                <w:sz w:val="24"/>
                <w:szCs w:val="24"/>
              </w:rPr>
              <w:fldChar w:fldCharType="end"/>
            </w:r>
          </w:hyperlink>
        </w:p>
        <w:p w14:paraId="448B7082" w14:textId="4AA2F2E5" w:rsidR="007B7EBD" w:rsidRPr="007B7EBD" w:rsidRDefault="009A73B9">
          <w:pPr>
            <w:pStyle w:val="TOC1"/>
            <w:tabs>
              <w:tab w:val="right" w:leader="dot" w:pos="9350"/>
            </w:tabs>
            <w:rPr>
              <w:noProof/>
              <w:sz w:val="24"/>
              <w:szCs w:val="24"/>
            </w:rPr>
          </w:pPr>
          <w:hyperlink w:anchor="_Toc127630460" w:history="1">
            <w:r w:rsidR="007B7EBD" w:rsidRPr="007B7EBD">
              <w:rPr>
                <w:rStyle w:val="Hyperlink"/>
                <w:noProof/>
                <w:sz w:val="24"/>
                <w:szCs w:val="24"/>
                <w:highlight w:val="white"/>
              </w:rPr>
              <w:t>Article 4</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_Toc127630460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4</w:t>
            </w:r>
            <w:r w:rsidR="007B7EBD" w:rsidRPr="007B7EBD">
              <w:rPr>
                <w:noProof/>
                <w:webHidden/>
                <w:sz w:val="24"/>
                <w:szCs w:val="24"/>
              </w:rPr>
              <w:fldChar w:fldCharType="end"/>
            </w:r>
          </w:hyperlink>
        </w:p>
        <w:p w14:paraId="34680E95" w14:textId="76436911" w:rsidR="007B7EBD" w:rsidRPr="007B7EBD" w:rsidRDefault="009A73B9">
          <w:pPr>
            <w:pStyle w:val="TOC1"/>
            <w:tabs>
              <w:tab w:val="right" w:leader="dot" w:pos="9350"/>
            </w:tabs>
            <w:rPr>
              <w:noProof/>
              <w:sz w:val="24"/>
              <w:szCs w:val="24"/>
            </w:rPr>
          </w:pPr>
          <w:hyperlink w:anchor="_Toc127630461" w:history="1">
            <w:r w:rsidR="007B7EBD" w:rsidRPr="007B7EBD">
              <w:rPr>
                <w:rStyle w:val="Hyperlink"/>
                <w:noProof/>
                <w:sz w:val="24"/>
                <w:szCs w:val="24"/>
                <w:highlight w:val="white"/>
              </w:rPr>
              <w:t>Article 5</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_Toc127630461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5</w:t>
            </w:r>
            <w:r w:rsidR="007B7EBD" w:rsidRPr="007B7EBD">
              <w:rPr>
                <w:noProof/>
                <w:webHidden/>
                <w:sz w:val="24"/>
                <w:szCs w:val="24"/>
              </w:rPr>
              <w:fldChar w:fldCharType="end"/>
            </w:r>
          </w:hyperlink>
        </w:p>
        <w:p w14:paraId="17043E6D" w14:textId="6E81F677" w:rsidR="007B7EBD" w:rsidRPr="007B7EBD" w:rsidRDefault="009A73B9">
          <w:pPr>
            <w:pStyle w:val="TOC1"/>
            <w:tabs>
              <w:tab w:val="right" w:leader="dot" w:pos="9350"/>
            </w:tabs>
            <w:rPr>
              <w:noProof/>
              <w:sz w:val="24"/>
              <w:szCs w:val="24"/>
            </w:rPr>
          </w:pPr>
          <w:hyperlink w:anchor="_Toc127630462" w:history="1">
            <w:r w:rsidR="007B7EBD" w:rsidRPr="007B7EBD">
              <w:rPr>
                <w:rStyle w:val="Hyperlink"/>
                <w:noProof/>
                <w:sz w:val="24"/>
                <w:szCs w:val="24"/>
                <w:highlight w:val="white"/>
              </w:rPr>
              <w:t>Reference</w:t>
            </w:r>
            <w:r w:rsidR="007B7EBD" w:rsidRPr="007B7EBD">
              <w:rPr>
                <w:noProof/>
                <w:webHidden/>
                <w:sz w:val="24"/>
                <w:szCs w:val="24"/>
              </w:rPr>
              <w:tab/>
            </w:r>
            <w:r w:rsidR="007B7EBD" w:rsidRPr="007B7EBD">
              <w:rPr>
                <w:noProof/>
                <w:webHidden/>
                <w:sz w:val="24"/>
                <w:szCs w:val="24"/>
              </w:rPr>
              <w:fldChar w:fldCharType="begin"/>
            </w:r>
            <w:r w:rsidR="007B7EBD" w:rsidRPr="007B7EBD">
              <w:rPr>
                <w:noProof/>
                <w:webHidden/>
                <w:sz w:val="24"/>
                <w:szCs w:val="24"/>
              </w:rPr>
              <w:instrText xml:space="preserve"> PAGEREF _Toc127630462 \h </w:instrText>
            </w:r>
            <w:r w:rsidR="007B7EBD" w:rsidRPr="007B7EBD">
              <w:rPr>
                <w:noProof/>
                <w:webHidden/>
                <w:sz w:val="24"/>
                <w:szCs w:val="24"/>
              </w:rPr>
            </w:r>
            <w:r w:rsidR="007B7EBD" w:rsidRPr="007B7EBD">
              <w:rPr>
                <w:noProof/>
                <w:webHidden/>
                <w:sz w:val="24"/>
                <w:szCs w:val="24"/>
              </w:rPr>
              <w:fldChar w:fldCharType="separate"/>
            </w:r>
            <w:r w:rsidR="007B7EBD" w:rsidRPr="007B7EBD">
              <w:rPr>
                <w:noProof/>
                <w:webHidden/>
                <w:sz w:val="24"/>
                <w:szCs w:val="24"/>
              </w:rPr>
              <w:t>6</w:t>
            </w:r>
            <w:r w:rsidR="007B7EBD" w:rsidRPr="007B7EBD">
              <w:rPr>
                <w:noProof/>
                <w:webHidden/>
                <w:sz w:val="24"/>
                <w:szCs w:val="24"/>
              </w:rPr>
              <w:fldChar w:fldCharType="end"/>
            </w:r>
          </w:hyperlink>
        </w:p>
        <w:p w14:paraId="66D09D29" w14:textId="0AD92533" w:rsidR="007B7EBD" w:rsidRDefault="007B7EBD">
          <w:r w:rsidRPr="007B7EBD">
            <w:rPr>
              <w:b/>
              <w:bCs/>
              <w:noProof/>
              <w:sz w:val="24"/>
              <w:szCs w:val="24"/>
            </w:rPr>
            <w:fldChar w:fldCharType="end"/>
          </w:r>
        </w:p>
      </w:sdtContent>
    </w:sdt>
    <w:p w14:paraId="584BD77F" w14:textId="77777777" w:rsidR="007B7EBD" w:rsidRDefault="007B7EBD">
      <w:pPr>
        <w:rPr>
          <w:b/>
          <w:sz w:val="28"/>
          <w:szCs w:val="40"/>
        </w:rPr>
      </w:pPr>
      <w:bookmarkStart w:id="0" w:name="_Toc127630455"/>
      <w:r>
        <w:br w:type="page"/>
      </w:r>
    </w:p>
    <w:p w14:paraId="00000003" w14:textId="575E50BA" w:rsidR="00094877" w:rsidRDefault="009A73B9" w:rsidP="007B7EBD">
      <w:pPr>
        <w:pStyle w:val="Heading1"/>
      </w:pPr>
      <w:r>
        <w:lastRenderedPageBreak/>
        <w:t>Task 1</w:t>
      </w:r>
      <w:bookmarkEnd w:id="0"/>
    </w:p>
    <w:p w14:paraId="00000013" w14:textId="189DF1A4" w:rsidR="00094877" w:rsidRDefault="007B7EBD">
      <w:pPr>
        <w:spacing w:line="360" w:lineRule="auto"/>
        <w:jc w:val="both"/>
        <w:rPr>
          <w:b/>
        </w:rPr>
      </w:pPr>
      <w:r>
        <w:rPr>
          <w:b/>
        </w:rPr>
        <w:t>Refer to PPT</w:t>
      </w:r>
    </w:p>
    <w:p w14:paraId="0000001D" w14:textId="77777777" w:rsidR="00094877" w:rsidRDefault="009A73B9" w:rsidP="007B7EBD">
      <w:pPr>
        <w:pStyle w:val="Heading1"/>
      </w:pPr>
      <w:bookmarkStart w:id="1" w:name="_Toc127630456"/>
      <w:r>
        <w:t>Task 2</w:t>
      </w:r>
      <w:bookmarkEnd w:id="1"/>
    </w:p>
    <w:p w14:paraId="0000001E" w14:textId="77777777" w:rsidR="00094877" w:rsidRDefault="009A73B9" w:rsidP="007B7EBD">
      <w:pPr>
        <w:pStyle w:val="Heading1"/>
      </w:pPr>
      <w:bookmarkStart w:id="2" w:name="_Toc127630457"/>
      <w:r>
        <w:t>Article 1</w:t>
      </w:r>
      <w:bookmarkEnd w:id="2"/>
    </w:p>
    <w:p w14:paraId="0000001F" w14:textId="77777777" w:rsidR="00094877" w:rsidRDefault="009A73B9">
      <w:pPr>
        <w:spacing w:line="360" w:lineRule="auto"/>
        <w:jc w:val="both"/>
        <w:rPr>
          <w:highlight w:val="white"/>
        </w:rPr>
      </w:pPr>
      <w:r>
        <w:rPr>
          <w:rFonts w:ascii="Roboto" w:eastAsia="Roboto" w:hAnsi="Roboto" w:cs="Roboto"/>
          <w:b/>
          <w:sz w:val="21"/>
          <w:szCs w:val="21"/>
          <w:highlight w:val="white"/>
        </w:rPr>
        <w:t xml:space="preserve">Citation: </w:t>
      </w:r>
      <w:r>
        <w:rPr>
          <w:color w:val="222222"/>
          <w:highlight w:val="white"/>
        </w:rPr>
        <w:t xml:space="preserve">Kargi, E. and Ya zgin, Y., 2018. Reflections of play and toys on Impressionist painting children and play as a pictorial expression. </w:t>
      </w:r>
      <w:r>
        <w:rPr>
          <w:i/>
          <w:highlight w:val="white"/>
        </w:rPr>
        <w:t>Creativity Research Journal</w:t>
      </w:r>
      <w:r>
        <w:rPr>
          <w:highlight w:val="white"/>
        </w:rPr>
        <w:t xml:space="preserve">, </w:t>
      </w:r>
      <w:r>
        <w:rPr>
          <w:i/>
          <w:highlight w:val="white"/>
        </w:rPr>
        <w:t>30</w:t>
      </w:r>
      <w:r>
        <w:rPr>
          <w:highlight w:val="white"/>
        </w:rPr>
        <w:t>(1), pp.113-117.</w:t>
      </w:r>
    </w:p>
    <w:p w14:paraId="00000020" w14:textId="77777777" w:rsidR="00094877" w:rsidRDefault="009A73B9">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Main findings</w:t>
      </w:r>
    </w:p>
    <w:p w14:paraId="00000021" w14:textId="77777777" w:rsidR="00094877" w:rsidRDefault="009A73B9">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In some ways, play is a model of the adult world. The world of children is also reflected in play and gadgets in terms of social and personal realities. They provide a means to mimic the world of grownups. Play has a hierarchy. Each piece of art has its ow</w:t>
      </w:r>
      <w:r>
        <w:rPr>
          <w:rFonts w:ascii="Roboto" w:eastAsia="Roboto" w:hAnsi="Roboto" w:cs="Roboto"/>
          <w:sz w:val="21"/>
          <w:szCs w:val="21"/>
          <w:highlight w:val="white"/>
        </w:rPr>
        <w:t>n order. Play and toys are global languages, much like art. The majority of youngsters are drawn to artworks featuring children because they appear so real. Paintings in schools are said to help children's artistic and aesthetic growth during their art-mak</w:t>
      </w:r>
      <w:r>
        <w:rPr>
          <w:rFonts w:ascii="Roboto" w:eastAsia="Roboto" w:hAnsi="Roboto" w:cs="Roboto"/>
          <w:sz w:val="21"/>
          <w:szCs w:val="21"/>
          <w:highlight w:val="white"/>
        </w:rPr>
        <w:t>ing process by inspiring their imagination training. Early art instruction is important As a result, investing in adult education should come before investing in children's education.</w:t>
      </w:r>
    </w:p>
    <w:p w14:paraId="00000022" w14:textId="77777777" w:rsidR="00094877" w:rsidRDefault="009A73B9">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 xml:space="preserve">Significance in understanding the concept </w:t>
      </w:r>
    </w:p>
    <w:p w14:paraId="00000023" w14:textId="77777777" w:rsidR="00094877" w:rsidRDefault="009A73B9">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It helps to understand that i</w:t>
      </w:r>
      <w:r>
        <w:rPr>
          <w:rFonts w:ascii="Roboto" w:eastAsia="Roboto" w:hAnsi="Roboto" w:cs="Roboto"/>
          <w:sz w:val="21"/>
          <w:szCs w:val="21"/>
          <w:highlight w:val="white"/>
        </w:rPr>
        <w:t xml:space="preserve">t impacts a child’s psychology and provides opportunities to explore and grow.  This suggests that learning only develops when it catches and changes a child's innate natural abilities. With awareness and grit, education advances. The intuitive methods of </w:t>
      </w:r>
      <w:r>
        <w:rPr>
          <w:rFonts w:ascii="Roboto" w:eastAsia="Roboto" w:hAnsi="Roboto" w:cs="Roboto"/>
          <w:sz w:val="21"/>
          <w:szCs w:val="21"/>
          <w:highlight w:val="white"/>
        </w:rPr>
        <w:t>communication are the crafts.</w:t>
      </w:r>
    </w:p>
    <w:p w14:paraId="00000024" w14:textId="77777777" w:rsidR="00094877" w:rsidRDefault="009A73B9" w:rsidP="007B7EBD">
      <w:pPr>
        <w:pStyle w:val="Heading1"/>
        <w:rPr>
          <w:highlight w:val="white"/>
        </w:rPr>
      </w:pPr>
      <w:bookmarkStart w:id="3" w:name="_Toc127630458"/>
      <w:r>
        <w:rPr>
          <w:highlight w:val="white"/>
        </w:rPr>
        <w:t>Article 2</w:t>
      </w:r>
      <w:bookmarkEnd w:id="3"/>
    </w:p>
    <w:p w14:paraId="00000025" w14:textId="77777777" w:rsidR="00094877" w:rsidRDefault="009A73B9">
      <w:pPr>
        <w:spacing w:line="360" w:lineRule="auto"/>
        <w:jc w:val="both"/>
        <w:rPr>
          <w:rFonts w:ascii="Roboto" w:eastAsia="Roboto" w:hAnsi="Roboto" w:cs="Roboto"/>
          <w:sz w:val="21"/>
          <w:szCs w:val="21"/>
          <w:highlight w:val="white"/>
        </w:rPr>
      </w:pPr>
      <w:r>
        <w:rPr>
          <w:rFonts w:ascii="Roboto" w:eastAsia="Roboto" w:hAnsi="Roboto" w:cs="Roboto"/>
          <w:b/>
          <w:sz w:val="21"/>
          <w:szCs w:val="21"/>
          <w:highlight w:val="white"/>
        </w:rPr>
        <w:t>Citation:</w:t>
      </w:r>
      <w:r>
        <w:rPr>
          <w:rFonts w:ascii="Roboto" w:eastAsia="Roboto" w:hAnsi="Roboto" w:cs="Roboto"/>
          <w:sz w:val="21"/>
          <w:szCs w:val="21"/>
          <w:highlight w:val="white"/>
        </w:rPr>
        <w:t xml:space="preserve"> Felfe, C., Lechner, M. and Steinmayr, A., 2016. Sports and child development. PloS one, 11(5), p.e0151729.</w:t>
      </w:r>
    </w:p>
    <w:p w14:paraId="00000026" w14:textId="77777777" w:rsidR="00094877" w:rsidRDefault="009A73B9">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Main findings</w:t>
      </w:r>
    </w:p>
    <w:p w14:paraId="00000027" w14:textId="3048354F" w:rsidR="00094877" w:rsidRDefault="009A73B9">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Children's health is often much better when they participate in sports. Parents evalu</w:t>
      </w:r>
      <w:r>
        <w:rPr>
          <w:rFonts w:ascii="Roboto" w:eastAsia="Roboto" w:hAnsi="Roboto" w:cs="Roboto"/>
          <w:sz w:val="21"/>
          <w:szCs w:val="21"/>
          <w:highlight w:val="white"/>
        </w:rPr>
        <w:t>ate their kids' health far better than other people do. The BMI is almost affected by all. This, nevertheless, is not shocking given that BMI may not be a reliable indicator of juvenile overweight and obesity. Children who participated in sports had a lowe</w:t>
      </w:r>
      <w:r>
        <w:rPr>
          <w:rFonts w:ascii="Roboto" w:eastAsia="Roboto" w:hAnsi="Roboto" w:cs="Roboto"/>
          <w:sz w:val="21"/>
          <w:szCs w:val="21"/>
          <w:highlight w:val="white"/>
        </w:rPr>
        <w:t xml:space="preserve">r skinfold, a more accurate indicator of body fat. Moreover, the pulse is greatly decreased. The findings for the many health factors that may be measured objectively </w:t>
      </w:r>
      <w:r>
        <w:rPr>
          <w:rFonts w:ascii="Roboto" w:eastAsia="Roboto" w:hAnsi="Roboto" w:cs="Roboto"/>
          <w:sz w:val="21"/>
          <w:szCs w:val="21"/>
          <w:highlight w:val="white"/>
        </w:rPr>
        <w:lastRenderedPageBreak/>
        <w:t>may assist in dispelling a priori concerns about the possibility that subjective bias aff</w:t>
      </w:r>
      <w:r>
        <w:rPr>
          <w:rFonts w:ascii="Roboto" w:eastAsia="Roboto" w:hAnsi="Roboto" w:cs="Roboto"/>
          <w:sz w:val="21"/>
          <w:szCs w:val="21"/>
          <w:highlight w:val="white"/>
        </w:rPr>
        <w:t xml:space="preserve">ected our findings (Felfe </w:t>
      </w:r>
      <w:r>
        <w:rPr>
          <w:rFonts w:ascii="Roboto" w:eastAsia="Roboto" w:hAnsi="Roboto" w:cs="Roboto"/>
          <w:i/>
          <w:sz w:val="21"/>
          <w:szCs w:val="21"/>
          <w:highlight w:val="white"/>
        </w:rPr>
        <w:t xml:space="preserve">et al., </w:t>
      </w:r>
      <w:r>
        <w:rPr>
          <w:rFonts w:ascii="Roboto" w:eastAsia="Roboto" w:hAnsi="Roboto" w:cs="Roboto"/>
          <w:sz w:val="21"/>
          <w:szCs w:val="21"/>
          <w:highlight w:val="white"/>
        </w:rPr>
        <w:t>2016). This tendency would appear if parents of kids who play sports consistently reported that their kids were developing better.</w:t>
      </w:r>
    </w:p>
    <w:p w14:paraId="00000028" w14:textId="77777777" w:rsidR="00094877" w:rsidRDefault="009A73B9">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Significance in understanding the concept</w:t>
      </w:r>
    </w:p>
    <w:p w14:paraId="00000029" w14:textId="77777777" w:rsidR="00094877" w:rsidRDefault="009A73B9">
      <w:pPr>
        <w:spacing w:line="360" w:lineRule="auto"/>
        <w:jc w:val="both"/>
        <w:rPr>
          <w:rFonts w:ascii="Roboto" w:eastAsia="Roboto" w:hAnsi="Roboto" w:cs="Roboto"/>
          <w:b/>
          <w:sz w:val="21"/>
          <w:szCs w:val="21"/>
          <w:highlight w:val="white"/>
        </w:rPr>
      </w:pPr>
      <w:r>
        <w:rPr>
          <w:rFonts w:ascii="Roboto" w:eastAsia="Roboto" w:hAnsi="Roboto" w:cs="Roboto"/>
          <w:sz w:val="21"/>
          <w:szCs w:val="21"/>
          <w:highlight w:val="white"/>
        </w:rPr>
        <w:t>It helps to understand that along with arts and c</w:t>
      </w:r>
      <w:r>
        <w:rPr>
          <w:rFonts w:ascii="Roboto" w:eastAsia="Roboto" w:hAnsi="Roboto" w:cs="Roboto"/>
          <w:sz w:val="21"/>
          <w:szCs w:val="21"/>
          <w:highlight w:val="white"/>
        </w:rPr>
        <w:t>reative activities, sports also help develop children. They must be involved in physical activities that help them grow mentally and physically. In addition, they need to be active and creative.</w:t>
      </w:r>
      <w:r>
        <w:rPr>
          <w:rFonts w:ascii="Roboto" w:eastAsia="Roboto" w:hAnsi="Roboto" w:cs="Roboto"/>
          <w:b/>
          <w:sz w:val="21"/>
          <w:szCs w:val="21"/>
          <w:highlight w:val="white"/>
        </w:rPr>
        <w:t xml:space="preserve"> </w:t>
      </w:r>
    </w:p>
    <w:p w14:paraId="0000002A" w14:textId="77777777" w:rsidR="00094877" w:rsidRDefault="009A73B9" w:rsidP="007B7EBD">
      <w:pPr>
        <w:pStyle w:val="Heading1"/>
        <w:rPr>
          <w:highlight w:val="white"/>
        </w:rPr>
      </w:pPr>
      <w:bookmarkStart w:id="4" w:name="_Toc127630459"/>
      <w:r>
        <w:rPr>
          <w:highlight w:val="white"/>
        </w:rPr>
        <w:t>Article 3</w:t>
      </w:r>
      <w:bookmarkEnd w:id="4"/>
    </w:p>
    <w:p w14:paraId="0000002B" w14:textId="77777777" w:rsidR="00094877" w:rsidRDefault="009A73B9">
      <w:pPr>
        <w:spacing w:line="360" w:lineRule="auto"/>
        <w:jc w:val="both"/>
        <w:rPr>
          <w:rFonts w:ascii="Roboto" w:eastAsia="Roboto" w:hAnsi="Roboto" w:cs="Roboto"/>
          <w:sz w:val="21"/>
          <w:szCs w:val="21"/>
          <w:highlight w:val="white"/>
        </w:rPr>
      </w:pPr>
      <w:r>
        <w:rPr>
          <w:rFonts w:ascii="Roboto" w:eastAsia="Roboto" w:hAnsi="Roboto" w:cs="Roboto"/>
          <w:b/>
          <w:sz w:val="21"/>
          <w:szCs w:val="21"/>
          <w:highlight w:val="white"/>
        </w:rPr>
        <w:t xml:space="preserve">Citation: </w:t>
      </w:r>
      <w:r>
        <w:rPr>
          <w:color w:val="222222"/>
          <w:sz w:val="21"/>
          <w:szCs w:val="21"/>
          <w:highlight w:val="white"/>
        </w:rPr>
        <w:t>Yusuf, A., Ummam, A.F., Nastiti, A.A. an</w:t>
      </w:r>
      <w:r>
        <w:rPr>
          <w:color w:val="222222"/>
          <w:sz w:val="21"/>
          <w:szCs w:val="21"/>
          <w:highlight w:val="white"/>
        </w:rPr>
        <w:t xml:space="preserve">d Yunitasari, E., 2020. The intervention of effective playdough activity on the increase of cognitive development of autistic children. </w:t>
      </w:r>
      <w:r>
        <w:rPr>
          <w:rFonts w:ascii="Roboto" w:eastAsia="Roboto" w:hAnsi="Roboto" w:cs="Roboto"/>
          <w:i/>
          <w:sz w:val="21"/>
          <w:szCs w:val="21"/>
          <w:highlight w:val="white"/>
        </w:rPr>
        <w:t>Systematic Reviews in Pharmacy</w:t>
      </w:r>
      <w:r>
        <w:rPr>
          <w:rFonts w:ascii="Roboto" w:eastAsia="Roboto" w:hAnsi="Roboto" w:cs="Roboto"/>
          <w:sz w:val="21"/>
          <w:szCs w:val="21"/>
          <w:highlight w:val="white"/>
        </w:rPr>
        <w:t xml:space="preserve">, </w:t>
      </w:r>
      <w:r>
        <w:rPr>
          <w:rFonts w:ascii="Roboto" w:eastAsia="Roboto" w:hAnsi="Roboto" w:cs="Roboto"/>
          <w:i/>
          <w:sz w:val="21"/>
          <w:szCs w:val="21"/>
          <w:highlight w:val="white"/>
        </w:rPr>
        <w:t>11</w:t>
      </w:r>
      <w:r>
        <w:rPr>
          <w:rFonts w:ascii="Roboto" w:eastAsia="Roboto" w:hAnsi="Roboto" w:cs="Roboto"/>
          <w:sz w:val="21"/>
          <w:szCs w:val="21"/>
          <w:highlight w:val="white"/>
        </w:rPr>
        <w:t>(3), pp.786-792.</w:t>
      </w:r>
    </w:p>
    <w:p w14:paraId="0000002C" w14:textId="77777777" w:rsidR="00094877" w:rsidRDefault="009A73B9">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Main findings</w:t>
      </w:r>
    </w:p>
    <w:p w14:paraId="0000002D" w14:textId="77777777" w:rsidR="00094877" w:rsidRDefault="009A73B9">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Children can learn about the path of the activity throu</w:t>
      </w:r>
      <w:r>
        <w:rPr>
          <w:rFonts w:ascii="Roboto" w:eastAsia="Roboto" w:hAnsi="Roboto" w:cs="Roboto"/>
          <w:sz w:val="21"/>
          <w:szCs w:val="21"/>
          <w:highlight w:val="white"/>
        </w:rPr>
        <w:t>gh play. Children's remembering will improve with regular training in their skills. Many forms of stimulation might be used to promote cognitive growth. The way that stimulation affects children's cognitive development is potentially quite significant. The</w:t>
      </w:r>
      <w:r>
        <w:rPr>
          <w:rFonts w:ascii="Roboto" w:eastAsia="Roboto" w:hAnsi="Roboto" w:cs="Roboto"/>
          <w:sz w:val="21"/>
          <w:szCs w:val="21"/>
          <w:highlight w:val="white"/>
        </w:rPr>
        <w:t xml:space="preserve"> researcher's use of playdough exercise as stimulation proved effective. The dough that looked like clay was referred described as "playdough." Children with autism may benefit from playdough as a stimulus for the growth of their intellectual capacity. Chi</w:t>
      </w:r>
      <w:r>
        <w:rPr>
          <w:rFonts w:ascii="Roboto" w:eastAsia="Roboto" w:hAnsi="Roboto" w:cs="Roboto"/>
          <w:sz w:val="21"/>
          <w:szCs w:val="21"/>
          <w:highlight w:val="white"/>
        </w:rPr>
        <w:t>ldren might recognise colours and forms through playdough activities. Students have the option of shaping as another way to show their creativity. While playing, they can communicate with their buddies.</w:t>
      </w:r>
    </w:p>
    <w:p w14:paraId="0000002E" w14:textId="77777777" w:rsidR="00094877" w:rsidRDefault="009A73B9">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 xml:space="preserve">Significance in understanding the concept </w:t>
      </w:r>
    </w:p>
    <w:p w14:paraId="0000002F" w14:textId="77777777" w:rsidR="00094877" w:rsidRDefault="009A73B9">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This helps</w:t>
      </w:r>
      <w:r>
        <w:rPr>
          <w:rFonts w:ascii="Roboto" w:eastAsia="Roboto" w:hAnsi="Roboto" w:cs="Roboto"/>
          <w:sz w:val="21"/>
          <w:szCs w:val="21"/>
          <w:highlight w:val="white"/>
        </w:rPr>
        <w:t xml:space="preserve"> to understand that playing with dough helps to develop motor skills and helps them to understand colour and shape. It helps to make an effective impact on the brain of children and make them innovative and enhance skills. </w:t>
      </w:r>
    </w:p>
    <w:p w14:paraId="00000030" w14:textId="77777777" w:rsidR="00094877" w:rsidRDefault="009A73B9" w:rsidP="007B7EBD">
      <w:pPr>
        <w:pStyle w:val="Heading1"/>
        <w:rPr>
          <w:highlight w:val="white"/>
        </w:rPr>
      </w:pPr>
      <w:bookmarkStart w:id="5" w:name="_Toc127630460"/>
      <w:r>
        <w:rPr>
          <w:highlight w:val="white"/>
        </w:rPr>
        <w:t>Article 4</w:t>
      </w:r>
      <w:bookmarkEnd w:id="5"/>
      <w:r>
        <w:rPr>
          <w:highlight w:val="white"/>
        </w:rPr>
        <w:t xml:space="preserve"> </w:t>
      </w:r>
    </w:p>
    <w:p w14:paraId="00000031" w14:textId="77777777" w:rsidR="00094877" w:rsidRDefault="009A73B9">
      <w:pPr>
        <w:spacing w:line="360" w:lineRule="auto"/>
        <w:jc w:val="both"/>
        <w:rPr>
          <w:color w:val="222222"/>
          <w:sz w:val="21"/>
          <w:szCs w:val="21"/>
          <w:highlight w:val="white"/>
        </w:rPr>
      </w:pPr>
      <w:r>
        <w:rPr>
          <w:rFonts w:ascii="Roboto" w:eastAsia="Roboto" w:hAnsi="Roboto" w:cs="Roboto"/>
          <w:b/>
          <w:sz w:val="21"/>
          <w:szCs w:val="21"/>
          <w:highlight w:val="white"/>
        </w:rPr>
        <w:t>Citation:</w:t>
      </w:r>
      <w:r>
        <w:rPr>
          <w:rFonts w:ascii="Roboto" w:eastAsia="Roboto" w:hAnsi="Roboto" w:cs="Roboto"/>
          <w:sz w:val="21"/>
          <w:szCs w:val="21"/>
          <w:highlight w:val="white"/>
        </w:rPr>
        <w:t xml:space="preserve"> </w:t>
      </w:r>
      <w:r>
        <w:rPr>
          <w:color w:val="222222"/>
          <w:highlight w:val="white"/>
        </w:rPr>
        <w:t>Peppler, K.</w:t>
      </w:r>
      <w:r>
        <w:rPr>
          <w:color w:val="222222"/>
          <w:highlight w:val="white"/>
        </w:rPr>
        <w:t xml:space="preserve">, Wohlwend, K., Thompson, N., Tan, V. and Thomas, A., 2019. Squishing circuits: Circuitry learning with electronics and playdough in early childhood. </w:t>
      </w:r>
      <w:r>
        <w:rPr>
          <w:i/>
          <w:color w:val="222222"/>
          <w:highlight w:val="white"/>
        </w:rPr>
        <w:t>Journal of Science Education and Technology</w:t>
      </w:r>
      <w:r>
        <w:rPr>
          <w:color w:val="222222"/>
          <w:highlight w:val="white"/>
        </w:rPr>
        <w:t xml:space="preserve">, </w:t>
      </w:r>
      <w:r>
        <w:rPr>
          <w:i/>
          <w:color w:val="222222"/>
          <w:highlight w:val="white"/>
        </w:rPr>
        <w:t>28</w:t>
      </w:r>
      <w:r>
        <w:rPr>
          <w:color w:val="222222"/>
          <w:highlight w:val="white"/>
        </w:rPr>
        <w:t>, pp.118-132.</w:t>
      </w:r>
    </w:p>
    <w:p w14:paraId="00000032" w14:textId="77777777" w:rsidR="00094877" w:rsidRDefault="009A73B9">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Main findings</w:t>
      </w:r>
    </w:p>
    <w:p w14:paraId="00000033" w14:textId="77777777" w:rsidR="00094877" w:rsidRDefault="009A73B9">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lastRenderedPageBreak/>
        <w:t>It helps to understand that using play dough at an early stage of learning helps them to develop an understanding of electronic elements. It makes the process safe and interesting for children. Children were able to investigate key circuitry lessons includ</w:t>
      </w:r>
      <w:r>
        <w:rPr>
          <w:rFonts w:ascii="Roboto" w:eastAsia="Roboto" w:hAnsi="Roboto" w:cs="Roboto"/>
          <w:sz w:val="21"/>
          <w:szCs w:val="21"/>
          <w:highlight w:val="white"/>
        </w:rPr>
        <w:t>ing interconnections, orientation, and flow of current thanks to the Squishy Circuits toolset (</w:t>
      </w:r>
      <w:r>
        <w:rPr>
          <w:color w:val="222222"/>
          <w:highlight w:val="white"/>
        </w:rPr>
        <w:t xml:space="preserve">Peppler </w:t>
      </w:r>
      <w:r>
        <w:rPr>
          <w:i/>
          <w:color w:val="222222"/>
          <w:highlight w:val="white"/>
        </w:rPr>
        <w:t xml:space="preserve">et al., </w:t>
      </w:r>
      <w:r>
        <w:rPr>
          <w:color w:val="222222"/>
          <w:highlight w:val="white"/>
        </w:rPr>
        <w:t>2019)</w:t>
      </w:r>
      <w:r>
        <w:rPr>
          <w:rFonts w:ascii="Roboto" w:eastAsia="Roboto" w:hAnsi="Roboto" w:cs="Roboto"/>
          <w:sz w:val="21"/>
          <w:szCs w:val="21"/>
          <w:highlight w:val="white"/>
        </w:rPr>
        <w:t>.</w:t>
      </w:r>
    </w:p>
    <w:p w14:paraId="00000034" w14:textId="77777777" w:rsidR="00094877" w:rsidRDefault="009A73B9">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 xml:space="preserve">Significance in understanding the concept </w:t>
      </w:r>
    </w:p>
    <w:p w14:paraId="00000035" w14:textId="77777777" w:rsidR="00094877" w:rsidRDefault="009A73B9">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Thus, engaging children with different objects from an early stage makes the process of learnin</w:t>
      </w:r>
      <w:r>
        <w:rPr>
          <w:rFonts w:ascii="Roboto" w:eastAsia="Roboto" w:hAnsi="Roboto" w:cs="Roboto"/>
          <w:sz w:val="21"/>
          <w:szCs w:val="21"/>
          <w:highlight w:val="white"/>
        </w:rPr>
        <w:t>g easy. This approach serves to demonstrate how, when such themes are framed via play and exploration with transparent and pliable materials, relatively young children may effectively begin to interact with science concepts typically taught at a later prim</w:t>
      </w:r>
      <w:r>
        <w:rPr>
          <w:rFonts w:ascii="Roboto" w:eastAsia="Roboto" w:hAnsi="Roboto" w:cs="Roboto"/>
          <w:sz w:val="21"/>
          <w:szCs w:val="21"/>
          <w:highlight w:val="white"/>
        </w:rPr>
        <w:t>ary level.</w:t>
      </w:r>
    </w:p>
    <w:p w14:paraId="00000036" w14:textId="77777777" w:rsidR="00094877" w:rsidRDefault="009A73B9" w:rsidP="007B7EBD">
      <w:pPr>
        <w:pStyle w:val="Heading1"/>
        <w:rPr>
          <w:highlight w:val="white"/>
        </w:rPr>
      </w:pPr>
      <w:bookmarkStart w:id="6" w:name="_Toc127630461"/>
      <w:r>
        <w:rPr>
          <w:highlight w:val="white"/>
        </w:rPr>
        <w:t>Article 5</w:t>
      </w:r>
      <w:bookmarkEnd w:id="6"/>
    </w:p>
    <w:p w14:paraId="00000037" w14:textId="77777777" w:rsidR="00094877" w:rsidRDefault="009A73B9">
      <w:pPr>
        <w:spacing w:line="360" w:lineRule="auto"/>
        <w:jc w:val="both"/>
        <w:rPr>
          <w:rFonts w:ascii="Roboto" w:eastAsia="Roboto" w:hAnsi="Roboto" w:cs="Roboto"/>
          <w:sz w:val="21"/>
          <w:szCs w:val="21"/>
          <w:highlight w:val="white"/>
        </w:rPr>
      </w:pPr>
      <w:r>
        <w:rPr>
          <w:rFonts w:ascii="Roboto" w:eastAsia="Roboto" w:hAnsi="Roboto" w:cs="Roboto"/>
          <w:b/>
          <w:sz w:val="21"/>
          <w:szCs w:val="21"/>
          <w:highlight w:val="white"/>
        </w:rPr>
        <w:t xml:space="preserve">Citation: </w:t>
      </w:r>
      <w:r>
        <w:rPr>
          <w:color w:val="222222"/>
          <w:sz w:val="21"/>
          <w:szCs w:val="21"/>
          <w:highlight w:val="white"/>
        </w:rPr>
        <w:t>Basa, F.L., Sutarto</w:t>
      </w:r>
      <w:r>
        <w:rPr>
          <w:color w:val="222222"/>
          <w:sz w:val="21"/>
          <w:szCs w:val="21"/>
          <w:highlight w:val="white"/>
        </w:rPr>
        <w:t xml:space="preserve">, J. and Setiawan, D., 2020. Finger painting learning to stimulate motor development in early childhood. </w:t>
      </w:r>
      <w:r>
        <w:rPr>
          <w:rFonts w:ascii="Roboto" w:eastAsia="Roboto" w:hAnsi="Roboto" w:cs="Roboto"/>
          <w:i/>
          <w:sz w:val="21"/>
          <w:szCs w:val="21"/>
          <w:highlight w:val="white"/>
        </w:rPr>
        <w:t>Journal of Primary Education</w:t>
      </w:r>
      <w:r>
        <w:rPr>
          <w:rFonts w:ascii="Roboto" w:eastAsia="Roboto" w:hAnsi="Roboto" w:cs="Roboto"/>
          <w:sz w:val="21"/>
          <w:szCs w:val="21"/>
          <w:highlight w:val="white"/>
        </w:rPr>
        <w:t xml:space="preserve">, </w:t>
      </w:r>
      <w:r>
        <w:rPr>
          <w:rFonts w:ascii="Roboto" w:eastAsia="Roboto" w:hAnsi="Roboto" w:cs="Roboto"/>
          <w:i/>
          <w:sz w:val="21"/>
          <w:szCs w:val="21"/>
          <w:highlight w:val="white"/>
        </w:rPr>
        <w:t>9</w:t>
      </w:r>
      <w:r>
        <w:rPr>
          <w:rFonts w:ascii="Roboto" w:eastAsia="Roboto" w:hAnsi="Roboto" w:cs="Roboto"/>
          <w:sz w:val="21"/>
          <w:szCs w:val="21"/>
          <w:highlight w:val="white"/>
        </w:rPr>
        <w:t>(2), pp.193-200.</w:t>
      </w:r>
    </w:p>
    <w:p w14:paraId="00000038" w14:textId="77777777" w:rsidR="00094877" w:rsidRDefault="009A73B9">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Main findings</w:t>
      </w:r>
    </w:p>
    <w:p w14:paraId="00000039" w14:textId="5C0F1F1C" w:rsidR="00094877" w:rsidRDefault="009A73B9">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 xml:space="preserve">The purpose of the </w:t>
      </w:r>
      <w:r w:rsidR="007B7EBD">
        <w:rPr>
          <w:rFonts w:ascii="Roboto" w:eastAsia="Roboto" w:hAnsi="Roboto" w:cs="Roboto"/>
          <w:sz w:val="21"/>
          <w:szCs w:val="21"/>
          <w:highlight w:val="white"/>
        </w:rPr>
        <w:t>finger-painting</w:t>
      </w:r>
      <w:r>
        <w:rPr>
          <w:rFonts w:ascii="Roboto" w:eastAsia="Roboto" w:hAnsi="Roboto" w:cs="Roboto"/>
          <w:sz w:val="21"/>
          <w:szCs w:val="21"/>
          <w:highlight w:val="white"/>
        </w:rPr>
        <w:t xml:space="preserve"> exercises in this article was to evaluate the fine mot</w:t>
      </w:r>
      <w:r>
        <w:rPr>
          <w:rFonts w:ascii="Roboto" w:eastAsia="Roboto" w:hAnsi="Roboto" w:cs="Roboto"/>
          <w:sz w:val="21"/>
          <w:szCs w:val="21"/>
          <w:highlight w:val="white"/>
        </w:rPr>
        <w:t xml:space="preserve">or and gross motor abilities of kids between the ages of 5 and 6. The study's findings relate to the improvement of children's fine motor and gross motor skills during finger painting activities in the two kindergartens. In addition, when they are between </w:t>
      </w:r>
      <w:r>
        <w:rPr>
          <w:rFonts w:ascii="Roboto" w:eastAsia="Roboto" w:hAnsi="Roboto" w:cs="Roboto"/>
          <w:sz w:val="21"/>
          <w:szCs w:val="21"/>
          <w:highlight w:val="white"/>
        </w:rPr>
        <w:t>the ages of 5 and 6 (</w:t>
      </w:r>
      <w:r>
        <w:rPr>
          <w:color w:val="222222"/>
          <w:sz w:val="21"/>
          <w:szCs w:val="21"/>
          <w:highlight w:val="white"/>
        </w:rPr>
        <w:t xml:space="preserve">Basa </w:t>
      </w:r>
      <w:r>
        <w:rPr>
          <w:i/>
          <w:color w:val="222222"/>
          <w:sz w:val="21"/>
          <w:szCs w:val="21"/>
          <w:highlight w:val="white"/>
        </w:rPr>
        <w:t xml:space="preserve">et al., </w:t>
      </w:r>
      <w:r>
        <w:rPr>
          <w:color w:val="222222"/>
          <w:sz w:val="21"/>
          <w:szCs w:val="21"/>
          <w:highlight w:val="white"/>
        </w:rPr>
        <w:t>2020)</w:t>
      </w:r>
      <w:r>
        <w:rPr>
          <w:rFonts w:ascii="Roboto" w:eastAsia="Roboto" w:hAnsi="Roboto" w:cs="Roboto"/>
          <w:sz w:val="21"/>
          <w:szCs w:val="21"/>
          <w:highlight w:val="white"/>
        </w:rPr>
        <w:t xml:space="preserve">. </w:t>
      </w:r>
    </w:p>
    <w:p w14:paraId="0000003A" w14:textId="77777777" w:rsidR="00094877" w:rsidRDefault="009A73B9">
      <w:pPr>
        <w:spacing w:line="360" w:lineRule="auto"/>
        <w:jc w:val="both"/>
        <w:rPr>
          <w:rFonts w:ascii="Roboto" w:eastAsia="Roboto" w:hAnsi="Roboto" w:cs="Roboto"/>
          <w:b/>
          <w:sz w:val="21"/>
          <w:szCs w:val="21"/>
          <w:highlight w:val="white"/>
        </w:rPr>
      </w:pPr>
      <w:r>
        <w:rPr>
          <w:rFonts w:ascii="Roboto" w:eastAsia="Roboto" w:hAnsi="Roboto" w:cs="Roboto"/>
          <w:b/>
          <w:sz w:val="21"/>
          <w:szCs w:val="21"/>
          <w:highlight w:val="white"/>
        </w:rPr>
        <w:t xml:space="preserve">Significance in understanding the concept </w:t>
      </w:r>
    </w:p>
    <w:p w14:paraId="0000003B" w14:textId="3A76F253" w:rsidR="007B7EBD" w:rsidRDefault="009A73B9">
      <w:pPr>
        <w:spacing w:line="360" w:lineRule="auto"/>
        <w:jc w:val="both"/>
        <w:rPr>
          <w:rFonts w:ascii="Roboto" w:eastAsia="Roboto" w:hAnsi="Roboto" w:cs="Roboto"/>
          <w:sz w:val="21"/>
          <w:szCs w:val="21"/>
          <w:highlight w:val="white"/>
        </w:rPr>
      </w:pPr>
      <w:r>
        <w:rPr>
          <w:rFonts w:ascii="Roboto" w:eastAsia="Roboto" w:hAnsi="Roboto" w:cs="Roboto"/>
          <w:sz w:val="21"/>
          <w:szCs w:val="21"/>
          <w:highlight w:val="white"/>
        </w:rPr>
        <w:t xml:space="preserve">It is exemplified by children's activities, where they can behave in accordance with a teacher's instructions or guidance that is based on evaluation indicators. In light </w:t>
      </w:r>
      <w:r>
        <w:rPr>
          <w:rFonts w:ascii="Roboto" w:eastAsia="Roboto" w:hAnsi="Roboto" w:cs="Roboto"/>
          <w:sz w:val="21"/>
          <w:szCs w:val="21"/>
          <w:highlight w:val="white"/>
        </w:rPr>
        <w:t>of the research's findings, kindergarten instructors should become more knowledgeable, particularly with regard to young children's growth of their gross and fine motor skills, by employing a variety of engaging activities, such as finger painting.</w:t>
      </w:r>
    </w:p>
    <w:p w14:paraId="003B4035" w14:textId="77777777" w:rsidR="007B7EBD" w:rsidRDefault="007B7EBD">
      <w:pPr>
        <w:rPr>
          <w:rFonts w:ascii="Roboto" w:eastAsia="Roboto" w:hAnsi="Roboto" w:cs="Roboto"/>
          <w:sz w:val="21"/>
          <w:szCs w:val="21"/>
          <w:highlight w:val="white"/>
        </w:rPr>
      </w:pPr>
      <w:r>
        <w:rPr>
          <w:rFonts w:ascii="Roboto" w:eastAsia="Roboto" w:hAnsi="Roboto" w:cs="Roboto"/>
          <w:sz w:val="21"/>
          <w:szCs w:val="21"/>
          <w:highlight w:val="white"/>
        </w:rPr>
        <w:br w:type="page"/>
      </w:r>
    </w:p>
    <w:p w14:paraId="3D387896" w14:textId="1EE8EC01" w:rsidR="00094877" w:rsidRDefault="007B7EBD" w:rsidP="007B7EBD">
      <w:pPr>
        <w:pStyle w:val="Heading1"/>
        <w:rPr>
          <w:highlight w:val="white"/>
        </w:rPr>
      </w:pPr>
      <w:bookmarkStart w:id="7" w:name="_Toc127630462"/>
      <w:r>
        <w:rPr>
          <w:highlight w:val="white"/>
        </w:rPr>
        <w:lastRenderedPageBreak/>
        <w:t>Reference</w:t>
      </w:r>
      <w:bookmarkEnd w:id="7"/>
    </w:p>
    <w:p w14:paraId="7FEB1BFA" w14:textId="77777777" w:rsidR="007B7EBD" w:rsidRPr="007B7EBD" w:rsidRDefault="007B7EBD" w:rsidP="007B7EBD">
      <w:pPr>
        <w:spacing w:after="160" w:line="360" w:lineRule="auto"/>
        <w:jc w:val="both"/>
        <w:rPr>
          <w:rFonts w:eastAsia="Calibri"/>
          <w:color w:val="222222"/>
          <w:shd w:val="clear" w:color="auto" w:fill="FFFFFF"/>
          <w:lang w:val="en-US"/>
        </w:rPr>
      </w:pPr>
      <w:r w:rsidRPr="007B7EBD">
        <w:rPr>
          <w:rFonts w:eastAsia="Calibri"/>
          <w:color w:val="222222"/>
          <w:shd w:val="clear" w:color="auto" w:fill="FFFFFF"/>
          <w:lang w:val="en-US"/>
        </w:rPr>
        <w:t>Basa, F.L., Sutarto, J. and Setiawan, D., 2020. Finger painting learning to stimulate motor development in early childhood. </w:t>
      </w:r>
      <w:r w:rsidRPr="007B7EBD">
        <w:rPr>
          <w:rFonts w:eastAsia="Calibri"/>
          <w:i/>
          <w:iCs/>
          <w:color w:val="222222"/>
          <w:shd w:val="clear" w:color="auto" w:fill="FFFFFF"/>
          <w:lang w:val="en-US"/>
        </w:rPr>
        <w:t>Journal of Primary Education</w:t>
      </w:r>
      <w:r w:rsidRPr="007B7EBD">
        <w:rPr>
          <w:rFonts w:eastAsia="Calibri"/>
          <w:color w:val="222222"/>
          <w:shd w:val="clear" w:color="auto" w:fill="FFFFFF"/>
          <w:lang w:val="en-US"/>
        </w:rPr>
        <w:t>, </w:t>
      </w:r>
      <w:r w:rsidRPr="007B7EBD">
        <w:rPr>
          <w:rFonts w:eastAsia="Calibri"/>
          <w:i/>
          <w:iCs/>
          <w:color w:val="222222"/>
          <w:shd w:val="clear" w:color="auto" w:fill="FFFFFF"/>
          <w:lang w:val="en-US"/>
        </w:rPr>
        <w:t>9</w:t>
      </w:r>
      <w:r w:rsidRPr="007B7EBD">
        <w:rPr>
          <w:rFonts w:eastAsia="Calibri"/>
          <w:color w:val="222222"/>
          <w:shd w:val="clear" w:color="auto" w:fill="FFFFFF"/>
          <w:lang w:val="en-US"/>
        </w:rPr>
        <w:t>(2), pp.193-200.</w:t>
      </w:r>
    </w:p>
    <w:p w14:paraId="799D30F7" w14:textId="77777777" w:rsidR="007B7EBD" w:rsidRPr="007B7EBD" w:rsidRDefault="007B7EBD" w:rsidP="007B7EBD">
      <w:pPr>
        <w:spacing w:after="160" w:line="360" w:lineRule="auto"/>
        <w:jc w:val="both"/>
        <w:rPr>
          <w:rFonts w:eastAsia="Calibri"/>
          <w:color w:val="222222"/>
          <w:shd w:val="clear" w:color="auto" w:fill="FFFFFF"/>
          <w:lang w:val="en-US"/>
        </w:rPr>
      </w:pPr>
      <w:r w:rsidRPr="007B7EBD">
        <w:rPr>
          <w:rFonts w:eastAsia="Calibri"/>
          <w:color w:val="222222"/>
          <w:shd w:val="clear" w:color="auto" w:fill="FFFFFF"/>
          <w:lang w:val="en-US"/>
        </w:rPr>
        <w:t>Felfe, C., Lechner, M. and Steinmayr, A., 2016. Sports and child development. </w:t>
      </w:r>
      <w:r w:rsidRPr="007B7EBD">
        <w:rPr>
          <w:rFonts w:eastAsia="Calibri"/>
          <w:i/>
          <w:iCs/>
          <w:color w:val="222222"/>
          <w:shd w:val="clear" w:color="auto" w:fill="FFFFFF"/>
          <w:lang w:val="en-US"/>
        </w:rPr>
        <w:t>PloS one</w:t>
      </w:r>
      <w:r w:rsidRPr="007B7EBD">
        <w:rPr>
          <w:rFonts w:eastAsia="Calibri"/>
          <w:color w:val="222222"/>
          <w:shd w:val="clear" w:color="auto" w:fill="FFFFFF"/>
          <w:lang w:val="en-US"/>
        </w:rPr>
        <w:t>, </w:t>
      </w:r>
      <w:r w:rsidRPr="007B7EBD">
        <w:rPr>
          <w:rFonts w:eastAsia="Calibri"/>
          <w:i/>
          <w:iCs/>
          <w:color w:val="222222"/>
          <w:shd w:val="clear" w:color="auto" w:fill="FFFFFF"/>
          <w:lang w:val="en-US"/>
        </w:rPr>
        <w:t>11</w:t>
      </w:r>
      <w:r w:rsidRPr="007B7EBD">
        <w:rPr>
          <w:rFonts w:eastAsia="Calibri"/>
          <w:color w:val="222222"/>
          <w:shd w:val="clear" w:color="auto" w:fill="FFFFFF"/>
          <w:lang w:val="en-US"/>
        </w:rPr>
        <w:t>(5), p.e0151729.</w:t>
      </w:r>
    </w:p>
    <w:p w14:paraId="1E6C6A58" w14:textId="77777777" w:rsidR="007B7EBD" w:rsidRPr="007B7EBD" w:rsidRDefault="007B7EBD" w:rsidP="007B7EBD">
      <w:pPr>
        <w:spacing w:after="160" w:line="360" w:lineRule="auto"/>
        <w:jc w:val="both"/>
        <w:rPr>
          <w:rFonts w:eastAsia="Calibri"/>
          <w:color w:val="222222"/>
          <w:shd w:val="clear" w:color="auto" w:fill="FFFFFF"/>
          <w:lang w:val="en-US"/>
        </w:rPr>
      </w:pPr>
      <w:r w:rsidRPr="007B7EBD">
        <w:rPr>
          <w:rFonts w:eastAsia="Calibri"/>
          <w:color w:val="222222"/>
          <w:shd w:val="clear" w:color="auto" w:fill="FFFFFF"/>
          <w:lang w:val="en-US"/>
        </w:rPr>
        <w:t>Kargi, E. and Yazgin, Y., 2018. Reflections of play and toys on Impressionist painting children and play as a pictorial expression. </w:t>
      </w:r>
      <w:r w:rsidRPr="007B7EBD">
        <w:rPr>
          <w:rFonts w:eastAsia="Calibri"/>
          <w:i/>
          <w:iCs/>
          <w:color w:val="222222"/>
          <w:shd w:val="clear" w:color="auto" w:fill="FFFFFF"/>
          <w:lang w:val="en-US"/>
        </w:rPr>
        <w:t>Creativity Research Journal</w:t>
      </w:r>
      <w:r w:rsidRPr="007B7EBD">
        <w:rPr>
          <w:rFonts w:eastAsia="Calibri"/>
          <w:color w:val="222222"/>
          <w:shd w:val="clear" w:color="auto" w:fill="FFFFFF"/>
          <w:lang w:val="en-US"/>
        </w:rPr>
        <w:t>, </w:t>
      </w:r>
      <w:r w:rsidRPr="007B7EBD">
        <w:rPr>
          <w:rFonts w:eastAsia="Calibri"/>
          <w:i/>
          <w:iCs/>
          <w:color w:val="222222"/>
          <w:shd w:val="clear" w:color="auto" w:fill="FFFFFF"/>
          <w:lang w:val="en-US"/>
        </w:rPr>
        <w:t>30</w:t>
      </w:r>
      <w:r w:rsidRPr="007B7EBD">
        <w:rPr>
          <w:rFonts w:eastAsia="Calibri"/>
          <w:color w:val="222222"/>
          <w:shd w:val="clear" w:color="auto" w:fill="FFFFFF"/>
          <w:lang w:val="en-US"/>
        </w:rPr>
        <w:t>(1), pp.113-117.</w:t>
      </w:r>
    </w:p>
    <w:p w14:paraId="40387A20" w14:textId="77777777" w:rsidR="007B7EBD" w:rsidRDefault="007B7EBD">
      <w:pPr>
        <w:spacing w:line="360" w:lineRule="auto"/>
        <w:jc w:val="both"/>
        <w:rPr>
          <w:rFonts w:ascii="Roboto" w:eastAsia="Roboto" w:hAnsi="Roboto" w:cs="Roboto"/>
          <w:sz w:val="21"/>
          <w:szCs w:val="21"/>
          <w:highlight w:val="white"/>
        </w:rPr>
      </w:pPr>
      <w:r w:rsidRPr="007B7EBD">
        <w:rPr>
          <w:rFonts w:ascii="Roboto" w:eastAsia="Roboto" w:hAnsi="Roboto" w:cs="Roboto"/>
          <w:sz w:val="21"/>
          <w:szCs w:val="21"/>
          <w:highlight w:val="white"/>
        </w:rPr>
        <w:t>Peppler, K., Wohlwend, K., Thompson, N., Tan, V. and Thomas, A., 2019. Squishing circuits: Circuitry learning with electronics and playdough in early childhood. </w:t>
      </w:r>
      <w:r w:rsidRPr="007B7EBD">
        <w:rPr>
          <w:rFonts w:ascii="Roboto" w:eastAsia="Roboto" w:hAnsi="Roboto" w:cs="Roboto"/>
          <w:i/>
          <w:iCs/>
          <w:sz w:val="21"/>
          <w:szCs w:val="21"/>
          <w:highlight w:val="white"/>
        </w:rPr>
        <w:t>Journal of Science Education and Technology</w:t>
      </w:r>
      <w:r w:rsidRPr="007B7EBD">
        <w:rPr>
          <w:rFonts w:ascii="Roboto" w:eastAsia="Roboto" w:hAnsi="Roboto" w:cs="Roboto"/>
          <w:sz w:val="21"/>
          <w:szCs w:val="21"/>
          <w:highlight w:val="white"/>
        </w:rPr>
        <w:t>, </w:t>
      </w:r>
      <w:r w:rsidRPr="007B7EBD">
        <w:rPr>
          <w:rFonts w:ascii="Roboto" w:eastAsia="Roboto" w:hAnsi="Roboto" w:cs="Roboto"/>
          <w:i/>
          <w:iCs/>
          <w:sz w:val="21"/>
          <w:szCs w:val="21"/>
          <w:highlight w:val="white"/>
        </w:rPr>
        <w:t>28</w:t>
      </w:r>
      <w:r w:rsidRPr="007B7EBD">
        <w:rPr>
          <w:rFonts w:ascii="Roboto" w:eastAsia="Roboto" w:hAnsi="Roboto" w:cs="Roboto"/>
          <w:sz w:val="21"/>
          <w:szCs w:val="21"/>
          <w:highlight w:val="white"/>
        </w:rPr>
        <w:t>, pp.118-132.</w:t>
      </w:r>
    </w:p>
    <w:p w14:paraId="51B1F464" w14:textId="77777777" w:rsidR="007B7EBD" w:rsidRPr="007B7EBD" w:rsidRDefault="007B7EBD" w:rsidP="007B7EBD">
      <w:pPr>
        <w:spacing w:after="160" w:line="360" w:lineRule="auto"/>
        <w:jc w:val="both"/>
        <w:rPr>
          <w:rFonts w:eastAsia="Calibri"/>
          <w:color w:val="222222"/>
          <w:shd w:val="clear" w:color="auto" w:fill="FFFFFF"/>
          <w:lang w:val="en-US"/>
        </w:rPr>
      </w:pPr>
      <w:r w:rsidRPr="007B7EBD">
        <w:rPr>
          <w:rFonts w:eastAsia="Calibri"/>
          <w:color w:val="222222"/>
          <w:shd w:val="clear" w:color="auto" w:fill="FFFFFF"/>
          <w:lang w:val="en-US"/>
        </w:rPr>
        <w:t>Yusuf, A., Ummam, A.F., Nastiti, A.A. and Yunitasari, E., 2020. The intervention of effective playdough activity on the increase of cognitive development of autistic children. </w:t>
      </w:r>
      <w:r w:rsidRPr="007B7EBD">
        <w:rPr>
          <w:rFonts w:eastAsia="Calibri"/>
          <w:i/>
          <w:iCs/>
          <w:color w:val="222222"/>
          <w:shd w:val="clear" w:color="auto" w:fill="FFFFFF"/>
          <w:lang w:val="en-US"/>
        </w:rPr>
        <w:t>Systematic Reviews in Pharmacy</w:t>
      </w:r>
      <w:r w:rsidRPr="007B7EBD">
        <w:rPr>
          <w:rFonts w:eastAsia="Calibri"/>
          <w:color w:val="222222"/>
          <w:shd w:val="clear" w:color="auto" w:fill="FFFFFF"/>
          <w:lang w:val="en-US"/>
        </w:rPr>
        <w:t>, </w:t>
      </w:r>
      <w:r w:rsidRPr="007B7EBD">
        <w:rPr>
          <w:rFonts w:eastAsia="Calibri"/>
          <w:i/>
          <w:iCs/>
          <w:color w:val="222222"/>
          <w:shd w:val="clear" w:color="auto" w:fill="FFFFFF"/>
          <w:lang w:val="en-US"/>
        </w:rPr>
        <w:t>11</w:t>
      </w:r>
      <w:r w:rsidRPr="007B7EBD">
        <w:rPr>
          <w:rFonts w:eastAsia="Calibri"/>
          <w:color w:val="222222"/>
          <w:shd w:val="clear" w:color="auto" w:fill="FFFFFF"/>
          <w:lang w:val="en-US"/>
        </w:rPr>
        <w:t>(3), pp.786-792.</w:t>
      </w:r>
    </w:p>
    <w:p w14:paraId="712AB16A" w14:textId="77777777" w:rsidR="007B7EBD" w:rsidRDefault="007B7EBD">
      <w:pPr>
        <w:spacing w:line="360" w:lineRule="auto"/>
        <w:jc w:val="both"/>
        <w:rPr>
          <w:rFonts w:ascii="Roboto" w:eastAsia="Roboto" w:hAnsi="Roboto" w:cs="Roboto"/>
          <w:sz w:val="21"/>
          <w:szCs w:val="21"/>
          <w:highlight w:val="white"/>
        </w:rPr>
      </w:pPr>
    </w:p>
    <w:sectPr w:rsidR="007B7EBD" w:rsidSect="00374DA8">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487B1" w14:textId="77777777" w:rsidR="00E93212" w:rsidRDefault="00E93212" w:rsidP="00374DA8">
      <w:pPr>
        <w:spacing w:line="240" w:lineRule="auto"/>
      </w:pPr>
      <w:r>
        <w:separator/>
      </w:r>
    </w:p>
  </w:endnote>
  <w:endnote w:type="continuationSeparator" w:id="0">
    <w:p w14:paraId="62E0E3DC" w14:textId="77777777" w:rsidR="00E93212" w:rsidRDefault="00E93212" w:rsidP="00374D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2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4"/>
        <w:szCs w:val="24"/>
      </w:rPr>
      <w:id w:val="366333344"/>
      <w:docPartObj>
        <w:docPartGallery w:val="Page Numbers (Bottom of Page)"/>
        <w:docPartUnique/>
      </w:docPartObj>
    </w:sdtPr>
    <w:sdtEndPr/>
    <w:sdtContent>
      <w:sdt>
        <w:sdtPr>
          <w:rPr>
            <w:sz w:val="24"/>
            <w:szCs w:val="24"/>
          </w:rPr>
          <w:id w:val="-1769616900"/>
          <w:docPartObj>
            <w:docPartGallery w:val="Page Numbers (Top of Page)"/>
            <w:docPartUnique/>
          </w:docPartObj>
        </w:sdtPr>
        <w:sdtEndPr/>
        <w:sdtContent>
          <w:p w14:paraId="27EC9E70" w14:textId="5E8AB911" w:rsidR="00374DA8" w:rsidRPr="00374DA8" w:rsidRDefault="00374DA8">
            <w:pPr>
              <w:pStyle w:val="Footer"/>
              <w:jc w:val="right"/>
              <w:rPr>
                <w:sz w:val="24"/>
                <w:szCs w:val="24"/>
              </w:rPr>
            </w:pPr>
            <w:r w:rsidRPr="00374DA8">
              <w:rPr>
                <w:sz w:val="24"/>
                <w:szCs w:val="24"/>
              </w:rPr>
              <w:t xml:space="preserve">Page </w:t>
            </w:r>
            <w:r w:rsidRPr="00374DA8">
              <w:rPr>
                <w:b/>
                <w:bCs/>
                <w:sz w:val="24"/>
                <w:szCs w:val="24"/>
              </w:rPr>
              <w:fldChar w:fldCharType="begin"/>
            </w:r>
            <w:r w:rsidRPr="00374DA8">
              <w:rPr>
                <w:b/>
                <w:bCs/>
                <w:sz w:val="24"/>
                <w:szCs w:val="24"/>
              </w:rPr>
              <w:instrText xml:space="preserve"> PAGE </w:instrText>
            </w:r>
            <w:r w:rsidRPr="00374DA8">
              <w:rPr>
                <w:b/>
                <w:bCs/>
                <w:sz w:val="24"/>
                <w:szCs w:val="24"/>
              </w:rPr>
              <w:fldChar w:fldCharType="separate"/>
            </w:r>
            <w:r w:rsidRPr="00374DA8">
              <w:rPr>
                <w:b/>
                <w:bCs/>
                <w:noProof/>
                <w:sz w:val="24"/>
                <w:szCs w:val="24"/>
              </w:rPr>
              <w:t>2</w:t>
            </w:r>
            <w:r w:rsidRPr="00374DA8">
              <w:rPr>
                <w:b/>
                <w:bCs/>
                <w:sz w:val="24"/>
                <w:szCs w:val="24"/>
              </w:rPr>
              <w:fldChar w:fldCharType="end"/>
            </w:r>
            <w:r w:rsidRPr="00374DA8">
              <w:rPr>
                <w:sz w:val="24"/>
                <w:szCs w:val="24"/>
              </w:rPr>
              <w:t xml:space="preserve"> of </w:t>
            </w:r>
            <w:r w:rsidRPr="00374DA8">
              <w:rPr>
                <w:b/>
                <w:bCs/>
                <w:sz w:val="24"/>
                <w:szCs w:val="24"/>
              </w:rPr>
              <w:fldChar w:fldCharType="begin"/>
            </w:r>
            <w:r w:rsidRPr="00374DA8">
              <w:rPr>
                <w:b/>
                <w:bCs/>
                <w:sz w:val="24"/>
                <w:szCs w:val="24"/>
              </w:rPr>
              <w:instrText xml:space="preserve"> NUMPAGES  </w:instrText>
            </w:r>
            <w:r w:rsidRPr="00374DA8">
              <w:rPr>
                <w:b/>
                <w:bCs/>
                <w:sz w:val="24"/>
                <w:szCs w:val="24"/>
              </w:rPr>
              <w:fldChar w:fldCharType="separate"/>
            </w:r>
            <w:r w:rsidRPr="00374DA8">
              <w:rPr>
                <w:b/>
                <w:bCs/>
                <w:noProof/>
                <w:sz w:val="24"/>
                <w:szCs w:val="24"/>
              </w:rPr>
              <w:t>2</w:t>
            </w:r>
            <w:r w:rsidRPr="00374DA8">
              <w:rPr>
                <w:b/>
                <w:bCs/>
                <w:sz w:val="24"/>
                <w:szCs w:val="24"/>
              </w:rPr>
              <w:fldChar w:fldCharType="end"/>
            </w:r>
          </w:p>
        </w:sdtContent>
      </w:sdt>
    </w:sdtContent>
  </w:sdt>
  <w:p w14:paraId="11BB09AE" w14:textId="77777777" w:rsidR="00374DA8" w:rsidRDefault="00374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90FAD" w14:textId="77777777" w:rsidR="00E93212" w:rsidRDefault="00E93212" w:rsidP="00374DA8">
      <w:pPr>
        <w:spacing w:line="240" w:lineRule="auto"/>
      </w:pPr>
      <w:r>
        <w:separator/>
      </w:r>
    </w:p>
  </w:footnote>
  <w:footnote w:type="continuationSeparator" w:id="0">
    <w:p w14:paraId="11551C69" w14:textId="77777777" w:rsidR="00E93212" w:rsidRDefault="00E93212" w:rsidP="00374D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3612B"/>
    <w:multiLevelType w:val="multilevel"/>
    <w:tmpl w:val="16B0E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66A1FAE"/>
    <w:multiLevelType w:val="multilevel"/>
    <w:tmpl w:val="FE62B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CA3103F"/>
    <w:multiLevelType w:val="multilevel"/>
    <w:tmpl w:val="C622A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18029C0"/>
    <w:multiLevelType w:val="multilevel"/>
    <w:tmpl w:val="EA5C5A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5214A0D"/>
    <w:multiLevelType w:val="multilevel"/>
    <w:tmpl w:val="13342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58351881">
    <w:abstractNumId w:val="2"/>
  </w:num>
  <w:num w:numId="2" w16cid:durableId="1884753930">
    <w:abstractNumId w:val="3"/>
  </w:num>
  <w:num w:numId="3" w16cid:durableId="580717210">
    <w:abstractNumId w:val="1"/>
  </w:num>
  <w:num w:numId="4" w16cid:durableId="2132936308">
    <w:abstractNumId w:val="4"/>
  </w:num>
  <w:num w:numId="5" w16cid:durableId="221332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877"/>
    <w:rsid w:val="00094877"/>
    <w:rsid w:val="00374DA8"/>
    <w:rsid w:val="006317BA"/>
    <w:rsid w:val="007B7EBD"/>
    <w:rsid w:val="009A73B9"/>
    <w:rsid w:val="00AA18C5"/>
    <w:rsid w:val="00E932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5ADC4"/>
  <w15:docId w15:val="{2DAB24BA-04D9-4BEA-8EE2-7790E2449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B7EBD"/>
    <w:pPr>
      <w:keepNext/>
      <w:keepLines/>
      <w:spacing w:before="400" w:after="120"/>
      <w:jc w:val="both"/>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7B7EB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B7EBD"/>
    <w:pPr>
      <w:spacing w:after="100"/>
    </w:pPr>
  </w:style>
  <w:style w:type="character" w:styleId="Hyperlink">
    <w:name w:val="Hyperlink"/>
    <w:basedOn w:val="DefaultParagraphFont"/>
    <w:uiPriority w:val="99"/>
    <w:unhideWhenUsed/>
    <w:rsid w:val="007B7EBD"/>
    <w:rPr>
      <w:color w:val="0000FF" w:themeColor="hyperlink"/>
      <w:u w:val="single"/>
    </w:rPr>
  </w:style>
  <w:style w:type="paragraph" w:styleId="Header">
    <w:name w:val="header"/>
    <w:basedOn w:val="Normal"/>
    <w:link w:val="HeaderChar"/>
    <w:uiPriority w:val="99"/>
    <w:unhideWhenUsed/>
    <w:rsid w:val="00374DA8"/>
    <w:pPr>
      <w:tabs>
        <w:tab w:val="center" w:pos="4680"/>
        <w:tab w:val="right" w:pos="9360"/>
      </w:tabs>
      <w:spacing w:line="240" w:lineRule="auto"/>
    </w:pPr>
  </w:style>
  <w:style w:type="character" w:customStyle="1" w:styleId="HeaderChar">
    <w:name w:val="Header Char"/>
    <w:basedOn w:val="DefaultParagraphFont"/>
    <w:link w:val="Header"/>
    <w:uiPriority w:val="99"/>
    <w:rsid w:val="00374DA8"/>
  </w:style>
  <w:style w:type="paragraph" w:styleId="Footer">
    <w:name w:val="footer"/>
    <w:basedOn w:val="Normal"/>
    <w:link w:val="FooterChar"/>
    <w:uiPriority w:val="99"/>
    <w:unhideWhenUsed/>
    <w:rsid w:val="00374DA8"/>
    <w:pPr>
      <w:tabs>
        <w:tab w:val="center" w:pos="4680"/>
        <w:tab w:val="right" w:pos="9360"/>
      </w:tabs>
      <w:spacing w:line="240" w:lineRule="auto"/>
    </w:pPr>
  </w:style>
  <w:style w:type="character" w:customStyle="1" w:styleId="FooterChar">
    <w:name w:val="Footer Char"/>
    <w:basedOn w:val="DefaultParagraphFont"/>
    <w:link w:val="Footer"/>
    <w:uiPriority w:val="99"/>
    <w:rsid w:val="00374D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44F7EB-20EE-459C-AD86-FC81382ED1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1126</Words>
  <Characters>6420</Characters>
  <Application>Microsoft Office Word</Application>
  <DocSecurity>0</DocSecurity>
  <Lines>53</Lines>
  <Paragraphs>15</Paragraphs>
  <ScaleCrop>false</ScaleCrop>
  <Company/>
  <LinksUpToDate>false</LinksUpToDate>
  <CharactersWithSpaces>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Hasena Khatun</cp:lastModifiedBy>
  <cp:revision>2</cp:revision>
  <dcterms:created xsi:type="dcterms:W3CDTF">2023-03-18T18:19:00Z</dcterms:created>
  <dcterms:modified xsi:type="dcterms:W3CDTF">2023-03-18T18:19:00Z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797ab42c6d40db6fea9fcc5453e2f3eca381624f438e0a5f04cba2fc529534e5</vt:lpwstr>
  </property>
</Properties>
</file>