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480" w:lineRule="auto"/>
        <w:jc w:val="center"/>
        <w:rPr>
          <w:b w:val="1"/>
          <w:bCs w:val="1"/>
        </w:rPr>
      </w:pPr>
    </w:p>
    <w:p>
      <w:pPr>
        <w:pStyle w:val="Body"/>
        <w:spacing w:line="480" w:lineRule="auto"/>
        <w:jc w:val="center"/>
        <w:rPr>
          <w:b w:val="1"/>
          <w:bCs w:val="1"/>
        </w:rPr>
      </w:pPr>
    </w:p>
    <w:p>
      <w:pPr>
        <w:pStyle w:val="Body"/>
        <w:spacing w:line="480" w:lineRule="auto"/>
        <w:jc w:val="center"/>
        <w:rPr>
          <w:b w:val="1"/>
          <w:bCs w:val="1"/>
        </w:rPr>
      </w:pPr>
      <w:r>
        <w:rPr>
          <w:b w:val="1"/>
          <w:bCs w:val="1"/>
          <w:rtl w:val="0"/>
          <w:lang w:val="en-US"/>
        </w:rPr>
        <w:t>A Report on Team Working and Communication within the Workplace</w:t>
      </w:r>
    </w:p>
    <w:p>
      <w:pPr>
        <w:pStyle w:val="Body"/>
        <w:spacing w:line="480" w:lineRule="auto"/>
        <w:jc w:val="center"/>
        <w:rPr>
          <w:b w:val="1"/>
          <w:bCs w:val="1"/>
        </w:rPr>
      </w:pPr>
      <w:r>
        <w:rPr>
          <w:b w:val="1"/>
          <w:bCs w:val="1"/>
          <w:rtl w:val="0"/>
          <w:lang w:val="sv-SE"/>
        </w:rPr>
        <w:t>Mohammed Sundar Ali</w:t>
      </w:r>
    </w:p>
    <w:p>
      <w:pPr>
        <w:pStyle w:val="Body"/>
        <w:spacing w:line="480" w:lineRule="auto"/>
        <w:jc w:val="center"/>
        <w:rPr>
          <w:b w:val="1"/>
          <w:bCs w:val="1"/>
        </w:rPr>
      </w:pPr>
    </w:p>
    <w:p>
      <w:pPr>
        <w:pStyle w:val="Body"/>
        <w:spacing w:line="480" w:lineRule="auto"/>
        <w:jc w:val="center"/>
        <w:rPr>
          <w:b w:val="1"/>
          <w:bCs w:val="1"/>
        </w:rPr>
      </w:pPr>
    </w:p>
    <w:p>
      <w:pPr>
        <w:pStyle w:val="Body"/>
        <w:spacing w:line="480" w:lineRule="auto"/>
        <w:jc w:val="center"/>
        <w:rPr>
          <w:b w:val="1"/>
          <w:bCs w:val="1"/>
        </w:rPr>
      </w:pPr>
    </w:p>
    <w:p>
      <w:pPr>
        <w:pStyle w:val="Body"/>
        <w:spacing w:line="480" w:lineRule="auto"/>
        <w:jc w:val="center"/>
        <w:rPr>
          <w:b w:val="1"/>
          <w:bCs w:val="1"/>
        </w:rPr>
      </w:pPr>
    </w:p>
    <w:p>
      <w:pPr>
        <w:pStyle w:val="Body"/>
        <w:spacing w:line="480" w:lineRule="auto"/>
        <w:jc w:val="center"/>
        <w:rPr>
          <w:b w:val="1"/>
          <w:bCs w:val="1"/>
        </w:rPr>
      </w:pPr>
    </w:p>
    <w:p>
      <w:pPr>
        <w:pStyle w:val="Body"/>
        <w:spacing w:line="480" w:lineRule="auto"/>
        <w:jc w:val="center"/>
        <w:rPr>
          <w:b w:val="1"/>
          <w:bCs w:val="1"/>
        </w:rPr>
      </w:pPr>
    </w:p>
    <w:p>
      <w:pPr>
        <w:pStyle w:val="Body"/>
        <w:spacing w:line="480" w:lineRule="auto"/>
        <w:jc w:val="center"/>
        <w:rPr>
          <w:b w:val="1"/>
          <w:bCs w:val="1"/>
        </w:rPr>
      </w:pPr>
    </w:p>
    <w:p>
      <w:pPr>
        <w:pStyle w:val="Body"/>
        <w:spacing w:line="480" w:lineRule="auto"/>
        <w:jc w:val="center"/>
        <w:rPr>
          <w:b w:val="1"/>
          <w:bCs w:val="1"/>
        </w:rPr>
      </w:pPr>
    </w:p>
    <w:p>
      <w:pPr>
        <w:pStyle w:val="Body"/>
        <w:spacing w:line="480" w:lineRule="auto"/>
        <w:jc w:val="center"/>
        <w:rPr>
          <w:b w:val="1"/>
          <w:bCs w:val="1"/>
        </w:rPr>
      </w:pPr>
    </w:p>
    <w:p>
      <w:pPr>
        <w:pStyle w:val="Body"/>
        <w:spacing w:line="480" w:lineRule="auto"/>
        <w:jc w:val="center"/>
      </w:pPr>
      <w:r>
        <w:rPr>
          <w:rFonts w:ascii="Arial Unicode MS" w:cs="Arial Unicode MS" w:hAnsi="Arial Unicode MS" w:eastAsia="Arial Unicode MS"/>
          <w:b w:val="0"/>
          <w:bCs w:val="0"/>
          <w:i w:val="0"/>
          <w:iCs w:val="0"/>
        </w:rPr>
        <w:br w:type="page"/>
      </w:r>
    </w:p>
    <w:p>
      <w:pPr>
        <w:pStyle w:val="TOC Heading"/>
        <w:spacing w:line="480" w:lineRule="auto"/>
        <w:rPr>
          <w:rFonts w:ascii="Times New Roman" w:cs="Times New Roman" w:hAnsi="Times New Roman" w:eastAsia="Times New Roman"/>
          <w:b w:val="1"/>
          <w:bCs w:val="1"/>
          <w:outline w:val="0"/>
          <w:color w:val="000000"/>
          <w:sz w:val="24"/>
          <w:szCs w:val="24"/>
          <w:u w:color="000000"/>
          <w:lang w:val="en-US"/>
          <w14:textFill>
            <w14:solidFill>
              <w14:srgbClr w14:val="000000"/>
            </w14:solidFill>
          </w14:textFill>
        </w:rPr>
      </w:pPr>
      <w:r>
        <w:rPr>
          <w:rFonts w:ascii="Times New Roman" w:hAnsi="Times New Roman"/>
          <w:b w:val="1"/>
          <w:bCs w:val="1"/>
          <w:outline w:val="0"/>
          <w:color w:val="000000"/>
          <w:sz w:val="24"/>
          <w:szCs w:val="24"/>
          <w:u w:color="000000"/>
          <w:rtl w:val="0"/>
          <w:lang w:val="en-US"/>
          <w14:textFill>
            <w14:solidFill>
              <w14:srgbClr w14:val="000000"/>
            </w14:solidFill>
          </w14:textFill>
        </w:rPr>
        <w:t>Table of Contents</w:t>
      </w:r>
    </w:p>
    <w:p>
      <w:pPr>
        <w:pStyle w:val="Body"/>
        <w:spacing w:line="480" w:lineRule="auto"/>
      </w:pPr>
      <w:r>
        <w:rPr>
          <w:b w:val="1"/>
          <w:bCs w:val="1"/>
          <w:outline w:val="0"/>
          <w:color w:val="000000"/>
          <w:sz w:val="24"/>
          <w:szCs w:val="24"/>
          <w:u w:color="000000"/>
          <w:lang w:val="en-US"/>
          <w14:textFill>
            <w14:solidFill>
              <w14:srgbClr w14:val="000000"/>
            </w14:solidFill>
          </w14:textFill>
        </w:rPr>
        <w:fldChar w:fldCharType="begin" w:fldLock="0"/>
      </w:r>
      <w:r>
        <w:rPr>
          <w:b w:val="1"/>
          <w:bCs w:val="1"/>
          <w:outline w:val="0"/>
          <w:color w:val="000000"/>
          <w:sz w:val="24"/>
          <w:szCs w:val="24"/>
          <w:u w:color="000000"/>
          <w:lang w:val="en-US"/>
          <w14:textFill>
            <w14:solidFill>
              <w14:srgbClr w14:val="000000"/>
            </w14:solidFill>
          </w14:textFill>
        </w:rPr>
        <w:instrText xml:space="preserve"> TOC \o 1-2 </w:instrText>
      </w:r>
      <w:r>
        <w:rPr>
          <w:b w:val="1"/>
          <w:bCs w:val="1"/>
          <w:outline w:val="0"/>
          <w:color w:val="000000"/>
          <w:sz w:val="24"/>
          <w:szCs w:val="24"/>
          <w:u w:color="000000"/>
          <w:lang w:val="en-US"/>
          <w14:textFill>
            <w14:solidFill>
              <w14:srgbClr w14:val="000000"/>
            </w14:solidFill>
          </w14:textFill>
        </w:rPr>
        <w:fldChar w:fldCharType="separate" w:fldLock="0"/>
      </w:r>
    </w:p>
    <w:p>
      <w:pPr>
        <w:pStyle w:val="TOC 1"/>
      </w:pPr>
      <w:r>
        <w:rPr>
          <w:rFonts w:cs="Arial Unicode MS" w:eastAsia="Arial Unicode MS"/>
          <w:rtl w:val="0"/>
        </w:rPr>
        <w:t>Part One:</w:t>
        <w:tab/>
      </w:r>
      <w:r>
        <w:rPr/>
        <w:fldChar w:fldCharType="begin" w:fldLock="0"/>
      </w:r>
      <w:r>
        <w:instrText xml:space="preserve"> PAGEREF _Toc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Tuckman's Stages of Group Development</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Forming</w:t>
        <w:tab/>
      </w:r>
      <w:r>
        <w:rPr/>
        <w:fldChar w:fldCharType="begin" w:fldLock="0"/>
      </w:r>
      <w:r>
        <w:instrText xml:space="preserve"> PAGEREF _Toc2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Storming</w:t>
        <w:tab/>
      </w:r>
      <w:r>
        <w:rPr/>
        <w:fldChar w:fldCharType="begin" w:fldLock="0"/>
      </w:r>
      <w:r>
        <w:instrText xml:space="preserve"> PAGEREF _Toc3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Norming</w:t>
        <w:tab/>
      </w:r>
      <w:r>
        <w:rPr/>
        <w:fldChar w:fldCharType="begin" w:fldLock="0"/>
      </w:r>
      <w:r>
        <w:instrText xml:space="preserve"> PAGEREF _Toc4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Performing</w:t>
        <w:tab/>
      </w:r>
      <w:r>
        <w:rPr/>
        <w:fldChar w:fldCharType="begin" w:fldLock="0"/>
      </w:r>
      <w:r>
        <w:instrText xml:space="preserve"> PAGEREF _Toc5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rPr>
        <w:t>Belbin's Team Roles</w:t>
        <w:tab/>
      </w:r>
      <w:r>
        <w:rPr/>
        <w:fldChar w:fldCharType="begin" w:fldLock="0"/>
      </w:r>
      <w:r>
        <w:instrText xml:space="preserve"> PAGEREF _Toc6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Implementer</w:t>
        <w:tab/>
      </w:r>
      <w:r>
        <w:rPr/>
        <w:fldChar w:fldCharType="begin" w:fldLock="0"/>
      </w:r>
      <w:r>
        <w:instrText xml:space="preserve"> PAGEREF _Toc7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Coordinator</w:t>
        <w:tab/>
      </w:r>
      <w:r>
        <w:rPr/>
        <w:fldChar w:fldCharType="begin" w:fldLock="0"/>
      </w:r>
      <w:r>
        <w:instrText xml:space="preserve"> PAGEREF _Toc8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Team Worker</w:t>
        <w:tab/>
      </w:r>
      <w:r>
        <w:rPr/>
        <w:fldChar w:fldCharType="begin" w:fldLock="0"/>
      </w:r>
      <w:r>
        <w:instrText xml:space="preserve"> PAGEREF _Toc9 \h </w:instrText>
      </w:r>
      <w:r>
        <w:rPr/>
        <w:fldChar w:fldCharType="separate" w:fldLock="0"/>
      </w:r>
      <w:r>
        <w:rPr>
          <w:rFonts w:cs="Arial Unicode MS" w:eastAsia="Arial Unicode MS"/>
          <w:rtl w:val="0"/>
        </w:rPr>
        <w:t>7</w:t>
      </w:r>
      <w:r>
        <w:rPr/>
        <w:fldChar w:fldCharType="end" w:fldLock="0"/>
      </w:r>
    </w:p>
    <w:p>
      <w:pPr>
        <w:pStyle w:val="TOC 2"/>
      </w:pPr>
      <w:r>
        <w:rPr>
          <w:rFonts w:cs="Arial Unicode MS" w:eastAsia="Arial Unicode MS"/>
          <w:rtl w:val="0"/>
        </w:rPr>
        <w:t>Resource Investigator</w:t>
        <w:tab/>
      </w:r>
      <w:r>
        <w:rPr/>
        <w:fldChar w:fldCharType="begin" w:fldLock="0"/>
      </w:r>
      <w:r>
        <w:instrText xml:space="preserve"> PAGEREF _Toc10 \h </w:instrText>
      </w:r>
      <w:r>
        <w:rPr/>
        <w:fldChar w:fldCharType="separate" w:fldLock="0"/>
      </w:r>
      <w:r>
        <w:rPr>
          <w:rFonts w:cs="Arial Unicode MS" w:eastAsia="Arial Unicode MS"/>
          <w:rtl w:val="0"/>
        </w:rPr>
        <w:t>7</w:t>
      </w:r>
      <w:r>
        <w:rPr/>
        <w:fldChar w:fldCharType="end" w:fldLock="0"/>
      </w:r>
    </w:p>
    <w:p>
      <w:pPr>
        <w:pStyle w:val="TOC 2"/>
      </w:pPr>
      <w:r>
        <w:rPr>
          <w:rFonts w:cs="Arial Unicode MS" w:eastAsia="Arial Unicode MS"/>
          <w:rtl w:val="0"/>
        </w:rPr>
        <w:t>Completer Finisher</w:t>
        <w:tab/>
      </w:r>
      <w:r>
        <w:rPr/>
        <w:fldChar w:fldCharType="begin" w:fldLock="0"/>
      </w:r>
      <w:r>
        <w:instrText xml:space="preserve"> PAGEREF _Toc11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Part Two</w:t>
        <w:tab/>
      </w:r>
      <w:r>
        <w:rPr/>
        <w:fldChar w:fldCharType="begin" w:fldLock="0"/>
      </w:r>
      <w:r>
        <w:instrText xml:space="preserve"> PAGEREF _Toc12 \h </w:instrText>
      </w:r>
      <w:r>
        <w:rPr/>
        <w:fldChar w:fldCharType="separate" w:fldLock="0"/>
      </w:r>
      <w:r>
        <w:rPr>
          <w:rFonts w:cs="Arial Unicode MS" w:eastAsia="Arial Unicode MS"/>
          <w:rtl w:val="0"/>
        </w:rPr>
        <w:t>9</w:t>
      </w:r>
      <w:r>
        <w:rPr/>
        <w:fldChar w:fldCharType="end" w:fldLock="0"/>
      </w:r>
    </w:p>
    <w:p>
      <w:pPr>
        <w:pStyle w:val="TOC 1"/>
      </w:pPr>
      <w:r>
        <w:rPr>
          <w:rFonts w:cs="Arial Unicode MS" w:eastAsia="Arial Unicode MS"/>
          <w:rtl w:val="0"/>
        </w:rPr>
        <w:t>Importance of Two-Way Communication</w:t>
        <w:tab/>
      </w:r>
      <w:r>
        <w:rPr/>
        <w:fldChar w:fldCharType="begin" w:fldLock="0"/>
      </w:r>
      <w:r>
        <w:instrText xml:space="preserve"> PAGEREF _Toc13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rtl w:val="0"/>
        </w:rPr>
        <w:t>Shannon-Weaver Model</w:t>
        <w:tab/>
      </w:r>
      <w:r>
        <w:rPr/>
        <w:fldChar w:fldCharType="begin" w:fldLock="0"/>
      </w:r>
      <w:r>
        <w:instrText xml:space="preserve"> PAGEREF _Toc14 \h </w:instrText>
      </w:r>
      <w:r>
        <w:rPr/>
        <w:fldChar w:fldCharType="separate" w:fldLock="0"/>
      </w:r>
      <w:r>
        <w:rPr>
          <w:rFonts w:cs="Arial Unicode MS" w:eastAsia="Arial Unicode MS"/>
          <w:rtl w:val="0"/>
        </w:rPr>
        <w:t>10</w:t>
      </w:r>
      <w:r>
        <w:rPr/>
        <w:fldChar w:fldCharType="end" w:fldLock="0"/>
      </w:r>
    </w:p>
    <w:p>
      <w:pPr>
        <w:pStyle w:val="TOC 2"/>
      </w:pPr>
      <w:r>
        <w:rPr>
          <w:rFonts w:cs="Arial Unicode MS" w:eastAsia="Arial Unicode MS"/>
          <w:rtl w:val="0"/>
        </w:rPr>
        <w:t>Transactional Model</w:t>
        <w:tab/>
      </w:r>
      <w:r>
        <w:rPr/>
        <w:fldChar w:fldCharType="begin" w:fldLock="0"/>
      </w:r>
      <w:r>
        <w:instrText xml:space="preserve"> PAGEREF _Toc15 \h </w:instrText>
      </w:r>
      <w:r>
        <w:rPr/>
        <w:fldChar w:fldCharType="separate" w:fldLock="0"/>
      </w:r>
      <w:r>
        <w:rPr>
          <w:rFonts w:cs="Arial Unicode MS" w:eastAsia="Arial Unicode MS"/>
          <w:rtl w:val="0"/>
        </w:rPr>
        <w:t>10</w:t>
      </w:r>
      <w:r>
        <w:rPr/>
        <w:fldChar w:fldCharType="end" w:fldLock="0"/>
      </w:r>
    </w:p>
    <w:p>
      <w:pPr>
        <w:pStyle w:val="TOC 2"/>
      </w:pPr>
      <w:r>
        <w:rPr>
          <w:rFonts w:cs="Arial Unicode MS" w:eastAsia="Arial Unicode MS"/>
          <w:rtl w:val="0"/>
        </w:rPr>
        <w:t>Berlo's Model</w:t>
        <w:tab/>
      </w:r>
      <w:r>
        <w:rPr/>
        <w:fldChar w:fldCharType="begin" w:fldLock="0"/>
      </w:r>
      <w:r>
        <w:instrText xml:space="preserve"> PAGEREF _Toc16 \h </w:instrText>
      </w:r>
      <w:r>
        <w:rPr/>
        <w:fldChar w:fldCharType="separate" w:fldLock="0"/>
      </w:r>
      <w:r>
        <w:rPr>
          <w:rFonts w:cs="Arial Unicode MS" w:eastAsia="Arial Unicode MS"/>
          <w:rtl w:val="0"/>
        </w:rPr>
        <w:t>11</w:t>
      </w:r>
      <w:r>
        <w:rPr/>
        <w:fldChar w:fldCharType="end" w:fldLock="0"/>
      </w:r>
    </w:p>
    <w:p>
      <w:pPr>
        <w:pStyle w:val="TOC 2"/>
      </w:pPr>
      <w:r>
        <w:rPr>
          <w:rFonts w:cs="Arial Unicode MS" w:eastAsia="Arial Unicode MS"/>
          <w:rtl w:val="0"/>
        </w:rPr>
        <w:t>Communication Cycle</w:t>
        <w:tab/>
      </w:r>
      <w:r>
        <w:rPr/>
        <w:fldChar w:fldCharType="begin" w:fldLock="0"/>
      </w:r>
      <w:r>
        <w:instrText xml:space="preserve"> PAGEREF _Toc17 \h </w:instrText>
      </w:r>
      <w:r>
        <w:rPr/>
        <w:fldChar w:fldCharType="separate" w:fldLock="0"/>
      </w:r>
      <w:r>
        <w:rPr>
          <w:rFonts w:cs="Arial Unicode MS" w:eastAsia="Arial Unicode MS"/>
          <w:rtl w:val="0"/>
        </w:rPr>
        <w:t>11</w:t>
      </w:r>
      <w:r>
        <w:rPr/>
        <w:fldChar w:fldCharType="end" w:fldLock="0"/>
      </w:r>
    </w:p>
    <w:p>
      <w:pPr>
        <w:pStyle w:val="TOC 1"/>
      </w:pPr>
      <w:r>
        <w:rPr>
          <w:rFonts w:cs="Arial Unicode MS" w:eastAsia="Arial Unicode MS"/>
          <w:rtl w:val="0"/>
        </w:rPr>
        <w:t>Importance of Effective Communication</w:t>
        <w:tab/>
      </w:r>
      <w:r>
        <w:rPr/>
        <w:fldChar w:fldCharType="begin" w:fldLock="0"/>
      </w:r>
      <w:r>
        <w:instrText xml:space="preserve"> PAGEREF _Toc18 \h </w:instrText>
      </w:r>
      <w:r>
        <w:rPr/>
        <w:fldChar w:fldCharType="separate" w:fldLock="0"/>
      </w:r>
      <w:r>
        <w:rPr>
          <w:rFonts w:cs="Arial Unicode MS" w:eastAsia="Arial Unicode MS"/>
          <w:rtl w:val="0"/>
        </w:rPr>
        <w:t>11</w:t>
      </w:r>
      <w:r>
        <w:rPr/>
        <w:fldChar w:fldCharType="end" w:fldLock="0"/>
      </w:r>
    </w:p>
    <w:p>
      <w:pPr>
        <w:pStyle w:val="TOC 2"/>
      </w:pPr>
      <w:r>
        <w:rPr>
          <w:rFonts w:cs="Arial Unicode MS" w:eastAsia="Arial Unicode MS"/>
          <w:rtl w:val="0"/>
        </w:rPr>
        <w:t>Enhanced Customer Service</w:t>
        <w:tab/>
      </w:r>
      <w:r>
        <w:rPr/>
        <w:fldChar w:fldCharType="begin" w:fldLock="0"/>
      </w:r>
      <w:r>
        <w:instrText xml:space="preserve"> PAGEREF _Toc19 \h </w:instrText>
      </w:r>
      <w:r>
        <w:rPr/>
        <w:fldChar w:fldCharType="separate" w:fldLock="0"/>
      </w:r>
      <w:r>
        <w:rPr>
          <w:rFonts w:cs="Arial Unicode MS" w:eastAsia="Arial Unicode MS"/>
          <w:rtl w:val="0"/>
        </w:rPr>
        <w:t>12</w:t>
      </w:r>
      <w:r>
        <w:rPr/>
        <w:fldChar w:fldCharType="end" w:fldLock="0"/>
      </w:r>
    </w:p>
    <w:p>
      <w:pPr>
        <w:pStyle w:val="TOC 2"/>
      </w:pPr>
      <w:r>
        <w:rPr>
          <w:rFonts w:cs="Arial Unicode MS" w:eastAsia="Arial Unicode MS"/>
          <w:rtl w:val="0"/>
        </w:rPr>
        <w:t>Improved Team Collaboration</w:t>
        <w:tab/>
      </w:r>
      <w:r>
        <w:rPr/>
        <w:fldChar w:fldCharType="begin" w:fldLock="0"/>
      </w:r>
      <w:r>
        <w:instrText xml:space="preserve"> PAGEREF _Toc20 \h </w:instrText>
      </w:r>
      <w:r>
        <w:rPr/>
        <w:fldChar w:fldCharType="separate" w:fldLock="0"/>
      </w:r>
      <w:r>
        <w:rPr>
          <w:rFonts w:cs="Arial Unicode MS" w:eastAsia="Arial Unicode MS"/>
          <w:rtl w:val="0"/>
        </w:rPr>
        <w:t>13</w:t>
      </w:r>
      <w:r>
        <w:rPr/>
        <w:fldChar w:fldCharType="end" w:fldLock="0"/>
      </w:r>
    </w:p>
    <w:p>
      <w:pPr>
        <w:pStyle w:val="TOC 2"/>
      </w:pPr>
      <w:r>
        <w:rPr>
          <w:rFonts w:cs="Arial Unicode MS" w:eastAsia="Arial Unicode MS"/>
          <w:rtl w:val="0"/>
        </w:rPr>
        <w:t>Facilitates Decision Making</w:t>
        <w:tab/>
      </w:r>
      <w:r>
        <w:rPr/>
        <w:fldChar w:fldCharType="begin" w:fldLock="0"/>
      </w:r>
      <w:r>
        <w:instrText xml:space="preserve"> PAGEREF _Toc21 \h </w:instrText>
      </w:r>
      <w:r>
        <w:rPr/>
        <w:fldChar w:fldCharType="separate" w:fldLock="0"/>
      </w:r>
      <w:r>
        <w:rPr>
          <w:rFonts w:cs="Arial Unicode MS" w:eastAsia="Arial Unicode MS"/>
          <w:rtl w:val="0"/>
        </w:rPr>
        <w:t>13</w:t>
      </w:r>
      <w:r>
        <w:rPr/>
        <w:fldChar w:fldCharType="end" w:fldLock="0"/>
      </w:r>
    </w:p>
    <w:p>
      <w:pPr>
        <w:pStyle w:val="TOC 2"/>
      </w:pPr>
      <w:r>
        <w:rPr>
          <w:rFonts w:cs="Arial Unicode MS" w:eastAsia="Arial Unicode MS"/>
          <w:rtl w:val="0"/>
        </w:rPr>
        <w:t>Conflict Resolution</w:t>
        <w:tab/>
      </w:r>
      <w:r>
        <w:rPr/>
        <w:fldChar w:fldCharType="begin" w:fldLock="0"/>
      </w:r>
      <w:r>
        <w:instrText xml:space="preserve"> PAGEREF _Toc22 \h </w:instrText>
      </w:r>
      <w:r>
        <w:rPr/>
        <w:fldChar w:fldCharType="separate" w:fldLock="0"/>
      </w:r>
      <w:r>
        <w:rPr>
          <w:rFonts w:cs="Arial Unicode MS" w:eastAsia="Arial Unicode MS"/>
          <w:rtl w:val="0"/>
        </w:rPr>
        <w:t>14</w:t>
      </w:r>
      <w:r>
        <w:rPr/>
        <w:fldChar w:fldCharType="end" w:fldLock="0"/>
      </w:r>
    </w:p>
    <w:p>
      <w:pPr>
        <w:pStyle w:val="TOC 1"/>
      </w:pPr>
      <w:r>
        <w:rPr>
          <w:rFonts w:cs="Arial Unicode MS" w:eastAsia="Arial Unicode MS"/>
          <w:rtl w:val="0"/>
        </w:rPr>
        <w:t>Reference list</w:t>
        <w:tab/>
      </w:r>
      <w:r>
        <w:rPr/>
        <w:fldChar w:fldCharType="begin" w:fldLock="0"/>
      </w:r>
      <w:r>
        <w:instrText xml:space="preserve"> PAGEREF _Toc23 \h </w:instrText>
      </w:r>
      <w:r>
        <w:rPr/>
        <w:fldChar w:fldCharType="separate" w:fldLock="0"/>
      </w:r>
      <w:r>
        <w:rPr>
          <w:rFonts w:cs="Arial Unicode MS" w:eastAsia="Arial Unicode MS"/>
          <w:rtl w:val="0"/>
        </w:rPr>
        <w:t>15</w:t>
      </w:r>
      <w:r>
        <w:rPr/>
        <w:fldChar w:fldCharType="end" w:fldLock="0"/>
      </w:r>
    </w:p>
    <w:p>
      <w:pPr>
        <w:spacing w:line="480" w:lineRule="auto"/>
      </w:pPr>
      <w:r>
        <w:rPr>
          <w:b w:val="1"/>
          <w:bCs w:val="1"/>
          <w:outline w:val="0"/>
          <w:color w:val="000000"/>
          <w:sz w:val="24"/>
          <w:szCs w:val="24"/>
          <w:u w:color="000000"/>
          <w:lang w:val="en-US"/>
          <w14:textFill>
            <w14:solidFill>
              <w14:srgbClr w14:val="000000"/>
            </w14:solidFill>
          </w14:textFill>
        </w:rPr>
        <w:fldChar w:fldCharType="end" w:fldLock="0"/>
      </w:r>
    </w:p>
    <w:p>
      <w:pPr>
        <w:pStyle w:val="Body"/>
        <w:spacing w:line="480" w:lineRule="auto"/>
      </w:pPr>
      <w:r>
        <w:rPr>
          <w:rFonts w:ascii="Arial Unicode MS" w:cs="Arial Unicode MS" w:hAnsi="Arial Unicode MS" w:eastAsia="Arial Unicode MS"/>
          <w:b w:val="0"/>
          <w:bCs w:val="0"/>
          <w:i w:val="0"/>
          <w:iCs w:val="0"/>
        </w:rPr>
        <w:br w:type="page"/>
      </w:r>
    </w:p>
    <w:p>
      <w:pPr>
        <w:pStyle w:val="Heading"/>
        <w:jc w:val="both"/>
      </w:pPr>
      <w:bookmarkStart w:name="_Toc" w:id="0"/>
      <w:r>
        <w:rPr>
          <w:rtl w:val="0"/>
        </w:rPr>
        <w:t xml:space="preserve">Part One: </w:t>
      </w:r>
      <w:bookmarkEnd w:id="0"/>
    </w:p>
    <w:p>
      <w:pPr>
        <w:pStyle w:val="Body"/>
        <w:spacing w:line="480" w:lineRule="auto"/>
        <w:ind w:firstLine="720"/>
        <w:jc w:val="both"/>
      </w:pPr>
      <w:r>
        <w:rPr>
          <w:rtl w:val="0"/>
          <w:lang w:val="en-US"/>
        </w:rPr>
        <w:t>The key to successful cooperation in Janet William's ladies' fashion store is achieving harmonious functioning with the heterogeneous workforce, flexible work arrangements, and the recent transition to e-commerce.</w:t>
      </w:r>
      <w:r>
        <w:rPr>
          <w:rtl w:val="0"/>
        </w:rPr>
        <w:t> </w:t>
      </w:r>
      <w:r>
        <w:rPr>
          <w:rtl w:val="0"/>
          <w:lang w:val="en-US"/>
        </w:rPr>
        <w:t>Combining established teamwork theories such as the Team Development Model by Tuckman or Belbin's team roles is the best way to improve teamwork and achieve a more collaborative work setting (Kokkoniemi et al.,2023).</w:t>
      </w:r>
    </w:p>
    <w:p>
      <w:pPr>
        <w:pStyle w:val="Heading"/>
      </w:pPr>
      <w:bookmarkStart w:name="_Toc1" w:id="1"/>
      <w:r>
        <w:rPr>
          <w:rFonts w:cs="Arial Unicode MS" w:eastAsia="Arial Unicode MS"/>
          <w:rtl w:val="0"/>
          <w:lang w:val="en-US"/>
        </w:rPr>
        <w:t>Tuckman's Stages of Group Development</w:t>
      </w:r>
      <w:bookmarkEnd w:id="1"/>
    </w:p>
    <w:p>
      <w:pPr>
        <w:pStyle w:val="Body"/>
        <w:spacing w:line="480" w:lineRule="auto"/>
        <w:ind w:firstLine="720"/>
        <w:jc w:val="both"/>
      </w:pPr>
      <w:r>
        <w:rPr>
          <w:rtl w:val="0"/>
          <w:lang w:val="en-US"/>
        </w:rPr>
        <w:t>Tuckman's model identifies four stages that groups typically go through as they develop: The four processes that make up a group development theory are forming, Storming, Norming, and Performing.</w:t>
      </w:r>
      <w:r>
        <w:rPr>
          <w:rtl w:val="0"/>
        </w:rPr>
        <w:t> </w:t>
      </w:r>
      <w:r>
        <w:rPr>
          <w:rtl w:val="0"/>
          <w:lang w:val="en-US"/>
        </w:rPr>
        <w:t>Every phase has specific difficulties and advantages in developing teamwork within the wheel shop (Patterson, 2022).</w:t>
      </w:r>
    </w:p>
    <w:p>
      <w:pPr>
        <w:pStyle w:val="Heading 2"/>
      </w:pPr>
      <w:bookmarkStart w:name="_Toc2" w:id="2"/>
      <w:r>
        <w:rPr>
          <w:rFonts w:cs="Arial Unicode MS" w:eastAsia="Arial Unicode MS"/>
          <w:rtl w:val="0"/>
        </w:rPr>
        <w:t>Forming</w:t>
      </w:r>
      <w:bookmarkEnd w:id="2"/>
    </w:p>
    <w:p>
      <w:pPr>
        <w:pStyle w:val="Body"/>
        <w:spacing w:line="480" w:lineRule="auto"/>
        <w:ind w:firstLine="720"/>
        <w:jc w:val="both"/>
      </w:pPr>
      <w:r>
        <w:rPr>
          <w:rtl w:val="0"/>
          <w:lang w:val="en-US"/>
        </w:rPr>
        <w:t>The developmental stage sees group members converge, introduce themselves, and subsequently assign roles to each group member.</w:t>
      </w:r>
      <w:r>
        <w:rPr>
          <w:rtl w:val="0"/>
        </w:rPr>
        <w:t> </w:t>
      </w:r>
      <w:r>
        <w:rPr>
          <w:rtl w:val="0"/>
          <w:lang w:val="en-US"/>
        </w:rPr>
        <w:t>Building on the diverse nature of the workforce at Janet, which includes staff members of different ages and experiences, this step is a nice balance for good communication and collaboration.</w:t>
      </w:r>
      <w:r>
        <w:rPr>
          <w:rtl w:val="0"/>
        </w:rPr>
        <w:t> </w:t>
      </w:r>
      <w:r>
        <w:rPr>
          <w:rtl w:val="0"/>
          <w:lang w:val="en-US"/>
        </w:rPr>
        <w:t>Sales reps, cleaners, security personnel, delivery drivers, and managers must not be unclear about what they do and their roles and responsibilities to work together cohesively to achieve common goals (Kaygan, 2022).</w:t>
      </w:r>
    </w:p>
    <w:p>
      <w:pPr>
        <w:pStyle w:val="Heading 2"/>
      </w:pPr>
      <w:bookmarkStart w:name="_Toc3" w:id="3"/>
      <w:r>
        <w:rPr>
          <w:rFonts w:cs="Arial Unicode MS" w:eastAsia="Arial Unicode MS"/>
          <w:rtl w:val="0"/>
        </w:rPr>
        <w:t>Storming</w:t>
      </w:r>
      <w:bookmarkEnd w:id="3"/>
    </w:p>
    <w:p>
      <w:pPr>
        <w:pStyle w:val="Body"/>
        <w:spacing w:line="480" w:lineRule="auto"/>
        <w:ind w:firstLine="720"/>
        <w:jc w:val="both"/>
      </w:pPr>
      <w:r>
        <w:rPr>
          <w:rtl w:val="0"/>
          <w:lang w:val="en-US"/>
        </w:rPr>
        <w:t>The storming stage is perceived in terms of conflicts and disagreements because group members begin to position themselves accordingly.</w:t>
      </w:r>
      <w:r>
        <w:rPr>
          <w:rtl w:val="0"/>
        </w:rPr>
        <w:t> </w:t>
      </w:r>
      <w:r>
        <w:rPr>
          <w:rtl w:val="0"/>
          <w:lang w:val="en-US"/>
        </w:rPr>
        <w:t>In Janet's store, where there are no teams, and a communication gap may exist, staff members may experience conflicts due to misunderstandings or style differences in work.</w:t>
      </w:r>
      <w:r>
        <w:rPr>
          <w:rtl w:val="0"/>
        </w:rPr>
        <w:t> </w:t>
      </w:r>
      <w:r>
        <w:rPr>
          <w:rtl w:val="0"/>
          <w:lang w:val="en-US"/>
        </w:rPr>
        <w:t>An example is when sales reps have different priorities in customer care service, conflict or a loss of efficiency in service delivery becomes their challenge.</w:t>
      </w:r>
      <w:r>
        <w:rPr>
          <w:rtl w:val="0"/>
        </w:rPr>
        <w:t> </w:t>
      </w:r>
      <w:r>
        <w:rPr>
          <w:rtl w:val="0"/>
          <w:lang w:val="en-US"/>
        </w:rPr>
        <w:t>Early identification and resolution of these conflicts represent the key preventive factor that stops an escalation and ensures productivity stays (Cresswell-Yeager, 2020).</w:t>
      </w:r>
    </w:p>
    <w:p>
      <w:pPr>
        <w:pStyle w:val="Heading 2"/>
      </w:pPr>
      <w:bookmarkStart w:name="_Toc4" w:id="4"/>
      <w:r>
        <w:rPr>
          <w:rFonts w:cs="Arial Unicode MS" w:eastAsia="Arial Unicode MS"/>
          <w:rtl w:val="0"/>
        </w:rPr>
        <w:t>Norming</w:t>
      </w:r>
      <w:bookmarkEnd w:id="4"/>
    </w:p>
    <w:p>
      <w:pPr>
        <w:pStyle w:val="Body"/>
        <w:spacing w:line="480" w:lineRule="auto"/>
        <w:ind w:firstLine="720"/>
        <w:jc w:val="both"/>
      </w:pPr>
      <w:r>
        <w:rPr>
          <w:rtl w:val="0"/>
          <w:lang w:val="en-US"/>
        </w:rPr>
        <w:t>With the establishment of norms, values, and procedures during the norming stage, it follows that the group becomes cohesive and cooperative as a result. These meetings can be held in person or via Microsoft Teams to allow employees to communicate and report their ideas, issues, and efforts aligned with the company's goals. Managers may facilitate team-building through open dialogue and collaborative processes to create and maintain a positive culture within the team. At Janet's store, forming teams based on the roles or departments can take norming to the next level by creating the most explicit structures and expectations (Nanda et al., 2023).</w:t>
      </w:r>
    </w:p>
    <w:p>
      <w:pPr>
        <w:pStyle w:val="Heading 2"/>
      </w:pPr>
      <w:bookmarkStart w:name="_Toc5" w:id="5"/>
      <w:r>
        <w:rPr>
          <w:rFonts w:cs="Arial Unicode MS" w:eastAsia="Arial Unicode MS"/>
          <w:rtl w:val="0"/>
          <w:lang w:val="da-DK"/>
        </w:rPr>
        <w:t>Performing</w:t>
      </w:r>
      <w:bookmarkEnd w:id="5"/>
    </w:p>
    <w:p>
      <w:pPr>
        <w:pStyle w:val="Body"/>
        <w:spacing w:line="480" w:lineRule="auto"/>
        <w:ind w:firstLine="720"/>
        <w:jc w:val="both"/>
      </w:pPr>
      <w:r>
        <w:rPr>
          <w:rtl w:val="0"/>
          <w:lang w:val="en-US"/>
        </w:rPr>
        <w:t>From the practising to the performance stage, the group accomplishes peak performance by members performing with cohesion towards a common purpose. Building trust, respect and accountability culture will enable the store to foot this growth stage, thus maximising productivity and efficiency. Clear communication paths, position descriptions, and efficient leadership methods help complete in-store and online tasks. Likewise, managers will delegate specific roles to each team member based on their strengths and areas of expertise such that each one will be productive in their way, contributing to the performance and success of the business (Campitelli et al., 2022).</w:t>
      </w:r>
    </w:p>
    <w:p>
      <w:pPr>
        <w:pStyle w:val="Heading"/>
      </w:pPr>
      <w:bookmarkStart w:name="_Toc6" w:id="6"/>
      <w:r>
        <w:rPr>
          <w:rFonts w:cs="Arial Unicode MS" w:eastAsia="Arial Unicode MS"/>
          <w:rtl w:val="0"/>
          <w:lang w:val="en-US"/>
        </w:rPr>
        <w:t>Belbin's Team Roles</w:t>
      </w:r>
      <w:bookmarkEnd w:id="6"/>
    </w:p>
    <w:p>
      <w:pPr>
        <w:pStyle w:val="Body"/>
        <w:spacing w:line="480" w:lineRule="auto"/>
        <w:ind w:firstLine="720"/>
        <w:jc w:val="both"/>
      </w:pPr>
      <w:r>
        <w:rPr>
          <w:rtl w:val="0"/>
          <w:lang w:val="en-US"/>
        </w:rPr>
        <w:t>Belbin's model identifies nine team roles by which individuals contribute different qualities and abilities.</w:t>
      </w:r>
      <w:r>
        <w:rPr>
          <w:rtl w:val="0"/>
        </w:rPr>
        <w:t> </w:t>
      </w:r>
      <w:r>
        <w:rPr>
          <w:rtl w:val="0"/>
          <w:lang w:val="en-US"/>
        </w:rPr>
        <w:t>Through clarifying and utilising these roles, Janet</w:t>
      </w:r>
      <w:r>
        <w:rPr>
          <w:rtl w:val="1"/>
        </w:rPr>
        <w:t>’</w:t>
      </w:r>
      <w:r>
        <w:rPr>
          <w:rtl w:val="0"/>
          <w:lang w:val="en-US"/>
        </w:rPr>
        <w:t>s store can strategise team alignment and further increase team functioning (Aranzabal et al., 2022).</w:t>
      </w:r>
    </w:p>
    <w:p>
      <w:pPr>
        <w:pStyle w:val="Heading 2"/>
      </w:pPr>
      <w:bookmarkStart w:name="_Toc7" w:id="7"/>
      <w:r>
        <w:rPr>
          <w:rFonts w:cs="Arial Unicode MS" w:eastAsia="Arial Unicode MS"/>
          <w:rtl w:val="0"/>
          <w:lang w:val="it-IT"/>
        </w:rPr>
        <w:t>Implementer</w:t>
      </w:r>
      <w:bookmarkEnd w:id="7"/>
    </w:p>
    <w:p>
      <w:pPr>
        <w:pStyle w:val="Body"/>
        <w:spacing w:line="480" w:lineRule="auto"/>
        <w:ind w:firstLine="720"/>
        <w:jc w:val="both"/>
      </w:pPr>
      <w:r>
        <w:rPr>
          <w:rtl w:val="0"/>
          <w:lang w:val="en-US"/>
        </w:rPr>
        <w:t>Detail-oriented people who will transform your mission into reality. They must ensure that plans are executed properly, especially in a brisk-growing business-like Janet's shop. Implementers lead the implementation of new digital marketing strategies or operational processes for efficiency and effectiveness in the implementation process (Bedn</w:t>
      </w:r>
      <w:r>
        <w:rPr>
          <w:rtl w:val="0"/>
        </w:rPr>
        <w:t>á</w:t>
      </w:r>
      <w:r>
        <w:rPr>
          <w:rtl w:val="0"/>
        </w:rPr>
        <w:t>r et al., 2020).</w:t>
      </w:r>
    </w:p>
    <w:p>
      <w:pPr>
        <w:pStyle w:val="Heading 2"/>
      </w:pPr>
      <w:bookmarkStart w:name="_Toc8" w:id="8"/>
      <w:r>
        <w:rPr>
          <w:rFonts w:cs="Arial Unicode MS" w:eastAsia="Arial Unicode MS"/>
          <w:rtl w:val="0"/>
          <w:lang w:val="nl-NL"/>
        </w:rPr>
        <w:t>Coordinator</w:t>
      </w:r>
      <w:bookmarkEnd w:id="8"/>
    </w:p>
    <w:p>
      <w:pPr>
        <w:pStyle w:val="Body"/>
        <w:spacing w:line="480" w:lineRule="auto"/>
        <w:ind w:firstLine="720"/>
        <w:jc w:val="both"/>
      </w:pPr>
      <w:r>
        <w:rPr>
          <w:rtl w:val="0"/>
          <w:lang w:val="en-US"/>
        </w:rPr>
        <w:t>Team members who give priority to teamwork and collaboration. Coordinators can expedite the dissemination of information so that everyone has the same precise idea and understands the same goal.</w:t>
      </w:r>
      <w:r>
        <w:rPr>
          <w:rtl w:val="0"/>
        </w:rPr>
        <w:t> </w:t>
      </w:r>
      <w:r>
        <w:rPr>
          <w:rtl w:val="0"/>
          <w:lang w:val="en-US"/>
        </w:rPr>
        <w:t>The coordinators in Janet's store can organise meetings and work planning sessions, delegate tasks, and offer advisory support to team members when needed (Ivanova et al., 2020).</w:t>
      </w:r>
    </w:p>
    <w:p>
      <w:pPr>
        <w:pStyle w:val="Heading 2"/>
      </w:pPr>
      <w:bookmarkStart w:name="_Toc9" w:id="9"/>
      <w:r>
        <w:rPr>
          <w:rFonts w:cs="Arial Unicode MS" w:eastAsia="Arial Unicode MS"/>
          <w:rtl w:val="0"/>
          <w:lang w:val="en-US"/>
        </w:rPr>
        <w:t>Team Worker</w:t>
      </w:r>
      <w:bookmarkEnd w:id="9"/>
    </w:p>
    <w:p>
      <w:pPr>
        <w:pStyle w:val="Body"/>
        <w:spacing w:line="480" w:lineRule="auto"/>
        <w:ind w:firstLine="720"/>
        <w:jc w:val="both"/>
      </w:pPr>
      <w:r>
        <w:rPr>
          <w:rtl w:val="0"/>
          <w:lang w:val="en-US"/>
        </w:rPr>
        <w:t>Diplomats within the team who support the cohesion among the group.</w:t>
      </w:r>
      <w:r>
        <w:rPr>
          <w:rtl w:val="0"/>
        </w:rPr>
        <w:t> </w:t>
      </w:r>
      <w:r>
        <w:rPr>
          <w:rtl w:val="0"/>
          <w:lang w:val="en-US"/>
        </w:rPr>
        <w:t>It is a characteristic of teamwork that team members can fill in communication gaps and generate a cooperative working environment.</w:t>
      </w:r>
      <w:r>
        <w:rPr>
          <w:rtl w:val="0"/>
        </w:rPr>
        <w:t> </w:t>
      </w:r>
      <w:r>
        <w:rPr>
          <w:rtl w:val="0"/>
          <w:lang w:val="en-US"/>
        </w:rPr>
        <w:t xml:space="preserve">They can be instrumental in resolving conflicts, establishing relationships among team members, and making everyone feel needed (Monsalves </w:t>
      </w:r>
      <w:r>
        <w:rPr>
          <w:kern w:val="0"/>
          <w:rtl w:val="0"/>
          <w:lang w:val="nl-NL"/>
        </w:rPr>
        <w:t xml:space="preserve">et al., </w:t>
      </w:r>
      <w:r>
        <w:rPr>
          <w:rtl w:val="0"/>
        </w:rPr>
        <w:t>2023).</w:t>
      </w:r>
    </w:p>
    <w:p>
      <w:pPr>
        <w:pStyle w:val="Heading 2"/>
      </w:pPr>
      <w:bookmarkStart w:name="_Toc10" w:id="10"/>
      <w:r>
        <w:rPr>
          <w:rFonts w:cs="Arial Unicode MS" w:eastAsia="Arial Unicode MS"/>
          <w:rtl w:val="0"/>
          <w:lang w:val="en-US"/>
        </w:rPr>
        <w:t>Resource Investigator</w:t>
      </w:r>
      <w:bookmarkEnd w:id="10"/>
    </w:p>
    <w:p>
      <w:pPr>
        <w:pStyle w:val="Body"/>
        <w:spacing w:line="480" w:lineRule="auto"/>
        <w:ind w:firstLine="720"/>
        <w:jc w:val="both"/>
      </w:pPr>
      <w:r>
        <w:rPr>
          <w:rtl w:val="0"/>
          <w:lang w:val="en-US"/>
        </w:rPr>
        <w:t>They were educated and willing externally to explore opportunities and bring new concepts into the team. From the human resources standpoint, all resource investigators in Janet's store can assess fashion industry trends, discover new marketing channels, and grow their network with potential partners that can help develop the business further (Rahmani et al., 2021).</w:t>
      </w:r>
    </w:p>
    <w:p>
      <w:pPr>
        <w:pStyle w:val="Heading 2"/>
      </w:pPr>
      <w:bookmarkStart w:name="_Toc11" w:id="11"/>
      <w:r>
        <w:rPr>
          <w:rFonts w:cs="Arial Unicode MS" w:eastAsia="Arial Unicode MS"/>
          <w:rtl w:val="0"/>
          <w:lang w:val="en-US"/>
        </w:rPr>
        <w:t>Completer Finisher</w:t>
      </w:r>
      <w:bookmarkEnd w:id="11"/>
    </w:p>
    <w:p>
      <w:pPr>
        <w:pStyle w:val="Body"/>
        <w:spacing w:line="480" w:lineRule="auto"/>
        <w:ind w:firstLine="720"/>
        <w:jc w:val="both"/>
      </w:pPr>
      <w:r>
        <w:rPr>
          <w:rtl w:val="0"/>
          <w:lang w:val="en-US"/>
        </w:rPr>
        <w:t>Perfectionists are those who do all of the tasks correctly and flawlessly. As the last link in the production chain, the completers can perform the essential task of quality control, especially in online order processing and client service. They can verify the accuracy of orders, resolve problems or disagreements and ensure that people receive their purchased items on time (Diab-Bahman, 2021).</w:t>
      </w:r>
    </w:p>
    <w:p>
      <w:pPr>
        <w:pStyle w:val="Body"/>
        <w:spacing w:line="480" w:lineRule="auto"/>
        <w:ind w:firstLine="720"/>
        <w:jc w:val="both"/>
      </w:pPr>
      <w:r>
        <w:rPr>
          <w:rtl w:val="0"/>
          <w:lang w:val="en-US"/>
        </w:rPr>
        <w:t>In conclusion, utilising Tuckman's steps of team development and Belbin's team roles will help run the store more effectively in terms of teamwork, communication, and overall organisational effectiveness. Utilising official teams, promoting mutual dialogue, and capitalising on individual strengths can develop collaboration and coherence aligning with the shared objectives, which will drive the organisation to further achievements.</w:t>
      </w:r>
    </w:p>
    <w:p>
      <w:pPr>
        <w:pStyle w:val="Body"/>
        <w:spacing w:line="480" w:lineRule="auto"/>
      </w:pPr>
      <w:r>
        <w:rPr>
          <w:rFonts w:ascii="Arial Unicode MS" w:cs="Arial Unicode MS" w:hAnsi="Arial Unicode MS" w:eastAsia="Arial Unicode MS"/>
          <w:b w:val="0"/>
          <w:bCs w:val="0"/>
          <w:i w:val="0"/>
          <w:iCs w:val="0"/>
        </w:rPr>
        <w:br w:type="page"/>
      </w:r>
    </w:p>
    <w:p>
      <w:pPr>
        <w:pStyle w:val="Heading"/>
      </w:pPr>
      <w:bookmarkStart w:name="_Toc12" w:id="12"/>
      <w:r>
        <w:rPr>
          <w:rFonts w:cs="Arial Unicode MS" w:eastAsia="Arial Unicode MS"/>
          <w:rtl w:val="0"/>
        </w:rPr>
        <w:t>Part Two</w:t>
      </w:r>
      <w:bookmarkEnd w:id="12"/>
    </w:p>
    <w:p>
      <w:pPr>
        <w:pStyle w:val="Body"/>
        <w:spacing w:line="480" w:lineRule="auto"/>
        <w:ind w:firstLine="720"/>
        <w:jc w:val="both"/>
      </w:pPr>
      <w:r>
        <w:rPr>
          <w:rtl w:val="0"/>
          <w:lang w:val="en-US"/>
        </w:rPr>
        <w:t>Regarding the ladies' fashion store owned by Janet Williams, effective communication is of utmost importance for three reasons: to smooth business operations, maximise customer satisfaction and promote employee teamwork.</w:t>
      </w:r>
      <w:r>
        <w:rPr>
          <w:rtl w:val="0"/>
        </w:rPr>
        <w:t> </w:t>
      </w:r>
      <w:r>
        <w:rPr>
          <w:rtl w:val="0"/>
          <w:lang w:val="en-US"/>
        </w:rPr>
        <w:t>Here, the communication between the organisation and its members is discussed in detail, using some of the models taught in class. It further examines why the company must be effective in verbal and nonverbal communication as a pillar of its success.</w:t>
      </w:r>
    </w:p>
    <w:p>
      <w:pPr>
        <w:pStyle w:val="Heading"/>
      </w:pPr>
      <w:bookmarkStart w:name="_Toc13" w:id="13"/>
      <w:r>
        <w:rPr>
          <w:rFonts w:cs="Arial Unicode MS" w:eastAsia="Arial Unicode MS"/>
          <w:rtl w:val="0"/>
          <w:lang w:val="en-US"/>
        </w:rPr>
        <w:t>Importance of Two-Way Communication</w:t>
      </w:r>
      <w:bookmarkEnd w:id="13"/>
    </w:p>
    <w:p>
      <w:pPr>
        <w:pStyle w:val="Body"/>
        <w:spacing w:line="480" w:lineRule="auto"/>
        <w:ind w:firstLine="720"/>
        <w:jc w:val="both"/>
      </w:pPr>
      <w:r>
        <w:rPr>
          <w:rtl w:val="0"/>
          <w:lang w:val="en-US"/>
        </w:rPr>
        <w:t>Two-way communication is crucial to Janet Williams' ladies' fashion shop life as it is hectic. It acts as the medium through which all the groups involved share information, opinions, and criticism, facilitating the attainment of the organisation's ultimate objectives. Combining communication models like the Shannon-Weaver model, the transactional model, Berlo</w:t>
      </w:r>
      <w:r>
        <w:rPr>
          <w:rtl w:val="1"/>
        </w:rPr>
        <w:t>’</w:t>
      </w:r>
      <w:r>
        <w:rPr>
          <w:rtl w:val="0"/>
          <w:lang w:val="en-US"/>
        </w:rPr>
        <w:t>s model, and the communication cycle can align the communication channels, promote collaboration, and create the needed success for the organization (Kent and Lane, 2021). In Janet's store, where the employees are doing different jobs in different locations, good communication that serves the purpose is essential to having unity and accomplishing the preferred goals. Suppose Janet</w:t>
      </w:r>
      <w:r>
        <w:rPr>
          <w:rtl w:val="1"/>
        </w:rPr>
        <w:t>’</w:t>
      </w:r>
      <w:r>
        <w:rPr>
          <w:rtl w:val="0"/>
          <w:lang w:val="en-US"/>
        </w:rPr>
        <w:t>s store focuses on two-way communication. In that case, it will be more responsive to the dynamic environment in which it operates and be able to build a culture of transparency, collaboration and continuous improvement (Saman Atapattu et al., 2020).</w:t>
      </w:r>
    </w:p>
    <w:p>
      <w:pPr>
        <w:pStyle w:val="Heading 2"/>
      </w:pPr>
      <w:bookmarkStart w:name="_Toc14" w:id="14"/>
      <w:r>
        <w:rPr>
          <w:rFonts w:cs="Arial Unicode MS" w:eastAsia="Arial Unicode MS"/>
          <w:rtl w:val="0"/>
          <w:lang w:val="it-IT"/>
        </w:rPr>
        <w:t>Shannon-Weaver Model</w:t>
      </w:r>
      <w:bookmarkEnd w:id="14"/>
    </w:p>
    <w:p>
      <w:pPr>
        <w:pStyle w:val="Body"/>
        <w:spacing w:line="480" w:lineRule="auto"/>
        <w:ind w:firstLine="720"/>
        <w:jc w:val="both"/>
      </w:pPr>
      <w:r>
        <w:rPr>
          <w:rtl w:val="0"/>
          <w:lang w:val="en-US"/>
        </w:rPr>
        <w:t>The Shannon-Weaver communication model, introduced by Claude Shannon and Warren Weaver in 1949, is a theory that helps us understand communication.</w:t>
      </w:r>
      <w:r>
        <w:rPr>
          <w:rtl w:val="0"/>
        </w:rPr>
        <w:t> </w:t>
      </w:r>
      <w:r>
        <w:rPr>
          <w:rtl w:val="0"/>
          <w:lang w:val="en-US"/>
        </w:rPr>
        <w:t>It delineates the process into several key components: the sender, who encodes the message; the transmitter, which communicates the message through a channel; the receiver, the part which decodes the message; and the feedback, which closes the communication loop.</w:t>
      </w:r>
      <w:r>
        <w:rPr>
          <w:rtl w:val="0"/>
        </w:rPr>
        <w:t> </w:t>
      </w:r>
      <w:r>
        <w:rPr>
          <w:rtl w:val="0"/>
          <w:lang w:val="en-US"/>
        </w:rPr>
        <w:t>In this model, Janet's store highlights the necessity of correcting the encoded, transmitted, received, and decoded messages so that communication can be done effectively among employees (Al-Fedaghi, 2020).</w:t>
      </w:r>
    </w:p>
    <w:p>
      <w:pPr>
        <w:pStyle w:val="Heading 2"/>
      </w:pPr>
      <w:bookmarkStart w:name="_Toc15" w:id="15"/>
      <w:r>
        <w:rPr>
          <w:rFonts w:cs="Arial Unicode MS" w:eastAsia="Arial Unicode MS"/>
          <w:rtl w:val="0"/>
          <w:lang w:val="fr-FR"/>
        </w:rPr>
        <w:t>Transactional Model</w:t>
      </w:r>
      <w:bookmarkEnd w:id="15"/>
    </w:p>
    <w:p>
      <w:pPr>
        <w:pStyle w:val="Body"/>
        <w:spacing w:line="480" w:lineRule="auto"/>
        <w:ind w:firstLine="720"/>
        <w:jc w:val="both"/>
      </w:pPr>
      <w:r>
        <w:rPr>
          <w:rtl w:val="0"/>
          <w:lang w:val="en-US"/>
        </w:rPr>
        <w:t>According to the model of transactions of communication proposed by Barnlund and Watzlawick, communication is understood as a dynamic process in which both parties carry out their sender-receiver roles immediately after the other.</w:t>
      </w:r>
      <w:r>
        <w:rPr>
          <w:rtl w:val="0"/>
        </w:rPr>
        <w:t> </w:t>
      </w:r>
      <w:r>
        <w:rPr>
          <w:rtl w:val="0"/>
          <w:lang w:val="en-US"/>
        </w:rPr>
        <w:t>It accentuates the state of communication where it is interactive; that is, the listener participates in giving feedback, which they expect to be incorporated in the following communication sessions.</w:t>
      </w:r>
      <w:r>
        <w:rPr>
          <w:rtl w:val="0"/>
        </w:rPr>
        <w:t> </w:t>
      </w:r>
      <w:r>
        <w:rPr>
          <w:rtl w:val="0"/>
          <w:lang w:val="en-US"/>
        </w:rPr>
        <w:t>In Janet's store, the idea of the team model is illustrated by the significance of building communication and active listening skills among employees, which allows them to exchange opinions and share ideas, offer feedback, and act as a team to find solutions to various issues (Sekar S. et al., 2022).</w:t>
      </w:r>
    </w:p>
    <w:p>
      <w:pPr>
        <w:pStyle w:val="Heading 2"/>
      </w:pPr>
      <w:bookmarkStart w:name="_Toc16" w:id="16"/>
      <w:r>
        <w:rPr>
          <w:rFonts w:cs="Arial Unicode MS" w:eastAsia="Arial Unicode MS"/>
          <w:rtl w:val="0"/>
          <w:lang w:val="en-US"/>
        </w:rPr>
        <w:t>Berlo's Model</w:t>
      </w:r>
      <w:bookmarkEnd w:id="16"/>
    </w:p>
    <w:p>
      <w:pPr>
        <w:pStyle w:val="Body"/>
        <w:spacing w:line="480" w:lineRule="auto"/>
        <w:ind w:firstLine="720"/>
        <w:jc w:val="both"/>
      </w:pPr>
      <w:r>
        <w:rPr>
          <w:rtl w:val="0"/>
          <w:lang w:val="en-US"/>
        </w:rPr>
        <w:t>Berlo's model of communication, introduced by David Berlo in 1960, includes several elements that determine the efficacy of communication, such as sender-receiver factors, message factors, channel factors, and feedback factors.</w:t>
      </w:r>
      <w:r>
        <w:rPr>
          <w:rtl w:val="0"/>
        </w:rPr>
        <w:t> </w:t>
      </w:r>
      <w:r>
        <w:rPr>
          <w:rtl w:val="0"/>
          <w:lang w:val="en-US"/>
        </w:rPr>
        <w:t>Recognising these factors in Janet's store would help the management improve communication channels so that messages are properly communicated, understood and perceived positively.</w:t>
      </w:r>
      <w:r>
        <w:rPr>
          <w:rtl w:val="0"/>
        </w:rPr>
        <w:t> </w:t>
      </w:r>
      <w:r>
        <w:rPr>
          <w:rtl w:val="0"/>
          <w:lang w:val="en-US"/>
        </w:rPr>
        <w:t>For instance, managers can address different employees by tuning communication approaches to their preferences and needs. Consequently, it will be more precise communication, thus increasing employee engagement (Setiawan et al.,2023).</w:t>
      </w:r>
    </w:p>
    <w:p>
      <w:pPr>
        <w:pStyle w:val="Heading 2"/>
      </w:pPr>
      <w:bookmarkStart w:name="_Toc17" w:id="17"/>
      <w:r>
        <w:rPr>
          <w:rFonts w:cs="Arial Unicode MS" w:eastAsia="Arial Unicode MS"/>
          <w:rtl w:val="0"/>
          <w:lang w:val="fr-FR"/>
        </w:rPr>
        <w:t>Communication Cycle</w:t>
      </w:r>
      <w:bookmarkEnd w:id="17"/>
    </w:p>
    <w:p>
      <w:pPr>
        <w:pStyle w:val="Body"/>
        <w:spacing w:line="480" w:lineRule="auto"/>
        <w:ind w:firstLine="720"/>
        <w:jc w:val="both"/>
      </w:pPr>
      <w:r>
        <w:rPr>
          <w:rtl w:val="0"/>
          <w:lang w:val="en-US"/>
        </w:rPr>
        <w:t>The communication cycle model emphasises the circular nature of data encoding, sharing, receiving, and decoding messages between the sender and receiver.</w:t>
      </w:r>
      <w:r>
        <w:rPr>
          <w:rtl w:val="0"/>
        </w:rPr>
        <w:t> </w:t>
      </w:r>
      <w:r>
        <w:rPr>
          <w:rtl w:val="0"/>
          <w:lang w:val="en-US"/>
        </w:rPr>
        <w:t>In the case of the store owned by Janet, such recognition can serve to avoid misinterpretations and misunderstandings with all the parties concerned communicating on the same page.</w:t>
      </w:r>
      <w:r>
        <w:rPr>
          <w:rtl w:val="0"/>
        </w:rPr>
        <w:t> </w:t>
      </w:r>
      <w:r>
        <w:rPr>
          <w:rtl w:val="0"/>
          <w:lang w:val="en-US"/>
        </w:rPr>
        <w:t>For instance, feedback loops could be set up to gather feedback from employees and customers, ensuring that communication practices and outcomes are constantly assessed and improved (Jo</w:t>
      </w:r>
      <w:r>
        <w:rPr>
          <w:rtl w:val="0"/>
          <w:lang w:val="pt-PT"/>
        </w:rPr>
        <w:t>ã</w:t>
      </w:r>
      <w:r>
        <w:rPr>
          <w:rtl w:val="0"/>
        </w:rPr>
        <w:t>o Canossa Dias</w:t>
      </w:r>
      <w:r>
        <w:rPr>
          <w:kern w:val="0"/>
          <w:rtl w:val="0"/>
          <w:lang w:val="fr-FR"/>
        </w:rPr>
        <w:t xml:space="preserve"> et al.,</w:t>
      </w:r>
      <w:r>
        <w:rPr>
          <w:rtl w:val="0"/>
        </w:rPr>
        <w:t>2020).</w:t>
      </w:r>
    </w:p>
    <w:p>
      <w:pPr>
        <w:pStyle w:val="Heading"/>
      </w:pPr>
      <w:bookmarkStart w:name="_Toc18" w:id="18"/>
      <w:r>
        <w:rPr>
          <w:rFonts w:cs="Arial Unicode MS" w:eastAsia="Arial Unicode MS"/>
          <w:rtl w:val="0"/>
          <w:lang w:val="en-US"/>
        </w:rPr>
        <w:t>Importance of Effective Communication</w:t>
      </w:r>
      <w:bookmarkEnd w:id="18"/>
    </w:p>
    <w:p>
      <w:pPr>
        <w:pStyle w:val="Body"/>
        <w:spacing w:line="480" w:lineRule="auto"/>
        <w:ind w:firstLine="720"/>
        <w:jc w:val="both"/>
      </w:pPr>
      <w:r>
        <w:rPr>
          <w:rtl w:val="0"/>
          <w:lang w:val="en-US"/>
        </w:rPr>
        <w:t>Successful and effective verbal and nonverbal communication represents the main factor for the longevity and growth of Janet's fashion store because of its particular difficulties and opportunities.</w:t>
      </w:r>
      <w:r>
        <w:rPr>
          <w:rtl w:val="0"/>
        </w:rPr>
        <w:t> </w:t>
      </w:r>
      <w:r>
        <w:rPr>
          <w:rtl w:val="0"/>
          <w:lang w:val="en-US"/>
        </w:rPr>
        <w:t>Verbal (or oral) communication with people is done by words, either spoken or in writing, covering conversations, meetings, emails and other written communication.</w:t>
      </w:r>
      <w:r>
        <w:rPr>
          <w:rtl w:val="0"/>
        </w:rPr>
        <w:t> </w:t>
      </w:r>
      <w:r>
        <w:rPr>
          <w:rtl w:val="0"/>
          <w:lang w:val="en-US"/>
        </w:rPr>
        <w:t xml:space="preserve">Using clear and definite verbal expressions is a method that ensures the adequate perception of a respective message, which, in turn, contributes to better coordination, decision-making, and quality of customer service (Wahyu Kurniadi </w:t>
      </w:r>
      <w:r>
        <w:rPr>
          <w:kern w:val="0"/>
          <w:rtl w:val="0"/>
          <w:lang w:val="nl-NL"/>
        </w:rPr>
        <w:t xml:space="preserve">et al., </w:t>
      </w:r>
      <w:r>
        <w:rPr>
          <w:rtl w:val="0"/>
        </w:rPr>
        <w:t>2021).</w:t>
      </w:r>
    </w:p>
    <w:p>
      <w:pPr>
        <w:pStyle w:val="Body"/>
        <w:spacing w:line="480" w:lineRule="auto"/>
        <w:ind w:firstLine="720"/>
        <w:jc w:val="both"/>
      </w:pPr>
      <w:r>
        <w:rPr>
          <w:rtl w:val="0"/>
          <w:lang w:val="en-US"/>
        </w:rPr>
        <w:t>On the contrary, as opposed to verbal communication, non-verbal communication includes body language, facial expressions, gestures, and tone of voice, which may give an indication of emotions, attitudes, and intentions.</w:t>
      </w:r>
      <w:r>
        <w:rPr>
          <w:rtl w:val="0"/>
        </w:rPr>
        <w:t> </w:t>
      </w:r>
      <w:r>
        <w:rPr>
          <w:rtl w:val="0"/>
          <w:lang w:val="en-US"/>
        </w:rPr>
        <w:t>For Janet's store, where employees work directly with their patrons and online, non-verbal cues play an essential role in developing rapport and resolving conflicts through positive customer service.</w:t>
      </w:r>
      <w:r>
        <w:rPr>
          <w:rtl w:val="0"/>
        </w:rPr>
        <w:t> </w:t>
      </w:r>
      <w:r>
        <w:rPr>
          <w:rtl w:val="0"/>
          <w:lang w:val="en-US"/>
        </w:rPr>
        <w:t>Through learning verbal and non-verbal communication techniques, employees can benefit in diverse work roles and consequently help the business achieve the desired results and growth (Paranduk and Karisi, 2021).</w:t>
      </w:r>
    </w:p>
    <w:p>
      <w:pPr>
        <w:pStyle w:val="Heading 2"/>
      </w:pPr>
      <w:bookmarkStart w:name="_Toc19" w:id="19"/>
      <w:r>
        <w:rPr>
          <w:rFonts w:cs="Arial Unicode MS" w:eastAsia="Arial Unicode MS"/>
          <w:rtl w:val="0"/>
          <w:lang w:val="en-US"/>
        </w:rPr>
        <w:t>Enhanced Customer Service</w:t>
      </w:r>
      <w:bookmarkEnd w:id="19"/>
    </w:p>
    <w:p>
      <w:pPr>
        <w:pStyle w:val="Body"/>
        <w:spacing w:line="480" w:lineRule="auto"/>
        <w:ind w:firstLine="720"/>
        <w:jc w:val="both"/>
      </w:pPr>
      <w:r>
        <w:rPr>
          <w:rtl w:val="0"/>
          <w:lang w:val="en-US"/>
        </w:rPr>
        <w:t>Effective customer communication is an integral part of the excellent customer service that the customers receive offline through in-store and online communications. Salespersons must adequately communicate product details and handle inquiries or complaints. They play a crucial role in making the shopping experience a pleasant one. Also, online marketers must inform customers about promotional offers, delivery information, and return policies, which are essential in improving satisfaction and loyalty. By emphasising good communication skills, the Janet store stands out from its competitors, and thus, customer loyalty will be established (Lee and Lee, 2020).</w:t>
      </w:r>
    </w:p>
    <w:p>
      <w:pPr>
        <w:pStyle w:val="Heading 2"/>
      </w:pPr>
      <w:bookmarkStart w:name="_Toc20" w:id="20"/>
      <w:r>
        <w:rPr>
          <w:rFonts w:cs="Arial Unicode MS" w:eastAsia="Arial Unicode MS"/>
          <w:rtl w:val="0"/>
          <w:lang w:val="en-US"/>
        </w:rPr>
        <w:t>Improved Team Collaboration</w:t>
      </w:r>
      <w:bookmarkEnd w:id="20"/>
    </w:p>
    <w:p>
      <w:pPr>
        <w:pStyle w:val="Body"/>
        <w:spacing w:line="480" w:lineRule="auto"/>
        <w:ind w:firstLine="720"/>
        <w:jc w:val="both"/>
      </w:pPr>
      <w:r>
        <w:rPr>
          <w:rtl w:val="0"/>
          <w:lang w:val="en-US"/>
        </w:rPr>
        <w:t>Good communication eases communication efforts by team members to ensure that they can perform tasks together, share information, and work together on the same goals. At Janet's store, where employees participate in different roles and locations, communication channels empower information on time availability and operational alignment of all employees. The team meetings, held both in person and virtually, offer a platform for the employees to share progress, bring out challenges, and find solutions, leading to increased teamwork and productivity. Through the creation of an atmosphere which is exploitative of opinion sharing and cooperation, Janet's shop can use its staff's combined knowledge and creativity to provide innovative solutions to business problems (Seeber et al., 2020).</w:t>
      </w:r>
    </w:p>
    <w:p>
      <w:pPr>
        <w:pStyle w:val="Heading 2"/>
      </w:pPr>
      <w:bookmarkStart w:name="_Toc21" w:id="21"/>
      <w:r>
        <w:rPr>
          <w:rFonts w:cs="Arial Unicode MS" w:eastAsia="Arial Unicode MS"/>
          <w:rtl w:val="0"/>
          <w:lang w:val="en-US"/>
        </w:rPr>
        <w:t>Facilitates Decision Making</w:t>
      </w:r>
      <w:bookmarkEnd w:id="21"/>
    </w:p>
    <w:p>
      <w:pPr>
        <w:pStyle w:val="Body"/>
        <w:spacing w:line="480" w:lineRule="auto"/>
        <w:ind w:firstLine="720"/>
        <w:jc w:val="both"/>
      </w:pPr>
      <w:r>
        <w:rPr>
          <w:rtl w:val="0"/>
          <w:lang w:val="en-US"/>
        </w:rPr>
        <w:t xml:space="preserve"> Clear communication enables the right decisions to be made at all levels. Conversely, managers use the instant data to make on-spot decisions on inventory management, marketing campaigns, and business expansion. For example, sales reps and managers use successful inter-communication to understand customer preferences, market trends and competitor strategies. This allows them to make strategic decisions and drive business development. Through promoting transparency and accountability and encouraging information-sharing, employees need to be enabled to make informed decisions, ultimately ensuring the organisation's success (Demestichas and Daskalakis, 2020).</w:t>
      </w:r>
    </w:p>
    <w:p>
      <w:pPr>
        <w:pStyle w:val="Heading 2"/>
      </w:pPr>
      <w:bookmarkStart w:name="_Toc22" w:id="22"/>
      <w:r>
        <w:rPr>
          <w:rFonts w:cs="Arial Unicode MS" w:eastAsia="Arial Unicode MS"/>
          <w:rtl w:val="0"/>
          <w:lang w:val="en-US"/>
        </w:rPr>
        <w:t>Conflict Resolution</w:t>
      </w:r>
      <w:bookmarkEnd w:id="22"/>
    </w:p>
    <w:p>
      <w:pPr>
        <w:pStyle w:val="Body"/>
        <w:spacing w:line="480" w:lineRule="auto"/>
        <w:ind w:firstLine="720"/>
        <w:jc w:val="both"/>
      </w:pPr>
      <w:r>
        <w:rPr>
          <w:rtl w:val="0"/>
          <w:lang w:val="en-US"/>
        </w:rPr>
        <w:t>Usually, conflict arises in the workplace because of different views, priorities, and mistranslated words. Effective communication creates a situation whereby employees can react to conflicts immediately, raise their concerns, and initiate solutions. Establishing Janet's store culture through open communication and mutual respect can help suppress disputes and promote an excellent working atmosphere. For example, managers can motivate transparency, mediate disputes, and use conflict resolution methods to build collaboration and teamwork among team members. Janet's Shop can avoid disruptive conflicts while promoting trust and cooperation through proactive and transparent conflict resolution (Y</w:t>
      </w:r>
      <w:r>
        <w:rPr>
          <w:rtl w:val="0"/>
          <w:lang w:val="de-DE"/>
        </w:rPr>
        <w:t>Ü</w:t>
      </w:r>
      <w:r>
        <w:rPr>
          <w:rtl w:val="0"/>
        </w:rPr>
        <w:t>KSEL GEN et al., 2021).</w:t>
      </w:r>
    </w:p>
    <w:p>
      <w:pPr>
        <w:pStyle w:val="Body"/>
        <w:spacing w:line="480" w:lineRule="auto"/>
        <w:ind w:firstLine="720"/>
        <w:jc w:val="both"/>
      </w:pPr>
      <w:r>
        <w:rPr>
          <w:rtl w:val="0"/>
          <w:lang w:val="en-US"/>
        </w:rPr>
        <w:t>In conclusion, efficient and efficient two-way communication serves the purpose of ensuring that the lady's fashion store Janet Williams continues to thrive. The organisation may be able to optimise the communication channels, improve collaboration, and achieve organisational goals by using models of communication like the Shannon-Weaver model, the transactional model, Berlo's model, and the communication cycle. In addition, being alert about the importance of effective communication, both verbal and non-verbal, is necessary since it enables the accurate delivery of information, resolving of conflicts, and making of decisions on time, which in the long run are critical in an organisation's achievements of goals and stability.</w:t>
      </w:r>
    </w:p>
    <w:p>
      <w:pPr>
        <w:pStyle w:val="Body"/>
        <w:spacing w:line="480" w:lineRule="auto"/>
      </w:pPr>
      <w:r>
        <w:rPr>
          <w:rFonts w:ascii="Arial Unicode MS" w:cs="Arial Unicode MS" w:hAnsi="Arial Unicode MS" w:eastAsia="Arial Unicode MS"/>
          <w:b w:val="0"/>
          <w:bCs w:val="0"/>
          <w:i w:val="0"/>
          <w:iCs w:val="0"/>
        </w:rPr>
        <w:br w:type="page"/>
      </w:r>
    </w:p>
    <w:p>
      <w:pPr>
        <w:pStyle w:val="Heading"/>
      </w:pPr>
      <w:bookmarkStart w:name="_Toc23" w:id="23"/>
      <w:r>
        <w:rPr>
          <w:rFonts w:cs="Arial Unicode MS" w:eastAsia="Arial Unicode MS"/>
          <w:rtl w:val="0"/>
          <w:lang w:val="fr-FR"/>
        </w:rPr>
        <w:t>Reference list</w:t>
      </w:r>
      <w:bookmarkEnd w:id="23"/>
    </w:p>
    <w:p>
      <w:pPr>
        <w:pStyle w:val="Normal (Web)"/>
        <w:spacing w:before="0" w:after="240" w:line="480" w:lineRule="auto"/>
        <w:ind w:left="720" w:hanging="720"/>
        <w:rPr>
          <w:lang w:val="en-US"/>
        </w:rPr>
      </w:pPr>
      <w:r>
        <w:rPr>
          <w:rtl w:val="0"/>
          <w:lang w:val="en-US"/>
        </w:rPr>
        <w:t xml:space="preserve">Al-Fedaghi, S. (2020). Underpinning theories of software engineering: Dynamism in physical sources of the shannon weaver communication model. </w:t>
      </w:r>
      <w:r>
        <w:rPr>
          <w:i w:val="1"/>
          <w:iCs w:val="1"/>
          <w:rtl w:val="0"/>
          <w:lang w:val="en-US"/>
        </w:rPr>
        <w:t>arXiv:2010.08538 [cs]</w:t>
      </w:r>
      <w:r>
        <w:rPr>
          <w:rtl w:val="0"/>
          <w:lang w:val="en-US"/>
        </w:rPr>
        <w:t>. [online] Available at: https://arxiv.org/abs/2010.08538.</w:t>
      </w:r>
    </w:p>
    <w:p>
      <w:pPr>
        <w:pStyle w:val="Normal (Web)"/>
        <w:spacing w:before="0" w:after="240" w:line="480" w:lineRule="auto"/>
        <w:ind w:left="720" w:hanging="720"/>
        <w:rPr>
          <w:lang w:val="en-US"/>
        </w:rPr>
      </w:pPr>
      <w:r>
        <w:rPr>
          <w:rtl w:val="0"/>
          <w:lang w:val="en-US"/>
        </w:rPr>
        <w:t>Aranzabal, A., Epelde, E. and Artetxe, M. (2022). Team formation on the basis of belbin</w:t>
      </w:r>
      <w:r>
        <w:rPr>
          <w:rtl w:val="0"/>
          <w:lang w:val="en-US"/>
        </w:rPr>
        <w:t>’</w:t>
      </w:r>
      <w:r>
        <w:rPr>
          <w:rtl w:val="0"/>
          <w:lang w:val="en-US"/>
        </w:rPr>
        <w:t>s roles to enhance students</w:t>
      </w:r>
      <w:r>
        <w:rPr>
          <w:rtl w:val="0"/>
          <w:lang w:val="en-US"/>
        </w:rPr>
        <w:t xml:space="preserve">’ </w:t>
      </w:r>
      <w:r>
        <w:rPr>
          <w:rtl w:val="0"/>
          <w:lang w:val="en-US"/>
        </w:rPr>
        <w:t xml:space="preserve">performance in project based learning. </w:t>
      </w:r>
      <w:r>
        <w:rPr>
          <w:i w:val="1"/>
          <w:iCs w:val="1"/>
          <w:rtl w:val="0"/>
          <w:lang w:val="en-US"/>
        </w:rPr>
        <w:t>Education for Chemical Engineers</w:t>
      </w:r>
      <w:r>
        <w:rPr>
          <w:rtl w:val="0"/>
          <w:lang w:val="en-US"/>
        </w:rPr>
        <w:t>, [online] 38(1), pp.22</w:t>
      </w:r>
      <w:r>
        <w:rPr>
          <w:rtl w:val="0"/>
          <w:lang w:val="en-US"/>
        </w:rPr>
        <w:t>–</w:t>
      </w:r>
      <w:r>
        <w:rPr>
          <w:rtl w:val="0"/>
          <w:lang w:val="en-US"/>
        </w:rPr>
        <w:t>37. doi:https://doi.org/10.1016/j.ece.2021.09.001.</w:t>
      </w:r>
    </w:p>
    <w:p>
      <w:pPr>
        <w:pStyle w:val="Normal (Web)"/>
        <w:spacing w:before="0" w:after="240" w:line="480" w:lineRule="auto"/>
        <w:ind w:left="720" w:hanging="720"/>
        <w:rPr>
          <w:lang w:val="en-US"/>
        </w:rPr>
      </w:pPr>
      <w:r>
        <w:rPr>
          <w:rtl w:val="0"/>
          <w:lang w:val="en-US"/>
        </w:rPr>
        <w:t>Bedn</w:t>
      </w:r>
      <w:r>
        <w:rPr>
          <w:rtl w:val="0"/>
          <w:lang w:val="en-US"/>
        </w:rPr>
        <w:t>á</w:t>
      </w:r>
      <w:r>
        <w:rPr>
          <w:rtl w:val="0"/>
          <w:lang w:val="en-US"/>
        </w:rPr>
        <w:t>r, R. and Ljudvigov</w:t>
      </w:r>
      <w:r>
        <w:rPr>
          <w:rtl w:val="0"/>
          <w:lang w:val="en-US"/>
        </w:rPr>
        <w:t>á</w:t>
      </w:r>
      <w:r>
        <w:rPr>
          <w:rtl w:val="0"/>
          <w:lang w:val="en-US"/>
        </w:rPr>
        <w:t xml:space="preserve">, I. (2020). Belbin team roles in a start-up team. </w:t>
      </w:r>
      <w:r>
        <w:rPr>
          <w:i w:val="1"/>
          <w:iCs w:val="1"/>
          <w:rtl w:val="0"/>
          <w:lang w:val="en-US"/>
        </w:rPr>
        <w:t>SHS Web of Conferences</w:t>
      </w:r>
      <w:r>
        <w:rPr>
          <w:rtl w:val="0"/>
          <w:lang w:val="en-US"/>
        </w:rPr>
        <w:t>, 83(83), pp.1</w:t>
      </w:r>
      <w:r>
        <w:rPr>
          <w:rtl w:val="0"/>
          <w:lang w:val="en-US"/>
        </w:rPr>
        <w:t>–</w:t>
      </w:r>
      <w:r>
        <w:rPr>
          <w:rtl w:val="0"/>
          <w:lang w:val="en-US"/>
        </w:rPr>
        <w:t>8. doi:https://doi.org/10.1051/shsconf/20208301002.</w:t>
      </w:r>
    </w:p>
    <w:p>
      <w:pPr>
        <w:pStyle w:val="Normal (Web)"/>
        <w:spacing w:before="0" w:after="240" w:line="480" w:lineRule="auto"/>
        <w:ind w:left="720" w:hanging="720"/>
        <w:rPr>
          <w:lang w:val="en-US"/>
        </w:rPr>
      </w:pPr>
      <w:r>
        <w:rPr>
          <w:rtl w:val="0"/>
          <w:lang w:val="en-US"/>
        </w:rPr>
        <w:t>Campitelli, A., Kannengie</w:t>
      </w:r>
      <w:r>
        <w:rPr>
          <w:rtl w:val="0"/>
          <w:lang w:val="en-US"/>
        </w:rPr>
        <w:t>ß</w:t>
      </w:r>
      <w:r>
        <w:rPr>
          <w:rtl w:val="0"/>
          <w:lang w:val="en-US"/>
        </w:rPr>
        <w:t xml:space="preserve">er, J. and Schebek, L. (2022). Approach to assess the performance of waste management systems towards a circular economy: waste management system development stage concept (WMS-DSC). </w:t>
      </w:r>
      <w:r>
        <w:rPr>
          <w:i w:val="1"/>
          <w:iCs w:val="1"/>
          <w:rtl w:val="0"/>
          <w:lang w:val="en-US"/>
        </w:rPr>
        <w:t>MethodsX</w:t>
      </w:r>
      <w:r>
        <w:rPr>
          <w:rtl w:val="0"/>
          <w:lang w:val="en-US"/>
        </w:rPr>
        <w:t>, 9, p.101634. doi:https://doi.org/10.1016/j.mex.2022.101634.</w:t>
      </w:r>
    </w:p>
    <w:p>
      <w:pPr>
        <w:pStyle w:val="Normal (Web)"/>
        <w:spacing w:before="0" w:after="240" w:line="480" w:lineRule="auto"/>
        <w:ind w:left="720" w:hanging="720"/>
        <w:rPr>
          <w:lang w:val="en-US"/>
        </w:rPr>
      </w:pPr>
      <w:r>
        <w:rPr>
          <w:rtl w:val="0"/>
          <w:lang w:val="en-US"/>
        </w:rPr>
        <w:t xml:space="preserve">Cresswell-Yeager, T. (2020). Forming, storming, norming, and performing: Using a semester-long problem-based learning project to apply small-group communication principles. </w:t>
      </w:r>
      <w:r>
        <w:rPr>
          <w:i w:val="1"/>
          <w:iCs w:val="1"/>
          <w:rtl w:val="0"/>
          <w:lang w:val="en-US"/>
        </w:rPr>
        <w:t>Communication Teacher</w:t>
      </w:r>
      <w:r>
        <w:rPr>
          <w:rtl w:val="0"/>
          <w:lang w:val="en-US"/>
        </w:rPr>
        <w:t>, [online] 35(2), pp.1</w:t>
      </w:r>
      <w:r>
        <w:rPr>
          <w:rtl w:val="0"/>
          <w:lang w:val="en-US"/>
        </w:rPr>
        <w:t>–</w:t>
      </w:r>
      <w:r>
        <w:rPr>
          <w:rtl w:val="0"/>
          <w:lang w:val="en-US"/>
        </w:rPr>
        <w:t>11. doi:https://doi.org/10.1080/17404622.2020.1842476.</w:t>
      </w:r>
    </w:p>
    <w:p>
      <w:pPr>
        <w:pStyle w:val="Normal (Web)"/>
        <w:spacing w:before="0" w:after="240" w:line="480" w:lineRule="auto"/>
        <w:ind w:left="720" w:hanging="720"/>
        <w:rPr>
          <w:lang w:val="en-US"/>
        </w:rPr>
      </w:pPr>
      <w:r>
        <w:rPr>
          <w:rtl w:val="0"/>
          <w:lang w:val="en-US"/>
        </w:rPr>
        <w:t xml:space="preserve">Demestichas, K. and Daskalakis, E. (2020). Information and communication technology solutions for the circular economy. </w:t>
      </w:r>
      <w:r>
        <w:rPr>
          <w:i w:val="1"/>
          <w:iCs w:val="1"/>
          <w:rtl w:val="0"/>
          <w:lang w:val="en-US"/>
        </w:rPr>
        <w:t>Sustainability</w:t>
      </w:r>
      <w:r>
        <w:rPr>
          <w:rtl w:val="0"/>
          <w:lang w:val="en-US"/>
        </w:rPr>
        <w:t>, [online] 12(18), p.7272. doi:https://doi.org/10.3390/su12187272.</w:t>
      </w:r>
    </w:p>
    <w:p>
      <w:pPr>
        <w:pStyle w:val="Normal (Web)"/>
        <w:spacing w:before="0" w:after="240" w:line="480" w:lineRule="auto"/>
        <w:ind w:left="720" w:hanging="720"/>
        <w:rPr>
          <w:lang w:val="en-US"/>
        </w:rPr>
      </w:pPr>
      <w:r>
        <w:rPr>
          <w:rtl w:val="0"/>
          <w:lang w:val="en-US"/>
        </w:rPr>
        <w:t xml:space="preserve">Diab-Bahman, R. (2021). The impact of dominant personality traits on team roles. </w:t>
      </w:r>
      <w:r>
        <w:rPr>
          <w:i w:val="1"/>
          <w:iCs w:val="1"/>
          <w:rtl w:val="0"/>
          <w:lang w:val="en-US"/>
        </w:rPr>
        <w:t>The Open Psychology Journal</w:t>
      </w:r>
      <w:r>
        <w:rPr>
          <w:rtl w:val="0"/>
          <w:lang w:val="en-US"/>
        </w:rPr>
        <w:t>, 14(1), pp.33</w:t>
      </w:r>
      <w:r>
        <w:rPr>
          <w:rtl w:val="0"/>
          <w:lang w:val="en-US"/>
        </w:rPr>
        <w:t>–</w:t>
      </w:r>
      <w:r>
        <w:rPr>
          <w:rtl w:val="0"/>
          <w:lang w:val="en-US"/>
        </w:rPr>
        <w:t>45. doi:https://doi.org/10.2174/1874350102114010033.</w:t>
      </w:r>
    </w:p>
    <w:p>
      <w:pPr>
        <w:pStyle w:val="Normal (Web)"/>
        <w:spacing w:before="0" w:after="240" w:line="480" w:lineRule="auto"/>
        <w:ind w:left="720" w:hanging="720"/>
        <w:rPr>
          <w:lang w:val="en-US"/>
        </w:rPr>
      </w:pPr>
      <w:r>
        <w:rPr>
          <w:rtl w:val="0"/>
          <w:lang w:val="en-US"/>
        </w:rPr>
        <w:t xml:space="preserve">Ivanova, S., Dimitrov, L., Ivanov, V. and Scvorcova, S. (2020). </w:t>
      </w:r>
      <w:r>
        <w:rPr>
          <w:i w:val="1"/>
          <w:iCs w:val="1"/>
          <w:rtl w:val="0"/>
          <w:lang w:val="en-US"/>
        </w:rPr>
        <w:t>Search Correspondence Between the Roles of the Brainstorming Participants and Belbin</w:t>
      </w:r>
      <w:r>
        <w:rPr>
          <w:i w:val="1"/>
          <w:iCs w:val="1"/>
          <w:rtl w:val="0"/>
          <w:lang w:val="en-US"/>
        </w:rPr>
        <w:t>’</w:t>
      </w:r>
      <w:r>
        <w:rPr>
          <w:i w:val="1"/>
          <w:iCs w:val="1"/>
          <w:rtl w:val="0"/>
          <w:lang w:val="en-US"/>
        </w:rPr>
        <w:t>s Team Roles</w:t>
      </w:r>
      <w:r>
        <w:rPr>
          <w:rtl w:val="0"/>
          <w:lang w:val="en-US"/>
        </w:rPr>
        <w:t>. [online] IEEE Xplore. doi:https://doi.org/10.1109/HiTech51434.2020.9363982.</w:t>
      </w:r>
    </w:p>
    <w:p>
      <w:pPr>
        <w:pStyle w:val="Normal (Web)"/>
        <w:spacing w:before="0" w:after="240" w:line="480" w:lineRule="auto"/>
        <w:ind w:left="720" w:hanging="720"/>
        <w:rPr>
          <w:lang w:val="en-US"/>
        </w:rPr>
      </w:pPr>
      <w:r>
        <w:rPr>
          <w:rtl w:val="0"/>
          <w:lang w:val="en-US"/>
        </w:rPr>
        <w:t>Jo</w:t>
      </w:r>
      <w:r>
        <w:rPr>
          <w:rtl w:val="0"/>
          <w:lang w:val="en-US"/>
        </w:rPr>
        <w:t>ã</w:t>
      </w:r>
      <w:r>
        <w:rPr>
          <w:rtl w:val="0"/>
          <w:lang w:val="en-US"/>
        </w:rPr>
        <w:t xml:space="preserve">o Canossa Dias, Ana Mineiro and Saskia Damen (2020). Atypical interpersonal communication: looking for and through a different lens. </w:t>
      </w:r>
      <w:r>
        <w:rPr>
          <w:i w:val="1"/>
          <w:iCs w:val="1"/>
          <w:rtl w:val="0"/>
          <w:lang w:val="en-US"/>
        </w:rPr>
        <w:t>Philosophy Study</w:t>
      </w:r>
      <w:r>
        <w:rPr>
          <w:rtl w:val="0"/>
          <w:lang w:val="en-US"/>
        </w:rPr>
        <w:t>, 10(12). doi:https://doi.org/10.17265/2159-5313/2020.12.003.</w:t>
      </w:r>
    </w:p>
    <w:p>
      <w:pPr>
        <w:pStyle w:val="Normal (Web)"/>
        <w:spacing w:before="0" w:after="240" w:line="480" w:lineRule="auto"/>
        <w:ind w:left="720" w:hanging="720"/>
        <w:rPr>
          <w:lang w:val="en-US"/>
        </w:rPr>
      </w:pPr>
      <w:r>
        <w:rPr>
          <w:rtl w:val="0"/>
          <w:lang w:val="en-US"/>
        </w:rPr>
        <w:t xml:space="preserve">Kaygan, P. (2022). From forming to performing: team development for enhancing interdisciplinary collaboration between design and engineering students using design thinking. </w:t>
      </w:r>
      <w:r>
        <w:rPr>
          <w:i w:val="1"/>
          <w:iCs w:val="1"/>
          <w:rtl w:val="0"/>
          <w:lang w:val="en-US"/>
        </w:rPr>
        <w:t>International Journal of Technology and Design Education</w:t>
      </w:r>
      <w:r>
        <w:rPr>
          <w:rtl w:val="0"/>
          <w:lang w:val="en-US"/>
        </w:rPr>
        <w:t>. doi:https://doi.org/10.1007/s10798-022-09736-3.</w:t>
      </w:r>
    </w:p>
    <w:p>
      <w:pPr>
        <w:pStyle w:val="Normal (Web)"/>
        <w:spacing w:before="0" w:after="240" w:line="480" w:lineRule="auto"/>
        <w:ind w:left="720" w:hanging="720"/>
        <w:rPr>
          <w:lang w:val="en-US"/>
        </w:rPr>
      </w:pPr>
      <w:r>
        <w:rPr>
          <w:rtl w:val="0"/>
          <w:lang w:val="en-US"/>
        </w:rPr>
        <w:t xml:space="preserve">Kent, M.L. and Lane, A. (2021). Two-way communication, symmetry, negative spaces, and dialogue. </w:t>
      </w:r>
      <w:r>
        <w:rPr>
          <w:i w:val="1"/>
          <w:iCs w:val="1"/>
          <w:rtl w:val="0"/>
          <w:lang w:val="en-US"/>
        </w:rPr>
        <w:t>Public Relations Review</w:t>
      </w:r>
      <w:r>
        <w:rPr>
          <w:rtl w:val="0"/>
          <w:lang w:val="en-US"/>
        </w:rPr>
        <w:t>, 47(2), p.102014. doi:https://doi.org/10.1016/j.pubrev.2021.102014.</w:t>
      </w:r>
    </w:p>
    <w:p>
      <w:pPr>
        <w:pStyle w:val="Normal (Web)"/>
        <w:spacing w:before="0" w:after="240" w:line="480" w:lineRule="auto"/>
        <w:ind w:left="720" w:hanging="720"/>
        <w:rPr>
          <w:lang w:val="en-US"/>
        </w:rPr>
      </w:pPr>
      <w:r>
        <w:rPr>
          <w:rtl w:val="0"/>
          <w:lang w:val="en-US"/>
        </w:rPr>
        <w:t>Kokkoniemi, M. and Isom</w:t>
      </w:r>
      <w:r>
        <w:rPr>
          <w:rtl w:val="0"/>
          <w:lang w:val="en-US"/>
        </w:rPr>
        <w:t>ö</w:t>
      </w:r>
      <w:r>
        <w:rPr>
          <w:rtl w:val="0"/>
          <w:lang w:val="en-US"/>
        </w:rPr>
        <w:t>tt</w:t>
      </w:r>
      <w:r>
        <w:rPr>
          <w:rtl w:val="0"/>
          <w:lang w:val="en-US"/>
        </w:rPr>
        <w:t>ö</w:t>
      </w:r>
      <w:r>
        <w:rPr>
          <w:rtl w:val="0"/>
          <w:lang w:val="en-US"/>
        </w:rPr>
        <w:t xml:space="preserve">nen, V. (2023). A systematic mapping study on group work research in computing education projects. </w:t>
      </w:r>
      <w:r>
        <w:rPr>
          <w:i w:val="1"/>
          <w:iCs w:val="1"/>
          <w:rtl w:val="0"/>
          <w:lang w:val="en-US"/>
        </w:rPr>
        <w:t>Journal of Systems and Software</w:t>
      </w:r>
      <w:r>
        <w:rPr>
          <w:rtl w:val="0"/>
          <w:lang w:val="en-US"/>
        </w:rPr>
        <w:t>, [online] 204, p.111795. doi:https://doi.org/10.1016/j.jss.2023.111795.</w:t>
      </w:r>
    </w:p>
    <w:p>
      <w:pPr>
        <w:pStyle w:val="Normal (Web)"/>
        <w:spacing w:before="0" w:after="240" w:line="480" w:lineRule="auto"/>
        <w:ind w:left="720" w:hanging="720"/>
        <w:rPr>
          <w:lang w:val="en-US"/>
        </w:rPr>
      </w:pPr>
      <w:r>
        <w:rPr>
          <w:rtl w:val="0"/>
          <w:lang w:val="en-US"/>
        </w:rPr>
        <w:t xml:space="preserve">Lee, S.M. and Lee, D. (2020). </w:t>
      </w:r>
      <w:r>
        <w:rPr>
          <w:rtl w:val="0"/>
          <w:lang w:val="en-US"/>
        </w:rPr>
        <w:t>‘</w:t>
      </w:r>
      <w:r>
        <w:rPr>
          <w:rtl w:val="0"/>
          <w:lang w:val="en-US"/>
        </w:rPr>
        <w:t>Untact</w:t>
      </w:r>
      <w:r>
        <w:rPr>
          <w:rtl w:val="0"/>
          <w:lang w:val="en-US"/>
        </w:rPr>
        <w:t>’</w:t>
      </w:r>
      <w:r>
        <w:rPr>
          <w:rtl w:val="0"/>
          <w:lang w:val="en-US"/>
        </w:rPr>
        <w:t xml:space="preserve">: a new customer service strategy in the digital age. </w:t>
      </w:r>
      <w:r>
        <w:rPr>
          <w:i w:val="1"/>
          <w:iCs w:val="1"/>
          <w:rtl w:val="0"/>
          <w:lang w:val="en-US"/>
        </w:rPr>
        <w:t>Service Business</w:t>
      </w:r>
      <w:r>
        <w:rPr>
          <w:rtl w:val="0"/>
          <w:lang w:val="en-US"/>
        </w:rPr>
        <w:t>, 14(1), pp.1</w:t>
      </w:r>
      <w:r>
        <w:rPr>
          <w:rtl w:val="0"/>
          <w:lang w:val="en-US"/>
        </w:rPr>
        <w:t>–</w:t>
      </w:r>
      <w:r>
        <w:rPr>
          <w:rtl w:val="0"/>
          <w:lang w:val="en-US"/>
        </w:rPr>
        <w:t>22.</w:t>
      </w:r>
    </w:p>
    <w:p>
      <w:pPr>
        <w:pStyle w:val="Normal (Web)"/>
        <w:spacing w:before="0" w:after="240" w:line="480" w:lineRule="auto"/>
        <w:ind w:left="720" w:hanging="720"/>
        <w:rPr>
          <w:lang w:val="en-US"/>
        </w:rPr>
      </w:pPr>
      <w:r>
        <w:rPr>
          <w:rtl w:val="0"/>
          <w:lang w:val="en-US"/>
        </w:rPr>
        <w:t xml:space="preserve">Monsalves, D., Cornide-Reyes, H. and Riquelme, F. (2023). Relationships between social interactions and Belbin role types in collaborative agile teams. </w:t>
      </w:r>
      <w:r>
        <w:rPr>
          <w:i w:val="1"/>
          <w:iCs w:val="1"/>
          <w:rtl w:val="0"/>
          <w:lang w:val="en-US"/>
        </w:rPr>
        <w:t>IEEE Access</w:t>
      </w:r>
      <w:r>
        <w:rPr>
          <w:rtl w:val="0"/>
          <w:lang w:val="en-US"/>
        </w:rPr>
        <w:t>, 11, pp.17002</w:t>
      </w:r>
      <w:r>
        <w:rPr>
          <w:rtl w:val="0"/>
          <w:lang w:val="en-US"/>
        </w:rPr>
        <w:t>–</w:t>
      </w:r>
      <w:r>
        <w:rPr>
          <w:rtl w:val="0"/>
          <w:lang w:val="en-US"/>
        </w:rPr>
        <w:t>17020. doi:https://doi.org/10.1109/access.2023.3245325.</w:t>
      </w:r>
    </w:p>
    <w:p>
      <w:pPr>
        <w:pStyle w:val="Normal (Web)"/>
        <w:spacing w:before="0" w:after="240" w:line="480" w:lineRule="auto"/>
        <w:ind w:left="720" w:hanging="720"/>
        <w:rPr>
          <w:lang w:val="en-US"/>
        </w:rPr>
      </w:pPr>
      <w:r>
        <w:rPr>
          <w:rtl w:val="0"/>
          <w:lang w:val="en-US"/>
        </w:rPr>
        <w:t>Nanda, S.K., Papathanasiou, A. and Andr</w:t>
      </w:r>
      <w:r>
        <w:rPr>
          <w:rtl w:val="0"/>
          <w:lang w:val="en-US"/>
        </w:rPr>
        <w:t>é</w:t>
      </w:r>
      <w:r>
        <w:rPr>
          <w:rtl w:val="0"/>
          <w:lang w:val="en-US"/>
        </w:rPr>
        <w:t>a Ferreira Zandon</w:t>
      </w:r>
      <w:r>
        <w:rPr>
          <w:rtl w:val="0"/>
          <w:lang w:val="en-US"/>
        </w:rPr>
        <w:t xml:space="preserve">á </w:t>
      </w:r>
      <w:r>
        <w:rPr>
          <w:rtl w:val="0"/>
          <w:lang w:val="en-US"/>
        </w:rPr>
        <w:t>(2023). Curriculum change using Tuckman</w:t>
      </w:r>
      <w:r>
        <w:rPr>
          <w:rtl w:val="0"/>
          <w:lang w:val="en-US"/>
        </w:rPr>
        <w:t>’</w:t>
      </w:r>
      <w:r>
        <w:rPr>
          <w:rtl w:val="0"/>
          <w:lang w:val="en-US"/>
        </w:rPr>
        <w:t xml:space="preserve">s model: Forming, storming, norming, performing. </w:t>
      </w:r>
      <w:r>
        <w:rPr>
          <w:i w:val="1"/>
          <w:iCs w:val="1"/>
          <w:rtl w:val="0"/>
          <w:lang w:val="en-US"/>
        </w:rPr>
        <w:t>Journal of Dental Education</w:t>
      </w:r>
      <w:r>
        <w:rPr>
          <w:rtl w:val="0"/>
          <w:lang w:val="en-US"/>
        </w:rPr>
        <w:t>. doi:https://doi.org/10.1002/jdd.13413.</w:t>
      </w:r>
    </w:p>
    <w:p>
      <w:pPr>
        <w:pStyle w:val="Normal (Web)"/>
        <w:spacing w:before="0" w:after="240" w:line="480" w:lineRule="auto"/>
        <w:ind w:left="720" w:hanging="720"/>
        <w:rPr>
          <w:lang w:val="en-US"/>
        </w:rPr>
      </w:pPr>
      <w:r>
        <w:rPr>
          <w:rtl w:val="0"/>
          <w:lang w:val="en-US"/>
        </w:rPr>
        <w:t xml:space="preserve">Paranduk, R. and Karisi, Y. (2021). The effectiveness of non-verbal communication in teaching and learning English: A systematic review. </w:t>
      </w:r>
      <w:r>
        <w:rPr>
          <w:i w:val="1"/>
          <w:iCs w:val="1"/>
          <w:rtl w:val="0"/>
          <w:lang w:val="en-US"/>
        </w:rPr>
        <w:t>Journal of English Culture, Language, Literature and Education</w:t>
      </w:r>
      <w:r>
        <w:rPr>
          <w:rtl w:val="0"/>
          <w:lang w:val="en-US"/>
        </w:rPr>
        <w:t>, 8(2), pp.145</w:t>
      </w:r>
      <w:r>
        <w:rPr>
          <w:rtl w:val="0"/>
          <w:lang w:val="en-US"/>
        </w:rPr>
        <w:t>–</w:t>
      </w:r>
      <w:r>
        <w:rPr>
          <w:rtl w:val="0"/>
          <w:lang w:val="en-US"/>
        </w:rPr>
        <w:t>159. doi:https://doi.org/10.53682/eclue.v8i2.1990.</w:t>
      </w:r>
    </w:p>
    <w:p>
      <w:pPr>
        <w:pStyle w:val="Normal (Web)"/>
        <w:spacing w:before="0" w:after="240" w:line="480" w:lineRule="auto"/>
        <w:ind w:left="720" w:hanging="720"/>
        <w:rPr>
          <w:lang w:val="en-US"/>
        </w:rPr>
      </w:pPr>
      <w:r>
        <w:rPr>
          <w:rtl w:val="0"/>
          <w:lang w:val="en-US"/>
        </w:rPr>
        <w:t>Patterson, D. (2022). In-depth Look: Tuckman</w:t>
      </w:r>
      <w:r>
        <w:rPr>
          <w:rtl w:val="0"/>
          <w:lang w:val="en-US"/>
        </w:rPr>
        <w:t>’</w:t>
      </w:r>
      <w:r>
        <w:rPr>
          <w:rtl w:val="0"/>
          <w:lang w:val="en-US"/>
        </w:rPr>
        <w:t xml:space="preserve">s Model </w:t>
      </w:r>
      <w:r>
        <w:rPr>
          <w:rtl w:val="0"/>
          <w:lang w:val="en-US"/>
        </w:rPr>
        <w:t xml:space="preserve">– </w:t>
      </w:r>
      <w:r>
        <w:rPr>
          <w:rtl w:val="0"/>
          <w:lang w:val="en-US"/>
        </w:rPr>
        <w:t xml:space="preserve">Five stages of team development. </w:t>
      </w:r>
      <w:r>
        <w:rPr>
          <w:i w:val="1"/>
          <w:iCs w:val="1"/>
          <w:rtl w:val="0"/>
          <w:lang w:val="en-US"/>
        </w:rPr>
        <w:t>ecampusontario.pressbooks.pub</w:t>
      </w:r>
      <w:r>
        <w:rPr>
          <w:rtl w:val="0"/>
          <w:lang w:val="en-US"/>
        </w:rPr>
        <w:t>, [online] 4. Available at: https://ecampusontario.pressbooks.pub/hrstrategicprojectmanagementtheory/chapter/4-6-in-depth-look-tuckmans-model-five-stages-of-team-development/.</w:t>
      </w:r>
    </w:p>
    <w:p>
      <w:pPr>
        <w:pStyle w:val="Normal (Web)"/>
        <w:spacing w:before="0" w:after="240" w:line="480" w:lineRule="auto"/>
        <w:ind w:left="720" w:hanging="720"/>
        <w:rPr>
          <w:lang w:val="en-US"/>
        </w:rPr>
      </w:pPr>
      <w:r>
        <w:rPr>
          <w:rtl w:val="0"/>
          <w:lang w:val="en-US"/>
        </w:rPr>
        <w:t>Rahmani, F., Scott-Young, C., Tadayon, A. and van der Walt, J.D. (2021). Team composition in relational contracting (RC) in large infrastructure projects: a Belbin</w:t>
      </w:r>
      <w:r>
        <w:rPr>
          <w:rtl w:val="0"/>
          <w:lang w:val="en-US"/>
        </w:rPr>
        <w:t>’</w:t>
      </w:r>
      <w:r>
        <w:rPr>
          <w:rtl w:val="0"/>
          <w:lang w:val="en-US"/>
        </w:rPr>
        <w:t xml:space="preserve">s team roles model approach. </w:t>
      </w:r>
      <w:r>
        <w:rPr>
          <w:i w:val="1"/>
          <w:iCs w:val="1"/>
          <w:rtl w:val="0"/>
          <w:lang w:val="en-US"/>
        </w:rPr>
        <w:t>Engineering, Construction and Architectural Management</w:t>
      </w:r>
      <w:r>
        <w:rPr>
          <w:rtl w:val="0"/>
          <w:lang w:val="en-US"/>
        </w:rPr>
        <w:t>, ahead-of-print(ahead-of-print). doi:https://doi.org/10.1108/ecam-11-2020-0941.</w:t>
      </w:r>
    </w:p>
    <w:p>
      <w:pPr>
        <w:pStyle w:val="Normal (Web)"/>
        <w:spacing w:before="0" w:after="240" w:line="480" w:lineRule="auto"/>
        <w:ind w:left="720" w:hanging="720"/>
        <w:rPr>
          <w:lang w:val="en-US"/>
        </w:rPr>
      </w:pPr>
      <w:r>
        <w:rPr>
          <w:rtl w:val="0"/>
          <w:lang w:val="en-US"/>
        </w:rPr>
        <w:t>Saman Atapattu, Fan, R., Prathapasinghe Dharmawansa, Wang, G., Evans, J. and Tsiftsis, T.A. (2020). Reconfigurable intelligent surface assisted two</w:t>
      </w:r>
      <w:r>
        <w:rPr>
          <w:rtl w:val="0"/>
          <w:lang w:val="en-US"/>
        </w:rPr>
        <w:t>–</w:t>
      </w:r>
      <w:r>
        <w:rPr>
          <w:rtl w:val="0"/>
          <w:lang w:val="en-US"/>
        </w:rPr>
        <w:t xml:space="preserve">way communications: Performance analysis and optimization. </w:t>
      </w:r>
      <w:r>
        <w:rPr>
          <w:i w:val="1"/>
          <w:iCs w:val="1"/>
          <w:rtl w:val="0"/>
          <w:lang w:val="en-US"/>
        </w:rPr>
        <w:t>IEEE Transactions on Communications</w:t>
      </w:r>
      <w:r>
        <w:rPr>
          <w:rtl w:val="0"/>
          <w:lang w:val="en-US"/>
        </w:rPr>
        <w:t>, 68(10), pp.6552</w:t>
      </w:r>
      <w:r>
        <w:rPr>
          <w:rtl w:val="0"/>
          <w:lang w:val="en-US"/>
        </w:rPr>
        <w:t>–</w:t>
      </w:r>
      <w:r>
        <w:rPr>
          <w:rtl w:val="0"/>
          <w:lang w:val="en-US"/>
        </w:rPr>
        <w:t>6567. doi:https://doi.org/10.1109/tcomm.2020.3008402.</w:t>
      </w:r>
    </w:p>
    <w:p>
      <w:pPr>
        <w:pStyle w:val="Normal (Web)"/>
        <w:spacing w:before="0" w:after="240" w:line="480" w:lineRule="auto"/>
        <w:ind w:left="720" w:hanging="720"/>
        <w:rPr>
          <w:lang w:val="en-US"/>
        </w:rPr>
      </w:pPr>
      <w:r>
        <w:rPr>
          <w:rtl w:val="0"/>
          <w:lang w:val="en-US"/>
        </w:rPr>
        <w:t>Seeber, I., Bittner, E., Briggs, R.O., de Vreede, T., de Vreede, G.-J., Elkins, A., Maier, R., Merz, A.B., Oeste-Rei</w:t>
      </w:r>
      <w:r>
        <w:rPr>
          <w:rtl w:val="0"/>
          <w:lang w:val="en-US"/>
        </w:rPr>
        <w:t>ß</w:t>
      </w:r>
      <w:r>
        <w:rPr>
          <w:rtl w:val="0"/>
          <w:lang w:val="en-US"/>
        </w:rPr>
        <w:t>, S., Randrup, N., Schwabe, G. and S</w:t>
      </w:r>
      <w:r>
        <w:rPr>
          <w:rtl w:val="0"/>
          <w:lang w:val="en-US"/>
        </w:rPr>
        <w:t>ö</w:t>
      </w:r>
      <w:r>
        <w:rPr>
          <w:rtl w:val="0"/>
          <w:lang w:val="en-US"/>
        </w:rPr>
        <w:t xml:space="preserve">llner, M. (2020). Machines as teammates: A research agenda on AI in team collaboration. </w:t>
      </w:r>
      <w:r>
        <w:rPr>
          <w:i w:val="1"/>
          <w:iCs w:val="1"/>
          <w:rtl w:val="0"/>
          <w:lang w:val="en-US"/>
        </w:rPr>
        <w:t>Information &amp; Management</w:t>
      </w:r>
      <w:r>
        <w:rPr>
          <w:rtl w:val="0"/>
          <w:lang w:val="en-US"/>
        </w:rPr>
        <w:t>, [online] 57(2), p.103174. doi:https://doi.org/10.1016/j.im.2019.103174.</w:t>
      </w:r>
    </w:p>
    <w:p>
      <w:pPr>
        <w:pStyle w:val="Normal (Web)"/>
        <w:spacing w:before="0" w:after="240" w:line="480" w:lineRule="auto"/>
        <w:ind w:left="720" w:hanging="720"/>
        <w:rPr>
          <w:lang w:val="en-US"/>
        </w:rPr>
      </w:pPr>
      <w:r>
        <w:rPr>
          <w:rtl w:val="0"/>
          <w:lang w:val="en-US"/>
        </w:rPr>
        <w:t xml:space="preserve">Sekar S., Solayappan, A., Srimathi J., Raja, S., Durga S., Manoharan, P., Hamdi, M. and Tunze, G.B. (2022). Autonomous transaction model for e-commerce management using blockchain technology. </w:t>
      </w:r>
      <w:r>
        <w:rPr>
          <w:i w:val="1"/>
          <w:iCs w:val="1"/>
          <w:rtl w:val="0"/>
          <w:lang w:val="en-US"/>
        </w:rPr>
        <w:t>International Journal of Information Technology and Web Engineering</w:t>
      </w:r>
      <w:r>
        <w:rPr>
          <w:rtl w:val="0"/>
          <w:lang w:val="en-US"/>
        </w:rPr>
        <w:t>, 17(1), pp.1</w:t>
      </w:r>
      <w:r>
        <w:rPr>
          <w:rtl w:val="0"/>
          <w:lang w:val="en-US"/>
        </w:rPr>
        <w:t>–</w:t>
      </w:r>
      <w:r>
        <w:rPr>
          <w:rtl w:val="0"/>
          <w:lang w:val="en-US"/>
        </w:rPr>
        <w:t>14. doi:https://doi.org/10.4018/ijitwe.304047.</w:t>
      </w:r>
    </w:p>
    <w:p>
      <w:pPr>
        <w:pStyle w:val="Normal (Web)"/>
        <w:spacing w:before="0" w:after="240" w:line="480" w:lineRule="auto"/>
        <w:ind w:left="720" w:hanging="720"/>
        <w:rPr>
          <w:lang w:val="en-US"/>
        </w:rPr>
      </w:pPr>
      <w:r>
        <w:rPr>
          <w:rtl w:val="0"/>
          <w:lang w:val="en-US"/>
        </w:rPr>
        <w:t xml:space="preserve">Setiawan, S., Fardinal and Hidayah, N. (2023). The analysis of financial report effectiveness through berlo communication model: A case study of pt mega sembada industry, Indonesia. </w:t>
      </w:r>
      <w:r>
        <w:rPr>
          <w:i w:val="1"/>
          <w:iCs w:val="1"/>
          <w:rtl w:val="0"/>
          <w:lang w:val="en-US"/>
        </w:rPr>
        <w:t>Asian Journal of Economics, Business and Accounting</w:t>
      </w:r>
      <w:r>
        <w:rPr>
          <w:rtl w:val="0"/>
          <w:lang w:val="en-US"/>
        </w:rPr>
        <w:t>, [online] 23(21), pp.232</w:t>
      </w:r>
      <w:r>
        <w:rPr>
          <w:rtl w:val="0"/>
          <w:lang w:val="en-US"/>
        </w:rPr>
        <w:t>–</w:t>
      </w:r>
      <w:r>
        <w:rPr>
          <w:rtl w:val="0"/>
          <w:lang w:val="en-US"/>
        </w:rPr>
        <w:t>240. doi:https://doi.org/10.9734/ajeba/2023/v23i211130.</w:t>
      </w:r>
    </w:p>
    <w:p>
      <w:pPr>
        <w:pStyle w:val="Normal (Web)"/>
        <w:spacing w:before="0" w:after="240" w:line="480" w:lineRule="auto"/>
        <w:ind w:left="720" w:hanging="720"/>
        <w:rPr>
          <w:lang w:val="en-US"/>
        </w:rPr>
      </w:pPr>
      <w:r>
        <w:rPr>
          <w:rtl w:val="0"/>
          <w:lang w:val="en-US"/>
        </w:rPr>
        <w:t>Wahyu Kurniadi and M. Ridho Mahaputra (2021). Determination of communication in the organization: non verbal, oral and written (Literature Review). 1(4), pp.164</w:t>
      </w:r>
      <w:r>
        <w:rPr>
          <w:rtl w:val="0"/>
          <w:lang w:val="en-US"/>
        </w:rPr>
        <w:t>–</w:t>
      </w:r>
      <w:r>
        <w:rPr>
          <w:rtl w:val="0"/>
          <w:lang w:val="en-US"/>
        </w:rPr>
        <w:t>172. doi:https://doi.org/10.38035/jlph.v1i4.80.</w:t>
      </w:r>
    </w:p>
    <w:p>
      <w:pPr>
        <w:pStyle w:val="Normal (Web)"/>
        <w:spacing w:before="0" w:after="240" w:line="480" w:lineRule="auto"/>
        <w:ind w:left="720" w:hanging="720"/>
      </w:pPr>
      <w:r>
        <w:rPr>
          <w:rtl w:val="0"/>
          <w:lang w:val="en-US"/>
        </w:rPr>
        <w:t>Y</w:t>
      </w:r>
      <w:r>
        <w:rPr>
          <w:rtl w:val="0"/>
          <w:lang w:val="en-US"/>
        </w:rPr>
        <w:t>Ü</w:t>
      </w:r>
      <w:r>
        <w:rPr>
          <w:rtl w:val="0"/>
          <w:lang w:val="en-US"/>
        </w:rPr>
        <w:t>KSEL GEN, D., G</w:t>
      </w:r>
      <w:r>
        <w:rPr>
          <w:rtl w:val="0"/>
          <w:lang w:val="en-US"/>
        </w:rPr>
        <w:t>Ö</w:t>
      </w:r>
      <w:r>
        <w:rPr>
          <w:rtl w:val="0"/>
          <w:lang w:val="en-US"/>
        </w:rPr>
        <w:t>KTA</w:t>
      </w:r>
      <w:r>
        <w:rPr>
          <w:rtl w:val="0"/>
          <w:lang w:val="en-US"/>
        </w:rPr>
        <w:t>Ş</w:t>
      </w:r>
      <w:r>
        <w:rPr>
          <w:rtl w:val="0"/>
          <w:lang w:val="en-US"/>
        </w:rPr>
        <w:t xml:space="preserve">, M. and </w:t>
      </w:r>
      <w:r>
        <w:rPr>
          <w:rtl w:val="0"/>
          <w:lang w:val="en-US"/>
        </w:rPr>
        <w:t>Ş</w:t>
      </w:r>
      <w:r>
        <w:rPr>
          <w:rtl w:val="0"/>
          <w:lang w:val="en-US"/>
        </w:rPr>
        <w:t>ENDO</w:t>
      </w:r>
      <w:r>
        <w:rPr>
          <w:rtl w:val="0"/>
          <w:lang w:val="en-US"/>
        </w:rPr>
        <w:t>Ğ</w:t>
      </w:r>
      <w:r>
        <w:rPr>
          <w:rtl w:val="0"/>
          <w:lang w:val="en-US"/>
        </w:rPr>
        <w:t xml:space="preserve">AN, B. (2021). The role of conflict resolution styles, communication pattern and sexual satisfaction as predictors of how to consider divorce in married individuals. </w:t>
      </w:r>
      <w:r>
        <w:rPr>
          <w:i w:val="1"/>
          <w:iCs w:val="1"/>
          <w:rtl w:val="0"/>
          <w:lang w:val="en-US"/>
        </w:rPr>
        <w:t>Journal of Advanced Education Studies</w:t>
      </w:r>
      <w:r>
        <w:rPr>
          <w:rtl w:val="0"/>
          <w:lang w:val="en-US"/>
        </w:rPr>
        <w:t>. doi:https://doi.org/10.48166/ejaes.1004805</w:t>
      </w:r>
    </w:p>
    <w:sectPr>
      <w:headerReference w:type="default" r:id="rId4"/>
      <w:footerReference w:type="default" r:id="rId5"/>
      <w:pgSz w:w="12240" w:h="15840" w:orient="portrait"/>
      <w:pgMar w:top="1440" w:right="1440" w:bottom="1440" w:left="1656"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124"/>
        <w:tab w:val="clear" w:pos="9360"/>
      </w:tabs>
      <w:jc w:val="right"/>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Light" w:cs="Arial Unicode MS" w:hAnsi="Calibri Light" w:eastAsia="Arial Unicode MS"/>
      <w:b w:val="0"/>
      <w:bCs w:val="0"/>
      <w:i w:val="0"/>
      <w:iCs w:val="0"/>
      <w:caps w:val="0"/>
      <w:smallCaps w:val="0"/>
      <w:strike w:val="0"/>
      <w:dstrike w:val="0"/>
      <w:outline w:val="0"/>
      <w:color w:val="2f5496"/>
      <w:spacing w:val="0"/>
      <w:kern w:val="0"/>
      <w:position w:val="0"/>
      <w:sz w:val="32"/>
      <w:szCs w:val="32"/>
      <w:u w:val="none" w:color="2f5496"/>
      <w:shd w:val="nil" w:color="auto" w:fill="auto"/>
      <w:vertAlign w:val="baseline"/>
      <w:lang w:val="en-US"/>
      <w14:textFill>
        <w14:solidFill>
          <w14:srgbClr w14:val="2F5496"/>
        </w14:solidFill>
      </w14:textFill>
    </w:rPr>
  </w:style>
  <w:style w:type="paragraph" w:styleId="TOC 1">
    <w:name w:val="TOC 1"/>
    <w:next w:val="TOC 1"/>
    <w:pPr>
      <w:keepNext w:val="0"/>
      <w:keepLines w:val="0"/>
      <w:pageBreakBefore w:val="0"/>
      <w:widowControl w:val="1"/>
      <w:shd w:val="clear" w:color="auto" w:fill="auto"/>
      <w:tabs>
        <w:tab w:val="right" w:pos="9124" w:leader="dot"/>
      </w:tabs>
      <w:suppressAutoHyphens w:val="0"/>
      <w:bidi w:val="0"/>
      <w:spacing w:before="0" w:after="100" w:line="48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240" w:after="0" w:line="480" w:lineRule="auto"/>
      <w:ind w:left="0" w:right="0" w:firstLine="0"/>
      <w:jc w:val="left"/>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2"/>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124" w:leader="dot"/>
      </w:tabs>
      <w:suppressAutoHyphens w:val="0"/>
      <w:bidi w:val="0"/>
      <w:spacing w:before="0" w:after="100" w:line="480" w:lineRule="auto"/>
      <w:ind w:left="24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Fill>
        <w14:solidFill>
          <w14:srgbClr w14:val="000000"/>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40" w:after="0" w:line="480" w:lineRule="auto"/>
      <w:ind w:left="0" w:right="0" w:firstLine="0"/>
      <w:jc w:val="left"/>
      <w:outlineLvl w:val="1"/>
    </w:pPr>
    <w:rPr>
      <w:rFonts w:ascii="Times New Roman" w:cs="Times New Roman" w:hAnsi="Times New Roman" w:eastAsia="Times New Roman"/>
      <w:b w:val="1"/>
      <w:bCs w:val="1"/>
      <w:i w:val="0"/>
      <w:iCs w:val="0"/>
      <w:caps w:val="0"/>
      <w:smallCaps w:val="0"/>
      <w:strike w:val="0"/>
      <w:dstrike w:val="0"/>
      <w:outline w:val="0"/>
      <w:color w:val="000000"/>
      <w:spacing w:val="0"/>
      <w:kern w:val="2"/>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