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B545E"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409F608F" w14:textId="77777777" w:rsidR="00DE4C6E" w:rsidRDefault="00DE4C6E" w:rsidP="001E36D4">
      <w:pPr>
        <w:spacing w:line="360" w:lineRule="auto"/>
        <w:contextualSpacing/>
        <w:jc w:val="center"/>
        <w:rPr>
          <w:rFonts w:ascii="Times New Roman" w:eastAsia="Times New Roman" w:hAnsi="Times New Roman" w:cs="Times New Roman"/>
          <w:sz w:val="24"/>
          <w:szCs w:val="24"/>
        </w:rPr>
      </w:pPr>
    </w:p>
    <w:p w14:paraId="127C1575" w14:textId="77777777" w:rsidR="00DE4C6E" w:rsidRDefault="00DE4C6E" w:rsidP="001E36D4">
      <w:pPr>
        <w:spacing w:line="360" w:lineRule="auto"/>
        <w:contextualSpacing/>
        <w:jc w:val="center"/>
        <w:rPr>
          <w:rFonts w:ascii="Times New Roman" w:eastAsia="Times New Roman" w:hAnsi="Times New Roman" w:cs="Times New Roman"/>
          <w:sz w:val="24"/>
          <w:szCs w:val="24"/>
        </w:rPr>
      </w:pPr>
    </w:p>
    <w:p w14:paraId="3C72D422" w14:textId="77777777" w:rsidR="00DE4C6E" w:rsidRDefault="00DE4C6E" w:rsidP="001E36D4">
      <w:pPr>
        <w:spacing w:line="360" w:lineRule="auto"/>
        <w:contextualSpacing/>
        <w:jc w:val="center"/>
        <w:rPr>
          <w:rFonts w:ascii="Times New Roman" w:eastAsia="Times New Roman" w:hAnsi="Times New Roman" w:cs="Times New Roman"/>
          <w:sz w:val="24"/>
          <w:szCs w:val="24"/>
        </w:rPr>
      </w:pPr>
    </w:p>
    <w:p w14:paraId="62316CDA"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6B48C99B"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42E70A96"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42B4A922"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70933672"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482DAB86" w14:textId="77777777" w:rsidR="00B45B0D" w:rsidRDefault="00B45B0D" w:rsidP="001E36D4">
      <w:pPr>
        <w:spacing w:line="360" w:lineRule="auto"/>
        <w:contextualSpacing/>
        <w:jc w:val="center"/>
        <w:rPr>
          <w:rFonts w:ascii="Times New Roman" w:eastAsia="Times New Roman" w:hAnsi="Times New Roman" w:cs="Times New Roman"/>
          <w:sz w:val="24"/>
          <w:szCs w:val="24"/>
        </w:rPr>
      </w:pPr>
    </w:p>
    <w:p w14:paraId="54339386" w14:textId="5A9CB08B" w:rsidR="00B145E2" w:rsidRPr="00EC3702" w:rsidRDefault="00B145E2" w:rsidP="001E36D4">
      <w:pPr>
        <w:spacing w:line="360" w:lineRule="auto"/>
        <w:contextualSpacing/>
        <w:jc w:val="center"/>
        <w:rPr>
          <w:rFonts w:ascii="Times New Roman" w:eastAsia="Times New Roman" w:hAnsi="Times New Roman" w:cs="Times New Roman"/>
          <w:sz w:val="24"/>
          <w:szCs w:val="24"/>
        </w:rPr>
      </w:pPr>
      <w:r w:rsidRPr="00EC3702">
        <w:rPr>
          <w:rFonts w:ascii="Times New Roman" w:eastAsia="Times New Roman" w:hAnsi="Times New Roman" w:cs="Times New Roman"/>
          <w:sz w:val="24"/>
          <w:szCs w:val="24"/>
        </w:rPr>
        <w:t>COMPARISON OF MANDARIN ORIENTAL HOTEL GROUP AND PREMIER INN</w:t>
      </w:r>
    </w:p>
    <w:p w14:paraId="59AF50CC" w14:textId="7EE12686" w:rsidR="00B145E2" w:rsidRPr="00EC3702" w:rsidRDefault="000D766F" w:rsidP="001E36D4">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Monica </w:t>
      </w:r>
      <w:proofErr w:type="spellStart"/>
      <w:r>
        <w:rPr>
          <w:rFonts w:ascii="Times New Roman" w:eastAsia="Times New Roman" w:hAnsi="Times New Roman" w:cs="Times New Roman"/>
          <w:sz w:val="24"/>
          <w:szCs w:val="24"/>
        </w:rPr>
        <w:t>Lavric</w:t>
      </w:r>
      <w:proofErr w:type="spellEnd"/>
      <w:r>
        <w:rPr>
          <w:rFonts w:ascii="Times New Roman" w:eastAsia="Times New Roman" w:hAnsi="Times New Roman" w:cs="Times New Roman"/>
          <w:sz w:val="24"/>
          <w:szCs w:val="24"/>
        </w:rPr>
        <w:t xml:space="preserve"> - 2121183</w:t>
      </w:r>
    </w:p>
    <w:p w14:paraId="35BB8923" w14:textId="77777777" w:rsidR="00B145E2" w:rsidRPr="00EC3702" w:rsidRDefault="00B145E2" w:rsidP="001E36D4">
      <w:pPr>
        <w:spacing w:line="360" w:lineRule="auto"/>
        <w:contextualSpacing/>
        <w:jc w:val="center"/>
        <w:rPr>
          <w:rFonts w:ascii="Times New Roman" w:eastAsia="Times New Roman" w:hAnsi="Times New Roman" w:cs="Times New Roman"/>
          <w:sz w:val="24"/>
          <w:szCs w:val="24"/>
        </w:rPr>
      </w:pPr>
    </w:p>
    <w:p w14:paraId="7688D42F" w14:textId="77777777" w:rsidR="00B145E2" w:rsidRPr="00EC3702" w:rsidRDefault="00B145E2" w:rsidP="001E36D4">
      <w:pPr>
        <w:spacing w:line="360" w:lineRule="auto"/>
        <w:contextualSpacing/>
        <w:jc w:val="center"/>
        <w:rPr>
          <w:rFonts w:ascii="Times New Roman" w:eastAsia="Times New Roman" w:hAnsi="Times New Roman" w:cs="Times New Roman"/>
          <w:sz w:val="24"/>
          <w:szCs w:val="24"/>
        </w:rPr>
      </w:pPr>
    </w:p>
    <w:p w14:paraId="7A41126C" w14:textId="77777777" w:rsidR="00B145E2" w:rsidRPr="00EC3702" w:rsidRDefault="00B145E2" w:rsidP="001E36D4">
      <w:pPr>
        <w:spacing w:line="360" w:lineRule="auto"/>
        <w:contextualSpacing/>
        <w:jc w:val="center"/>
        <w:rPr>
          <w:rFonts w:ascii="Times New Roman" w:eastAsia="Times New Roman" w:hAnsi="Times New Roman" w:cs="Times New Roman"/>
          <w:sz w:val="24"/>
          <w:szCs w:val="24"/>
        </w:rPr>
      </w:pPr>
    </w:p>
    <w:p w14:paraId="2D6CA31C" w14:textId="77777777" w:rsidR="00B145E2" w:rsidRPr="00EC3702" w:rsidRDefault="00B145E2" w:rsidP="001E36D4">
      <w:pPr>
        <w:spacing w:line="360" w:lineRule="auto"/>
        <w:contextualSpacing/>
        <w:jc w:val="center"/>
        <w:rPr>
          <w:rFonts w:ascii="Times New Roman" w:eastAsia="Times New Roman" w:hAnsi="Times New Roman" w:cs="Times New Roman"/>
          <w:sz w:val="24"/>
          <w:szCs w:val="24"/>
        </w:rPr>
      </w:pPr>
    </w:p>
    <w:p w14:paraId="3BBA35F9" w14:textId="6801BDE1" w:rsidR="00B145E2" w:rsidRPr="00EC3702" w:rsidRDefault="000D766F" w:rsidP="001E36D4">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Financial Management for the Hotel Industry</w:t>
      </w:r>
    </w:p>
    <w:p w14:paraId="26C55F74" w14:textId="63A628B0" w:rsidR="00B145E2" w:rsidRPr="000D766F" w:rsidRDefault="000D766F" w:rsidP="000D766F">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Tristan Hawkins</w:t>
      </w:r>
    </w:p>
    <w:p w14:paraId="7CEBB6CF" w14:textId="416F2114" w:rsidR="00B145E2" w:rsidRDefault="00B145E2" w:rsidP="001E36D4">
      <w:pPr>
        <w:spacing w:line="360" w:lineRule="auto"/>
        <w:contextualSpacing/>
        <w:jc w:val="center"/>
        <w:rPr>
          <w:rFonts w:ascii="Times New Roman" w:eastAsia="Times New Roman" w:hAnsi="Times New Roman" w:cs="Times New Roman"/>
          <w:sz w:val="24"/>
          <w:szCs w:val="24"/>
        </w:rPr>
      </w:pPr>
      <w:r w:rsidRPr="00EC3702">
        <w:rPr>
          <w:rFonts w:ascii="Times New Roman" w:eastAsia="Times New Roman" w:hAnsi="Times New Roman" w:cs="Times New Roman"/>
          <w:sz w:val="24"/>
          <w:szCs w:val="24"/>
        </w:rPr>
        <w:t>Date</w:t>
      </w:r>
      <w:r w:rsidR="000D766F">
        <w:rPr>
          <w:rFonts w:ascii="Times New Roman" w:eastAsia="Times New Roman" w:hAnsi="Times New Roman" w:cs="Times New Roman"/>
          <w:sz w:val="24"/>
          <w:szCs w:val="24"/>
        </w:rPr>
        <w:t>: 18.10.2023</w:t>
      </w:r>
    </w:p>
    <w:p w14:paraId="79D122F3" w14:textId="77777777" w:rsidR="00E22327" w:rsidRDefault="00E22327" w:rsidP="001E36D4">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F379FE">
        <w:rPr>
          <w:rFonts w:ascii="Times New Roman" w:eastAsia="Times New Roman" w:hAnsi="Times New Roman" w:cs="Times New Roman"/>
          <w:sz w:val="24"/>
          <w:szCs w:val="24"/>
        </w:rPr>
        <w:t>2180</w:t>
      </w:r>
    </w:p>
    <w:p w14:paraId="52D7D04D" w14:textId="77777777" w:rsidR="000D766F" w:rsidRDefault="000D766F" w:rsidP="001E36D4">
      <w:pPr>
        <w:spacing w:line="360" w:lineRule="auto"/>
        <w:contextualSpacing/>
        <w:jc w:val="center"/>
        <w:rPr>
          <w:rFonts w:ascii="Times New Roman" w:eastAsia="Times New Roman" w:hAnsi="Times New Roman" w:cs="Times New Roman"/>
          <w:sz w:val="24"/>
          <w:szCs w:val="24"/>
        </w:rPr>
      </w:pPr>
    </w:p>
    <w:p w14:paraId="235D117C" w14:textId="77777777" w:rsidR="000D766F" w:rsidRPr="00EC3702" w:rsidRDefault="000D766F" w:rsidP="001E36D4">
      <w:pPr>
        <w:spacing w:line="360" w:lineRule="auto"/>
        <w:contextualSpacing/>
        <w:jc w:val="center"/>
        <w:rPr>
          <w:rFonts w:ascii="Times New Roman" w:eastAsia="Times New Roman" w:hAnsi="Times New Roman" w:cs="Times New Roman"/>
          <w:sz w:val="24"/>
          <w:szCs w:val="24"/>
        </w:rPr>
      </w:pPr>
    </w:p>
    <w:p w14:paraId="6736B8F0" w14:textId="77777777" w:rsidR="00B65837" w:rsidRDefault="00B65837" w:rsidP="001E36D4">
      <w:pPr>
        <w:spacing w:line="360" w:lineRule="auto"/>
        <w:contextualSpacing/>
        <w:rPr>
          <w:rFonts w:ascii="Times New Roman" w:hAnsi="Times New Roman" w:cs="Times New Roman"/>
          <w:sz w:val="24"/>
          <w:szCs w:val="24"/>
        </w:rPr>
      </w:pPr>
    </w:p>
    <w:p w14:paraId="7FC1EF0B" w14:textId="77777777" w:rsidR="00DE4C6E" w:rsidRDefault="00DE4C6E" w:rsidP="001E36D4">
      <w:pPr>
        <w:spacing w:line="360" w:lineRule="auto"/>
        <w:contextualSpacing/>
        <w:rPr>
          <w:rFonts w:ascii="Times New Roman" w:hAnsi="Times New Roman" w:cs="Times New Roman"/>
          <w:sz w:val="24"/>
          <w:szCs w:val="24"/>
        </w:rPr>
      </w:pPr>
    </w:p>
    <w:p w14:paraId="68F37495" w14:textId="77777777" w:rsidR="00DE4C6E" w:rsidRDefault="00DE4C6E" w:rsidP="001E36D4">
      <w:pPr>
        <w:spacing w:line="360" w:lineRule="auto"/>
        <w:contextualSpacing/>
        <w:rPr>
          <w:rFonts w:ascii="Times New Roman" w:hAnsi="Times New Roman" w:cs="Times New Roman"/>
          <w:sz w:val="24"/>
          <w:szCs w:val="24"/>
        </w:rPr>
      </w:pPr>
    </w:p>
    <w:p w14:paraId="64A44CE3" w14:textId="77777777" w:rsidR="00DE4C6E" w:rsidRDefault="00DE4C6E" w:rsidP="001E36D4">
      <w:pPr>
        <w:spacing w:line="360" w:lineRule="auto"/>
        <w:contextualSpacing/>
        <w:rPr>
          <w:rFonts w:ascii="Times New Roman" w:hAnsi="Times New Roman" w:cs="Times New Roman"/>
          <w:sz w:val="24"/>
          <w:szCs w:val="24"/>
        </w:rPr>
      </w:pPr>
    </w:p>
    <w:p w14:paraId="76A1A352" w14:textId="77777777" w:rsidR="00DE4C6E" w:rsidRDefault="00DE4C6E" w:rsidP="001E36D4">
      <w:pPr>
        <w:spacing w:line="360" w:lineRule="auto"/>
        <w:contextualSpacing/>
        <w:rPr>
          <w:rFonts w:ascii="Times New Roman" w:hAnsi="Times New Roman" w:cs="Times New Roman"/>
          <w:sz w:val="24"/>
          <w:szCs w:val="24"/>
        </w:rPr>
      </w:pPr>
    </w:p>
    <w:p w14:paraId="4C38F96E" w14:textId="77777777" w:rsidR="00DE4C6E" w:rsidRPr="00EC3702" w:rsidRDefault="00DE4C6E" w:rsidP="001E36D4">
      <w:pPr>
        <w:spacing w:line="360" w:lineRule="auto"/>
        <w:contextualSpacing/>
        <w:rPr>
          <w:rFonts w:ascii="Times New Roman" w:hAnsi="Times New Roman" w:cs="Times New Roman"/>
          <w:sz w:val="24"/>
          <w:szCs w:val="24"/>
        </w:rPr>
      </w:pPr>
    </w:p>
    <w:p w14:paraId="3961C859" w14:textId="77777777" w:rsidR="00B145E2" w:rsidRPr="00EC3702" w:rsidRDefault="00B145E2" w:rsidP="001E36D4">
      <w:pPr>
        <w:spacing w:line="360" w:lineRule="auto"/>
        <w:contextualSpacing/>
        <w:rPr>
          <w:rFonts w:ascii="Times New Roman" w:hAnsi="Times New Roman" w:cs="Times New Roman"/>
          <w:sz w:val="24"/>
          <w:szCs w:val="24"/>
        </w:rPr>
      </w:pPr>
    </w:p>
    <w:p w14:paraId="1798744E" w14:textId="77777777" w:rsidR="0027679E" w:rsidRDefault="0027679E" w:rsidP="001E36D4">
      <w:pPr>
        <w:spacing w:line="360" w:lineRule="auto"/>
        <w:contextualSpacing/>
        <w:rPr>
          <w:rFonts w:ascii="Times New Roman" w:hAnsi="Times New Roman" w:cs="Times New Roman"/>
          <w:sz w:val="24"/>
          <w:szCs w:val="24"/>
        </w:rPr>
      </w:pPr>
    </w:p>
    <w:p w14:paraId="4EB283EA" w14:textId="77777777" w:rsidR="00E22327" w:rsidRPr="00EC3702" w:rsidRDefault="00E22327" w:rsidP="001E36D4">
      <w:pPr>
        <w:spacing w:line="360" w:lineRule="auto"/>
        <w:contextualSpacing/>
        <w:rPr>
          <w:rFonts w:ascii="Times New Roman" w:hAnsi="Times New Roman" w:cs="Times New Roman"/>
          <w:sz w:val="24"/>
          <w:szCs w:val="24"/>
        </w:rPr>
      </w:pPr>
    </w:p>
    <w:p w14:paraId="317B8EF6" w14:textId="77777777" w:rsidR="006348A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lastRenderedPageBreak/>
        <w:t>Introduction</w:t>
      </w:r>
    </w:p>
    <w:p w14:paraId="452BEC10" w14:textId="77777777" w:rsidR="000D766F" w:rsidRPr="00EC3702" w:rsidRDefault="000D766F" w:rsidP="001E36D4">
      <w:pPr>
        <w:spacing w:line="360" w:lineRule="auto"/>
        <w:contextualSpacing/>
        <w:jc w:val="center"/>
        <w:rPr>
          <w:rFonts w:ascii="Times New Roman" w:hAnsi="Times New Roman" w:cs="Times New Roman"/>
          <w:sz w:val="24"/>
          <w:szCs w:val="24"/>
        </w:rPr>
      </w:pPr>
    </w:p>
    <w:p w14:paraId="6C283CDF" w14:textId="16445918" w:rsidR="006348A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Mandarin Oriental Hotel Group and Premier Inn are two of the most prominent players in the hospitality industry. Although both companies have established themselves as leading players in hospitality, they operate under unique and different market positions and growth strategies. Established in 1963, Mandarin is a luxury hotel group with a global reach operating in over 36 hotels and resorts in 24 countries and territories (Mandarin Oriental Hotel Group, 2022, pp.2). Mandarin Oriental is known for its excellent service, elegant accommodations, and award-winning restaurants. Over the years, it has expanded its portfolio to include hotels and resorts in all major global markets, including London, New York, Paris, Dubai, and Singapore. The company's target market is affluent travellers and business people. On the other hand, Premier Inn is a budget hotel chain operating primarily in the United Kingdom (Premier Inn, 2022, pp. 2). The company operates over 800 hotels in the UK and Ireland, and it is renowned for its clean and comfortable rooms, affordable rates, and convenient locations</w:t>
      </w:r>
      <w:r w:rsidR="00FE15D4">
        <w:rPr>
          <w:rFonts w:ascii="Times New Roman" w:hAnsi="Times New Roman" w:cs="Times New Roman"/>
          <w:sz w:val="24"/>
          <w:szCs w:val="24"/>
        </w:rPr>
        <w:t xml:space="preserve"> </w:t>
      </w:r>
      <w:r w:rsidRPr="00EC3702">
        <w:rPr>
          <w:rFonts w:ascii="Times New Roman" w:hAnsi="Times New Roman" w:cs="Times New Roman"/>
          <w:sz w:val="24"/>
          <w:szCs w:val="24"/>
        </w:rPr>
        <w:t>(</w:t>
      </w:r>
      <w:proofErr w:type="spellStart"/>
      <w:r w:rsidRPr="00EC3702">
        <w:rPr>
          <w:rFonts w:ascii="Times New Roman" w:hAnsi="Times New Roman" w:cs="Times New Roman"/>
          <w:sz w:val="24"/>
          <w:szCs w:val="24"/>
        </w:rPr>
        <w:t>Filimonau</w:t>
      </w:r>
      <w:proofErr w:type="spellEnd"/>
      <w:r w:rsidRPr="00EC3702">
        <w:rPr>
          <w:rFonts w:ascii="Times New Roman" w:hAnsi="Times New Roman" w:cs="Times New Roman"/>
          <w:sz w:val="24"/>
          <w:szCs w:val="24"/>
        </w:rPr>
        <w:t xml:space="preserve"> and </w:t>
      </w:r>
      <w:proofErr w:type="spellStart"/>
      <w:r w:rsidRPr="00EC3702">
        <w:rPr>
          <w:rFonts w:ascii="Times New Roman" w:hAnsi="Times New Roman" w:cs="Times New Roman"/>
          <w:sz w:val="24"/>
          <w:szCs w:val="24"/>
        </w:rPr>
        <w:t>Magklaropoulou</w:t>
      </w:r>
      <w:proofErr w:type="spellEnd"/>
      <w:r w:rsidRPr="00EC3702">
        <w:rPr>
          <w:rFonts w:ascii="Times New Roman" w:hAnsi="Times New Roman" w:cs="Times New Roman"/>
          <w:sz w:val="24"/>
          <w:szCs w:val="24"/>
        </w:rPr>
        <w:t xml:space="preserve">, 2020, pp.104). </w:t>
      </w:r>
      <w:r w:rsidR="00FE15D4">
        <w:rPr>
          <w:rFonts w:ascii="Times New Roman" w:hAnsi="Times New Roman" w:cs="Times New Roman"/>
          <w:sz w:val="24"/>
          <w:szCs w:val="24"/>
        </w:rPr>
        <w:t>Established in 1987, it</w:t>
      </w:r>
      <w:r w:rsidRPr="00EC3702">
        <w:rPr>
          <w:rFonts w:ascii="Times New Roman" w:hAnsi="Times New Roman" w:cs="Times New Roman"/>
          <w:sz w:val="24"/>
          <w:szCs w:val="24"/>
        </w:rPr>
        <w:t xml:space="preserve"> has grown into the UK's largest hotel brand with numerous locations nationwide. The company's target market is budget-conscious travellers. Both companies have sound financial management strategies and practices and are committed to corporate social responsibility (CSR), investing in sustainability initiatives, community engagement, and ethical business practices. However, their approaches differ due to their different market positions and growth strategies. This report provides a comprehensive analysis of these organizations across four critical dimensions: total revenue, market position, growth potential, and their financial commitment to Corporate Social Responsibility (CSR). Each size offers unique insights into their financial strategies and the broader industry landscape.</w:t>
      </w:r>
    </w:p>
    <w:p w14:paraId="059C5201" w14:textId="77777777" w:rsidR="000D766F" w:rsidRPr="00EC3702" w:rsidRDefault="000D766F" w:rsidP="001E36D4">
      <w:pPr>
        <w:spacing w:line="360" w:lineRule="auto"/>
        <w:ind w:firstLine="720"/>
        <w:contextualSpacing/>
        <w:rPr>
          <w:rFonts w:ascii="Times New Roman" w:hAnsi="Times New Roman" w:cs="Times New Roman"/>
          <w:sz w:val="24"/>
          <w:szCs w:val="24"/>
        </w:rPr>
      </w:pPr>
    </w:p>
    <w:p w14:paraId="5EB4181E" w14:textId="77777777" w:rsidR="006348A2" w:rsidRPr="00EC370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t>Total Revenue</w:t>
      </w:r>
    </w:p>
    <w:p w14:paraId="3E0E2053" w14:textId="16DA9044"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According to the 2022 financial year annual report, Mandarin Oriental generated a total revenue of US$ 3.9 billion. The group achieved an underlying profit of US$8 million for the year. This was its first profit since 2019 (Mandarin Oriental International Limited, 2023, pp. 6). On the other hand, Primary Inn achieved an annual report of 5.6 billion in 2022. </w:t>
      </w:r>
      <w:r w:rsidR="00FE15D4">
        <w:rPr>
          <w:rFonts w:ascii="Times New Roman" w:hAnsi="Times New Roman" w:cs="Times New Roman"/>
          <w:sz w:val="24"/>
          <w:szCs w:val="24"/>
        </w:rPr>
        <w:t>Notably</w:t>
      </w:r>
      <w:r w:rsidRPr="00EC3702">
        <w:rPr>
          <w:rFonts w:ascii="Times New Roman" w:hAnsi="Times New Roman" w:cs="Times New Roman"/>
          <w:sz w:val="24"/>
          <w:szCs w:val="24"/>
        </w:rPr>
        <w:t xml:space="preserve">, the yearly report of Whitbread, the owner of the Premier Inn hotel brand, reported annual revenues of over 2.62 billion British pounds (Statista Research Department, 2023, pp.6). </w:t>
      </w:r>
    </w:p>
    <w:p w14:paraId="3EFAD96F" w14:textId="77777777" w:rsidR="006348A2" w:rsidRPr="009B2062" w:rsidRDefault="006348A2" w:rsidP="001E36D4">
      <w:pPr>
        <w:spacing w:line="360" w:lineRule="auto"/>
        <w:contextualSpacing/>
        <w:rPr>
          <w:rFonts w:ascii="Times New Roman" w:hAnsi="Times New Roman" w:cs="Times New Roman"/>
          <w:i/>
          <w:sz w:val="24"/>
          <w:szCs w:val="24"/>
        </w:rPr>
      </w:pPr>
      <w:r w:rsidRPr="009B2062">
        <w:rPr>
          <w:rFonts w:ascii="Times New Roman" w:hAnsi="Times New Roman" w:cs="Times New Roman"/>
          <w:i/>
          <w:sz w:val="24"/>
          <w:szCs w:val="24"/>
        </w:rPr>
        <w:lastRenderedPageBreak/>
        <w:t>Sources of Revenue</w:t>
      </w:r>
    </w:p>
    <w:p w14:paraId="38744387" w14:textId="33285287"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Since Mandarin Oriental Hotel Group is known for its luxury and high-end properties, </w:t>
      </w:r>
      <w:r w:rsidR="00FE15D4">
        <w:rPr>
          <w:rFonts w:ascii="Times New Roman" w:hAnsi="Times New Roman" w:cs="Times New Roman"/>
          <w:sz w:val="24"/>
          <w:szCs w:val="24"/>
        </w:rPr>
        <w:t>its primary revenue sources</w:t>
      </w:r>
      <w:r w:rsidRPr="00EC3702">
        <w:rPr>
          <w:rFonts w:ascii="Times New Roman" w:hAnsi="Times New Roman" w:cs="Times New Roman"/>
          <w:sz w:val="24"/>
          <w:szCs w:val="24"/>
        </w:rPr>
        <w:t xml:space="preserve"> include room bookings, food and beverage services, spa and wellness offerings, and event spaces. The brand's reputation for providing exceptional guest experiences has led to a steady increase in revenue over the years. For instance, their income is through room bookings, which come at a premium. A stay at the Mandarin Oriental, Bangkok, a flagship property, offers lavish rooms overlooking the Chao Phraya River and comes with personalized butler service, reflecting an incredible luxury experience. These high room rates contribute significantly to the group's revenue stream. Secondly, it has food and beverage offerings in its fine dining restaurants. This can be justified by the renowned 'Amber' at The Landmark Mandarin Oriental, Hong Kong. This hotel has a Michelin-star restaurant that attracts food enthusiasts. Their revenue portfolio also extends to their spa and wellness services, exemplified by 'The Spa' at Mandarin Oriental in Miami. Visiting guests indulge in rejuvenating treatments amid stunning bay views. Lastly, income from event spaces within their properties, such as the lavish ballrooms at the Mandarin Oriental, New York, for hosting grand events and weddings, complements their revenue generation strategies. Mandarin Oriental's room revenue accounts for the largest share of its total revenue, at approximately 60%. Food and beverage revenue accounts for about 25% of total revenue, and conference and event revenue accounts for approximately 15% of total revenue (Mandarin Oriental International Limited, 2023, pp.36)</w:t>
      </w:r>
    </w:p>
    <w:p w14:paraId="5F4F6177" w14:textId="5DEBBEF7"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The primary revenue source for Premier Inn is room bookings. This facility provides clients with dependable and comfortable accommodations at budget-friendly rates. It is a suitable value-conscious service for travellers seeking affordability without compromising quality. In addition, Premier Inn employs a straightforward revenue strategy that prioritizes maintaining high occupancy rates. This ensures a consistent flow of guests that maximizes revenue, delivering the promise of affordability and reliability. The facility has comfortable rooms, in-house dining options, and a strategic location</w:t>
      </w:r>
      <w:r w:rsidR="00FE15D4">
        <w:rPr>
          <w:rFonts w:ascii="Times New Roman" w:hAnsi="Times New Roman" w:cs="Times New Roman"/>
          <w:sz w:val="24"/>
          <w:szCs w:val="24"/>
        </w:rPr>
        <w:t>, making</w:t>
      </w:r>
      <w:r w:rsidRPr="00EC3702">
        <w:rPr>
          <w:rFonts w:ascii="Times New Roman" w:hAnsi="Times New Roman" w:cs="Times New Roman"/>
          <w:sz w:val="24"/>
          <w:szCs w:val="24"/>
        </w:rPr>
        <w:t xml:space="preserve"> it an attractive choice for business and leisure travellers (Heyes, 2017</w:t>
      </w:r>
      <w:r w:rsidR="00C72FA1">
        <w:rPr>
          <w:rFonts w:ascii="Times New Roman" w:hAnsi="Times New Roman" w:cs="Times New Roman"/>
          <w:sz w:val="24"/>
          <w:szCs w:val="24"/>
        </w:rPr>
        <w:t xml:space="preserve">, pp.60). Lastly, Premier Inn has an effective </w:t>
      </w:r>
      <w:r w:rsidRPr="00EC3702">
        <w:rPr>
          <w:rFonts w:ascii="Times New Roman" w:hAnsi="Times New Roman" w:cs="Times New Roman"/>
          <w:sz w:val="24"/>
          <w:szCs w:val="24"/>
        </w:rPr>
        <w:t>pricing strategy</w:t>
      </w:r>
      <w:r w:rsidR="00C72FA1">
        <w:rPr>
          <w:rFonts w:ascii="Times New Roman" w:hAnsi="Times New Roman" w:cs="Times New Roman"/>
          <w:sz w:val="24"/>
          <w:szCs w:val="24"/>
        </w:rPr>
        <w:t xml:space="preserve"> that acts as a source of revenue. It offers special weekend rates to clients</w:t>
      </w:r>
      <w:r w:rsidRPr="00EC3702">
        <w:rPr>
          <w:rFonts w:ascii="Times New Roman" w:hAnsi="Times New Roman" w:cs="Times New Roman"/>
          <w:sz w:val="24"/>
          <w:szCs w:val="24"/>
        </w:rPr>
        <w:t xml:space="preserve"> </w:t>
      </w:r>
      <w:r w:rsidR="00C72FA1">
        <w:rPr>
          <w:rFonts w:ascii="Times New Roman" w:hAnsi="Times New Roman" w:cs="Times New Roman"/>
          <w:sz w:val="24"/>
          <w:szCs w:val="24"/>
        </w:rPr>
        <w:t xml:space="preserve">allowing them to accommodate themselves </w:t>
      </w:r>
      <w:r w:rsidRPr="00EC3702">
        <w:rPr>
          <w:rFonts w:ascii="Times New Roman" w:hAnsi="Times New Roman" w:cs="Times New Roman"/>
          <w:sz w:val="24"/>
          <w:szCs w:val="24"/>
        </w:rPr>
        <w:t xml:space="preserve">without breaking the bank. </w:t>
      </w:r>
    </w:p>
    <w:p w14:paraId="035B00C1" w14:textId="77777777" w:rsidR="006348A2" w:rsidRPr="009B2062" w:rsidRDefault="006348A2" w:rsidP="001E36D4">
      <w:pPr>
        <w:spacing w:line="360" w:lineRule="auto"/>
        <w:contextualSpacing/>
        <w:rPr>
          <w:rFonts w:ascii="Times New Roman" w:hAnsi="Times New Roman" w:cs="Times New Roman"/>
          <w:i/>
          <w:sz w:val="24"/>
          <w:szCs w:val="24"/>
        </w:rPr>
      </w:pPr>
      <w:r w:rsidRPr="009B2062">
        <w:rPr>
          <w:rFonts w:ascii="Times New Roman" w:hAnsi="Times New Roman" w:cs="Times New Roman"/>
          <w:i/>
          <w:sz w:val="24"/>
          <w:szCs w:val="24"/>
        </w:rPr>
        <w:t>Revenue Trends</w:t>
      </w:r>
    </w:p>
    <w:p w14:paraId="55389C84" w14:textId="1D959CCA"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lastRenderedPageBreak/>
        <w:t>Mandarin Oriental's total revenue has been growing steadily in recent years. In 2022, the company's total revenue increased by 10% compared to 2021 (Mandarin Oriental International Limited, 2023</w:t>
      </w:r>
      <w:r w:rsidR="00C72FA1">
        <w:rPr>
          <w:rFonts w:ascii="Times New Roman" w:hAnsi="Times New Roman" w:cs="Times New Roman"/>
          <w:sz w:val="24"/>
          <w:szCs w:val="24"/>
        </w:rPr>
        <w:t>, pp.36). This resulted from</w:t>
      </w:r>
      <w:r w:rsidRPr="00EC3702">
        <w:rPr>
          <w:rFonts w:ascii="Times New Roman" w:hAnsi="Times New Roman" w:cs="Times New Roman"/>
          <w:sz w:val="24"/>
          <w:szCs w:val="24"/>
        </w:rPr>
        <w:t xml:space="preserve"> increased demand for luxury travel and </w:t>
      </w:r>
      <w:r w:rsidR="00FE15D4">
        <w:rPr>
          <w:rFonts w:ascii="Times New Roman" w:hAnsi="Times New Roman" w:cs="Times New Roman"/>
          <w:sz w:val="24"/>
          <w:szCs w:val="24"/>
        </w:rPr>
        <w:t>new hotels opening</w:t>
      </w:r>
      <w:r w:rsidR="00C72FA1">
        <w:rPr>
          <w:rFonts w:ascii="Times New Roman" w:hAnsi="Times New Roman" w:cs="Times New Roman"/>
          <w:sz w:val="24"/>
          <w:szCs w:val="24"/>
        </w:rPr>
        <w:t>,</w:t>
      </w:r>
      <w:r w:rsidRPr="00EC3702">
        <w:rPr>
          <w:rFonts w:ascii="Times New Roman" w:hAnsi="Times New Roman" w:cs="Times New Roman"/>
          <w:sz w:val="24"/>
          <w:szCs w:val="24"/>
        </w:rPr>
        <w:t xml:space="preserve"> courtesy of its reputation for offering unparalleled luxury experiences. </w:t>
      </w:r>
      <w:r w:rsidR="00C72FA1">
        <w:rPr>
          <w:rFonts w:ascii="Times New Roman" w:hAnsi="Times New Roman" w:cs="Times New Roman"/>
          <w:sz w:val="24"/>
          <w:szCs w:val="24"/>
        </w:rPr>
        <w:t xml:space="preserve">The hotel </w:t>
      </w:r>
      <w:r w:rsidRPr="00EC3702">
        <w:rPr>
          <w:rFonts w:ascii="Times New Roman" w:hAnsi="Times New Roman" w:cs="Times New Roman"/>
          <w:sz w:val="24"/>
          <w:szCs w:val="24"/>
        </w:rPr>
        <w:t xml:space="preserve">has maintained a strong and steady revenue trajectory, indicating the resilience of its premium brand. Furthermore, their expansion into emerging markets, particularly in Asia, has contributed significantly to revenue growth. </w:t>
      </w:r>
    </w:p>
    <w:p w14:paraId="77D95AD4" w14:textId="429806B9"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Premier Inn's total revenue has also been </w:t>
      </w:r>
      <w:r w:rsidR="00C72FA1">
        <w:rPr>
          <w:rFonts w:ascii="Times New Roman" w:hAnsi="Times New Roman" w:cs="Times New Roman"/>
          <w:sz w:val="24"/>
          <w:szCs w:val="24"/>
        </w:rPr>
        <w:t>on the rise</w:t>
      </w:r>
      <w:r w:rsidRPr="00EC3702">
        <w:rPr>
          <w:rFonts w:ascii="Times New Roman" w:hAnsi="Times New Roman" w:cs="Times New Roman"/>
          <w:sz w:val="24"/>
          <w:szCs w:val="24"/>
        </w:rPr>
        <w:t>. In 2022, the company's total revenue increased by 8% compared to 2021. The company reported a 50% increa</w:t>
      </w:r>
      <w:r w:rsidR="00C72FA1">
        <w:rPr>
          <w:rFonts w:ascii="Times New Roman" w:hAnsi="Times New Roman" w:cs="Times New Roman"/>
          <w:sz w:val="24"/>
          <w:szCs w:val="24"/>
        </w:rPr>
        <w:t xml:space="preserve">se in total revenues to £2.5bn. This resulted from increased occupancy and </w:t>
      </w:r>
      <w:r w:rsidRPr="00EC3702">
        <w:rPr>
          <w:rFonts w:ascii="Times New Roman" w:hAnsi="Times New Roman" w:cs="Times New Roman"/>
          <w:sz w:val="24"/>
          <w:szCs w:val="24"/>
        </w:rPr>
        <w:t>an expansion of the business</w:t>
      </w:r>
      <w:r w:rsidR="00C72FA1">
        <w:rPr>
          <w:rFonts w:ascii="Times New Roman" w:hAnsi="Times New Roman" w:cs="Times New Roman"/>
          <w:sz w:val="24"/>
          <w:szCs w:val="24"/>
        </w:rPr>
        <w:t xml:space="preserve">. It witnessed a </w:t>
      </w:r>
      <w:r w:rsidRPr="00EC3702">
        <w:rPr>
          <w:rFonts w:ascii="Times New Roman" w:hAnsi="Times New Roman" w:cs="Times New Roman"/>
          <w:sz w:val="24"/>
          <w:szCs w:val="24"/>
        </w:rPr>
        <w:t xml:space="preserve">54% increase in average revenue for each room, from £38.69 to £59.45 year on year (The Guardian, 2023, pp.2). This growth was driven by increased </w:t>
      </w:r>
      <w:r w:rsidR="00FE15D4">
        <w:rPr>
          <w:rFonts w:ascii="Times New Roman" w:hAnsi="Times New Roman" w:cs="Times New Roman"/>
          <w:sz w:val="24"/>
          <w:szCs w:val="24"/>
        </w:rPr>
        <w:t>budget travel demand and new hotels opening</w:t>
      </w:r>
      <w:r w:rsidRPr="00EC3702">
        <w:rPr>
          <w:rFonts w:ascii="Times New Roman" w:hAnsi="Times New Roman" w:cs="Times New Roman"/>
          <w:sz w:val="24"/>
          <w:szCs w:val="24"/>
        </w:rPr>
        <w:t>. Thus, Premier Inn has experienced consistent revenue growth by strategically targeting budget-conscious travellers. Their focus on maintaining high occupancy rates while offering competitive pricing has contributed to stable revenue trends.</w:t>
      </w:r>
    </w:p>
    <w:p w14:paraId="687E5FEA" w14:textId="77777777" w:rsidR="006348A2" w:rsidRPr="009B2062" w:rsidRDefault="006348A2" w:rsidP="001E36D4">
      <w:pPr>
        <w:spacing w:line="360" w:lineRule="auto"/>
        <w:contextualSpacing/>
        <w:rPr>
          <w:rFonts w:ascii="Times New Roman" w:hAnsi="Times New Roman" w:cs="Times New Roman"/>
          <w:i/>
          <w:sz w:val="24"/>
          <w:szCs w:val="24"/>
        </w:rPr>
      </w:pPr>
      <w:r w:rsidRPr="009B2062">
        <w:rPr>
          <w:rFonts w:ascii="Times New Roman" w:hAnsi="Times New Roman" w:cs="Times New Roman"/>
          <w:i/>
          <w:sz w:val="24"/>
          <w:szCs w:val="24"/>
        </w:rPr>
        <w:t>Factors for Revenue Growth</w:t>
      </w:r>
    </w:p>
    <w:p w14:paraId="5332793C" w14:textId="5819091F" w:rsidR="006348A2" w:rsidRPr="00EC3702" w:rsidRDefault="00C72FA1" w:rsidP="001E36D4">
      <w:pPr>
        <w:spacing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A</w:t>
      </w:r>
      <w:r w:rsidR="00FE15D4">
        <w:rPr>
          <w:rFonts w:ascii="Times New Roman" w:hAnsi="Times New Roman" w:cs="Times New Roman"/>
          <w:sz w:val="24"/>
          <w:szCs w:val="24"/>
        </w:rPr>
        <w:t xml:space="preserve">nnual reports </w:t>
      </w:r>
      <w:r>
        <w:rPr>
          <w:rFonts w:ascii="Times New Roman" w:hAnsi="Times New Roman" w:cs="Times New Roman"/>
          <w:sz w:val="24"/>
          <w:szCs w:val="24"/>
        </w:rPr>
        <w:t xml:space="preserve">from both companies indicate </w:t>
      </w:r>
      <w:r w:rsidR="006348A2" w:rsidRPr="00EC3702">
        <w:rPr>
          <w:rFonts w:ascii="Times New Roman" w:hAnsi="Times New Roman" w:cs="Times New Roman"/>
          <w:sz w:val="24"/>
          <w:szCs w:val="24"/>
        </w:rPr>
        <w:t>revenue growth in the previous year. This is a result of many factors. For instance, Premier Inn's impressive revenue growth can be attributed to its ability to appeal to a diverse customer base through cost-</w:t>
      </w:r>
      <w:r>
        <w:rPr>
          <w:rFonts w:ascii="Times New Roman" w:hAnsi="Times New Roman" w:cs="Times New Roman"/>
          <w:sz w:val="24"/>
          <w:szCs w:val="24"/>
        </w:rPr>
        <w:t xml:space="preserve">effective pricing </w:t>
      </w:r>
      <w:r w:rsidR="006348A2" w:rsidRPr="00EC3702">
        <w:rPr>
          <w:rFonts w:ascii="Times New Roman" w:hAnsi="Times New Roman" w:cs="Times New Roman"/>
          <w:sz w:val="24"/>
          <w:szCs w:val="24"/>
        </w:rPr>
        <w:t xml:space="preserve">and affordability. The company has established a </w:t>
      </w:r>
      <w:r w:rsidR="00FA6437">
        <w:rPr>
          <w:rFonts w:ascii="Times New Roman" w:hAnsi="Times New Roman" w:cs="Times New Roman"/>
          <w:sz w:val="24"/>
          <w:szCs w:val="24"/>
        </w:rPr>
        <w:t>niche in the market by offering budget-friendly accommod</w:t>
      </w:r>
      <w:r>
        <w:rPr>
          <w:rFonts w:ascii="Times New Roman" w:hAnsi="Times New Roman" w:cs="Times New Roman"/>
          <w:sz w:val="24"/>
          <w:szCs w:val="24"/>
        </w:rPr>
        <w:t xml:space="preserve">ations of </w:t>
      </w:r>
      <w:r w:rsidR="00FA6437">
        <w:rPr>
          <w:rFonts w:ascii="Times New Roman" w:hAnsi="Times New Roman" w:cs="Times New Roman"/>
          <w:sz w:val="24"/>
          <w:szCs w:val="24"/>
        </w:rPr>
        <w:t xml:space="preserve">high-quality </w:t>
      </w:r>
      <w:r>
        <w:rPr>
          <w:rFonts w:ascii="Times New Roman" w:hAnsi="Times New Roman" w:cs="Times New Roman"/>
          <w:sz w:val="24"/>
          <w:szCs w:val="24"/>
        </w:rPr>
        <w:t>standards</w:t>
      </w:r>
      <w:r w:rsidR="006348A2" w:rsidRPr="00EC3702">
        <w:rPr>
          <w:rFonts w:ascii="Times New Roman" w:hAnsi="Times New Roman" w:cs="Times New Roman"/>
          <w:sz w:val="24"/>
          <w:szCs w:val="24"/>
        </w:rPr>
        <w:t>. Furthermore, the organization is committed to efficient operations that maintain competitive pricing while delivering dependable service (George, 2021, pp.240). This efficiency extends to streamlined guest experiences and behind-the-scenes processes that reduce costs, contributing to their profitability. Premier Inn has created a sustainable model for revenue growth that resonates with a broad spectrum of customers.</w:t>
      </w:r>
    </w:p>
    <w:p w14:paraId="5261DBD8" w14:textId="099D1D0E"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Similarly, Mandarin Oriental has experienced a significant increase in revenue courtesy of maintaining high </w:t>
      </w:r>
      <w:r w:rsidR="00FA6437">
        <w:rPr>
          <w:rFonts w:ascii="Times New Roman" w:hAnsi="Times New Roman" w:cs="Times New Roman"/>
          <w:sz w:val="24"/>
          <w:szCs w:val="24"/>
        </w:rPr>
        <w:t>luxury and service quality standards</w:t>
      </w:r>
      <w:r w:rsidRPr="00EC3702">
        <w:rPr>
          <w:rFonts w:ascii="Times New Roman" w:hAnsi="Times New Roman" w:cs="Times New Roman"/>
          <w:sz w:val="24"/>
          <w:szCs w:val="24"/>
        </w:rPr>
        <w:t xml:space="preserve">. </w:t>
      </w:r>
      <w:r w:rsidR="00FA6437">
        <w:rPr>
          <w:rFonts w:ascii="Times New Roman" w:hAnsi="Times New Roman" w:cs="Times New Roman"/>
          <w:sz w:val="24"/>
          <w:szCs w:val="24"/>
        </w:rPr>
        <w:t>Its luxurious brand positioning reinforces this commitment</w:t>
      </w:r>
      <w:r w:rsidRPr="00EC3702">
        <w:rPr>
          <w:rFonts w:ascii="Times New Roman" w:hAnsi="Times New Roman" w:cs="Times New Roman"/>
          <w:sz w:val="24"/>
          <w:szCs w:val="24"/>
        </w:rPr>
        <w:t xml:space="preserve">, allowing the company to monitor, control, and command premium pricing while delivering quality services at affordable costs. In addition, the organization has various global expansion strategies, which have played a pivotal role in driving revenue growth (Li, 2021, pp.20). This includes strategically venturing into emerging markets, particularly in </w:t>
      </w:r>
      <w:r w:rsidRPr="00EC3702">
        <w:rPr>
          <w:rFonts w:ascii="Times New Roman" w:hAnsi="Times New Roman" w:cs="Times New Roman"/>
          <w:sz w:val="24"/>
          <w:szCs w:val="24"/>
        </w:rPr>
        <w:lastRenderedPageBreak/>
        <w:t xml:space="preserve">Asia. They have tapped into the increasing demand for luxury hospitality in these regions, leading to a market expansion that has broadened their customer base and reinforced their reputation as a global luxury brand. Through these combined efforts, Mandarin Oriental Hotel Group has successfully garnered the loyalty of high-net-worth individuals and business travellers. </w:t>
      </w:r>
    </w:p>
    <w:p w14:paraId="0F3BE0A3" w14:textId="77777777" w:rsidR="006348A2" w:rsidRPr="00EC370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t>Market Position</w:t>
      </w:r>
    </w:p>
    <w:p w14:paraId="072587AA" w14:textId="4FBD44EA"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Mandarin Oriental is positioned as a luxury hotel group targeting affluent travellers and business people (Gomez </w:t>
      </w:r>
      <w:proofErr w:type="spellStart"/>
      <w:r w:rsidRPr="00EC3702">
        <w:rPr>
          <w:rFonts w:ascii="Times New Roman" w:hAnsi="Times New Roman" w:cs="Times New Roman"/>
          <w:sz w:val="24"/>
          <w:szCs w:val="24"/>
        </w:rPr>
        <w:t>Punzon</w:t>
      </w:r>
      <w:proofErr w:type="spellEnd"/>
      <w:r w:rsidRPr="00EC3702">
        <w:rPr>
          <w:rFonts w:ascii="Times New Roman" w:hAnsi="Times New Roman" w:cs="Times New Roman"/>
          <w:sz w:val="24"/>
          <w:szCs w:val="24"/>
        </w:rPr>
        <w:t xml:space="preserve">, 2021, pp.250). The brand's reputation for luxury and service excellence has been carefully cultivated, making it a premier choice for those who value a refined and elegant hotel experience. Regarding market share, the hotel's market share is relatively smaller and compensates with a higher average room rate. This approach allows it to maintain exclusivity and a focus on quality over quantity. Mandarin Oriental's customer demographics primarily consist of high-net-worth individuals, celebrities, business executives, and those </w:t>
      </w:r>
      <w:r w:rsidR="00FA6437">
        <w:rPr>
          <w:rFonts w:ascii="Times New Roman" w:hAnsi="Times New Roman" w:cs="Times New Roman"/>
          <w:sz w:val="24"/>
          <w:szCs w:val="24"/>
        </w:rPr>
        <w:t>prioritizing</w:t>
      </w:r>
      <w:r w:rsidRPr="00EC3702">
        <w:rPr>
          <w:rFonts w:ascii="Times New Roman" w:hAnsi="Times New Roman" w:cs="Times New Roman"/>
          <w:sz w:val="24"/>
          <w:szCs w:val="24"/>
        </w:rPr>
        <w:t xml:space="preserve"> top-tier services (Geerts &amp; Masset, 2022, pp.380). Their guests often seek accommodation and exemplary luxurious experiences. In terms of brand perception, the brand enjoys an outstanding reputation for luxury, elegance, and world-class service. It is associated with award-winning restaurants and impeccable accommodations that attract and retain many guests, reflecting its positive brand perception.</w:t>
      </w:r>
    </w:p>
    <w:p w14:paraId="45D22BF2" w14:textId="13D1BD85"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Premier Inn is positioned as a budget hotel chain targeting budget-conscious travellers. It has positioned itself as an accessible and dependable choice in the hospitality landscape. In relation to market share, Premier Inn boasts a substantial market share in the budget hotel segment (</w:t>
      </w:r>
      <w:proofErr w:type="spellStart"/>
      <w:r w:rsidRPr="00EC3702">
        <w:rPr>
          <w:rFonts w:ascii="Times New Roman" w:hAnsi="Times New Roman" w:cs="Times New Roman"/>
          <w:sz w:val="24"/>
          <w:szCs w:val="24"/>
        </w:rPr>
        <w:t>Kushniruk</w:t>
      </w:r>
      <w:proofErr w:type="spellEnd"/>
      <w:r w:rsidRPr="00EC3702">
        <w:rPr>
          <w:rFonts w:ascii="Times New Roman" w:hAnsi="Times New Roman" w:cs="Times New Roman"/>
          <w:sz w:val="24"/>
          <w:szCs w:val="24"/>
        </w:rPr>
        <w:t>, 2023, pp.210). This is courtesy of its expansive network of hotels in or near major cities and transportation hubs. Their widespread presence enhances their market dominance. The company's customer demographics encompass various personnel, including families, tourists, and value-conscious business travellers. It mainly focuses on providing family-friendly accommodations and budget-friendly rates, helping it attain a broad customer base. The brand is renowned for its commitment to clean</w:t>
      </w:r>
      <w:r w:rsidR="00FA6437">
        <w:rPr>
          <w:rFonts w:ascii="Times New Roman" w:hAnsi="Times New Roman" w:cs="Times New Roman"/>
          <w:sz w:val="24"/>
          <w:szCs w:val="24"/>
        </w:rPr>
        <w:t>, comfortable</w:t>
      </w:r>
      <w:r w:rsidRPr="00EC3702">
        <w:rPr>
          <w:rFonts w:ascii="Times New Roman" w:hAnsi="Times New Roman" w:cs="Times New Roman"/>
          <w:sz w:val="24"/>
          <w:szCs w:val="24"/>
        </w:rPr>
        <w:t xml:space="preserve"> rooms with affordable pricing in convenient locations. This has made the company reliable and trustworthy for individuals seeking cost-effective</w:t>
      </w:r>
      <w:r w:rsidR="00FA6437">
        <w:rPr>
          <w:rFonts w:ascii="Times New Roman" w:hAnsi="Times New Roman" w:cs="Times New Roman"/>
          <w:sz w:val="24"/>
          <w:szCs w:val="24"/>
        </w:rPr>
        <w:t>, quality</w:t>
      </w:r>
      <w:r w:rsidRPr="00EC3702">
        <w:rPr>
          <w:rFonts w:ascii="Times New Roman" w:hAnsi="Times New Roman" w:cs="Times New Roman"/>
          <w:sz w:val="24"/>
          <w:szCs w:val="24"/>
        </w:rPr>
        <w:t xml:space="preserve"> lodging. Its emphasis on family-friendly accommodations has further bolstered its positive brand perception. In summary, both companies have effectively harnessed their respective market positions. Mandarin Oriental </w:t>
      </w:r>
      <w:r w:rsidR="00FA6437">
        <w:rPr>
          <w:rFonts w:ascii="Times New Roman" w:hAnsi="Times New Roman" w:cs="Times New Roman"/>
          <w:sz w:val="24"/>
          <w:szCs w:val="24"/>
        </w:rPr>
        <w:t>appeals</w:t>
      </w:r>
      <w:r w:rsidRPr="00EC3702">
        <w:rPr>
          <w:rFonts w:ascii="Times New Roman" w:hAnsi="Times New Roman" w:cs="Times New Roman"/>
          <w:sz w:val="24"/>
          <w:szCs w:val="24"/>
        </w:rPr>
        <w:t xml:space="preserve"> to luxury-seeking and </w:t>
      </w:r>
      <w:r w:rsidRPr="00EC3702">
        <w:rPr>
          <w:rFonts w:ascii="Times New Roman" w:hAnsi="Times New Roman" w:cs="Times New Roman"/>
          <w:sz w:val="24"/>
          <w:szCs w:val="24"/>
        </w:rPr>
        <w:lastRenderedPageBreak/>
        <w:t>elite clientele, whereas Premier Inn addresses the budget-conscious segment with a reputation for reliability and value.</w:t>
      </w:r>
    </w:p>
    <w:p w14:paraId="2AECBCAE" w14:textId="77777777" w:rsidR="006348A2" w:rsidRPr="00EC370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t>Growth Potential</w:t>
      </w:r>
    </w:p>
    <w:p w14:paraId="570F29EA" w14:textId="2F531C07"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Premier Inn has a strong growth potential. This </w:t>
      </w:r>
      <w:r w:rsidR="00FA6437">
        <w:rPr>
          <w:rFonts w:ascii="Times New Roman" w:hAnsi="Times New Roman" w:cs="Times New Roman"/>
          <w:sz w:val="24"/>
          <w:szCs w:val="24"/>
        </w:rPr>
        <w:t>results from</w:t>
      </w:r>
      <w:r w:rsidRPr="00EC3702">
        <w:rPr>
          <w:rFonts w:ascii="Times New Roman" w:hAnsi="Times New Roman" w:cs="Times New Roman"/>
          <w:sz w:val="24"/>
          <w:szCs w:val="24"/>
        </w:rPr>
        <w:t xml:space="preserve"> their value-oriented approach to accommodation that has attracted a substantial customer base, helping the company position itself for continued growth globally and in the United Kingdom. In relation to expansion strategies, Premier Inn has consistently expanded its footprint, with a particular emphasis on international markets. Their approach involves setting up hotels in or near major cities and transportation hubs to capitalize on traveller demand. In addition, it offers flexible room configurations to suit different types of guests, catering to both leisure and business travellers. Market opportunities abound for Premier Inn in regions where budget-conscious travellers seek reliable and affordable lodging (Codreanu et al., 2021, pp.140). Thus, international expansion into growing economies can provide substantial growth opportunities since more travellers prioritize cost-effective yet quality accommodations. Although Premier Inn has </w:t>
      </w:r>
      <w:r w:rsidR="00FA6437">
        <w:rPr>
          <w:rFonts w:ascii="Times New Roman" w:hAnsi="Times New Roman" w:cs="Times New Roman"/>
          <w:sz w:val="24"/>
          <w:szCs w:val="24"/>
        </w:rPr>
        <w:t>succeeded</w:t>
      </w:r>
      <w:r w:rsidRPr="00EC3702">
        <w:rPr>
          <w:rFonts w:ascii="Times New Roman" w:hAnsi="Times New Roman" w:cs="Times New Roman"/>
          <w:sz w:val="24"/>
          <w:szCs w:val="24"/>
        </w:rPr>
        <w:t xml:space="preserve"> in the budget hotel segment, there are various barriers to growth. This includes increased competition from other budget and mid-range hotel chains. Additionally, global economic fluctuations and regulatory constraints in various markets may impact their growth prospects (Strunz &amp; Schindler, 2018, pp.75). These aspects make it difficult to maintain consistent quality and service standards across a growing network of properties since it presents operational challenges.</w:t>
      </w:r>
    </w:p>
    <w:p w14:paraId="7BC7D384" w14:textId="14C343A6"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Mandarin Oriental also has a robust growth potential. The company is expanding its global portfolio by opening new hotels in key markets such as Asia and the Middle East. It is also targeting the growing need of affluent travellers from China. Regarding expansion strategies, the facility has established a well-planned </w:t>
      </w:r>
      <w:r w:rsidR="00FA6437">
        <w:rPr>
          <w:rFonts w:ascii="Times New Roman" w:hAnsi="Times New Roman" w:cs="Times New Roman"/>
          <w:sz w:val="24"/>
          <w:szCs w:val="24"/>
        </w:rPr>
        <w:t>expansion system</w:t>
      </w:r>
      <w:r w:rsidRPr="00EC3702">
        <w:rPr>
          <w:rFonts w:ascii="Times New Roman" w:hAnsi="Times New Roman" w:cs="Times New Roman"/>
          <w:sz w:val="24"/>
          <w:szCs w:val="24"/>
        </w:rPr>
        <w:t xml:space="preserve">, </w:t>
      </w:r>
      <w:r w:rsidR="00FA6437">
        <w:rPr>
          <w:rFonts w:ascii="Times New Roman" w:hAnsi="Times New Roman" w:cs="Times New Roman"/>
          <w:sz w:val="24"/>
          <w:szCs w:val="24"/>
        </w:rPr>
        <w:t>focusing</w:t>
      </w:r>
      <w:r w:rsidRPr="00EC3702">
        <w:rPr>
          <w:rFonts w:ascii="Times New Roman" w:hAnsi="Times New Roman" w:cs="Times New Roman"/>
          <w:sz w:val="24"/>
          <w:szCs w:val="24"/>
        </w:rPr>
        <w:t xml:space="preserve"> on emerging markets, especially in Asia. Their focus on these markets aligns with the </w:t>
      </w:r>
      <w:r w:rsidR="00FA6437">
        <w:rPr>
          <w:rFonts w:ascii="Times New Roman" w:hAnsi="Times New Roman" w:cs="Times New Roman"/>
          <w:sz w:val="24"/>
          <w:szCs w:val="24"/>
        </w:rPr>
        <w:t>region's increasing affluence and demand for premium hospitality</w:t>
      </w:r>
      <w:r w:rsidRPr="00EC3702">
        <w:rPr>
          <w:rFonts w:ascii="Times New Roman" w:hAnsi="Times New Roman" w:cs="Times New Roman"/>
          <w:sz w:val="24"/>
          <w:szCs w:val="24"/>
        </w:rPr>
        <w:t xml:space="preserve">. Additionally, the company has ventured into managing properties in cooperation with residential developers to tap into a niche market that combines luxury living with exceptional hotel services. The rise of high-net-worth individuals in emerging markets, especially in China and Southeast Asia, presents a significant market opportunity. Mandarin's reputation for luxury resonates with this growing customer base. This offers a substantial avenue for expansion where guests seek unique and memorable experiences, supporting the brand's growth prospects (Athwal et al., 2019, pp.415). Similar to Premier Inn, </w:t>
      </w:r>
      <w:r w:rsidRPr="00EC3702">
        <w:rPr>
          <w:rFonts w:ascii="Times New Roman" w:hAnsi="Times New Roman" w:cs="Times New Roman"/>
          <w:sz w:val="24"/>
          <w:szCs w:val="24"/>
        </w:rPr>
        <w:lastRenderedPageBreak/>
        <w:t>Mandarin Oriental Hotel Group faces significant barriers to growth. Among them is the challenge of maintaining their brand's integrity while expanding into new markets, which makes it challenging to strike the right balance between exclusivity and accessibility is a delicate task (Golob et al., 2019, pp.124). Other barriers include stiff competition from other luxury hotel brands in the same markets and economic uncertainties posed by unpredictable circumstances such as pandemics.</w:t>
      </w:r>
    </w:p>
    <w:p w14:paraId="3C0A632B" w14:textId="77777777" w:rsidR="006348A2" w:rsidRPr="00EC370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t>Financial Commitment to CSR</w:t>
      </w:r>
    </w:p>
    <w:p w14:paraId="758B37F8" w14:textId="77777777"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Mandarin demonstrates a solid financial commitment to CSR initiatives. It prioritizes sustainability by implementing energy-efficient technologies and eco-friendly practices in its hotels (Hu et al., 2020, pp.2350). Community engagement is evident through partnerships with local organizations. Furthermore, they uphold ethical business practices by emphasizing fair labour standards and responsible sourcing. This approach to CSR demonstrates their commitment to social and environmental responsibility.</w:t>
      </w:r>
    </w:p>
    <w:p w14:paraId="78EF0CA4" w14:textId="77777777"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Premier Inn also exhibits a financial commitment to CSR. It emphasizes sustainability by implementing responsible sourcing, energy-efficient technologies, and waste reduction programs in its properties. It engages with the community through charity initiatives and support for local organizations. Additionally, Premier Inn adheres to ethical business practices by maintaining fair employment standards. This CSR commitment aligns with its reputation for reliable and responsible business operations, contributing to a positive brand image (Dobie et al., 2018, pp.55).</w:t>
      </w:r>
    </w:p>
    <w:p w14:paraId="05C4F0FC" w14:textId="77777777" w:rsidR="006348A2" w:rsidRPr="00EC3702" w:rsidRDefault="006348A2" w:rsidP="001E36D4">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t>Recommendation</w:t>
      </w:r>
    </w:p>
    <w:p w14:paraId="6F5D9B55" w14:textId="0E5ACD79" w:rsidR="006348A2" w:rsidRPr="00EC3702" w:rsidRDefault="006348A2" w:rsidP="001E36D4">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Inferring to the identified growth potential, I recommend that Mandarin </w:t>
      </w:r>
      <w:r w:rsidR="00444DB0">
        <w:rPr>
          <w:rFonts w:ascii="Times New Roman" w:hAnsi="Times New Roman" w:cs="Times New Roman"/>
          <w:sz w:val="24"/>
          <w:szCs w:val="24"/>
        </w:rPr>
        <w:t>continue leveraging</w:t>
      </w:r>
      <w:r w:rsidRPr="00EC3702">
        <w:rPr>
          <w:rFonts w:ascii="Times New Roman" w:hAnsi="Times New Roman" w:cs="Times New Roman"/>
          <w:sz w:val="24"/>
          <w:szCs w:val="24"/>
        </w:rPr>
        <w:t xml:space="preserve"> its premium brand reputation to expand its presence in the luxury hospitality market. The evidence showcases the increasing demand for luxury experiences, especially in emerging markets like China and Southeast Asia. A report by Nguyen and </w:t>
      </w:r>
      <w:proofErr w:type="spellStart"/>
      <w:r w:rsidRPr="00EC3702">
        <w:rPr>
          <w:rFonts w:ascii="Times New Roman" w:hAnsi="Times New Roman" w:cs="Times New Roman"/>
          <w:sz w:val="24"/>
          <w:szCs w:val="24"/>
        </w:rPr>
        <w:t>Mogaji</w:t>
      </w:r>
      <w:proofErr w:type="spellEnd"/>
      <w:r w:rsidRPr="00EC3702">
        <w:rPr>
          <w:rFonts w:ascii="Times New Roman" w:hAnsi="Times New Roman" w:cs="Times New Roman"/>
          <w:sz w:val="24"/>
          <w:szCs w:val="24"/>
        </w:rPr>
        <w:t xml:space="preserve"> (2022, pp.240) highlights the continuous growth of high-net-worth individuals in these regions. The company can capitalize on the rising affluence and demand for top-tier services by strategically targeting these markets, cementing its position as a global luxury leader.</w:t>
      </w:r>
    </w:p>
    <w:p w14:paraId="1A29D137" w14:textId="77777777" w:rsidR="00DE4C6E" w:rsidRDefault="006348A2" w:rsidP="00DE4C6E">
      <w:pPr>
        <w:spacing w:line="360" w:lineRule="auto"/>
        <w:ind w:firstLine="720"/>
        <w:contextualSpacing/>
        <w:rPr>
          <w:rFonts w:ascii="Times New Roman" w:hAnsi="Times New Roman" w:cs="Times New Roman"/>
          <w:sz w:val="24"/>
          <w:szCs w:val="24"/>
        </w:rPr>
      </w:pPr>
      <w:r w:rsidRPr="00EC3702">
        <w:rPr>
          <w:rFonts w:ascii="Times New Roman" w:hAnsi="Times New Roman" w:cs="Times New Roman"/>
          <w:sz w:val="24"/>
          <w:szCs w:val="24"/>
        </w:rPr>
        <w:t xml:space="preserve">Premier Inn has experienced immense success in the budget hotel segment and its reputation for reliability. Based on this argument, I recommend that the hotel explore opportunities for sustainable practices, such as environmental certifications and eco-friendly </w:t>
      </w:r>
      <w:r w:rsidRPr="00EC3702">
        <w:rPr>
          <w:rFonts w:ascii="Times New Roman" w:hAnsi="Times New Roman" w:cs="Times New Roman"/>
          <w:sz w:val="24"/>
          <w:szCs w:val="24"/>
        </w:rPr>
        <w:lastRenderedPageBreak/>
        <w:t>initiatives. Research by Chen et al. (2023, pp.897) indicates a growing consumer preference for sustainable and eco-conscious brands. Thus, Premier Inn can cater to an environmentally conscious customer base by aligning its budget-friendly approach with eco-friendly practices. This will enhance its brand perception and long-term sustainability.</w:t>
      </w:r>
    </w:p>
    <w:p w14:paraId="67D2B277" w14:textId="77777777" w:rsidR="00DE4C6E" w:rsidRDefault="00DE4C6E">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1AE796D5" w14:textId="514BE666" w:rsidR="00C47C4E" w:rsidRPr="00EC3702" w:rsidRDefault="00C47C4E" w:rsidP="00DE4C6E">
      <w:pPr>
        <w:spacing w:line="360" w:lineRule="auto"/>
        <w:contextualSpacing/>
        <w:jc w:val="center"/>
        <w:rPr>
          <w:rFonts w:ascii="Times New Roman" w:hAnsi="Times New Roman" w:cs="Times New Roman"/>
          <w:sz w:val="24"/>
          <w:szCs w:val="24"/>
        </w:rPr>
      </w:pPr>
      <w:r w:rsidRPr="00EC3702">
        <w:rPr>
          <w:rFonts w:ascii="Times New Roman" w:hAnsi="Times New Roman" w:cs="Times New Roman"/>
          <w:sz w:val="24"/>
          <w:szCs w:val="24"/>
        </w:rPr>
        <w:lastRenderedPageBreak/>
        <w:t>Bibliography</w:t>
      </w:r>
    </w:p>
    <w:p w14:paraId="41922087" w14:textId="77777777" w:rsidR="00CC502D" w:rsidRPr="00EC3702" w:rsidRDefault="00CC502D"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C502D">
        <w:rPr>
          <w:rFonts w:ascii="Times New Roman" w:eastAsia="Times New Roman" w:hAnsi="Times New Roman" w:cs="Times New Roman"/>
          <w:sz w:val="24"/>
          <w:szCs w:val="24"/>
          <w:lang w:val="en-US" w:eastAsia="en-US"/>
        </w:rPr>
        <w:t xml:space="preserve">Athwal, N. </w:t>
      </w:r>
      <w:r w:rsidRPr="00CC502D">
        <w:rPr>
          <w:rFonts w:ascii="Times New Roman" w:eastAsia="Times New Roman" w:hAnsi="Times New Roman" w:cs="Times New Roman"/>
          <w:i/>
          <w:iCs/>
          <w:sz w:val="24"/>
          <w:szCs w:val="24"/>
          <w:lang w:val="en-US" w:eastAsia="en-US"/>
        </w:rPr>
        <w:t>et al.</w:t>
      </w:r>
      <w:r w:rsidRPr="00CC502D">
        <w:rPr>
          <w:rFonts w:ascii="Times New Roman" w:eastAsia="Times New Roman" w:hAnsi="Times New Roman" w:cs="Times New Roman"/>
          <w:sz w:val="24"/>
          <w:szCs w:val="24"/>
          <w:lang w:val="en-US" w:eastAsia="en-US"/>
        </w:rPr>
        <w:t xml:space="preserve"> (2019) ‘Sustainable Luxury Marketing: A synthesis and research agenda’, </w:t>
      </w:r>
      <w:r w:rsidRPr="00CC502D">
        <w:rPr>
          <w:rFonts w:ascii="Times New Roman" w:eastAsia="Times New Roman" w:hAnsi="Times New Roman" w:cs="Times New Roman"/>
          <w:i/>
          <w:iCs/>
          <w:sz w:val="24"/>
          <w:szCs w:val="24"/>
          <w:lang w:val="en-US" w:eastAsia="en-US"/>
        </w:rPr>
        <w:t>International Journal of Management Reviews</w:t>
      </w:r>
      <w:r w:rsidRPr="00CC502D">
        <w:rPr>
          <w:rFonts w:ascii="Times New Roman" w:eastAsia="Times New Roman" w:hAnsi="Times New Roman" w:cs="Times New Roman"/>
          <w:sz w:val="24"/>
          <w:szCs w:val="24"/>
          <w:lang w:val="en-US" w:eastAsia="en-US"/>
        </w:rPr>
        <w:t>, 21(4), pp. 4</w:t>
      </w:r>
      <w:r w:rsidR="00EC3702">
        <w:rPr>
          <w:rFonts w:ascii="Times New Roman" w:eastAsia="Times New Roman" w:hAnsi="Times New Roman" w:cs="Times New Roman"/>
          <w:sz w:val="24"/>
          <w:szCs w:val="24"/>
          <w:lang w:val="en-US" w:eastAsia="en-US"/>
        </w:rPr>
        <w:t xml:space="preserve">05–426. doi:10.1111/ijmr.12195. </w:t>
      </w:r>
    </w:p>
    <w:p w14:paraId="1DF6A8E5" w14:textId="77777777" w:rsidR="00EB4D0F" w:rsidRPr="00EC3702" w:rsidRDefault="00EB4D0F"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EB4D0F">
        <w:rPr>
          <w:rFonts w:ascii="Times New Roman" w:eastAsia="Times New Roman" w:hAnsi="Times New Roman" w:cs="Times New Roman"/>
          <w:sz w:val="24"/>
          <w:szCs w:val="24"/>
          <w:lang w:val="en-US" w:eastAsia="en-US"/>
        </w:rPr>
        <w:t xml:space="preserve">Codreanu, I., </w:t>
      </w:r>
      <w:proofErr w:type="gramStart"/>
      <w:r w:rsidRPr="00EB4D0F">
        <w:rPr>
          <w:rFonts w:ascii="Times New Roman" w:eastAsia="Times New Roman" w:hAnsi="Times New Roman" w:cs="Times New Roman"/>
          <w:sz w:val="24"/>
          <w:szCs w:val="24"/>
          <w:lang w:val="en-US" w:eastAsia="en-US"/>
        </w:rPr>
        <w:t>Min ,</w:t>
      </w:r>
      <w:proofErr w:type="gramEnd"/>
      <w:r w:rsidRPr="00EB4D0F">
        <w:rPr>
          <w:rFonts w:ascii="Times New Roman" w:eastAsia="Times New Roman" w:hAnsi="Times New Roman" w:cs="Times New Roman"/>
          <w:sz w:val="24"/>
          <w:szCs w:val="24"/>
          <w:lang w:val="en-US" w:eastAsia="en-US"/>
        </w:rPr>
        <w:t xml:space="preserve"> H.S. and Hussein, M.A. (2021) </w:t>
      </w:r>
      <w:r w:rsidRPr="00EB4D0F">
        <w:rPr>
          <w:rFonts w:ascii="Times New Roman" w:eastAsia="Times New Roman" w:hAnsi="Times New Roman" w:cs="Times New Roman"/>
          <w:i/>
          <w:iCs/>
          <w:sz w:val="24"/>
          <w:szCs w:val="24"/>
          <w:lang w:val="en-US" w:eastAsia="en-US"/>
        </w:rPr>
        <w:t>Recent research and innovation: An integrated approach</w:t>
      </w:r>
      <w:r w:rsidRPr="00EB4D0F">
        <w:rPr>
          <w:rFonts w:ascii="Times New Roman" w:eastAsia="Times New Roman" w:hAnsi="Times New Roman" w:cs="Times New Roman"/>
          <w:sz w:val="24"/>
          <w:szCs w:val="24"/>
          <w:lang w:val="en-US" w:eastAsia="en-US"/>
        </w:rPr>
        <w:t xml:space="preserve">. New Delhi, India: Bharti Publications. </w:t>
      </w:r>
    </w:p>
    <w:p w14:paraId="1ABA2878" w14:textId="77777777" w:rsidR="00CC502D" w:rsidRPr="00EC3702" w:rsidRDefault="00CC502D"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C502D">
        <w:rPr>
          <w:rFonts w:ascii="Times New Roman" w:eastAsia="Times New Roman" w:hAnsi="Times New Roman" w:cs="Times New Roman"/>
          <w:sz w:val="24"/>
          <w:szCs w:val="24"/>
          <w:lang w:val="en-US" w:eastAsia="en-US"/>
        </w:rPr>
        <w:t xml:space="preserve">Chen, L. </w:t>
      </w:r>
      <w:r w:rsidRPr="00CC502D">
        <w:rPr>
          <w:rFonts w:ascii="Times New Roman" w:eastAsia="Times New Roman" w:hAnsi="Times New Roman" w:cs="Times New Roman"/>
          <w:i/>
          <w:iCs/>
          <w:sz w:val="24"/>
          <w:szCs w:val="24"/>
          <w:lang w:val="en-US" w:eastAsia="en-US"/>
        </w:rPr>
        <w:t>et al.</w:t>
      </w:r>
      <w:r w:rsidRPr="00CC502D">
        <w:rPr>
          <w:rFonts w:ascii="Times New Roman" w:eastAsia="Times New Roman" w:hAnsi="Times New Roman" w:cs="Times New Roman"/>
          <w:sz w:val="24"/>
          <w:szCs w:val="24"/>
          <w:lang w:val="en-US" w:eastAsia="en-US"/>
        </w:rPr>
        <w:t xml:space="preserve"> (2023) ‘A moderated–mediated model for eco-conscious consumer behavior’, </w:t>
      </w:r>
      <w:r w:rsidRPr="00CC502D">
        <w:rPr>
          <w:rFonts w:ascii="Times New Roman" w:eastAsia="Times New Roman" w:hAnsi="Times New Roman" w:cs="Times New Roman"/>
          <w:i/>
          <w:iCs/>
          <w:sz w:val="24"/>
          <w:szCs w:val="24"/>
          <w:lang w:val="en-US" w:eastAsia="en-US"/>
        </w:rPr>
        <w:t>Sustainability</w:t>
      </w:r>
      <w:r w:rsidRPr="00CC502D">
        <w:rPr>
          <w:rFonts w:ascii="Times New Roman" w:eastAsia="Times New Roman" w:hAnsi="Times New Roman" w:cs="Times New Roman"/>
          <w:sz w:val="24"/>
          <w:szCs w:val="24"/>
          <w:lang w:val="en-US" w:eastAsia="en-US"/>
        </w:rPr>
        <w:t xml:space="preserve">, 15(2), p. 897. doi:10.3390/su15020897. </w:t>
      </w:r>
      <w:r w:rsidR="00EC3702">
        <w:rPr>
          <w:rFonts w:ascii="Times New Roman" w:eastAsia="Times New Roman" w:hAnsi="Times New Roman" w:cs="Times New Roman"/>
          <w:sz w:val="24"/>
          <w:szCs w:val="24"/>
          <w:lang w:val="en-US" w:eastAsia="en-US"/>
        </w:rPr>
        <w:t xml:space="preserve"> </w:t>
      </w:r>
    </w:p>
    <w:p w14:paraId="72AF3DCF" w14:textId="77777777" w:rsidR="00FA5D00" w:rsidRPr="00EC3702" w:rsidRDefault="00FA5D00"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FA5D00">
        <w:rPr>
          <w:rFonts w:ascii="Times New Roman" w:eastAsia="Times New Roman" w:hAnsi="Times New Roman" w:cs="Times New Roman"/>
          <w:sz w:val="24"/>
          <w:szCs w:val="24"/>
          <w:lang w:val="en-US" w:eastAsia="en-US"/>
        </w:rPr>
        <w:t xml:space="preserve">Dobie, S. </w:t>
      </w:r>
      <w:r w:rsidRPr="00FA5D00">
        <w:rPr>
          <w:rFonts w:ascii="Times New Roman" w:eastAsia="Times New Roman" w:hAnsi="Times New Roman" w:cs="Times New Roman"/>
          <w:i/>
          <w:iCs/>
          <w:sz w:val="24"/>
          <w:szCs w:val="24"/>
          <w:lang w:val="en-US" w:eastAsia="en-US"/>
        </w:rPr>
        <w:t>et al.</w:t>
      </w:r>
      <w:r w:rsidRPr="00FA5D00">
        <w:rPr>
          <w:rFonts w:ascii="Times New Roman" w:eastAsia="Times New Roman" w:hAnsi="Times New Roman" w:cs="Times New Roman"/>
          <w:sz w:val="24"/>
          <w:szCs w:val="24"/>
          <w:lang w:val="en-US" w:eastAsia="en-US"/>
        </w:rPr>
        <w:t xml:space="preserve"> (2018) ‘Hotels as critical hubs for Destination disaster resilience: An analysis of hotel corporations’ </w:t>
      </w:r>
      <w:proofErr w:type="spellStart"/>
      <w:r w:rsidRPr="00FA5D00">
        <w:rPr>
          <w:rFonts w:ascii="Times New Roman" w:eastAsia="Times New Roman" w:hAnsi="Times New Roman" w:cs="Times New Roman"/>
          <w:sz w:val="24"/>
          <w:szCs w:val="24"/>
          <w:lang w:val="en-US" w:eastAsia="en-US"/>
        </w:rPr>
        <w:t>csr</w:t>
      </w:r>
      <w:proofErr w:type="spellEnd"/>
      <w:r w:rsidRPr="00FA5D00">
        <w:rPr>
          <w:rFonts w:ascii="Times New Roman" w:eastAsia="Times New Roman" w:hAnsi="Times New Roman" w:cs="Times New Roman"/>
          <w:sz w:val="24"/>
          <w:szCs w:val="24"/>
          <w:lang w:val="en-US" w:eastAsia="en-US"/>
        </w:rPr>
        <w:t xml:space="preserve"> activities supporting Disaster Relief and Resilience’, </w:t>
      </w:r>
      <w:r w:rsidRPr="00FA5D00">
        <w:rPr>
          <w:rFonts w:ascii="Times New Roman" w:eastAsia="Times New Roman" w:hAnsi="Times New Roman" w:cs="Times New Roman"/>
          <w:i/>
          <w:iCs/>
          <w:sz w:val="24"/>
          <w:szCs w:val="24"/>
          <w:lang w:val="en-US" w:eastAsia="en-US"/>
        </w:rPr>
        <w:t>Infrastructures</w:t>
      </w:r>
      <w:r w:rsidRPr="00FA5D00">
        <w:rPr>
          <w:rFonts w:ascii="Times New Roman" w:eastAsia="Times New Roman" w:hAnsi="Times New Roman" w:cs="Times New Roman"/>
          <w:sz w:val="24"/>
          <w:szCs w:val="24"/>
          <w:lang w:val="en-US" w:eastAsia="en-US"/>
        </w:rPr>
        <w:t>, 3(4), pp. 46–60. doi:10.3390/infrastructures3040046.</w:t>
      </w:r>
      <w:r w:rsidR="00EC3702">
        <w:rPr>
          <w:rFonts w:ascii="Times New Roman" w:eastAsia="Times New Roman" w:hAnsi="Times New Roman" w:cs="Times New Roman"/>
          <w:sz w:val="24"/>
          <w:szCs w:val="24"/>
          <w:lang w:val="en-US" w:eastAsia="en-US"/>
        </w:rPr>
        <w:t xml:space="preserve"> </w:t>
      </w:r>
      <w:r w:rsidRPr="00FA5D00">
        <w:rPr>
          <w:rFonts w:ascii="Times New Roman" w:eastAsia="Times New Roman" w:hAnsi="Times New Roman" w:cs="Times New Roman"/>
          <w:sz w:val="24"/>
          <w:szCs w:val="24"/>
          <w:lang w:val="en-US" w:eastAsia="en-US"/>
        </w:rPr>
        <w:t xml:space="preserve"> </w:t>
      </w:r>
    </w:p>
    <w:p w14:paraId="47E33392" w14:textId="77777777" w:rsidR="00C47C4E" w:rsidRPr="00EC3702"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proofErr w:type="spellStart"/>
      <w:r w:rsidRPr="00C47C4E">
        <w:rPr>
          <w:rFonts w:ascii="Times New Roman" w:eastAsia="Times New Roman" w:hAnsi="Times New Roman" w:cs="Times New Roman"/>
          <w:sz w:val="24"/>
          <w:szCs w:val="24"/>
          <w:lang w:val="en-US" w:eastAsia="en-US"/>
        </w:rPr>
        <w:t>Filimonau</w:t>
      </w:r>
      <w:proofErr w:type="spellEnd"/>
      <w:r w:rsidRPr="00C47C4E">
        <w:rPr>
          <w:rFonts w:ascii="Times New Roman" w:eastAsia="Times New Roman" w:hAnsi="Times New Roman" w:cs="Times New Roman"/>
          <w:sz w:val="24"/>
          <w:szCs w:val="24"/>
          <w:lang w:val="en-US" w:eastAsia="en-US"/>
        </w:rPr>
        <w:t xml:space="preserve">, V. and </w:t>
      </w:r>
      <w:proofErr w:type="spellStart"/>
      <w:r w:rsidRPr="00C47C4E">
        <w:rPr>
          <w:rFonts w:ascii="Times New Roman" w:eastAsia="Times New Roman" w:hAnsi="Times New Roman" w:cs="Times New Roman"/>
          <w:sz w:val="24"/>
          <w:szCs w:val="24"/>
          <w:lang w:val="en-US" w:eastAsia="en-US"/>
        </w:rPr>
        <w:t>Magklaropoulou</w:t>
      </w:r>
      <w:proofErr w:type="spellEnd"/>
      <w:r w:rsidRPr="00C47C4E">
        <w:rPr>
          <w:rFonts w:ascii="Times New Roman" w:eastAsia="Times New Roman" w:hAnsi="Times New Roman" w:cs="Times New Roman"/>
          <w:sz w:val="24"/>
          <w:szCs w:val="24"/>
          <w:lang w:val="en-US" w:eastAsia="en-US"/>
        </w:rPr>
        <w:t xml:space="preserve">, A. (2020) ‘Exploring the viability of a new “pay-as-you-use” energy management model in budget hotels’, </w:t>
      </w:r>
      <w:r w:rsidRPr="00C47C4E">
        <w:rPr>
          <w:rFonts w:ascii="Times New Roman" w:eastAsia="Times New Roman" w:hAnsi="Times New Roman" w:cs="Times New Roman"/>
          <w:i/>
          <w:iCs/>
          <w:sz w:val="24"/>
          <w:szCs w:val="24"/>
          <w:lang w:val="en-US" w:eastAsia="en-US"/>
        </w:rPr>
        <w:t>International Journal of Hospitality Management</w:t>
      </w:r>
      <w:r w:rsidRPr="00C47C4E">
        <w:rPr>
          <w:rFonts w:ascii="Times New Roman" w:eastAsia="Times New Roman" w:hAnsi="Times New Roman" w:cs="Times New Roman"/>
          <w:sz w:val="24"/>
          <w:szCs w:val="24"/>
          <w:lang w:val="en-US" w:eastAsia="en-US"/>
        </w:rPr>
        <w:t>, 89, pp. 102–200. doi:10.1016/j.ijhm.2020.102538.</w:t>
      </w:r>
    </w:p>
    <w:p w14:paraId="723E4E2A" w14:textId="77777777" w:rsidR="00EC3702" w:rsidRDefault="00C47C4E" w:rsidP="001E36D4">
      <w:pPr>
        <w:pStyle w:val="NormalWeb"/>
        <w:spacing w:line="360" w:lineRule="auto"/>
        <w:ind w:left="567" w:hanging="567"/>
        <w:contextualSpacing/>
      </w:pPr>
      <w:r w:rsidRPr="00C47C4E">
        <w:t xml:space="preserve"> </w:t>
      </w:r>
      <w:r w:rsidRPr="00EC3702">
        <w:t xml:space="preserve">Geerts, A. and Masset, J. (2022) ‘Luxury tourism through private sales websites: Exploration of prestige-seeking consumers’ motivations and managers’ perceptions’, </w:t>
      </w:r>
      <w:r w:rsidRPr="00EC3702">
        <w:rPr>
          <w:i/>
          <w:iCs/>
        </w:rPr>
        <w:t>Journal of Business Research</w:t>
      </w:r>
      <w:r w:rsidRPr="00EC3702">
        <w:t>, 145, pp. 377–386. doi</w:t>
      </w:r>
      <w:r w:rsidR="00EC3702">
        <w:t xml:space="preserve">:10.1016/j.jbusres.2022.02.083. </w:t>
      </w:r>
    </w:p>
    <w:p w14:paraId="5B499133" w14:textId="77777777" w:rsidR="00EC3702" w:rsidRDefault="00C47C4E" w:rsidP="001E36D4">
      <w:pPr>
        <w:pStyle w:val="NormalWeb"/>
        <w:spacing w:line="360" w:lineRule="auto"/>
        <w:ind w:left="567" w:hanging="567"/>
        <w:contextualSpacing/>
      </w:pPr>
      <w:r w:rsidRPr="00C47C4E">
        <w:t xml:space="preserve">George, R. (2021) ‘Market segmentation, targeting, and positioning’, </w:t>
      </w:r>
      <w:r w:rsidRPr="00C47C4E">
        <w:rPr>
          <w:i/>
          <w:iCs/>
        </w:rPr>
        <w:t>Marketing Tourism and Hospitality</w:t>
      </w:r>
      <w:r w:rsidRPr="00C47C4E">
        <w:t>, 34(4), pp. 221–246. d</w:t>
      </w:r>
      <w:r w:rsidR="00EC3702">
        <w:t xml:space="preserve">oi:10.1007/978-3-030-64111-5_7. </w:t>
      </w:r>
    </w:p>
    <w:p w14:paraId="305439C1" w14:textId="77777777" w:rsidR="006348A2" w:rsidRPr="00C47C4E" w:rsidRDefault="006348A2" w:rsidP="001E36D4">
      <w:pPr>
        <w:pStyle w:val="NormalWeb"/>
        <w:spacing w:line="360" w:lineRule="auto"/>
        <w:ind w:left="567" w:hanging="567"/>
        <w:contextualSpacing/>
      </w:pPr>
      <w:r w:rsidRPr="006348A2">
        <w:t xml:space="preserve">Golob, U. </w:t>
      </w:r>
      <w:r w:rsidRPr="006348A2">
        <w:rPr>
          <w:i/>
          <w:iCs/>
        </w:rPr>
        <w:t>et al.</w:t>
      </w:r>
      <w:r w:rsidRPr="006348A2">
        <w:t xml:space="preserve"> (2019) ‘Trending topics plus future challenges and opportunities in brand management’, </w:t>
      </w:r>
      <w:r w:rsidRPr="006348A2">
        <w:rPr>
          <w:i/>
          <w:iCs/>
        </w:rPr>
        <w:t>Journal of Brand Management</w:t>
      </w:r>
      <w:r w:rsidRPr="006348A2">
        <w:t xml:space="preserve">, 27(2), pp. 123–129. </w:t>
      </w:r>
      <w:r w:rsidR="00EC3702">
        <w:t xml:space="preserve">doi:10.1057/s41262-019-00184-4. </w:t>
      </w:r>
    </w:p>
    <w:p w14:paraId="2A386DFE" w14:textId="77777777" w:rsidR="00C47C4E" w:rsidRPr="00C47C4E"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Gomez </w:t>
      </w:r>
      <w:proofErr w:type="spellStart"/>
      <w:r w:rsidRPr="00C47C4E">
        <w:rPr>
          <w:rFonts w:ascii="Times New Roman" w:eastAsia="Times New Roman" w:hAnsi="Times New Roman" w:cs="Times New Roman"/>
          <w:sz w:val="24"/>
          <w:szCs w:val="24"/>
          <w:lang w:val="en-US" w:eastAsia="en-US"/>
        </w:rPr>
        <w:t>Punzon</w:t>
      </w:r>
      <w:proofErr w:type="spellEnd"/>
      <w:r w:rsidRPr="00C47C4E">
        <w:rPr>
          <w:rFonts w:ascii="Times New Roman" w:eastAsia="Times New Roman" w:hAnsi="Times New Roman" w:cs="Times New Roman"/>
          <w:sz w:val="24"/>
          <w:szCs w:val="24"/>
          <w:lang w:val="en-US" w:eastAsia="en-US"/>
        </w:rPr>
        <w:t xml:space="preserve">, J. (2021) ‘Digital Customer Journey in the luxury hotel experience’, </w:t>
      </w:r>
      <w:r w:rsidRPr="00C47C4E">
        <w:rPr>
          <w:rFonts w:ascii="Times New Roman" w:eastAsia="Times New Roman" w:hAnsi="Times New Roman" w:cs="Times New Roman"/>
          <w:i/>
          <w:iCs/>
          <w:sz w:val="24"/>
          <w:szCs w:val="24"/>
          <w:lang w:val="en-US" w:eastAsia="en-US"/>
        </w:rPr>
        <w:t>Advances in Marketing, Customer Relationship Management, and E-Services</w:t>
      </w:r>
      <w:r w:rsidRPr="00C47C4E">
        <w:rPr>
          <w:rFonts w:ascii="Times New Roman" w:eastAsia="Times New Roman" w:hAnsi="Times New Roman" w:cs="Times New Roman"/>
          <w:sz w:val="24"/>
          <w:szCs w:val="24"/>
          <w:lang w:val="en-US" w:eastAsia="en-US"/>
        </w:rPr>
        <w:t>, pp. 246–260. doi:1</w:t>
      </w:r>
      <w:r w:rsidR="00EC3702">
        <w:rPr>
          <w:rFonts w:ascii="Times New Roman" w:eastAsia="Times New Roman" w:hAnsi="Times New Roman" w:cs="Times New Roman"/>
          <w:sz w:val="24"/>
          <w:szCs w:val="24"/>
          <w:lang w:val="en-US" w:eastAsia="en-US"/>
        </w:rPr>
        <w:t xml:space="preserve">0.4018/978-1-7998-8003-5.ch014. </w:t>
      </w:r>
    </w:p>
    <w:p w14:paraId="51E06AAF" w14:textId="77777777" w:rsidR="00C47C4E" w:rsidRPr="00EC3702"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Heyes, A. (2017) ‘Hotel Front Office Management’, </w:t>
      </w:r>
      <w:r w:rsidRPr="00C47C4E">
        <w:rPr>
          <w:rFonts w:ascii="Times New Roman" w:eastAsia="Times New Roman" w:hAnsi="Times New Roman" w:cs="Times New Roman"/>
          <w:i/>
          <w:iCs/>
          <w:sz w:val="24"/>
          <w:szCs w:val="24"/>
          <w:lang w:val="en-US" w:eastAsia="en-US"/>
        </w:rPr>
        <w:t>Hotel Accommodation Management</w:t>
      </w:r>
      <w:r w:rsidRPr="00C47C4E">
        <w:rPr>
          <w:rFonts w:ascii="Times New Roman" w:eastAsia="Times New Roman" w:hAnsi="Times New Roman" w:cs="Times New Roman"/>
          <w:sz w:val="24"/>
          <w:szCs w:val="24"/>
          <w:lang w:val="en-US" w:eastAsia="en-US"/>
        </w:rPr>
        <w:t>, pp. 57–6</w:t>
      </w:r>
      <w:r w:rsidR="00EC3702">
        <w:rPr>
          <w:rFonts w:ascii="Times New Roman" w:eastAsia="Times New Roman" w:hAnsi="Times New Roman" w:cs="Times New Roman"/>
          <w:sz w:val="24"/>
          <w:szCs w:val="24"/>
          <w:lang w:val="en-US" w:eastAsia="en-US"/>
        </w:rPr>
        <w:t xml:space="preserve">9. doi:10.4324/9781315169965-5. </w:t>
      </w:r>
    </w:p>
    <w:p w14:paraId="2969AB5E" w14:textId="77777777" w:rsidR="00FB390A" w:rsidRPr="00EC3702" w:rsidRDefault="00FB390A"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EC3702">
        <w:rPr>
          <w:rFonts w:ascii="Times New Roman" w:eastAsia="Times New Roman" w:hAnsi="Times New Roman" w:cs="Times New Roman"/>
          <w:sz w:val="24"/>
          <w:szCs w:val="24"/>
          <w:lang w:val="en-US" w:eastAsia="en-US"/>
        </w:rPr>
        <w:t xml:space="preserve">Hu, B., Liu, J. and Zhang, X. (2020) ‘The impact of employees’ perceived CSR on customer orientation: An integrated perspective of generalized exchange and social identity theory’, </w:t>
      </w:r>
      <w:r w:rsidRPr="00EC3702">
        <w:rPr>
          <w:rFonts w:ascii="Times New Roman" w:eastAsia="Times New Roman" w:hAnsi="Times New Roman" w:cs="Times New Roman"/>
          <w:i/>
          <w:iCs/>
          <w:sz w:val="24"/>
          <w:szCs w:val="24"/>
          <w:lang w:val="en-US" w:eastAsia="en-US"/>
        </w:rPr>
        <w:lastRenderedPageBreak/>
        <w:t>International Journal of Contemporary Hospitality Management</w:t>
      </w:r>
      <w:r w:rsidRPr="00EC3702">
        <w:rPr>
          <w:rFonts w:ascii="Times New Roman" w:eastAsia="Times New Roman" w:hAnsi="Times New Roman" w:cs="Times New Roman"/>
          <w:sz w:val="24"/>
          <w:szCs w:val="24"/>
          <w:lang w:val="en-US" w:eastAsia="en-US"/>
        </w:rPr>
        <w:t xml:space="preserve">, 32(7), pp. 2345–2364. </w:t>
      </w:r>
      <w:r w:rsidR="00EC3702">
        <w:rPr>
          <w:rFonts w:ascii="Times New Roman" w:eastAsia="Times New Roman" w:hAnsi="Times New Roman" w:cs="Times New Roman"/>
          <w:sz w:val="24"/>
          <w:szCs w:val="24"/>
          <w:lang w:val="en-US" w:eastAsia="en-US"/>
        </w:rPr>
        <w:t xml:space="preserve">doi:10.1108/ijchm-10-2019-0822. </w:t>
      </w:r>
    </w:p>
    <w:p w14:paraId="55E00F49" w14:textId="77777777" w:rsidR="00A843E9" w:rsidRPr="00C47C4E" w:rsidRDefault="00A843E9"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proofErr w:type="spellStart"/>
      <w:r w:rsidRPr="00A843E9">
        <w:rPr>
          <w:rFonts w:ascii="Times New Roman" w:eastAsia="Times New Roman" w:hAnsi="Times New Roman" w:cs="Times New Roman"/>
          <w:sz w:val="24"/>
          <w:szCs w:val="24"/>
          <w:lang w:val="en-US" w:eastAsia="en-US"/>
        </w:rPr>
        <w:t>Kushniruk</w:t>
      </w:r>
      <w:proofErr w:type="spellEnd"/>
      <w:r w:rsidRPr="00A843E9">
        <w:rPr>
          <w:rFonts w:ascii="Times New Roman" w:eastAsia="Times New Roman" w:hAnsi="Times New Roman" w:cs="Times New Roman"/>
          <w:sz w:val="24"/>
          <w:szCs w:val="24"/>
          <w:lang w:val="en-US" w:eastAsia="en-US"/>
        </w:rPr>
        <w:t xml:space="preserve">, H. (2023) ‘A strong brand as a competitive advantage in the hotel business’, </w:t>
      </w:r>
      <w:r w:rsidRPr="00A843E9">
        <w:rPr>
          <w:rFonts w:ascii="Times New Roman" w:eastAsia="Times New Roman" w:hAnsi="Times New Roman" w:cs="Times New Roman"/>
          <w:i/>
          <w:iCs/>
          <w:sz w:val="24"/>
          <w:szCs w:val="24"/>
          <w:lang w:val="en-US" w:eastAsia="en-US"/>
        </w:rPr>
        <w:t>Innovative educational technologies: European experience and its application in training in economics and management</w:t>
      </w:r>
      <w:r w:rsidRPr="00A843E9">
        <w:rPr>
          <w:rFonts w:ascii="Times New Roman" w:eastAsia="Times New Roman" w:hAnsi="Times New Roman" w:cs="Times New Roman"/>
          <w:sz w:val="24"/>
          <w:szCs w:val="24"/>
          <w:lang w:val="en-US" w:eastAsia="en-US"/>
        </w:rPr>
        <w:t>, 45(2), pp. 200–223. doi:10.30525/978-9</w:t>
      </w:r>
      <w:r w:rsidR="00EC3702">
        <w:rPr>
          <w:rFonts w:ascii="Times New Roman" w:eastAsia="Times New Roman" w:hAnsi="Times New Roman" w:cs="Times New Roman"/>
          <w:sz w:val="24"/>
          <w:szCs w:val="24"/>
          <w:lang w:val="en-US" w:eastAsia="en-US"/>
        </w:rPr>
        <w:t xml:space="preserve">934-26-295-1-62. </w:t>
      </w:r>
    </w:p>
    <w:p w14:paraId="0FB75111" w14:textId="77777777" w:rsidR="00C47C4E" w:rsidRPr="00C47C4E"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Li, R. (2021) </w:t>
      </w:r>
      <w:r w:rsidRPr="00C47C4E">
        <w:rPr>
          <w:rFonts w:ascii="Times New Roman" w:eastAsia="Times New Roman" w:hAnsi="Times New Roman" w:cs="Times New Roman"/>
          <w:i/>
          <w:iCs/>
          <w:sz w:val="24"/>
          <w:szCs w:val="24"/>
          <w:lang w:val="en-US" w:eastAsia="en-US"/>
        </w:rPr>
        <w:t>Hong Kong´s hospitality sector: The Business Case for Quarantine Hotels: The landmark mandarin oriental</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Handle Proxy</w:t>
      </w:r>
      <w:r w:rsidRPr="00C47C4E">
        <w:rPr>
          <w:rFonts w:ascii="Times New Roman" w:eastAsia="Times New Roman" w:hAnsi="Times New Roman" w:cs="Times New Roman"/>
          <w:sz w:val="24"/>
          <w:szCs w:val="24"/>
          <w:lang w:val="en-US" w:eastAsia="en-US"/>
        </w:rPr>
        <w:t xml:space="preserve">. Available at: </w:t>
      </w:r>
      <w:hyperlink r:id="rId6" w:history="1">
        <w:r w:rsidR="00EC3702" w:rsidRPr="000A4CAD">
          <w:rPr>
            <w:rStyle w:val="Hyperlink"/>
            <w:rFonts w:ascii="Times New Roman" w:eastAsia="Times New Roman" w:hAnsi="Times New Roman" w:cs="Times New Roman"/>
            <w:sz w:val="24"/>
            <w:szCs w:val="24"/>
            <w:lang w:val="en-US" w:eastAsia="en-US"/>
          </w:rPr>
          <w:t>http://hdl.handle.net/10362/138971</w:t>
        </w:r>
      </w:hyperlink>
      <w:r w:rsidR="00EC3702">
        <w:rPr>
          <w:rFonts w:ascii="Times New Roman" w:eastAsia="Times New Roman" w:hAnsi="Times New Roman" w:cs="Times New Roman"/>
          <w:sz w:val="24"/>
          <w:szCs w:val="24"/>
          <w:lang w:val="en-US" w:eastAsia="en-US"/>
        </w:rPr>
        <w:t xml:space="preserve">. </w:t>
      </w:r>
    </w:p>
    <w:p w14:paraId="06ADC216" w14:textId="77777777" w:rsidR="00C47C4E" w:rsidRPr="00C47C4E"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Mandarin Oriental Hotel Group (2022) </w:t>
      </w:r>
      <w:r w:rsidRPr="00C47C4E">
        <w:rPr>
          <w:rFonts w:ascii="Times New Roman" w:eastAsia="Times New Roman" w:hAnsi="Times New Roman" w:cs="Times New Roman"/>
          <w:i/>
          <w:iCs/>
          <w:sz w:val="24"/>
          <w:szCs w:val="24"/>
          <w:lang w:val="en-US" w:eastAsia="en-US"/>
        </w:rPr>
        <w:t>Mandarin Oriental Hotel Group</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Luxury 5 Star Hotels &amp; Resorts Worldwide</w:t>
      </w:r>
      <w:r w:rsidRPr="00C47C4E">
        <w:rPr>
          <w:rFonts w:ascii="Times New Roman" w:eastAsia="Times New Roman" w:hAnsi="Times New Roman" w:cs="Times New Roman"/>
          <w:sz w:val="24"/>
          <w:szCs w:val="24"/>
          <w:lang w:val="en-US" w:eastAsia="en-US"/>
        </w:rPr>
        <w:t xml:space="preserve">. Available at: </w:t>
      </w:r>
      <w:hyperlink r:id="rId7" w:history="1">
        <w:r w:rsidR="00EC3702" w:rsidRPr="000A4CAD">
          <w:rPr>
            <w:rStyle w:val="Hyperlink"/>
            <w:rFonts w:ascii="Times New Roman" w:eastAsia="Times New Roman" w:hAnsi="Times New Roman" w:cs="Times New Roman"/>
            <w:sz w:val="24"/>
            <w:szCs w:val="24"/>
            <w:lang w:val="en-US" w:eastAsia="en-US"/>
          </w:rPr>
          <w:t>https://www.mandarinoriental.com/en/</w:t>
        </w:r>
      </w:hyperlink>
      <w:r w:rsidR="00EC3702">
        <w:rPr>
          <w:rFonts w:ascii="Times New Roman" w:eastAsia="Times New Roman" w:hAnsi="Times New Roman" w:cs="Times New Roman"/>
          <w:sz w:val="24"/>
          <w:szCs w:val="24"/>
          <w:lang w:val="en-US" w:eastAsia="en-US"/>
        </w:rPr>
        <w:t xml:space="preserve">. </w:t>
      </w:r>
    </w:p>
    <w:p w14:paraId="52FB6F5A" w14:textId="77777777" w:rsidR="00C47C4E" w:rsidRPr="00EC3702"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Mandarin Oriental International </w:t>
      </w:r>
      <w:proofErr w:type="gramStart"/>
      <w:r w:rsidRPr="00C47C4E">
        <w:rPr>
          <w:rFonts w:ascii="Times New Roman" w:eastAsia="Times New Roman" w:hAnsi="Times New Roman" w:cs="Times New Roman"/>
          <w:sz w:val="24"/>
          <w:szCs w:val="24"/>
          <w:lang w:val="en-US" w:eastAsia="en-US"/>
        </w:rPr>
        <w:t>Limited ,</w:t>
      </w:r>
      <w:proofErr w:type="gramEnd"/>
      <w:r w:rsidRPr="00C47C4E">
        <w:rPr>
          <w:rFonts w:ascii="Times New Roman" w:eastAsia="Times New Roman" w:hAnsi="Times New Roman" w:cs="Times New Roman"/>
          <w:sz w:val="24"/>
          <w:szCs w:val="24"/>
          <w:lang w:val="en-US" w:eastAsia="en-US"/>
        </w:rPr>
        <w:t xml:space="preserve"> M.O.I.L. (2023) </w:t>
      </w:r>
      <w:r w:rsidRPr="00C47C4E">
        <w:rPr>
          <w:rFonts w:ascii="Times New Roman" w:eastAsia="Times New Roman" w:hAnsi="Times New Roman" w:cs="Times New Roman"/>
          <w:i/>
          <w:iCs/>
          <w:sz w:val="24"/>
          <w:szCs w:val="24"/>
          <w:lang w:val="en-US" w:eastAsia="en-US"/>
        </w:rPr>
        <w:t xml:space="preserve">Annual report 2022 </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photos.mandarinoriental.com</w:t>
      </w:r>
      <w:r w:rsidRPr="00C47C4E">
        <w:rPr>
          <w:rFonts w:ascii="Times New Roman" w:eastAsia="Times New Roman" w:hAnsi="Times New Roman" w:cs="Times New Roman"/>
          <w:sz w:val="24"/>
          <w:szCs w:val="24"/>
          <w:lang w:val="en-US" w:eastAsia="en-US"/>
        </w:rPr>
        <w:t xml:space="preserve">. Available at: </w:t>
      </w:r>
      <w:hyperlink r:id="rId8" w:history="1">
        <w:r w:rsidR="00EC3702" w:rsidRPr="000A4CAD">
          <w:rPr>
            <w:rStyle w:val="Hyperlink"/>
            <w:rFonts w:ascii="Times New Roman" w:eastAsia="Times New Roman" w:hAnsi="Times New Roman" w:cs="Times New Roman"/>
            <w:sz w:val="24"/>
            <w:szCs w:val="24"/>
            <w:lang w:val="en-US" w:eastAsia="en-US"/>
          </w:rPr>
          <w:t>https://photos.mandarinoriental.com/is/content/MandarinOriental/_Corporate/PDFs/Investors/Analyst%20Presentations/corporate-22arMOIL.pdf</w:t>
        </w:r>
      </w:hyperlink>
      <w:r w:rsidR="00EC3702">
        <w:rPr>
          <w:rFonts w:ascii="Times New Roman" w:eastAsia="Times New Roman" w:hAnsi="Times New Roman" w:cs="Times New Roman"/>
          <w:sz w:val="24"/>
          <w:szCs w:val="24"/>
          <w:lang w:val="en-US" w:eastAsia="en-US"/>
        </w:rPr>
        <w:t xml:space="preserve">. </w:t>
      </w:r>
    </w:p>
    <w:p w14:paraId="12EBB3BA" w14:textId="77777777" w:rsidR="00CC502D" w:rsidRPr="00C47C4E" w:rsidRDefault="00CC502D"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EC3702">
        <w:rPr>
          <w:rFonts w:ascii="Times New Roman" w:eastAsia="Times New Roman" w:hAnsi="Times New Roman" w:cs="Times New Roman"/>
          <w:sz w:val="24"/>
          <w:szCs w:val="24"/>
          <w:lang w:val="en-US" w:eastAsia="en-US"/>
        </w:rPr>
        <w:t xml:space="preserve">Nguyen, N.P. and </w:t>
      </w:r>
      <w:proofErr w:type="spellStart"/>
      <w:r w:rsidRPr="00EC3702">
        <w:rPr>
          <w:rFonts w:ascii="Times New Roman" w:eastAsia="Times New Roman" w:hAnsi="Times New Roman" w:cs="Times New Roman"/>
          <w:sz w:val="24"/>
          <w:szCs w:val="24"/>
          <w:lang w:val="en-US" w:eastAsia="en-US"/>
        </w:rPr>
        <w:t>Mogaji</w:t>
      </w:r>
      <w:proofErr w:type="spellEnd"/>
      <w:r w:rsidRPr="00EC3702">
        <w:rPr>
          <w:rFonts w:ascii="Times New Roman" w:eastAsia="Times New Roman" w:hAnsi="Times New Roman" w:cs="Times New Roman"/>
          <w:sz w:val="24"/>
          <w:szCs w:val="24"/>
          <w:lang w:val="en-US" w:eastAsia="en-US"/>
        </w:rPr>
        <w:t xml:space="preserve">, E. (2022) 'Brand development through sustainability certifications in emerging markets: adoption of B Corporation certification in Vietnam,' in </w:t>
      </w:r>
      <w:r w:rsidRPr="00EC3702">
        <w:rPr>
          <w:rFonts w:ascii="Times New Roman" w:eastAsia="Times New Roman" w:hAnsi="Times New Roman" w:cs="Times New Roman"/>
          <w:i/>
          <w:iCs/>
          <w:sz w:val="24"/>
          <w:szCs w:val="24"/>
          <w:lang w:val="en-US" w:eastAsia="en-US"/>
        </w:rPr>
        <w:t>Springer eBooks</w:t>
      </w:r>
      <w:r w:rsidRPr="00EC3702">
        <w:rPr>
          <w:rFonts w:ascii="Times New Roman" w:eastAsia="Times New Roman" w:hAnsi="Times New Roman" w:cs="Times New Roman"/>
          <w:sz w:val="24"/>
          <w:szCs w:val="24"/>
          <w:lang w:val="en-US" w:eastAsia="en-US"/>
        </w:rPr>
        <w:t xml:space="preserve">, pp. 233–255. </w:t>
      </w:r>
      <w:hyperlink r:id="rId9" w:history="1">
        <w:r w:rsidR="00EC3702" w:rsidRPr="000A4CAD">
          <w:rPr>
            <w:rStyle w:val="Hyperlink"/>
            <w:rFonts w:ascii="Times New Roman" w:eastAsia="Times New Roman" w:hAnsi="Times New Roman" w:cs="Times New Roman"/>
            <w:sz w:val="24"/>
            <w:szCs w:val="24"/>
            <w:lang w:val="en-US" w:eastAsia="en-US"/>
          </w:rPr>
          <w:t>https://doi.org/10.1007/978-3-030-95581-6_10</w:t>
        </w:r>
      </w:hyperlink>
      <w:r w:rsidRPr="00EC3702">
        <w:rPr>
          <w:rFonts w:ascii="Times New Roman" w:eastAsia="Times New Roman" w:hAnsi="Times New Roman" w:cs="Times New Roman"/>
          <w:sz w:val="24"/>
          <w:szCs w:val="24"/>
          <w:lang w:val="en-US" w:eastAsia="en-US"/>
        </w:rPr>
        <w:t>.</w:t>
      </w:r>
      <w:r w:rsidR="00EC3702">
        <w:rPr>
          <w:rFonts w:ascii="Times New Roman" w:eastAsia="Times New Roman" w:hAnsi="Times New Roman" w:cs="Times New Roman"/>
          <w:sz w:val="24"/>
          <w:szCs w:val="24"/>
          <w:lang w:val="en-US" w:eastAsia="en-US"/>
        </w:rPr>
        <w:t xml:space="preserve"> </w:t>
      </w:r>
    </w:p>
    <w:p w14:paraId="775AACDA" w14:textId="77777777" w:rsidR="00C47C4E" w:rsidRPr="00C47C4E"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Premier Inn (2022) </w:t>
      </w:r>
      <w:r w:rsidRPr="00C47C4E">
        <w:rPr>
          <w:rFonts w:ascii="Times New Roman" w:eastAsia="Times New Roman" w:hAnsi="Times New Roman" w:cs="Times New Roman"/>
          <w:i/>
          <w:iCs/>
          <w:sz w:val="24"/>
          <w:szCs w:val="24"/>
          <w:lang w:val="en-US" w:eastAsia="en-US"/>
        </w:rPr>
        <w:t>Premier Inn Hotels: Book Direct</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Premier Inn hotels | Book direct</w:t>
      </w:r>
      <w:r w:rsidRPr="00C47C4E">
        <w:rPr>
          <w:rFonts w:ascii="Times New Roman" w:eastAsia="Times New Roman" w:hAnsi="Times New Roman" w:cs="Times New Roman"/>
          <w:sz w:val="24"/>
          <w:szCs w:val="24"/>
          <w:lang w:val="en-US" w:eastAsia="en-US"/>
        </w:rPr>
        <w:t xml:space="preserve">. Available at: </w:t>
      </w:r>
      <w:hyperlink r:id="rId10" w:history="1">
        <w:r w:rsidR="00EC3702" w:rsidRPr="000A4CAD">
          <w:rPr>
            <w:rStyle w:val="Hyperlink"/>
            <w:rFonts w:ascii="Times New Roman" w:eastAsia="Times New Roman" w:hAnsi="Times New Roman" w:cs="Times New Roman"/>
            <w:sz w:val="24"/>
            <w:szCs w:val="24"/>
            <w:lang w:val="en-US" w:eastAsia="en-US"/>
          </w:rPr>
          <w:t>https://www.premierinn.com/gb/en/home.html</w:t>
        </w:r>
      </w:hyperlink>
      <w:r w:rsidR="00EC3702">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sz w:val="24"/>
          <w:szCs w:val="24"/>
          <w:lang w:val="en-US" w:eastAsia="en-US"/>
        </w:rPr>
        <w:t xml:space="preserve">. </w:t>
      </w:r>
    </w:p>
    <w:p w14:paraId="6CA60F91" w14:textId="77777777" w:rsidR="00EB4D0F" w:rsidRPr="00EC3702" w:rsidRDefault="00C47C4E"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Statista Research Department and 7, S. (2023) </w:t>
      </w:r>
      <w:r w:rsidRPr="00C47C4E">
        <w:rPr>
          <w:rFonts w:ascii="Times New Roman" w:eastAsia="Times New Roman" w:hAnsi="Times New Roman" w:cs="Times New Roman"/>
          <w:i/>
          <w:iCs/>
          <w:sz w:val="24"/>
          <w:szCs w:val="24"/>
          <w:lang w:val="en-US" w:eastAsia="en-US"/>
        </w:rPr>
        <w:t>Annual revenue of Whitbread worldwide from 2011/12 to 2022/23</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Statista</w:t>
      </w:r>
      <w:r w:rsidRPr="00C47C4E">
        <w:rPr>
          <w:rFonts w:ascii="Times New Roman" w:eastAsia="Times New Roman" w:hAnsi="Times New Roman" w:cs="Times New Roman"/>
          <w:sz w:val="24"/>
          <w:szCs w:val="24"/>
          <w:lang w:val="en-US" w:eastAsia="en-US"/>
        </w:rPr>
        <w:t xml:space="preserve">. Available at: </w:t>
      </w:r>
      <w:hyperlink r:id="rId11" w:history="1">
        <w:r w:rsidR="00EB4D0F" w:rsidRPr="00EC3702">
          <w:rPr>
            <w:rStyle w:val="Hyperlink"/>
            <w:rFonts w:ascii="Times New Roman" w:eastAsia="Times New Roman" w:hAnsi="Times New Roman" w:cs="Times New Roman"/>
            <w:sz w:val="24"/>
            <w:szCs w:val="24"/>
            <w:lang w:val="en-US" w:eastAsia="en-US"/>
          </w:rPr>
          <w:t>https://www.statista.com/statistics/511372/total-revenue-whitbread-united-kingdom-uk/</w:t>
        </w:r>
      </w:hyperlink>
      <w:r w:rsidR="00EB4D0F" w:rsidRPr="00EC3702">
        <w:rPr>
          <w:rFonts w:ascii="Times New Roman" w:eastAsia="Times New Roman" w:hAnsi="Times New Roman" w:cs="Times New Roman"/>
          <w:sz w:val="24"/>
          <w:szCs w:val="24"/>
          <w:lang w:val="en-US" w:eastAsia="en-US"/>
        </w:rPr>
        <w:t xml:space="preserve"> </w:t>
      </w:r>
    </w:p>
    <w:p w14:paraId="39B02EEE" w14:textId="77777777" w:rsidR="00EB4D0F" w:rsidRPr="00EC3702" w:rsidRDefault="00EB4D0F"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EC3702">
        <w:rPr>
          <w:rFonts w:ascii="Times New Roman" w:eastAsia="Times New Roman" w:hAnsi="Times New Roman" w:cs="Times New Roman"/>
          <w:sz w:val="24"/>
          <w:szCs w:val="24"/>
          <w:lang w:val="en-US" w:eastAsia="en-US"/>
        </w:rPr>
        <w:t xml:space="preserve">Strunz, S. and Schindler, H. (2018) ‘Identifying barriers toward a post-growth economy – A political economy view’, </w:t>
      </w:r>
      <w:r w:rsidRPr="00EC3702">
        <w:rPr>
          <w:rFonts w:ascii="Times New Roman" w:eastAsia="Times New Roman" w:hAnsi="Times New Roman" w:cs="Times New Roman"/>
          <w:i/>
          <w:iCs/>
          <w:sz w:val="24"/>
          <w:szCs w:val="24"/>
          <w:lang w:val="en-US" w:eastAsia="en-US"/>
        </w:rPr>
        <w:t>Ecological Economics</w:t>
      </w:r>
      <w:r w:rsidRPr="00EC3702">
        <w:rPr>
          <w:rFonts w:ascii="Times New Roman" w:eastAsia="Times New Roman" w:hAnsi="Times New Roman" w:cs="Times New Roman"/>
          <w:sz w:val="24"/>
          <w:szCs w:val="24"/>
          <w:lang w:val="en-US" w:eastAsia="en-US"/>
        </w:rPr>
        <w:t>, 153, pp. 68–77. do</w:t>
      </w:r>
      <w:r w:rsidR="00EC3702">
        <w:rPr>
          <w:rFonts w:ascii="Times New Roman" w:eastAsia="Times New Roman" w:hAnsi="Times New Roman" w:cs="Times New Roman"/>
          <w:sz w:val="24"/>
          <w:szCs w:val="24"/>
          <w:lang w:val="en-US" w:eastAsia="en-US"/>
        </w:rPr>
        <w:t>i:10.1016/j.ecolecon.2018.06.01</w:t>
      </w:r>
      <w:r w:rsidRPr="00EC3702">
        <w:rPr>
          <w:rFonts w:ascii="Times New Roman" w:eastAsia="Times New Roman" w:hAnsi="Times New Roman" w:cs="Times New Roman"/>
          <w:sz w:val="24"/>
          <w:szCs w:val="24"/>
          <w:lang w:val="en-US" w:eastAsia="en-US"/>
        </w:rPr>
        <w:t>.</w:t>
      </w:r>
      <w:r w:rsidR="00EC3702">
        <w:rPr>
          <w:rFonts w:ascii="Times New Roman" w:eastAsia="Times New Roman" w:hAnsi="Times New Roman" w:cs="Times New Roman"/>
          <w:sz w:val="24"/>
          <w:szCs w:val="24"/>
          <w:lang w:val="en-US" w:eastAsia="en-US"/>
        </w:rPr>
        <w:t xml:space="preserve"> </w:t>
      </w:r>
      <w:r w:rsidRPr="00EC3702">
        <w:rPr>
          <w:rFonts w:ascii="Times New Roman" w:eastAsia="Times New Roman" w:hAnsi="Times New Roman" w:cs="Times New Roman"/>
          <w:sz w:val="24"/>
          <w:szCs w:val="24"/>
          <w:lang w:val="en-US" w:eastAsia="en-US"/>
        </w:rPr>
        <w:t xml:space="preserve"> </w:t>
      </w:r>
    </w:p>
    <w:p w14:paraId="370520AD" w14:textId="77777777" w:rsidR="00894C0B" w:rsidRPr="00C47C4E" w:rsidRDefault="00894C0B"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r w:rsidRPr="00C47C4E">
        <w:rPr>
          <w:rFonts w:ascii="Times New Roman" w:eastAsia="Times New Roman" w:hAnsi="Times New Roman" w:cs="Times New Roman"/>
          <w:sz w:val="24"/>
          <w:szCs w:val="24"/>
          <w:lang w:val="en-US" w:eastAsia="en-US"/>
        </w:rPr>
        <w:t xml:space="preserve">The Guardian (2023) </w:t>
      </w:r>
      <w:r w:rsidRPr="00C47C4E">
        <w:rPr>
          <w:rFonts w:ascii="Times New Roman" w:eastAsia="Times New Roman" w:hAnsi="Times New Roman" w:cs="Times New Roman"/>
          <w:i/>
          <w:iCs/>
          <w:sz w:val="24"/>
          <w:szCs w:val="24"/>
          <w:lang w:val="en-US" w:eastAsia="en-US"/>
        </w:rPr>
        <w:t xml:space="preserve">Premier Inn owner surpasses pre-covid profits as </w:t>
      </w:r>
      <w:proofErr w:type="spellStart"/>
      <w:r w:rsidRPr="00C47C4E">
        <w:rPr>
          <w:rFonts w:ascii="Times New Roman" w:eastAsia="Times New Roman" w:hAnsi="Times New Roman" w:cs="Times New Roman"/>
          <w:i/>
          <w:iCs/>
          <w:sz w:val="24"/>
          <w:szCs w:val="24"/>
          <w:lang w:val="en-US" w:eastAsia="en-US"/>
        </w:rPr>
        <w:t>travellers</w:t>
      </w:r>
      <w:proofErr w:type="spellEnd"/>
      <w:r w:rsidRPr="00C47C4E">
        <w:rPr>
          <w:rFonts w:ascii="Times New Roman" w:eastAsia="Times New Roman" w:hAnsi="Times New Roman" w:cs="Times New Roman"/>
          <w:i/>
          <w:iCs/>
          <w:sz w:val="24"/>
          <w:szCs w:val="24"/>
          <w:lang w:val="en-US" w:eastAsia="en-US"/>
        </w:rPr>
        <w:t xml:space="preserve"> seek deals</w:t>
      </w:r>
      <w:r w:rsidRPr="00C47C4E">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i/>
          <w:iCs/>
          <w:sz w:val="24"/>
          <w:szCs w:val="24"/>
          <w:lang w:val="en-US" w:eastAsia="en-US"/>
        </w:rPr>
        <w:t>The Guardian</w:t>
      </w:r>
      <w:r w:rsidRPr="00C47C4E">
        <w:rPr>
          <w:rFonts w:ascii="Times New Roman" w:eastAsia="Times New Roman" w:hAnsi="Times New Roman" w:cs="Times New Roman"/>
          <w:sz w:val="24"/>
          <w:szCs w:val="24"/>
          <w:lang w:val="en-US" w:eastAsia="en-US"/>
        </w:rPr>
        <w:t xml:space="preserve">. Available at: </w:t>
      </w:r>
      <w:hyperlink r:id="rId12" w:history="1">
        <w:r w:rsidR="00EC3702" w:rsidRPr="000A4CAD">
          <w:rPr>
            <w:rStyle w:val="Hyperlink"/>
            <w:rFonts w:ascii="Times New Roman" w:eastAsia="Times New Roman" w:hAnsi="Times New Roman" w:cs="Times New Roman"/>
            <w:sz w:val="24"/>
            <w:szCs w:val="24"/>
            <w:lang w:val="en-US" w:eastAsia="en-US"/>
          </w:rPr>
          <w:t>https://www.theguardian.com/business/2023/apr/25/premier-inn-whitbread-pre-covid-profits-deals</w:t>
        </w:r>
      </w:hyperlink>
      <w:r w:rsidR="00EC3702">
        <w:rPr>
          <w:rFonts w:ascii="Times New Roman" w:eastAsia="Times New Roman" w:hAnsi="Times New Roman" w:cs="Times New Roman"/>
          <w:sz w:val="24"/>
          <w:szCs w:val="24"/>
          <w:lang w:val="en-US" w:eastAsia="en-US"/>
        </w:rPr>
        <w:t xml:space="preserve"> </w:t>
      </w:r>
      <w:r w:rsidRPr="00C47C4E">
        <w:rPr>
          <w:rFonts w:ascii="Times New Roman" w:eastAsia="Times New Roman" w:hAnsi="Times New Roman" w:cs="Times New Roman"/>
          <w:sz w:val="24"/>
          <w:szCs w:val="24"/>
          <w:lang w:val="en-US" w:eastAsia="en-US"/>
        </w:rPr>
        <w:t xml:space="preserve">. </w:t>
      </w:r>
    </w:p>
    <w:p w14:paraId="5AC359DF" w14:textId="77777777" w:rsidR="00EB4D0F" w:rsidRPr="00C47C4E" w:rsidRDefault="00EB4D0F" w:rsidP="001E36D4">
      <w:pPr>
        <w:spacing w:before="100" w:beforeAutospacing="1" w:after="100" w:afterAutospacing="1" w:line="360" w:lineRule="auto"/>
        <w:ind w:left="567" w:hanging="567"/>
        <w:contextualSpacing/>
        <w:rPr>
          <w:rFonts w:ascii="Times New Roman" w:eastAsia="Times New Roman" w:hAnsi="Times New Roman" w:cs="Times New Roman"/>
          <w:sz w:val="24"/>
          <w:szCs w:val="24"/>
          <w:lang w:val="en-US" w:eastAsia="en-US"/>
        </w:rPr>
      </w:pPr>
    </w:p>
    <w:p w14:paraId="135BB5BA" w14:textId="77777777" w:rsidR="00C47C4E" w:rsidRPr="00EC3702" w:rsidRDefault="00C47C4E" w:rsidP="001E36D4">
      <w:pPr>
        <w:spacing w:line="360" w:lineRule="auto"/>
        <w:contextualSpacing/>
        <w:rPr>
          <w:rFonts w:ascii="Times New Roman" w:hAnsi="Times New Roman" w:cs="Times New Roman"/>
          <w:sz w:val="24"/>
          <w:szCs w:val="24"/>
        </w:rPr>
      </w:pPr>
    </w:p>
    <w:p w14:paraId="7D2F67FE" w14:textId="77777777" w:rsidR="000207F6" w:rsidRPr="00EC3702" w:rsidRDefault="000207F6" w:rsidP="001E36D4">
      <w:pPr>
        <w:spacing w:line="360" w:lineRule="auto"/>
        <w:contextualSpacing/>
        <w:rPr>
          <w:rFonts w:ascii="Times New Roman" w:hAnsi="Times New Roman" w:cs="Times New Roman"/>
          <w:sz w:val="24"/>
          <w:szCs w:val="24"/>
        </w:rPr>
      </w:pPr>
    </w:p>
    <w:sectPr w:rsidR="000207F6" w:rsidRPr="00EC3702">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608AB" w14:textId="77777777" w:rsidR="0098562E" w:rsidRDefault="0098562E" w:rsidP="00B145E2">
      <w:r>
        <w:separator/>
      </w:r>
    </w:p>
  </w:endnote>
  <w:endnote w:type="continuationSeparator" w:id="0">
    <w:p w14:paraId="6BA6BB2F" w14:textId="77777777" w:rsidR="0098562E" w:rsidRDefault="0098562E" w:rsidP="00B14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DCCD5" w14:textId="77777777" w:rsidR="0098562E" w:rsidRDefault="0098562E" w:rsidP="00B145E2">
      <w:r>
        <w:separator/>
      </w:r>
    </w:p>
  </w:footnote>
  <w:footnote w:type="continuationSeparator" w:id="0">
    <w:p w14:paraId="014605C1" w14:textId="77777777" w:rsidR="0098562E" w:rsidRDefault="0098562E" w:rsidP="00B145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24157457"/>
      <w:docPartObj>
        <w:docPartGallery w:val="Page Numbers (Top of Page)"/>
        <w:docPartUnique/>
      </w:docPartObj>
    </w:sdtPr>
    <w:sdtEndPr>
      <w:rPr>
        <w:noProof/>
      </w:rPr>
    </w:sdtEndPr>
    <w:sdtContent>
      <w:p w14:paraId="2894C630" w14:textId="1D7C3677" w:rsidR="00833BA0" w:rsidRPr="002545B9" w:rsidRDefault="00833BA0" w:rsidP="002545B9">
        <w:pPr>
          <w:pStyle w:val="Header"/>
          <w:spacing w:line="480" w:lineRule="auto"/>
          <w:jc w:val="right"/>
          <w:rPr>
            <w:rFonts w:ascii="Times New Roman" w:hAnsi="Times New Roman" w:cs="Times New Roman"/>
            <w:sz w:val="24"/>
            <w:szCs w:val="24"/>
          </w:rPr>
        </w:pPr>
        <w:r w:rsidRPr="00B145E2">
          <w:rPr>
            <w:rFonts w:ascii="Times New Roman" w:hAnsi="Times New Roman" w:cs="Times New Roman"/>
            <w:sz w:val="24"/>
            <w:szCs w:val="24"/>
          </w:rPr>
          <w:t>Comparison of Mandarin Oriental Hotel Group and Premier Inn</w:t>
        </w:r>
        <w:r w:rsidR="00444DB0">
          <w:rPr>
            <w:rFonts w:ascii="Times New Roman" w:hAnsi="Times New Roman" w:cs="Times New Roman"/>
            <w:sz w:val="24"/>
            <w:szCs w:val="24"/>
          </w:rPr>
          <w:t xml:space="preserve">     </w:t>
        </w:r>
        <w:r w:rsidRPr="00B145E2">
          <w:rPr>
            <w:rFonts w:ascii="Times New Roman" w:hAnsi="Times New Roman" w:cs="Times New Roman"/>
            <w:sz w:val="24"/>
            <w:szCs w:val="24"/>
          </w:rPr>
          <w:fldChar w:fldCharType="begin"/>
        </w:r>
        <w:r w:rsidRPr="00B145E2">
          <w:rPr>
            <w:rFonts w:ascii="Times New Roman" w:hAnsi="Times New Roman" w:cs="Times New Roman"/>
            <w:sz w:val="24"/>
            <w:szCs w:val="24"/>
          </w:rPr>
          <w:instrText xml:space="preserve"> PAGE   \* MERGEFORMAT </w:instrText>
        </w:r>
        <w:r w:rsidRPr="00B145E2">
          <w:rPr>
            <w:rFonts w:ascii="Times New Roman" w:hAnsi="Times New Roman" w:cs="Times New Roman"/>
            <w:sz w:val="24"/>
            <w:szCs w:val="24"/>
          </w:rPr>
          <w:fldChar w:fldCharType="separate"/>
        </w:r>
        <w:r w:rsidR="00500A61">
          <w:rPr>
            <w:rFonts w:ascii="Times New Roman" w:hAnsi="Times New Roman" w:cs="Times New Roman"/>
            <w:noProof/>
            <w:sz w:val="24"/>
            <w:szCs w:val="24"/>
          </w:rPr>
          <w:t>10</w:t>
        </w:r>
        <w:r w:rsidRPr="00B145E2">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5E2"/>
    <w:rsid w:val="000207F6"/>
    <w:rsid w:val="00073A13"/>
    <w:rsid w:val="00081654"/>
    <w:rsid w:val="000C7AA2"/>
    <w:rsid w:val="000D766F"/>
    <w:rsid w:val="00133D1B"/>
    <w:rsid w:val="001E36D4"/>
    <w:rsid w:val="0022563A"/>
    <w:rsid w:val="002545B9"/>
    <w:rsid w:val="0027679E"/>
    <w:rsid w:val="002842EA"/>
    <w:rsid w:val="00344A74"/>
    <w:rsid w:val="00351E84"/>
    <w:rsid w:val="003F2335"/>
    <w:rsid w:val="00422AF9"/>
    <w:rsid w:val="00444139"/>
    <w:rsid w:val="00444DB0"/>
    <w:rsid w:val="00493F29"/>
    <w:rsid w:val="004A0903"/>
    <w:rsid w:val="004D397B"/>
    <w:rsid w:val="004E74FC"/>
    <w:rsid w:val="00500A61"/>
    <w:rsid w:val="00503B13"/>
    <w:rsid w:val="005F4332"/>
    <w:rsid w:val="00623E09"/>
    <w:rsid w:val="006348A2"/>
    <w:rsid w:val="006361E0"/>
    <w:rsid w:val="00657201"/>
    <w:rsid w:val="00700084"/>
    <w:rsid w:val="00726431"/>
    <w:rsid w:val="007A4BFC"/>
    <w:rsid w:val="007C2588"/>
    <w:rsid w:val="00833BA0"/>
    <w:rsid w:val="00894C0B"/>
    <w:rsid w:val="008C2FD9"/>
    <w:rsid w:val="0098562E"/>
    <w:rsid w:val="009B2062"/>
    <w:rsid w:val="00A110AD"/>
    <w:rsid w:val="00A338AC"/>
    <w:rsid w:val="00A843E9"/>
    <w:rsid w:val="00AC2DBB"/>
    <w:rsid w:val="00AD76E7"/>
    <w:rsid w:val="00B145E2"/>
    <w:rsid w:val="00B45B0D"/>
    <w:rsid w:val="00B65837"/>
    <w:rsid w:val="00B7314B"/>
    <w:rsid w:val="00BF64A2"/>
    <w:rsid w:val="00C47C4E"/>
    <w:rsid w:val="00C567B9"/>
    <w:rsid w:val="00C72FA1"/>
    <w:rsid w:val="00C82552"/>
    <w:rsid w:val="00C9645F"/>
    <w:rsid w:val="00CC502D"/>
    <w:rsid w:val="00CF4E40"/>
    <w:rsid w:val="00D53F38"/>
    <w:rsid w:val="00DB66AE"/>
    <w:rsid w:val="00DE4C6E"/>
    <w:rsid w:val="00E12092"/>
    <w:rsid w:val="00E22327"/>
    <w:rsid w:val="00EB1D51"/>
    <w:rsid w:val="00EB4D0F"/>
    <w:rsid w:val="00EC3702"/>
    <w:rsid w:val="00F379FE"/>
    <w:rsid w:val="00F53D2B"/>
    <w:rsid w:val="00FA5D00"/>
    <w:rsid w:val="00FA6437"/>
    <w:rsid w:val="00FB390A"/>
    <w:rsid w:val="00FE1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76FA35"/>
  <w15:chartTrackingRefBased/>
  <w15:docId w15:val="{4F50D34C-B86D-4EE1-A44B-AC432235C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C0B"/>
    <w:pPr>
      <w:spacing w:after="0" w:line="240" w:lineRule="auto"/>
    </w:pPr>
    <w:rPr>
      <w:rFonts w:eastAsiaTheme="minorEastAsia"/>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5E2"/>
    <w:pPr>
      <w:tabs>
        <w:tab w:val="center" w:pos="4680"/>
        <w:tab w:val="right" w:pos="9360"/>
      </w:tabs>
    </w:pPr>
  </w:style>
  <w:style w:type="character" w:customStyle="1" w:styleId="HeaderChar">
    <w:name w:val="Header Char"/>
    <w:basedOn w:val="DefaultParagraphFont"/>
    <w:link w:val="Header"/>
    <w:uiPriority w:val="99"/>
    <w:rsid w:val="00B145E2"/>
    <w:rPr>
      <w:rFonts w:eastAsiaTheme="minorEastAsia"/>
      <w:lang w:val="en-GB" w:eastAsia="en-GB"/>
    </w:rPr>
  </w:style>
  <w:style w:type="paragraph" w:styleId="Footer">
    <w:name w:val="footer"/>
    <w:basedOn w:val="Normal"/>
    <w:link w:val="FooterChar"/>
    <w:uiPriority w:val="99"/>
    <w:unhideWhenUsed/>
    <w:rsid w:val="00B145E2"/>
    <w:pPr>
      <w:tabs>
        <w:tab w:val="center" w:pos="4680"/>
        <w:tab w:val="right" w:pos="9360"/>
      </w:tabs>
    </w:pPr>
  </w:style>
  <w:style w:type="character" w:customStyle="1" w:styleId="FooterChar">
    <w:name w:val="Footer Char"/>
    <w:basedOn w:val="DefaultParagraphFont"/>
    <w:link w:val="Footer"/>
    <w:uiPriority w:val="99"/>
    <w:rsid w:val="00B145E2"/>
    <w:rPr>
      <w:rFonts w:eastAsiaTheme="minorEastAsia"/>
      <w:lang w:val="en-GB" w:eastAsia="en-GB"/>
    </w:rPr>
  </w:style>
  <w:style w:type="paragraph" w:styleId="NormalWeb">
    <w:name w:val="Normal (Web)"/>
    <w:basedOn w:val="Normal"/>
    <w:uiPriority w:val="99"/>
    <w:unhideWhenUsed/>
    <w:rsid w:val="000207F6"/>
    <w:pPr>
      <w:spacing w:before="100" w:beforeAutospacing="1" w:after="100" w:afterAutospacing="1"/>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unhideWhenUsed/>
    <w:rsid w:val="00EB4D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90201">
      <w:bodyDiv w:val="1"/>
      <w:marLeft w:val="0"/>
      <w:marRight w:val="0"/>
      <w:marTop w:val="0"/>
      <w:marBottom w:val="0"/>
      <w:divBdr>
        <w:top w:val="none" w:sz="0" w:space="0" w:color="auto"/>
        <w:left w:val="none" w:sz="0" w:space="0" w:color="auto"/>
        <w:bottom w:val="none" w:sz="0" w:space="0" w:color="auto"/>
        <w:right w:val="none" w:sz="0" w:space="0" w:color="auto"/>
      </w:divBdr>
    </w:div>
    <w:div w:id="311099499">
      <w:bodyDiv w:val="1"/>
      <w:marLeft w:val="0"/>
      <w:marRight w:val="0"/>
      <w:marTop w:val="0"/>
      <w:marBottom w:val="0"/>
      <w:divBdr>
        <w:top w:val="none" w:sz="0" w:space="0" w:color="auto"/>
        <w:left w:val="none" w:sz="0" w:space="0" w:color="auto"/>
        <w:bottom w:val="none" w:sz="0" w:space="0" w:color="auto"/>
        <w:right w:val="none" w:sz="0" w:space="0" w:color="auto"/>
      </w:divBdr>
    </w:div>
    <w:div w:id="392125992">
      <w:bodyDiv w:val="1"/>
      <w:marLeft w:val="0"/>
      <w:marRight w:val="0"/>
      <w:marTop w:val="0"/>
      <w:marBottom w:val="0"/>
      <w:divBdr>
        <w:top w:val="none" w:sz="0" w:space="0" w:color="auto"/>
        <w:left w:val="none" w:sz="0" w:space="0" w:color="auto"/>
        <w:bottom w:val="none" w:sz="0" w:space="0" w:color="auto"/>
        <w:right w:val="none" w:sz="0" w:space="0" w:color="auto"/>
      </w:divBdr>
    </w:div>
    <w:div w:id="393626771">
      <w:bodyDiv w:val="1"/>
      <w:marLeft w:val="0"/>
      <w:marRight w:val="0"/>
      <w:marTop w:val="0"/>
      <w:marBottom w:val="0"/>
      <w:divBdr>
        <w:top w:val="none" w:sz="0" w:space="0" w:color="auto"/>
        <w:left w:val="none" w:sz="0" w:space="0" w:color="auto"/>
        <w:bottom w:val="none" w:sz="0" w:space="0" w:color="auto"/>
        <w:right w:val="none" w:sz="0" w:space="0" w:color="auto"/>
      </w:divBdr>
    </w:div>
    <w:div w:id="457185348">
      <w:bodyDiv w:val="1"/>
      <w:marLeft w:val="0"/>
      <w:marRight w:val="0"/>
      <w:marTop w:val="0"/>
      <w:marBottom w:val="0"/>
      <w:divBdr>
        <w:top w:val="none" w:sz="0" w:space="0" w:color="auto"/>
        <w:left w:val="none" w:sz="0" w:space="0" w:color="auto"/>
        <w:bottom w:val="none" w:sz="0" w:space="0" w:color="auto"/>
        <w:right w:val="none" w:sz="0" w:space="0" w:color="auto"/>
      </w:divBdr>
    </w:div>
    <w:div w:id="750543988">
      <w:bodyDiv w:val="1"/>
      <w:marLeft w:val="0"/>
      <w:marRight w:val="0"/>
      <w:marTop w:val="0"/>
      <w:marBottom w:val="0"/>
      <w:divBdr>
        <w:top w:val="none" w:sz="0" w:space="0" w:color="auto"/>
        <w:left w:val="none" w:sz="0" w:space="0" w:color="auto"/>
        <w:bottom w:val="none" w:sz="0" w:space="0" w:color="auto"/>
        <w:right w:val="none" w:sz="0" w:space="0" w:color="auto"/>
      </w:divBdr>
    </w:div>
    <w:div w:id="1062213006">
      <w:bodyDiv w:val="1"/>
      <w:marLeft w:val="0"/>
      <w:marRight w:val="0"/>
      <w:marTop w:val="0"/>
      <w:marBottom w:val="0"/>
      <w:divBdr>
        <w:top w:val="none" w:sz="0" w:space="0" w:color="auto"/>
        <w:left w:val="none" w:sz="0" w:space="0" w:color="auto"/>
        <w:bottom w:val="none" w:sz="0" w:space="0" w:color="auto"/>
        <w:right w:val="none" w:sz="0" w:space="0" w:color="auto"/>
      </w:divBdr>
    </w:div>
    <w:div w:id="1164317834">
      <w:bodyDiv w:val="1"/>
      <w:marLeft w:val="0"/>
      <w:marRight w:val="0"/>
      <w:marTop w:val="0"/>
      <w:marBottom w:val="0"/>
      <w:divBdr>
        <w:top w:val="none" w:sz="0" w:space="0" w:color="auto"/>
        <w:left w:val="none" w:sz="0" w:space="0" w:color="auto"/>
        <w:bottom w:val="none" w:sz="0" w:space="0" w:color="auto"/>
        <w:right w:val="none" w:sz="0" w:space="0" w:color="auto"/>
      </w:divBdr>
    </w:div>
    <w:div w:id="1576672189">
      <w:bodyDiv w:val="1"/>
      <w:marLeft w:val="0"/>
      <w:marRight w:val="0"/>
      <w:marTop w:val="0"/>
      <w:marBottom w:val="0"/>
      <w:divBdr>
        <w:top w:val="none" w:sz="0" w:space="0" w:color="auto"/>
        <w:left w:val="none" w:sz="0" w:space="0" w:color="auto"/>
        <w:bottom w:val="none" w:sz="0" w:space="0" w:color="auto"/>
        <w:right w:val="none" w:sz="0" w:space="0" w:color="auto"/>
      </w:divBdr>
    </w:div>
    <w:div w:id="1701971592">
      <w:bodyDiv w:val="1"/>
      <w:marLeft w:val="0"/>
      <w:marRight w:val="0"/>
      <w:marTop w:val="0"/>
      <w:marBottom w:val="0"/>
      <w:divBdr>
        <w:top w:val="none" w:sz="0" w:space="0" w:color="auto"/>
        <w:left w:val="none" w:sz="0" w:space="0" w:color="auto"/>
        <w:bottom w:val="none" w:sz="0" w:space="0" w:color="auto"/>
        <w:right w:val="none" w:sz="0" w:space="0" w:color="auto"/>
      </w:divBdr>
    </w:div>
    <w:div w:id="1898517666">
      <w:bodyDiv w:val="1"/>
      <w:marLeft w:val="0"/>
      <w:marRight w:val="0"/>
      <w:marTop w:val="0"/>
      <w:marBottom w:val="0"/>
      <w:divBdr>
        <w:top w:val="none" w:sz="0" w:space="0" w:color="auto"/>
        <w:left w:val="none" w:sz="0" w:space="0" w:color="auto"/>
        <w:bottom w:val="none" w:sz="0" w:space="0" w:color="auto"/>
        <w:right w:val="none" w:sz="0" w:space="0" w:color="auto"/>
      </w:divBdr>
    </w:div>
    <w:div w:id="1984043263">
      <w:bodyDiv w:val="1"/>
      <w:marLeft w:val="0"/>
      <w:marRight w:val="0"/>
      <w:marTop w:val="0"/>
      <w:marBottom w:val="0"/>
      <w:divBdr>
        <w:top w:val="none" w:sz="0" w:space="0" w:color="auto"/>
        <w:left w:val="none" w:sz="0" w:space="0" w:color="auto"/>
        <w:bottom w:val="none" w:sz="0" w:space="0" w:color="auto"/>
        <w:right w:val="none" w:sz="0" w:space="0" w:color="auto"/>
      </w:divBdr>
    </w:div>
    <w:div w:id="2064523835">
      <w:bodyDiv w:val="1"/>
      <w:marLeft w:val="0"/>
      <w:marRight w:val="0"/>
      <w:marTop w:val="0"/>
      <w:marBottom w:val="0"/>
      <w:divBdr>
        <w:top w:val="none" w:sz="0" w:space="0" w:color="auto"/>
        <w:left w:val="none" w:sz="0" w:space="0" w:color="auto"/>
        <w:bottom w:val="none" w:sz="0" w:space="0" w:color="auto"/>
        <w:right w:val="none" w:sz="0" w:space="0" w:color="auto"/>
      </w:divBdr>
      <w:divsChild>
        <w:div w:id="129252519">
          <w:marLeft w:val="-720"/>
          <w:marRight w:val="0"/>
          <w:marTop w:val="0"/>
          <w:marBottom w:val="0"/>
          <w:divBdr>
            <w:top w:val="none" w:sz="0" w:space="0" w:color="auto"/>
            <w:left w:val="none" w:sz="0" w:space="0" w:color="auto"/>
            <w:bottom w:val="none" w:sz="0" w:space="0" w:color="auto"/>
            <w:right w:val="none" w:sz="0" w:space="0" w:color="auto"/>
          </w:divBdr>
        </w:div>
      </w:divsChild>
    </w:div>
    <w:div w:id="2097708498">
      <w:bodyDiv w:val="1"/>
      <w:marLeft w:val="0"/>
      <w:marRight w:val="0"/>
      <w:marTop w:val="0"/>
      <w:marBottom w:val="0"/>
      <w:divBdr>
        <w:top w:val="none" w:sz="0" w:space="0" w:color="auto"/>
        <w:left w:val="none" w:sz="0" w:space="0" w:color="auto"/>
        <w:bottom w:val="none" w:sz="0" w:space="0" w:color="auto"/>
        <w:right w:val="none" w:sz="0" w:space="0" w:color="auto"/>
      </w:divBdr>
      <w:divsChild>
        <w:div w:id="466751696">
          <w:marLeft w:val="-720"/>
          <w:marRight w:val="0"/>
          <w:marTop w:val="0"/>
          <w:marBottom w:val="0"/>
          <w:divBdr>
            <w:top w:val="none" w:sz="0" w:space="0" w:color="auto"/>
            <w:left w:val="none" w:sz="0" w:space="0" w:color="auto"/>
            <w:bottom w:val="none" w:sz="0" w:space="0" w:color="auto"/>
            <w:right w:val="none" w:sz="0" w:space="0" w:color="auto"/>
          </w:divBdr>
        </w:div>
      </w:divsChild>
    </w:div>
    <w:div w:id="2138911513">
      <w:bodyDiv w:val="1"/>
      <w:marLeft w:val="0"/>
      <w:marRight w:val="0"/>
      <w:marTop w:val="0"/>
      <w:marBottom w:val="0"/>
      <w:divBdr>
        <w:top w:val="none" w:sz="0" w:space="0" w:color="auto"/>
        <w:left w:val="none" w:sz="0" w:space="0" w:color="auto"/>
        <w:bottom w:val="none" w:sz="0" w:space="0" w:color="auto"/>
        <w:right w:val="none" w:sz="0" w:space="0" w:color="auto"/>
      </w:divBdr>
      <w:divsChild>
        <w:div w:id="9155475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otos.mandarinoriental.com/is/content/MandarinOriental/_Corporate/PDFs/Investors/Analyst%20Presentations/corporate-22arMOIL.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andarinoriental.com/en/" TargetMode="External"/><Relationship Id="rId12" Type="http://schemas.openxmlformats.org/officeDocument/2006/relationships/hyperlink" Target="https://www.theguardian.com/business/2023/apr/25/premier-inn-whitbread-pre-covid-profits-dea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hdl.handle.net/10362/138971" TargetMode="External"/><Relationship Id="rId11" Type="http://schemas.openxmlformats.org/officeDocument/2006/relationships/hyperlink" Target="https://www.statista.com/statistics/511372/total-revenue-whitbread-united-kingdom-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premierinn.com/gb/en/home.html" TargetMode="External"/><Relationship Id="rId4" Type="http://schemas.openxmlformats.org/officeDocument/2006/relationships/footnotes" Target="footnotes.xml"/><Relationship Id="rId9" Type="http://schemas.openxmlformats.org/officeDocument/2006/relationships/hyperlink" Target="https://doi.org/10.1007/978-3-030-95581-6_1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Lavric (2121183)</cp:lastModifiedBy>
  <cp:revision>3</cp:revision>
  <dcterms:created xsi:type="dcterms:W3CDTF">2023-10-16T11:03:00Z</dcterms:created>
  <dcterms:modified xsi:type="dcterms:W3CDTF">2023-10-18T14:10:00Z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641e4fc7-a987-4866-9897-e582d0b0ecc6</vt:lpwstr>
  </property>
</Properties>
</file>