
<file path=[Content_Types].xml><?xml version="1.0" encoding="utf-8"?>
<Types xmlns="http://schemas.openxmlformats.org/package/2006/content-types">
  <Default Extension="docx" ContentType="application/vnd.openxmlformats-officedocument.wordprocessingml.docume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AABB6" w14:textId="77777777" w:rsidR="003D2CBF" w:rsidRPr="00AF1EB8" w:rsidRDefault="003D2CBF" w:rsidP="003D2CBF">
      <w:pPr>
        <w:jc w:val="center"/>
        <w:rPr>
          <w:b/>
          <w:bCs/>
        </w:rPr>
      </w:pPr>
      <w:bookmarkStart w:id="0" w:name="OLE_LINK2"/>
      <w:r w:rsidRPr="00AF1EB8">
        <w:rPr>
          <w:b/>
          <w:bCs/>
          <w:noProof/>
        </w:rPr>
        <w:drawing>
          <wp:inline distT="0" distB="0" distL="0" distR="0" wp14:anchorId="3BC5DBD6" wp14:editId="308F6261">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7"/>
                    <a:stretch>
                      <a:fillRect/>
                    </a:stretch>
                  </pic:blipFill>
                  <pic:spPr>
                    <a:xfrm>
                      <a:off x="0" y="0"/>
                      <a:ext cx="2980602" cy="1188188"/>
                    </a:xfrm>
                    <a:prstGeom prst="rect">
                      <a:avLst/>
                    </a:prstGeom>
                    <a:ln w="12700" cap="flat">
                      <a:noFill/>
                      <a:miter lim="400000"/>
                    </a:ln>
                    <a:effectLst/>
                  </pic:spPr>
                </pic:pic>
              </a:graphicData>
            </a:graphic>
          </wp:inline>
        </w:drawing>
      </w:r>
    </w:p>
    <w:p w14:paraId="1ECA38F7" w14:textId="77777777" w:rsidR="003D2CBF" w:rsidRPr="00AF1EB8" w:rsidRDefault="003D2CBF" w:rsidP="003D2CBF"/>
    <w:p w14:paraId="4EF81905" w14:textId="77777777" w:rsidR="003D2CBF" w:rsidRPr="00AF1EB8" w:rsidRDefault="003D2CBF" w:rsidP="003D2CBF"/>
    <w:p w14:paraId="1EE4C4FD" w14:textId="73C31B7E" w:rsidR="003D2CBF" w:rsidRPr="00AF1EB8" w:rsidRDefault="003D2CBF" w:rsidP="003D2CBF">
      <w:pPr>
        <w:spacing w:line="480" w:lineRule="auto"/>
        <w:rPr>
          <w:rFonts w:ascii="Arial" w:hAnsi="Arial" w:cs="Arial"/>
          <w:bCs/>
          <w:sz w:val="32"/>
          <w:szCs w:val="32"/>
        </w:rPr>
      </w:pPr>
      <w:r w:rsidRPr="00AF1EB8">
        <w:rPr>
          <w:rFonts w:ascii="Arial" w:hAnsi="Arial" w:cs="Arial"/>
          <w:b/>
          <w:bCs/>
          <w:sz w:val="32"/>
          <w:szCs w:val="32"/>
          <w:lang w:val="de-DE"/>
        </w:rPr>
        <w:t>Module Name:</w:t>
      </w:r>
      <w:r w:rsidRPr="00AF1EB8">
        <w:rPr>
          <w:rFonts w:ascii="Arial" w:hAnsi="Arial" w:cs="Arial"/>
          <w:sz w:val="32"/>
          <w:szCs w:val="32"/>
          <w:lang w:val="en-US"/>
        </w:rPr>
        <w:t xml:space="preserve"> </w:t>
      </w:r>
      <w:r w:rsidR="00C674D5" w:rsidRPr="00C674D5">
        <w:rPr>
          <w:rFonts w:ascii="Arial" w:hAnsi="Arial" w:cs="Arial"/>
          <w:bCs/>
          <w:sz w:val="32"/>
          <w:szCs w:val="32"/>
        </w:rPr>
        <w:t xml:space="preserve">Enterprise Development and Commercial Innovation </w:t>
      </w:r>
    </w:p>
    <w:p w14:paraId="4965CE2A" w14:textId="68D480DE" w:rsidR="003D2CBF" w:rsidRPr="00AF1EB8" w:rsidRDefault="003D2CBF" w:rsidP="003D2CBF">
      <w:pPr>
        <w:spacing w:line="480" w:lineRule="auto"/>
        <w:rPr>
          <w:rFonts w:ascii="Arial" w:hAnsi="Arial" w:cs="Arial"/>
          <w:sz w:val="32"/>
          <w:szCs w:val="32"/>
        </w:rPr>
      </w:pPr>
      <w:r w:rsidRPr="00AF1EB8">
        <w:rPr>
          <w:rFonts w:ascii="Arial" w:hAnsi="Arial" w:cs="Arial"/>
          <w:b/>
          <w:bCs/>
          <w:sz w:val="32"/>
          <w:szCs w:val="32"/>
          <w:lang w:val="en-US"/>
        </w:rPr>
        <w:t>Module Code:</w:t>
      </w:r>
      <w:r w:rsidRPr="00AF1EB8">
        <w:rPr>
          <w:rFonts w:ascii="Arial" w:hAnsi="Arial" w:cs="Arial"/>
          <w:sz w:val="32"/>
          <w:szCs w:val="32"/>
          <w:lang w:val="de-DE"/>
        </w:rPr>
        <w:t xml:space="preserve"> </w:t>
      </w:r>
      <w:r w:rsidRPr="00AF1EB8">
        <w:rPr>
          <w:rFonts w:ascii="Arial" w:hAnsi="Arial" w:cs="Arial"/>
          <w:sz w:val="32"/>
          <w:szCs w:val="32"/>
        </w:rPr>
        <w:t>(</w:t>
      </w:r>
      <w:r w:rsidR="00C674D5" w:rsidRPr="00C674D5">
        <w:rPr>
          <w:rFonts w:ascii="Arial" w:hAnsi="Arial" w:cs="Arial"/>
          <w:bCs/>
          <w:sz w:val="32"/>
          <w:szCs w:val="32"/>
        </w:rPr>
        <w:t>BMBS5000)</w:t>
      </w:r>
    </w:p>
    <w:p w14:paraId="61A2FA32" w14:textId="3820CD96" w:rsidR="003D2CBF" w:rsidRPr="00AF1EB8" w:rsidRDefault="003D2CBF" w:rsidP="003D2CBF">
      <w:pPr>
        <w:spacing w:line="480" w:lineRule="auto"/>
        <w:rPr>
          <w:rFonts w:ascii="Arial" w:hAnsi="Arial" w:cs="Arial"/>
          <w:sz w:val="32"/>
          <w:szCs w:val="32"/>
        </w:rPr>
      </w:pPr>
      <w:r w:rsidRPr="00AF1EB8">
        <w:rPr>
          <w:rFonts w:ascii="Arial" w:hAnsi="Arial" w:cs="Arial"/>
          <w:b/>
          <w:bCs/>
          <w:sz w:val="32"/>
          <w:szCs w:val="32"/>
          <w:lang w:val="en-US"/>
        </w:rPr>
        <w:t>Assessment 1:</w:t>
      </w:r>
      <w:r w:rsidRPr="00AF1EB8">
        <w:rPr>
          <w:rFonts w:ascii="Arial" w:hAnsi="Arial" w:cs="Arial"/>
          <w:sz w:val="32"/>
          <w:szCs w:val="32"/>
          <w:lang w:val="de-DE"/>
        </w:rPr>
        <w:t xml:space="preserve"> </w:t>
      </w:r>
      <w:r w:rsidR="00C674D5" w:rsidRPr="00C674D5">
        <w:rPr>
          <w:rFonts w:ascii="Arial" w:hAnsi="Arial" w:cs="Arial"/>
          <w:sz w:val="32"/>
          <w:szCs w:val="32"/>
        </w:rPr>
        <w:t>Mind Map &amp; Value proposition Canvas</w:t>
      </w:r>
    </w:p>
    <w:p w14:paraId="4465414E" w14:textId="77777777" w:rsidR="003D2CBF" w:rsidRPr="00AF1EB8" w:rsidRDefault="003D2CBF" w:rsidP="003D2CBF">
      <w:pPr>
        <w:spacing w:line="480" w:lineRule="auto"/>
        <w:rPr>
          <w:rFonts w:ascii="Arial" w:hAnsi="Arial" w:cs="Arial"/>
          <w:b/>
          <w:bCs/>
          <w:sz w:val="32"/>
          <w:szCs w:val="32"/>
        </w:rPr>
      </w:pPr>
      <w:r w:rsidRPr="00AF1EB8">
        <w:rPr>
          <w:rFonts w:ascii="Arial" w:hAnsi="Arial" w:cs="Arial"/>
          <w:b/>
          <w:bCs/>
          <w:sz w:val="32"/>
          <w:szCs w:val="32"/>
          <w:lang w:val="de-DE"/>
        </w:rPr>
        <w:t>Student Name:</w:t>
      </w:r>
      <w:r w:rsidRPr="00AF1EB8">
        <w:rPr>
          <w:rFonts w:ascii="Arial" w:hAnsi="Arial" w:cs="Arial"/>
          <w:b/>
          <w:bCs/>
          <w:sz w:val="32"/>
          <w:szCs w:val="32"/>
          <w:lang w:val="en-US"/>
        </w:rPr>
        <w:t xml:space="preserve"> </w:t>
      </w:r>
      <w:r w:rsidRPr="00AF1EB8">
        <w:rPr>
          <w:rFonts w:ascii="Arial" w:hAnsi="Arial" w:cs="Arial"/>
          <w:sz w:val="32"/>
          <w:szCs w:val="32"/>
          <w:lang w:val="en-US"/>
        </w:rPr>
        <w:t>Josue David Rodriguez Castro</w:t>
      </w:r>
    </w:p>
    <w:p w14:paraId="7B8731D0" w14:textId="77777777" w:rsidR="003D2CBF" w:rsidRPr="00AF1EB8" w:rsidRDefault="003D2CBF" w:rsidP="003D2CBF">
      <w:pPr>
        <w:spacing w:line="480" w:lineRule="auto"/>
        <w:rPr>
          <w:rFonts w:ascii="Arial" w:hAnsi="Arial" w:cs="Arial"/>
          <w:b/>
          <w:bCs/>
          <w:sz w:val="32"/>
          <w:szCs w:val="32"/>
        </w:rPr>
      </w:pPr>
      <w:r w:rsidRPr="00AF1EB8">
        <w:rPr>
          <w:rFonts w:ascii="Arial" w:hAnsi="Arial" w:cs="Arial"/>
          <w:b/>
          <w:bCs/>
          <w:sz w:val="32"/>
          <w:szCs w:val="32"/>
          <w:lang w:val="en-US"/>
        </w:rPr>
        <w:t xml:space="preserve">Student Number: </w:t>
      </w:r>
      <w:r w:rsidRPr="00AF1EB8">
        <w:rPr>
          <w:rFonts w:ascii="Arial" w:hAnsi="Arial" w:cs="Arial"/>
          <w:sz w:val="32"/>
          <w:szCs w:val="32"/>
          <w:lang w:val="en-US"/>
        </w:rPr>
        <w:t xml:space="preserve">2506920  </w:t>
      </w:r>
    </w:p>
    <w:p w14:paraId="0C8EE8A9" w14:textId="60BBAB3A" w:rsidR="003D2CBF" w:rsidRDefault="003D2CBF" w:rsidP="003D2CBF">
      <w:pPr>
        <w:spacing w:line="480" w:lineRule="auto"/>
        <w:rPr>
          <w:rFonts w:ascii="Arial" w:hAnsi="Arial" w:cs="Arial"/>
          <w:sz w:val="32"/>
          <w:szCs w:val="32"/>
        </w:rPr>
      </w:pPr>
      <w:r w:rsidRPr="00AF1EB8">
        <w:rPr>
          <w:rFonts w:ascii="Arial" w:hAnsi="Arial" w:cs="Arial"/>
          <w:b/>
          <w:bCs/>
          <w:sz w:val="32"/>
          <w:szCs w:val="32"/>
          <w:lang w:val="fr-FR"/>
        </w:rPr>
        <w:t>Lecturer:</w:t>
      </w:r>
      <w:r w:rsidRPr="00AF1EB8">
        <w:rPr>
          <w:rFonts w:ascii="Arial" w:hAnsi="Arial" w:cs="Arial"/>
          <w:sz w:val="32"/>
          <w:szCs w:val="32"/>
        </w:rPr>
        <w:t xml:space="preserve"> Chris Wilkin</w:t>
      </w:r>
      <w:r w:rsidRPr="00AF1EB8">
        <w:rPr>
          <w:rFonts w:ascii="Arial" w:hAnsi="Arial" w:cs="Arial"/>
          <w:sz w:val="32"/>
          <w:szCs w:val="32"/>
        </w:rPr>
        <w:br/>
      </w:r>
      <w:r w:rsidRPr="00AF1EB8">
        <w:rPr>
          <w:rFonts w:ascii="Arial" w:hAnsi="Arial" w:cs="Arial"/>
          <w:b/>
          <w:bCs/>
          <w:sz w:val="32"/>
          <w:szCs w:val="32"/>
          <w:lang w:val="en-US"/>
        </w:rPr>
        <w:t>Deadline:</w:t>
      </w:r>
      <w:r w:rsidRPr="00AF1EB8">
        <w:rPr>
          <w:rFonts w:ascii="Arial" w:hAnsi="Arial" w:cs="Arial"/>
          <w:sz w:val="32"/>
          <w:szCs w:val="32"/>
          <w:lang w:val="en-US"/>
        </w:rPr>
        <w:t xml:space="preserve"> </w:t>
      </w:r>
      <w:r w:rsidRPr="00AF1EB8">
        <w:rPr>
          <w:rFonts w:ascii="Arial" w:hAnsi="Arial" w:cs="Arial"/>
          <w:sz w:val="32"/>
          <w:szCs w:val="32"/>
        </w:rPr>
        <w:t>1</w:t>
      </w:r>
      <w:r>
        <w:rPr>
          <w:rFonts w:ascii="Arial" w:hAnsi="Arial" w:cs="Arial"/>
          <w:sz w:val="32"/>
          <w:szCs w:val="32"/>
        </w:rPr>
        <w:t>2</w:t>
      </w:r>
      <w:r w:rsidRPr="00AF1EB8">
        <w:rPr>
          <w:rFonts w:ascii="Arial" w:hAnsi="Arial" w:cs="Arial"/>
          <w:sz w:val="32"/>
          <w:szCs w:val="32"/>
          <w:vertAlign w:val="superscript"/>
        </w:rPr>
        <w:t>th</w:t>
      </w:r>
      <w:r w:rsidRPr="00AF1EB8">
        <w:rPr>
          <w:rFonts w:ascii="Arial" w:hAnsi="Arial" w:cs="Arial"/>
          <w:sz w:val="32"/>
          <w:szCs w:val="32"/>
        </w:rPr>
        <w:t xml:space="preserve"> </w:t>
      </w:r>
      <w:r>
        <w:rPr>
          <w:rFonts w:ascii="Arial" w:hAnsi="Arial" w:cs="Arial"/>
          <w:sz w:val="32"/>
          <w:szCs w:val="32"/>
        </w:rPr>
        <w:t>octuber</w:t>
      </w:r>
      <w:r w:rsidRPr="00AF1EB8">
        <w:rPr>
          <w:rFonts w:ascii="Arial" w:hAnsi="Arial" w:cs="Arial"/>
          <w:sz w:val="32"/>
          <w:szCs w:val="32"/>
        </w:rPr>
        <w:t xml:space="preserve"> 2026 at 23:59</w:t>
      </w:r>
    </w:p>
    <w:p w14:paraId="39C0E532" w14:textId="77777777" w:rsidR="003D2CBF" w:rsidRDefault="003D2CBF" w:rsidP="003D2CBF">
      <w:pPr>
        <w:spacing w:line="480" w:lineRule="auto"/>
        <w:rPr>
          <w:rFonts w:ascii="Arial" w:hAnsi="Arial" w:cs="Arial"/>
          <w:sz w:val="32"/>
          <w:szCs w:val="32"/>
        </w:rPr>
      </w:pPr>
    </w:p>
    <w:p w14:paraId="5F501582" w14:textId="77777777" w:rsidR="003D2CBF" w:rsidRDefault="003D2CBF" w:rsidP="003D2CBF">
      <w:pPr>
        <w:spacing w:line="480" w:lineRule="auto"/>
        <w:rPr>
          <w:rFonts w:ascii="Arial" w:hAnsi="Arial" w:cs="Arial"/>
          <w:sz w:val="32"/>
          <w:szCs w:val="32"/>
        </w:rPr>
      </w:pPr>
    </w:p>
    <w:p w14:paraId="5DA4E022" w14:textId="77777777" w:rsidR="003D2CBF" w:rsidRDefault="003D2CBF" w:rsidP="003D2CBF">
      <w:pPr>
        <w:spacing w:line="480" w:lineRule="auto"/>
        <w:rPr>
          <w:rFonts w:ascii="Arial" w:hAnsi="Arial" w:cs="Arial"/>
          <w:sz w:val="32"/>
          <w:szCs w:val="32"/>
        </w:rPr>
      </w:pPr>
    </w:p>
    <w:p w14:paraId="73A2D6D0" w14:textId="77777777" w:rsidR="003D2CBF" w:rsidRDefault="003D2CBF" w:rsidP="003D2CBF">
      <w:pPr>
        <w:spacing w:line="480" w:lineRule="auto"/>
        <w:rPr>
          <w:rFonts w:ascii="Arial" w:hAnsi="Arial" w:cs="Arial"/>
          <w:sz w:val="32"/>
          <w:szCs w:val="32"/>
        </w:rPr>
      </w:pPr>
    </w:p>
    <w:p w14:paraId="21389274" w14:textId="77777777" w:rsidR="003D2CBF" w:rsidRDefault="003D2CBF" w:rsidP="003D2CBF">
      <w:pPr>
        <w:spacing w:line="480" w:lineRule="auto"/>
        <w:rPr>
          <w:rFonts w:ascii="Arial" w:hAnsi="Arial" w:cs="Arial"/>
          <w:sz w:val="32"/>
          <w:szCs w:val="32"/>
        </w:rPr>
      </w:pPr>
    </w:p>
    <w:p w14:paraId="79D5A363" w14:textId="05002FD3" w:rsidR="00C30457" w:rsidRPr="00C30457" w:rsidRDefault="00C30457" w:rsidP="00C30457">
      <w:pPr>
        <w:spacing w:line="480" w:lineRule="auto"/>
        <w:rPr>
          <w:rFonts w:ascii="Arial" w:hAnsi="Arial" w:cs="Arial"/>
        </w:rPr>
      </w:pPr>
      <w:r w:rsidRPr="00C30457">
        <w:rPr>
          <w:rFonts w:ascii="Arial" w:hAnsi="Arial" w:cs="Arial"/>
        </w:rPr>
        <w:lastRenderedPageBreak/>
        <w:t>AI Acknowledgement</w:t>
      </w:r>
    </w:p>
    <w:p w14:paraId="4CA5A7DA" w14:textId="2E687ECF" w:rsidR="00C30457" w:rsidRPr="00C30457" w:rsidRDefault="00C30457" w:rsidP="00C30457">
      <w:pPr>
        <w:spacing w:line="480" w:lineRule="auto"/>
        <w:rPr>
          <w:rFonts w:ascii="Arial" w:hAnsi="Arial" w:cs="Arial"/>
        </w:rPr>
      </w:pPr>
      <w:r w:rsidRPr="00C30457">
        <w:rPr>
          <w:rFonts w:ascii="Arial" w:hAnsi="Arial" w:cs="Arial"/>
        </w:rPr>
        <w:t xml:space="preserve">I confirm that I have not presented any AI generated materials as my own work. </w:t>
      </w:r>
    </w:p>
    <w:p w14:paraId="0A25362F" w14:textId="77777777" w:rsidR="00C30457" w:rsidRPr="00C30457" w:rsidRDefault="00C30457" w:rsidP="00C30457">
      <w:pPr>
        <w:spacing w:line="480" w:lineRule="auto"/>
        <w:rPr>
          <w:rFonts w:ascii="Arial" w:hAnsi="Arial" w:cs="Arial"/>
        </w:rPr>
      </w:pPr>
      <w:r w:rsidRPr="00C30457">
        <w:rPr>
          <w:rFonts w:ascii="Arial" w:hAnsi="Arial" w:cs="Arial"/>
        </w:rPr>
        <w:t>I confirm that I have copies of my drafts, notes, and other resources I used, which I may be asked to provide in evidence.</w:t>
      </w:r>
    </w:p>
    <w:p w14:paraId="72E56D0A" w14:textId="77777777" w:rsidR="00C30457" w:rsidRPr="00C30457" w:rsidRDefault="00C30457" w:rsidP="00C30457">
      <w:pPr>
        <w:spacing w:line="480" w:lineRule="auto"/>
        <w:rPr>
          <w:rFonts w:ascii="Arial" w:hAnsi="Arial" w:cs="Arial"/>
        </w:rPr>
      </w:pPr>
    </w:p>
    <w:p w14:paraId="280E422F" w14:textId="77777777" w:rsidR="00C30457" w:rsidRPr="00C30457" w:rsidRDefault="00C30457" w:rsidP="00C30457">
      <w:pPr>
        <w:spacing w:line="480" w:lineRule="auto"/>
        <w:rPr>
          <w:rFonts w:ascii="Arial" w:hAnsi="Arial" w:cs="Arial"/>
        </w:rPr>
      </w:pPr>
    </w:p>
    <w:p w14:paraId="1A5EE904" w14:textId="77777777" w:rsidR="00C30457" w:rsidRPr="00C30457" w:rsidRDefault="00C30457" w:rsidP="00C30457">
      <w:pPr>
        <w:spacing w:line="480" w:lineRule="auto"/>
        <w:rPr>
          <w:rFonts w:ascii="Arial" w:hAnsi="Arial" w:cs="Arial"/>
        </w:rPr>
      </w:pPr>
    </w:p>
    <w:p w14:paraId="04F1137C" w14:textId="77777777" w:rsidR="00C30457" w:rsidRPr="00C30457" w:rsidRDefault="00C30457" w:rsidP="00C30457">
      <w:pPr>
        <w:spacing w:line="480" w:lineRule="auto"/>
        <w:rPr>
          <w:rFonts w:ascii="Arial" w:hAnsi="Arial" w:cs="Arial"/>
        </w:rPr>
      </w:pPr>
    </w:p>
    <w:p w14:paraId="2115D508" w14:textId="77777777" w:rsidR="00C30457" w:rsidRPr="00C30457" w:rsidRDefault="00C30457" w:rsidP="00C30457">
      <w:pPr>
        <w:spacing w:line="480" w:lineRule="auto"/>
        <w:rPr>
          <w:rFonts w:ascii="Arial" w:hAnsi="Arial" w:cs="Arial"/>
        </w:rPr>
      </w:pPr>
    </w:p>
    <w:p w14:paraId="028ECDD4" w14:textId="77777777" w:rsidR="00C30457" w:rsidRPr="00C30457" w:rsidRDefault="00C30457" w:rsidP="00C30457">
      <w:pPr>
        <w:spacing w:line="480" w:lineRule="auto"/>
        <w:rPr>
          <w:rFonts w:ascii="Arial" w:hAnsi="Arial" w:cs="Arial"/>
        </w:rPr>
      </w:pPr>
    </w:p>
    <w:p w14:paraId="78276E15" w14:textId="77777777" w:rsidR="00C30457" w:rsidRPr="00C30457" w:rsidRDefault="00C30457" w:rsidP="00C30457">
      <w:pPr>
        <w:spacing w:line="480" w:lineRule="auto"/>
        <w:rPr>
          <w:rFonts w:ascii="Arial" w:hAnsi="Arial" w:cs="Arial"/>
        </w:rPr>
      </w:pPr>
    </w:p>
    <w:p w14:paraId="56DF5826" w14:textId="77777777" w:rsidR="00C30457" w:rsidRPr="00C30457" w:rsidRDefault="00C30457" w:rsidP="00C30457">
      <w:pPr>
        <w:spacing w:line="480" w:lineRule="auto"/>
        <w:rPr>
          <w:rFonts w:ascii="Arial" w:hAnsi="Arial" w:cs="Arial"/>
        </w:rPr>
      </w:pPr>
    </w:p>
    <w:p w14:paraId="7667599D" w14:textId="77777777" w:rsidR="00C30457" w:rsidRPr="00C30457" w:rsidRDefault="00C30457" w:rsidP="00C30457">
      <w:pPr>
        <w:spacing w:line="480" w:lineRule="auto"/>
        <w:rPr>
          <w:rFonts w:ascii="Arial" w:hAnsi="Arial" w:cs="Arial"/>
        </w:rPr>
      </w:pPr>
    </w:p>
    <w:p w14:paraId="0DE0061A" w14:textId="77777777" w:rsidR="00C30457" w:rsidRPr="00C30457" w:rsidRDefault="00C30457" w:rsidP="00C30457">
      <w:pPr>
        <w:spacing w:line="480" w:lineRule="auto"/>
        <w:rPr>
          <w:rFonts w:ascii="Arial" w:hAnsi="Arial" w:cs="Arial"/>
        </w:rPr>
      </w:pPr>
    </w:p>
    <w:p w14:paraId="2D2DB9F9" w14:textId="77777777" w:rsidR="00C30457" w:rsidRPr="00C30457" w:rsidRDefault="00C30457" w:rsidP="00C30457">
      <w:pPr>
        <w:spacing w:line="480" w:lineRule="auto"/>
        <w:rPr>
          <w:rFonts w:ascii="Arial" w:hAnsi="Arial" w:cs="Arial"/>
        </w:rPr>
      </w:pPr>
    </w:p>
    <w:p w14:paraId="2D7955C5" w14:textId="77777777" w:rsidR="00C30457" w:rsidRPr="00C30457" w:rsidRDefault="00C30457" w:rsidP="00C30457">
      <w:pPr>
        <w:spacing w:line="480" w:lineRule="auto"/>
        <w:rPr>
          <w:rFonts w:ascii="Arial" w:hAnsi="Arial" w:cs="Arial"/>
        </w:rPr>
      </w:pPr>
    </w:p>
    <w:p w14:paraId="73A309DA" w14:textId="77777777" w:rsidR="00C30457" w:rsidRPr="00C30457" w:rsidRDefault="00C30457" w:rsidP="00C30457">
      <w:pPr>
        <w:spacing w:line="480" w:lineRule="auto"/>
        <w:rPr>
          <w:rFonts w:ascii="Arial" w:hAnsi="Arial" w:cs="Arial"/>
        </w:rPr>
      </w:pPr>
    </w:p>
    <w:p w14:paraId="1F3867C6" w14:textId="77777777" w:rsidR="00C30457" w:rsidRPr="00C30457" w:rsidRDefault="00C30457" w:rsidP="00C30457">
      <w:pPr>
        <w:spacing w:line="480" w:lineRule="auto"/>
        <w:rPr>
          <w:rFonts w:ascii="Arial" w:hAnsi="Arial" w:cs="Arial"/>
        </w:rPr>
      </w:pPr>
    </w:p>
    <w:p w14:paraId="000E83DE" w14:textId="77777777" w:rsidR="00C30457" w:rsidRDefault="00C30457" w:rsidP="00C30457">
      <w:pPr>
        <w:spacing w:line="480" w:lineRule="auto"/>
        <w:rPr>
          <w:rFonts w:ascii="Arial" w:hAnsi="Arial" w:cs="Arial"/>
        </w:rPr>
      </w:pPr>
    </w:p>
    <w:p w14:paraId="33647E68" w14:textId="77777777" w:rsidR="00161A81" w:rsidRPr="00C30457" w:rsidRDefault="00161A81" w:rsidP="00C30457">
      <w:pPr>
        <w:spacing w:line="480" w:lineRule="auto"/>
        <w:rPr>
          <w:rFonts w:ascii="Arial" w:hAnsi="Arial" w:cs="Arial"/>
        </w:rPr>
      </w:pPr>
    </w:p>
    <w:p w14:paraId="34FA0EE2" w14:textId="2BA1B8BA" w:rsidR="00C30457" w:rsidRPr="00C30457" w:rsidRDefault="00C30457" w:rsidP="00C30457">
      <w:pPr>
        <w:pStyle w:val="ListParagraph"/>
        <w:numPr>
          <w:ilvl w:val="0"/>
          <w:numId w:val="7"/>
        </w:numPr>
        <w:spacing w:line="480" w:lineRule="auto"/>
        <w:rPr>
          <w:rFonts w:ascii="Arial" w:hAnsi="Arial" w:cs="Arial"/>
        </w:rPr>
      </w:pPr>
      <w:r w:rsidRPr="00C30457">
        <w:rPr>
          <w:rFonts w:ascii="Arial" w:hAnsi="Arial" w:cs="Arial"/>
        </w:rPr>
        <w:lastRenderedPageBreak/>
        <w:t>Business Opportunity Mind Map.</w:t>
      </w:r>
    </w:p>
    <w:p w14:paraId="7478495E" w14:textId="0871922B" w:rsidR="00C815F3" w:rsidRDefault="00C30457" w:rsidP="00C30457">
      <w:pPr>
        <w:spacing w:line="480" w:lineRule="auto"/>
        <w:rPr>
          <w:rFonts w:ascii="Arial" w:hAnsi="Arial" w:cs="Arial"/>
        </w:rPr>
      </w:pPr>
      <w:r w:rsidRPr="00C30457">
        <w:rPr>
          <w:rFonts w:ascii="Arial" w:hAnsi="Arial" w:cs="Arial"/>
          <w:noProof/>
        </w:rPr>
        <w:drawing>
          <wp:inline distT="0" distB="0" distL="0" distR="0" wp14:anchorId="08012330" wp14:editId="09855D07">
            <wp:extent cx="5731510" cy="3443605"/>
            <wp:effectExtent l="0" t="0" r="0" b="0"/>
            <wp:docPr id="1894883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83418" name=""/>
                    <pic:cNvPicPr/>
                  </pic:nvPicPr>
                  <pic:blipFill>
                    <a:blip r:embed="rId8"/>
                    <a:stretch>
                      <a:fillRect/>
                    </a:stretch>
                  </pic:blipFill>
                  <pic:spPr>
                    <a:xfrm>
                      <a:off x="0" y="0"/>
                      <a:ext cx="5731510" cy="3443605"/>
                    </a:xfrm>
                    <a:prstGeom prst="rect">
                      <a:avLst/>
                    </a:prstGeom>
                  </pic:spPr>
                </pic:pic>
              </a:graphicData>
            </a:graphic>
          </wp:inline>
        </w:drawing>
      </w:r>
    </w:p>
    <w:p w14:paraId="026CA00A" w14:textId="3C4D80DF" w:rsidR="00485EAE" w:rsidRDefault="00485EAE" w:rsidP="00C30457">
      <w:pPr>
        <w:spacing w:line="480" w:lineRule="auto"/>
        <w:rPr>
          <w:rFonts w:ascii="Arial" w:hAnsi="Arial" w:cs="Arial"/>
        </w:rPr>
      </w:pPr>
      <w:r w:rsidRPr="00485EAE">
        <w:rPr>
          <w:rFonts w:ascii="Arial" w:hAnsi="Arial" w:cs="Arial"/>
          <w:noProof/>
        </w:rPr>
        <w:drawing>
          <wp:inline distT="0" distB="0" distL="0" distR="0" wp14:anchorId="0455BD49" wp14:editId="7326E546">
            <wp:extent cx="5731510" cy="3707765"/>
            <wp:effectExtent l="0" t="0" r="0" b="635"/>
            <wp:docPr id="491282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82548" name=""/>
                    <pic:cNvPicPr/>
                  </pic:nvPicPr>
                  <pic:blipFill>
                    <a:blip r:embed="rId9"/>
                    <a:stretch>
                      <a:fillRect/>
                    </a:stretch>
                  </pic:blipFill>
                  <pic:spPr>
                    <a:xfrm>
                      <a:off x="0" y="0"/>
                      <a:ext cx="5731510" cy="3707765"/>
                    </a:xfrm>
                    <a:prstGeom prst="rect">
                      <a:avLst/>
                    </a:prstGeom>
                  </pic:spPr>
                </pic:pic>
              </a:graphicData>
            </a:graphic>
          </wp:inline>
        </w:drawing>
      </w:r>
    </w:p>
    <w:p w14:paraId="567D038B" w14:textId="30BB581E" w:rsidR="001A3988" w:rsidRDefault="00161A81" w:rsidP="00C30457">
      <w:pPr>
        <w:spacing w:line="480" w:lineRule="auto"/>
        <w:rPr>
          <w:rFonts w:ascii="Arial" w:hAnsi="Arial" w:cs="Arial"/>
        </w:rPr>
      </w:pPr>
      <w:r>
        <w:rPr>
          <w:rFonts w:ascii="Arial" w:hAnsi="Arial" w:cs="Arial"/>
        </w:rPr>
        <w:t xml:space="preserve">Link: </w:t>
      </w:r>
      <w:hyperlink r:id="rId10" w:history="1">
        <w:r w:rsidRPr="000E6630">
          <w:rPr>
            <w:rStyle w:val="Hyperlink"/>
            <w:rFonts w:ascii="Arial" w:hAnsi="Arial" w:cs="Arial"/>
          </w:rPr>
          <w:t>https://mm.tt/map/4089585871?t=9kOVuCWrFI</w:t>
        </w:r>
      </w:hyperlink>
      <w:r>
        <w:rPr>
          <w:rFonts w:ascii="Arial" w:hAnsi="Arial" w:cs="Arial"/>
        </w:rPr>
        <w:t xml:space="preserve"> </w:t>
      </w:r>
    </w:p>
    <w:p w14:paraId="3B6B98CD" w14:textId="77777777" w:rsidR="001A3988" w:rsidRPr="00C30457" w:rsidRDefault="001A3988" w:rsidP="00C30457">
      <w:pPr>
        <w:spacing w:line="480" w:lineRule="auto"/>
        <w:rPr>
          <w:rFonts w:ascii="Arial" w:hAnsi="Arial" w:cs="Arial"/>
        </w:rPr>
      </w:pPr>
    </w:p>
    <w:p w14:paraId="53DB48DD" w14:textId="48627CD8" w:rsidR="00485EAE" w:rsidRDefault="00C30457" w:rsidP="00485EAE">
      <w:pPr>
        <w:pStyle w:val="ListParagraph"/>
        <w:numPr>
          <w:ilvl w:val="0"/>
          <w:numId w:val="7"/>
        </w:numPr>
        <w:spacing w:line="480" w:lineRule="auto"/>
        <w:rPr>
          <w:rFonts w:ascii="Arial" w:hAnsi="Arial" w:cs="Arial"/>
        </w:rPr>
      </w:pPr>
      <w:r w:rsidRPr="00C30457">
        <w:rPr>
          <w:rFonts w:ascii="Arial" w:hAnsi="Arial" w:cs="Arial"/>
        </w:rPr>
        <w:lastRenderedPageBreak/>
        <w:t>Value Proposition Canvas (VPC)</w:t>
      </w:r>
      <w:r w:rsidR="003A7D3F" w:rsidRPr="003A7D3F">
        <w:rPr>
          <w:rFonts w:ascii="Arial" w:hAnsi="Arial" w:cs="Arial"/>
        </w:rPr>
        <w:t xml:space="preserve"> </w:t>
      </w:r>
    </w:p>
    <w:p w14:paraId="45471101" w14:textId="026F7604" w:rsidR="001A3988" w:rsidRPr="001A3988" w:rsidRDefault="001A3988" w:rsidP="001A3988">
      <w:pPr>
        <w:spacing w:line="480" w:lineRule="auto"/>
        <w:ind w:left="360"/>
        <w:rPr>
          <w:rFonts w:ascii="Arial" w:hAnsi="Arial" w:cs="Arial"/>
        </w:rPr>
      </w:pPr>
      <w:r w:rsidRPr="001A3988">
        <w:rPr>
          <w:rFonts w:ascii="Arial" w:hAnsi="Arial" w:cs="Arial"/>
          <w:noProof/>
        </w:rPr>
        <w:drawing>
          <wp:inline distT="0" distB="0" distL="0" distR="0" wp14:anchorId="090F1CEC" wp14:editId="1077BAEC">
            <wp:extent cx="5295984" cy="3724603"/>
            <wp:effectExtent l="0" t="0" r="0" b="0"/>
            <wp:docPr id="105242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26335" name=""/>
                    <pic:cNvPicPr/>
                  </pic:nvPicPr>
                  <pic:blipFill>
                    <a:blip r:embed="rId11"/>
                    <a:stretch>
                      <a:fillRect/>
                    </a:stretch>
                  </pic:blipFill>
                  <pic:spPr>
                    <a:xfrm>
                      <a:off x="0" y="0"/>
                      <a:ext cx="5323157" cy="3743714"/>
                    </a:xfrm>
                    <a:prstGeom prst="rect">
                      <a:avLst/>
                    </a:prstGeom>
                  </pic:spPr>
                </pic:pic>
              </a:graphicData>
            </a:graphic>
          </wp:inline>
        </w:drawing>
      </w:r>
    </w:p>
    <w:p w14:paraId="3F36D7F2" w14:textId="53649F2A" w:rsidR="00485EAE" w:rsidRPr="00485EAE" w:rsidRDefault="001A3988" w:rsidP="00485EAE">
      <w:pPr>
        <w:spacing w:line="480" w:lineRule="auto"/>
        <w:ind w:left="360"/>
        <w:rPr>
          <w:rFonts w:ascii="Arial" w:hAnsi="Arial" w:cs="Arial"/>
        </w:rPr>
      </w:pPr>
      <w:r>
        <w:rPr>
          <w:rFonts w:ascii="Arial" w:hAnsi="Arial" w:cs="Arial"/>
        </w:rPr>
        <w:t xml:space="preserve">Document: </w:t>
      </w:r>
      <w:bookmarkStart w:id="1" w:name="_MON_1853295338"/>
      <w:bookmarkEnd w:id="1"/>
      <w:r w:rsidR="00B97504">
        <w:rPr>
          <w:rFonts w:ascii="Arial" w:hAnsi="Arial" w:cs="Arial"/>
          <w:noProof/>
        </w:rPr>
        <w:object w:dxaOrig="760" w:dyaOrig="480" w14:anchorId="0E7EFF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56.85pt;height:35.6pt;mso-width-percent:0;mso-height-percent:0;mso-width-percent:0;mso-height-percent:0" o:ole="">
            <v:imagedata r:id="rId12" o:title=""/>
          </v:shape>
          <o:OLEObject Type="Embed" ProgID="Word.Document.12" ShapeID="_x0000_i1026" DrawAspect="Icon" ObjectID="_1853295950" r:id="rId13">
            <o:FieldCodes>\s</o:FieldCodes>
          </o:OLEObject>
        </w:object>
      </w:r>
    </w:p>
    <w:p w14:paraId="2FA1F706" w14:textId="7AC36107" w:rsidR="004D33CD" w:rsidRPr="00485EAE" w:rsidRDefault="00485EAE" w:rsidP="00485EAE">
      <w:pPr>
        <w:pStyle w:val="ListParagraph"/>
        <w:numPr>
          <w:ilvl w:val="0"/>
          <w:numId w:val="7"/>
        </w:numPr>
        <w:rPr>
          <w:rFonts w:ascii="Arial" w:hAnsi="Arial" w:cs="Arial"/>
        </w:rPr>
      </w:pPr>
      <w:r w:rsidRPr="00485EAE">
        <w:rPr>
          <w:rFonts w:ascii="Arial" w:hAnsi="Arial" w:cs="Arial"/>
        </w:rPr>
        <w:t>Preliminary Survey Findings</w:t>
      </w:r>
    </w:p>
    <w:p w14:paraId="77A79B21" w14:textId="77777777" w:rsidR="004D33CD" w:rsidRDefault="004D33CD" w:rsidP="004D33CD">
      <w:pPr>
        <w:spacing w:line="480" w:lineRule="auto"/>
        <w:ind w:left="360"/>
        <w:rPr>
          <w:rFonts w:ascii="Arial" w:hAnsi="Arial" w:cs="Arial"/>
        </w:rPr>
      </w:pPr>
      <w:r w:rsidRPr="00485EAE">
        <w:rPr>
          <w:rFonts w:ascii="Arial" w:hAnsi="Arial" w:cs="Arial"/>
        </w:rPr>
        <w:t>The</w:t>
      </w:r>
      <w:r w:rsidRPr="004D33CD">
        <w:rPr>
          <w:rFonts w:ascii="Arial" w:hAnsi="Arial" w:cs="Arial"/>
        </w:rPr>
        <w:t xml:space="preserve"> exploratory survey included two independent respondents. Both identified saving money as a reason they might use SkillSwap Local, and both had a skill they could potentially offer in exchange. Their responses also highlighted concerns about finding people with the right skills and trust or safety. These early findings helped identify issues for further investigation. However, the sample was very small and cannot represent the wider university student population in Cardiff.</w:t>
      </w:r>
    </w:p>
    <w:p w14:paraId="0803022F" w14:textId="69FFD16E" w:rsidR="00161A81" w:rsidRDefault="001A3988" w:rsidP="001A3988">
      <w:pPr>
        <w:spacing w:line="480" w:lineRule="auto"/>
        <w:ind w:left="360"/>
        <w:rPr>
          <w:rFonts w:ascii="Arial" w:hAnsi="Arial" w:cs="Arial"/>
        </w:rPr>
      </w:pPr>
      <w:r>
        <w:rPr>
          <w:rFonts w:ascii="Arial" w:hAnsi="Arial" w:cs="Arial"/>
        </w:rPr>
        <w:t xml:space="preserve">Document: </w:t>
      </w:r>
      <w:r w:rsidR="00B97504">
        <w:rPr>
          <w:rFonts w:ascii="Arial" w:hAnsi="Arial" w:cs="Arial"/>
          <w:noProof/>
        </w:rPr>
        <w:object w:dxaOrig="760" w:dyaOrig="480" w14:anchorId="6024E862">
          <v:shape id="_x0000_i1025" type="#_x0000_t75" alt="" style="width:70.5pt;height:43.2pt;mso-width-percent:0;mso-height-percent:0;mso-width-percent:0;mso-height-percent:0" o:ole="">
            <v:imagedata r:id="rId14" o:title=""/>
          </v:shape>
          <o:OLEObject Type="Embed" ProgID="Excel.Sheet.12" ShapeID="_x0000_i1025" DrawAspect="Icon" ObjectID="_1853295951" r:id="rId15"/>
        </w:object>
      </w:r>
    </w:p>
    <w:p w14:paraId="1A86B42E" w14:textId="77777777" w:rsidR="00161A81" w:rsidRPr="00161A81" w:rsidRDefault="00161A81" w:rsidP="00161A81">
      <w:pPr>
        <w:spacing w:line="480" w:lineRule="auto"/>
        <w:rPr>
          <w:rFonts w:ascii="Arial" w:hAnsi="Arial" w:cs="Arial"/>
        </w:rPr>
      </w:pPr>
    </w:p>
    <w:bookmarkEnd w:id="0"/>
    <w:p w14:paraId="0F762A18" w14:textId="6C0146FB" w:rsidR="00C815F3" w:rsidRPr="00C30457" w:rsidRDefault="00960F22" w:rsidP="00C30457">
      <w:pPr>
        <w:spacing w:line="480" w:lineRule="auto"/>
        <w:rPr>
          <w:rFonts w:ascii="Arial" w:hAnsi="Arial" w:cs="Arial"/>
          <w:lang w:val="en-US"/>
        </w:rPr>
      </w:pPr>
      <w:r w:rsidRPr="00C30457">
        <w:rPr>
          <w:rFonts w:ascii="Arial" w:hAnsi="Arial" w:cs="Arial"/>
          <w:lang w:val="en-US"/>
        </w:rPr>
        <w:lastRenderedPageBreak/>
        <w:t>REFERENCES</w:t>
      </w:r>
    </w:p>
    <w:p w14:paraId="11BD8997" w14:textId="161261AC" w:rsidR="00C815F3" w:rsidRPr="00C30457" w:rsidRDefault="00C815F3" w:rsidP="00C30457">
      <w:pPr>
        <w:spacing w:line="480" w:lineRule="auto"/>
        <w:rPr>
          <w:rFonts w:ascii="Arial" w:hAnsi="Arial" w:cs="Arial"/>
          <w:lang w:val="en-US"/>
        </w:rPr>
      </w:pPr>
      <w:r w:rsidRPr="00C30457">
        <w:rPr>
          <w:rFonts w:ascii="Arial" w:hAnsi="Arial" w:cs="Arial"/>
          <w:lang w:val="en-US"/>
        </w:rPr>
        <w:t>Barringer, B.R. and Ireland, R.D. (2021) Entrepreneurship: Successfully Launching New Ventures. 6th edn, Updated Global Edition. Harlow: Pearson.</w:t>
      </w:r>
    </w:p>
    <w:p w14:paraId="48F4FCB2" w14:textId="5A39CEDC" w:rsidR="00C815F3" w:rsidRPr="00C30457" w:rsidRDefault="00C815F3" w:rsidP="00C30457">
      <w:pPr>
        <w:spacing w:line="480" w:lineRule="auto"/>
        <w:rPr>
          <w:rFonts w:ascii="Arial" w:hAnsi="Arial" w:cs="Arial"/>
          <w:lang w:val="en-US"/>
        </w:rPr>
      </w:pPr>
      <w:r w:rsidRPr="00C30457">
        <w:rPr>
          <w:rFonts w:ascii="Arial" w:hAnsi="Arial" w:cs="Arial"/>
          <w:lang w:val="en-US"/>
        </w:rPr>
        <w:t>Belleflamme, P. and Neysen, N. (2021) ‘A Multisided Value Proposition Canvas for Online Platforms’, Journal of Business Ecosystems, 2(1), pp. 1–14. Available at: https://doi.org/10.4018/JBE.2021010101.</w:t>
      </w:r>
    </w:p>
    <w:p w14:paraId="0277BD03" w14:textId="76C1C3C8" w:rsidR="00C815F3" w:rsidRPr="00C30457" w:rsidRDefault="00C815F3" w:rsidP="00C30457">
      <w:pPr>
        <w:spacing w:line="480" w:lineRule="auto"/>
        <w:rPr>
          <w:rFonts w:ascii="Arial" w:hAnsi="Arial" w:cs="Arial"/>
          <w:lang w:val="en-US"/>
        </w:rPr>
      </w:pPr>
      <w:r w:rsidRPr="00C30457">
        <w:rPr>
          <w:rFonts w:ascii="Arial" w:hAnsi="Arial" w:cs="Arial"/>
          <w:lang w:val="en-US"/>
        </w:rPr>
        <w:t>Blank, S. and Dorf, B. (2012) The Startup Owner’s Manual: The Step-by-Step Guide for Building a Great Company. Pescadero, CA: K&amp;S Ranch.</w:t>
      </w:r>
    </w:p>
    <w:p w14:paraId="3AC68E9C" w14:textId="0A249CDC" w:rsidR="00C815F3" w:rsidRPr="00C30457" w:rsidRDefault="00C815F3" w:rsidP="00C30457">
      <w:pPr>
        <w:spacing w:line="480" w:lineRule="auto"/>
        <w:rPr>
          <w:rFonts w:ascii="Arial" w:hAnsi="Arial" w:cs="Arial"/>
          <w:lang w:val="en-US"/>
        </w:rPr>
      </w:pPr>
      <w:r w:rsidRPr="00C30457">
        <w:rPr>
          <w:rFonts w:ascii="Arial" w:hAnsi="Arial" w:cs="Arial"/>
          <w:lang w:val="en-US"/>
        </w:rPr>
        <w:t>Brown, T. (2008) ‘Design Thinking’, Harvard Business Review, 86(6), pp. 84–92. Available at: https://hbr.org/2008/06/design-thinking</w:t>
      </w:r>
      <w:r w:rsidR="007857D9">
        <w:rPr>
          <w:rFonts w:ascii="Arial" w:hAnsi="Arial" w:cs="Arial"/>
          <w:lang w:val="en-US"/>
        </w:rPr>
        <w:t>.</w:t>
      </w:r>
    </w:p>
    <w:p w14:paraId="082511CE" w14:textId="542DECFF" w:rsidR="00C815F3" w:rsidRPr="00C30457" w:rsidRDefault="00C815F3" w:rsidP="00C30457">
      <w:pPr>
        <w:spacing w:line="480" w:lineRule="auto"/>
        <w:rPr>
          <w:rFonts w:ascii="Arial" w:hAnsi="Arial" w:cs="Arial"/>
          <w:lang w:val="en-US"/>
        </w:rPr>
      </w:pPr>
      <w:r w:rsidRPr="00C30457">
        <w:rPr>
          <w:rFonts w:ascii="Arial" w:hAnsi="Arial" w:cs="Arial"/>
          <w:lang w:val="en-US"/>
        </w:rPr>
        <w:t>Cardiff University (n.d.) Support with the Cost of Living. Available at: https://www.cardiff.ac.uk/study/student-life/cost-of-living</w:t>
      </w:r>
      <w:r w:rsidR="000F2DED">
        <w:rPr>
          <w:rFonts w:ascii="Arial" w:hAnsi="Arial" w:cs="Arial"/>
          <w:lang w:val="en-US"/>
        </w:rPr>
        <w:t>.</w:t>
      </w:r>
    </w:p>
    <w:p w14:paraId="660ED167" w14:textId="2E3C063F" w:rsidR="00C815F3" w:rsidRPr="00C30457" w:rsidRDefault="00C815F3" w:rsidP="00C30457">
      <w:pPr>
        <w:spacing w:line="480" w:lineRule="auto"/>
        <w:rPr>
          <w:rFonts w:ascii="Arial" w:hAnsi="Arial" w:cs="Arial"/>
          <w:lang w:val="en-US"/>
        </w:rPr>
      </w:pPr>
      <w:r w:rsidRPr="00C30457">
        <w:rPr>
          <w:rFonts w:ascii="Arial" w:hAnsi="Arial" w:cs="Arial"/>
          <w:lang w:val="en-US"/>
        </w:rPr>
        <w:t>Christensen, C.M., Hall, T., Dillon, K. and Duncan, D.S. (2016) Competing Against Luck: The Story of Innovation and Customer Choice. New York: HarperBusiness.</w:t>
      </w:r>
    </w:p>
    <w:p w14:paraId="28E5CADB" w14:textId="4FC874E7" w:rsidR="00C815F3" w:rsidRPr="00C30457" w:rsidRDefault="00C815F3" w:rsidP="00C30457">
      <w:pPr>
        <w:spacing w:line="480" w:lineRule="auto"/>
        <w:rPr>
          <w:rFonts w:ascii="Arial" w:hAnsi="Arial" w:cs="Arial"/>
          <w:lang w:val="en-US"/>
        </w:rPr>
      </w:pPr>
      <w:r w:rsidRPr="00C30457">
        <w:rPr>
          <w:rFonts w:ascii="Arial" w:hAnsi="Arial" w:cs="Arial"/>
          <w:lang w:val="en-US"/>
        </w:rPr>
        <w:t>Davlembayeva, D., Papagiannidis, S. and Alamanos, E. (2021) ‘Sharing economy platforms: An equity theory perspective on reciprocity and commitment’, Journal of Business Research, 127, pp. 151–166. Available at: https://doi.org/10.1016/j.jbusres.2021.01.039.</w:t>
      </w:r>
    </w:p>
    <w:p w14:paraId="38D128AE" w14:textId="5839AFD6" w:rsidR="00C815F3" w:rsidRPr="00C30457" w:rsidRDefault="00C815F3" w:rsidP="00C30457">
      <w:pPr>
        <w:spacing w:line="480" w:lineRule="auto"/>
        <w:rPr>
          <w:rFonts w:ascii="Arial" w:hAnsi="Arial" w:cs="Arial"/>
          <w:lang w:val="en-US"/>
        </w:rPr>
      </w:pPr>
      <w:r w:rsidRPr="00C30457">
        <w:rPr>
          <w:rFonts w:ascii="Arial" w:hAnsi="Arial" w:cs="Arial"/>
          <w:lang w:val="en-US"/>
        </w:rPr>
        <w:t>Kim, W.C. and Mauborgne, R. (2015) Blue Ocean Strategy: How to Create Uncontested Market Space and Make the Competition Irrelevant. Expanded edn. Boston, MA: Harvard Business Review Press.</w:t>
      </w:r>
    </w:p>
    <w:p w14:paraId="1AA06DBF" w14:textId="381B907D" w:rsidR="00C815F3" w:rsidRPr="00C30457" w:rsidRDefault="00C815F3" w:rsidP="00C30457">
      <w:pPr>
        <w:spacing w:line="480" w:lineRule="auto"/>
        <w:rPr>
          <w:rFonts w:ascii="Arial" w:hAnsi="Arial" w:cs="Arial"/>
          <w:lang w:val="en-US"/>
        </w:rPr>
      </w:pPr>
      <w:r w:rsidRPr="00C30457">
        <w:rPr>
          <w:rFonts w:ascii="Arial" w:hAnsi="Arial" w:cs="Arial"/>
          <w:lang w:val="en-US"/>
        </w:rPr>
        <w:t xml:space="preserve">Marth, S., Hartl, B. and Penz, E. (2022) ‘Sharing on platforms: Reducing perceived risk for peer-to-peer platform consumers through trust-building and regulation’, </w:t>
      </w:r>
      <w:r w:rsidRPr="00C30457">
        <w:rPr>
          <w:rFonts w:ascii="Arial" w:hAnsi="Arial" w:cs="Arial"/>
          <w:lang w:val="en-US"/>
        </w:rPr>
        <w:lastRenderedPageBreak/>
        <w:t>Journal of Consumer Behaviour, 21(6), pp. 1255–1267. Available at: https://doi.org/10.1002/cb.2075.</w:t>
      </w:r>
    </w:p>
    <w:p w14:paraId="49B0ED97" w14:textId="1482ECE5" w:rsidR="00C815F3" w:rsidRPr="00C30457" w:rsidRDefault="00C815F3" w:rsidP="00C30457">
      <w:pPr>
        <w:spacing w:line="480" w:lineRule="auto"/>
        <w:rPr>
          <w:rFonts w:ascii="Arial" w:hAnsi="Arial" w:cs="Arial"/>
          <w:lang w:val="en-US"/>
        </w:rPr>
      </w:pPr>
      <w:r w:rsidRPr="00C30457">
        <w:rPr>
          <w:rFonts w:ascii="Arial" w:hAnsi="Arial" w:cs="Arial"/>
          <w:lang w:val="en-US"/>
        </w:rPr>
        <w:t>McKinsey &amp; Company (2015) The eight essentials of innovation. Available at: https://www.mckinsey.com/capabilities/innovation/our-insights/the-eight-essentials-of-innovation (Accessed: 12 October 2026).</w:t>
      </w:r>
    </w:p>
    <w:p w14:paraId="0A9C533C" w14:textId="43FDAA9B" w:rsidR="00C815F3" w:rsidRPr="00C30457" w:rsidRDefault="00C815F3" w:rsidP="00C30457">
      <w:pPr>
        <w:spacing w:line="480" w:lineRule="auto"/>
        <w:rPr>
          <w:rFonts w:ascii="Arial" w:hAnsi="Arial" w:cs="Arial"/>
          <w:lang w:val="en-US"/>
        </w:rPr>
      </w:pPr>
      <w:r w:rsidRPr="00C30457">
        <w:rPr>
          <w:rFonts w:ascii="Arial" w:hAnsi="Arial" w:cs="Arial"/>
          <w:lang w:val="en-US"/>
        </w:rPr>
        <w:t xml:space="preserve">National Union of Students (NUS) UK (2024) Cost of Living Survey 2024. Available at: https://assets.nationbuilder.com/nus/pages/3037/attachments/original/1718181936/NUS_UK_Cost_of_Living_2024_report.pdf </w:t>
      </w:r>
    </w:p>
    <w:p w14:paraId="54F80A77" w14:textId="4EA8FCF9" w:rsidR="00C815F3" w:rsidRPr="00C30457" w:rsidRDefault="00C815F3" w:rsidP="00C30457">
      <w:pPr>
        <w:spacing w:line="480" w:lineRule="auto"/>
        <w:rPr>
          <w:rFonts w:ascii="Arial" w:hAnsi="Arial" w:cs="Arial"/>
          <w:lang w:val="en-US"/>
        </w:rPr>
      </w:pPr>
      <w:r w:rsidRPr="00C30457">
        <w:rPr>
          <w:rFonts w:ascii="Arial" w:hAnsi="Arial" w:cs="Arial"/>
          <w:lang w:val="en-US"/>
        </w:rPr>
        <w:t>Osterwalder, A. and Pigneur, Y. (2010) Business Model Generation: A Handbook for Visionaries, Game Changers, and Challengers. Hoboken, NJ: John Wiley &amp; Sons.</w:t>
      </w:r>
    </w:p>
    <w:p w14:paraId="4E0EFFB2" w14:textId="7586E774" w:rsidR="00C815F3" w:rsidRPr="00C30457" w:rsidRDefault="00C815F3" w:rsidP="00C30457">
      <w:pPr>
        <w:spacing w:line="480" w:lineRule="auto"/>
        <w:rPr>
          <w:rFonts w:ascii="Arial" w:hAnsi="Arial" w:cs="Arial"/>
          <w:lang w:val="en-US"/>
        </w:rPr>
      </w:pPr>
      <w:r w:rsidRPr="00C30457">
        <w:rPr>
          <w:rFonts w:ascii="Arial" w:hAnsi="Arial" w:cs="Arial"/>
          <w:lang w:val="en-US"/>
        </w:rPr>
        <w:t>Osterwalder, A., Pigneur, Y., Bernarda, G. and Smith, A. (2014) Value Proposition Design: How to Create Products and Services Customers Want. Hoboken, NJ: John Wiley &amp; Sons.</w:t>
      </w:r>
    </w:p>
    <w:p w14:paraId="30742A41" w14:textId="77777777" w:rsidR="00C815F3" w:rsidRPr="00C30457" w:rsidRDefault="00C815F3" w:rsidP="00C30457">
      <w:pPr>
        <w:spacing w:line="480" w:lineRule="auto"/>
        <w:rPr>
          <w:rFonts w:ascii="Arial" w:hAnsi="Arial" w:cs="Arial"/>
          <w:lang w:val="en-US"/>
        </w:rPr>
      </w:pPr>
      <w:r w:rsidRPr="00C30457">
        <w:rPr>
          <w:rFonts w:ascii="Arial" w:hAnsi="Arial" w:cs="Arial"/>
          <w:lang w:val="en-US"/>
        </w:rPr>
        <w:t>Perez-Vega, R. and Miguel, C. (2022) ‘Time Banks in the United Kingdom: An Examination of the Evolution’, in Česnuitytė, V., Klimczuk, A., Miguel, C. and Avram, G. (eds.) The Sharing Economy in Europe: Developments, Practices, and Contradictions. Cham: Palgrave Macmillan, pp. 325–342. Available at: https://doi.org/10.1007/978-3-030-86897-0_15.</w:t>
      </w:r>
    </w:p>
    <w:p w14:paraId="6EAC8310" w14:textId="77777777" w:rsidR="00C815F3" w:rsidRPr="00C30457" w:rsidRDefault="00C815F3" w:rsidP="00C30457">
      <w:pPr>
        <w:spacing w:line="480" w:lineRule="auto"/>
        <w:rPr>
          <w:rFonts w:ascii="Arial" w:hAnsi="Arial" w:cs="Arial"/>
          <w:lang w:val="en-US"/>
        </w:rPr>
      </w:pPr>
      <w:r w:rsidRPr="00C30457">
        <w:rPr>
          <w:rFonts w:ascii="Arial" w:hAnsi="Arial" w:cs="Arial"/>
          <w:lang w:val="en-US"/>
        </w:rPr>
        <w:t>Pokorná, J., Pilař, L., Balcarová, T. and Sergeeva, I. (2015) ‘Value Proposition Canvas: Identification of Pains, Gains and Customer Jobs at Farmers’ Markets’, AGRIS on-line Papers in Economics and Informatics, 7(4), pp. 123–130. Available at: https://doi.org/10.7160/aol.2015.070412.</w:t>
      </w:r>
    </w:p>
    <w:p w14:paraId="40570455" w14:textId="536A439A" w:rsidR="00C815F3" w:rsidRPr="00C30457" w:rsidRDefault="00C815F3" w:rsidP="00C30457">
      <w:pPr>
        <w:spacing w:line="480" w:lineRule="auto"/>
        <w:rPr>
          <w:rFonts w:ascii="Arial" w:hAnsi="Arial" w:cs="Arial"/>
          <w:lang w:val="en-US"/>
        </w:rPr>
      </w:pPr>
      <w:r w:rsidRPr="00C30457">
        <w:rPr>
          <w:rFonts w:ascii="Arial" w:hAnsi="Arial" w:cs="Arial"/>
          <w:lang w:val="en-US"/>
        </w:rPr>
        <w:lastRenderedPageBreak/>
        <w:t>Ries, E. (2011) The Lean Startup: How Today’s Entrepreneurs Use Continuous Innovation to Create Radically Successful Businesses. New York: Crown Business.</w:t>
      </w:r>
    </w:p>
    <w:p w14:paraId="7C96B6AE" w14:textId="2EB04B87" w:rsidR="00C815F3" w:rsidRPr="00C30457" w:rsidRDefault="00C815F3" w:rsidP="00C30457">
      <w:pPr>
        <w:spacing w:line="480" w:lineRule="auto"/>
        <w:rPr>
          <w:rFonts w:ascii="Arial" w:hAnsi="Arial" w:cs="Arial"/>
          <w:lang w:val="en-US"/>
        </w:rPr>
      </w:pPr>
      <w:r w:rsidRPr="00C30457">
        <w:rPr>
          <w:rFonts w:ascii="Arial" w:hAnsi="Arial" w:cs="Arial"/>
          <w:lang w:val="en-US"/>
        </w:rPr>
        <w:t>ter Huurne, M., Ronteltap, A., Corten, R. and Buskens, V. (2017) ‘Antecedents of trust in the sharing economy: A systematic review’, Journal of Consumer Behaviour, 16(6), pp. 485–498. Available at: https://doi.org/10.1002/cb.1667.</w:t>
      </w:r>
    </w:p>
    <w:p w14:paraId="227807DA" w14:textId="3C4E590D" w:rsidR="00C815F3" w:rsidRPr="00C30457" w:rsidRDefault="00C815F3" w:rsidP="00C30457">
      <w:pPr>
        <w:spacing w:line="480" w:lineRule="auto"/>
        <w:rPr>
          <w:rFonts w:ascii="Arial" w:hAnsi="Arial" w:cs="Arial"/>
          <w:lang w:val="en-US"/>
        </w:rPr>
      </w:pPr>
      <w:r w:rsidRPr="00C30457">
        <w:rPr>
          <w:rFonts w:ascii="Arial" w:hAnsi="Arial" w:cs="Arial"/>
          <w:lang w:val="en-US"/>
        </w:rPr>
        <w:t>Wei, T., Bagnall, C.L., Waldeck, D., Hayes, S. and Holliman, A. (2026) ‘Peer Mentoring and International Students’ Transition to University: A Thematic Analysis of First-Year Perspectives’, International Journal of Educational and Life Transitions, 5(1), pp. 1–23. Available at: https://doi.org/10.20933/50ngp535.</w:t>
      </w:r>
    </w:p>
    <w:p w14:paraId="1D9C560C" w14:textId="3C3FB21F" w:rsidR="00C815F3" w:rsidRPr="00C30457" w:rsidRDefault="00C815F3" w:rsidP="00C30457">
      <w:pPr>
        <w:spacing w:line="480" w:lineRule="auto"/>
        <w:rPr>
          <w:rFonts w:ascii="Arial" w:hAnsi="Arial" w:cs="Arial"/>
          <w:lang w:val="en-US"/>
        </w:rPr>
      </w:pPr>
      <w:r w:rsidRPr="00C30457">
        <w:rPr>
          <w:rFonts w:ascii="Arial" w:hAnsi="Arial" w:cs="Arial"/>
          <w:lang w:val="en-US"/>
        </w:rPr>
        <w:t>Welsh Government (2024) Student Income and Expenditure Survey, 2021 to 2022: Welsh Report. Available at: https://www.gov.wales/student-income-and-expenditure-survey-september-2021-august-2022</w:t>
      </w:r>
    </w:p>
    <w:p w14:paraId="75873DE0" w14:textId="2DA9A57D" w:rsidR="00AC74DC" w:rsidRPr="00C30457" w:rsidRDefault="00C815F3" w:rsidP="00C30457">
      <w:pPr>
        <w:spacing w:line="480" w:lineRule="auto"/>
        <w:rPr>
          <w:rFonts w:ascii="Arial" w:hAnsi="Arial" w:cs="Arial"/>
          <w:lang w:val="en-US"/>
        </w:rPr>
      </w:pPr>
      <w:r w:rsidRPr="00C30457">
        <w:rPr>
          <w:rFonts w:ascii="Arial" w:hAnsi="Arial" w:cs="Arial"/>
          <w:lang w:val="en-US"/>
        </w:rPr>
        <w:t>Zloteanu, M., Harvey, N., Tuckett, D. and Livan, G. (2018) ‘Digital Identity: The effect of trust and reputation information on user judgement in the Sharing Economy’, PLOS ONE, 13(12), e0209071. Available at:</w:t>
      </w:r>
      <w:r w:rsidR="001A3988">
        <w:rPr>
          <w:rFonts w:ascii="Arial" w:hAnsi="Arial" w:cs="Arial"/>
          <w:lang w:val="en-US"/>
        </w:rPr>
        <w:t xml:space="preserve"> </w:t>
      </w:r>
      <w:r w:rsidRPr="00C30457">
        <w:rPr>
          <w:rFonts w:ascii="Arial" w:hAnsi="Arial" w:cs="Arial"/>
          <w:lang w:val="en-US"/>
        </w:rPr>
        <w:t>https://doi.org/10.1371/journal.pone.0209071.</w:t>
      </w:r>
    </w:p>
    <w:sectPr w:rsidR="00AC74DC" w:rsidRPr="00C30457" w:rsidSect="001A39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9527E" w14:textId="77777777" w:rsidR="00B97504" w:rsidRDefault="00B97504" w:rsidP="003D2CBF">
      <w:pPr>
        <w:spacing w:after="0" w:line="240" w:lineRule="auto"/>
      </w:pPr>
      <w:r>
        <w:separator/>
      </w:r>
    </w:p>
  </w:endnote>
  <w:endnote w:type="continuationSeparator" w:id="0">
    <w:p w14:paraId="7ED08238" w14:textId="77777777" w:rsidR="00B97504" w:rsidRDefault="00B97504" w:rsidP="003D2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C3202" w14:textId="77777777" w:rsidR="00B97504" w:rsidRDefault="00B97504" w:rsidP="003D2CBF">
      <w:pPr>
        <w:spacing w:after="0" w:line="240" w:lineRule="auto"/>
      </w:pPr>
      <w:r>
        <w:separator/>
      </w:r>
    </w:p>
  </w:footnote>
  <w:footnote w:type="continuationSeparator" w:id="0">
    <w:p w14:paraId="72C74A7F" w14:textId="77777777" w:rsidR="00B97504" w:rsidRDefault="00B97504" w:rsidP="003D2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079DA"/>
    <w:multiLevelType w:val="hybridMultilevel"/>
    <w:tmpl w:val="93221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24E69"/>
    <w:multiLevelType w:val="multilevel"/>
    <w:tmpl w:val="AA807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F97BDF"/>
    <w:multiLevelType w:val="hybridMultilevel"/>
    <w:tmpl w:val="26F04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DD222D"/>
    <w:multiLevelType w:val="hybridMultilevel"/>
    <w:tmpl w:val="5D46A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C79E6"/>
    <w:multiLevelType w:val="hybridMultilevel"/>
    <w:tmpl w:val="70D28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1D74DE"/>
    <w:multiLevelType w:val="hybridMultilevel"/>
    <w:tmpl w:val="6518AB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92C65A6"/>
    <w:multiLevelType w:val="hybridMultilevel"/>
    <w:tmpl w:val="CCFC5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9211035">
    <w:abstractNumId w:val="6"/>
  </w:num>
  <w:num w:numId="2" w16cid:durableId="717632795">
    <w:abstractNumId w:val="2"/>
  </w:num>
  <w:num w:numId="3" w16cid:durableId="1804496193">
    <w:abstractNumId w:val="4"/>
  </w:num>
  <w:num w:numId="4" w16cid:durableId="886067433">
    <w:abstractNumId w:val="1"/>
  </w:num>
  <w:num w:numId="5" w16cid:durableId="20711570">
    <w:abstractNumId w:val="5"/>
  </w:num>
  <w:num w:numId="6" w16cid:durableId="2049598227">
    <w:abstractNumId w:val="3"/>
  </w:num>
  <w:num w:numId="7" w16cid:durableId="2109960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BF"/>
    <w:rsid w:val="00005AA6"/>
    <w:rsid w:val="00027DE4"/>
    <w:rsid w:val="00031848"/>
    <w:rsid w:val="000D0B48"/>
    <w:rsid w:val="000F2DED"/>
    <w:rsid w:val="0010592D"/>
    <w:rsid w:val="00157F17"/>
    <w:rsid w:val="00161A81"/>
    <w:rsid w:val="0016357D"/>
    <w:rsid w:val="001A3988"/>
    <w:rsid w:val="00274DBC"/>
    <w:rsid w:val="002B15EB"/>
    <w:rsid w:val="003332A0"/>
    <w:rsid w:val="00361EC3"/>
    <w:rsid w:val="003A3AD9"/>
    <w:rsid w:val="003A7D3F"/>
    <w:rsid w:val="003D2CBF"/>
    <w:rsid w:val="00423B65"/>
    <w:rsid w:val="0044417C"/>
    <w:rsid w:val="00485EAE"/>
    <w:rsid w:val="004D33CD"/>
    <w:rsid w:val="005A6B84"/>
    <w:rsid w:val="006D4B18"/>
    <w:rsid w:val="00781D39"/>
    <w:rsid w:val="007857D9"/>
    <w:rsid w:val="007F337F"/>
    <w:rsid w:val="00960F22"/>
    <w:rsid w:val="00A50DC2"/>
    <w:rsid w:val="00AC74DC"/>
    <w:rsid w:val="00AD6396"/>
    <w:rsid w:val="00B16C2C"/>
    <w:rsid w:val="00B97504"/>
    <w:rsid w:val="00C30457"/>
    <w:rsid w:val="00C674D5"/>
    <w:rsid w:val="00C815F3"/>
    <w:rsid w:val="00CD4CEA"/>
    <w:rsid w:val="00D12CBE"/>
    <w:rsid w:val="00D46894"/>
    <w:rsid w:val="00D72DBE"/>
    <w:rsid w:val="00D739DB"/>
    <w:rsid w:val="00F24DC2"/>
    <w:rsid w:val="00FD0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71A18"/>
  <w15:chartTrackingRefBased/>
  <w15:docId w15:val="{3CBF4A43-9675-3B42-9F3A-D92DBA026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CBF"/>
  </w:style>
  <w:style w:type="paragraph" w:styleId="Heading1">
    <w:name w:val="heading 1"/>
    <w:basedOn w:val="Normal"/>
    <w:next w:val="Normal"/>
    <w:link w:val="Heading1Char"/>
    <w:uiPriority w:val="9"/>
    <w:qFormat/>
    <w:rsid w:val="003D2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2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2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CBF"/>
    <w:rPr>
      <w:rFonts w:eastAsiaTheme="majorEastAsia" w:cstheme="majorBidi"/>
      <w:color w:val="272727" w:themeColor="text1" w:themeTint="D8"/>
    </w:rPr>
  </w:style>
  <w:style w:type="paragraph" w:styleId="Title">
    <w:name w:val="Title"/>
    <w:basedOn w:val="Normal"/>
    <w:next w:val="Normal"/>
    <w:link w:val="TitleChar"/>
    <w:uiPriority w:val="10"/>
    <w:qFormat/>
    <w:rsid w:val="003D2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CBF"/>
    <w:pPr>
      <w:spacing w:before="160"/>
      <w:jc w:val="center"/>
    </w:pPr>
    <w:rPr>
      <w:i/>
      <w:iCs/>
      <w:color w:val="404040" w:themeColor="text1" w:themeTint="BF"/>
    </w:rPr>
  </w:style>
  <w:style w:type="character" w:customStyle="1" w:styleId="QuoteChar">
    <w:name w:val="Quote Char"/>
    <w:basedOn w:val="DefaultParagraphFont"/>
    <w:link w:val="Quote"/>
    <w:uiPriority w:val="29"/>
    <w:rsid w:val="003D2CBF"/>
    <w:rPr>
      <w:i/>
      <w:iCs/>
      <w:color w:val="404040" w:themeColor="text1" w:themeTint="BF"/>
    </w:rPr>
  </w:style>
  <w:style w:type="paragraph" w:styleId="ListParagraph">
    <w:name w:val="List Paragraph"/>
    <w:basedOn w:val="Normal"/>
    <w:uiPriority w:val="34"/>
    <w:qFormat/>
    <w:rsid w:val="003D2CBF"/>
    <w:pPr>
      <w:ind w:left="720"/>
      <w:contextualSpacing/>
    </w:pPr>
  </w:style>
  <w:style w:type="character" w:styleId="IntenseEmphasis">
    <w:name w:val="Intense Emphasis"/>
    <w:basedOn w:val="DefaultParagraphFont"/>
    <w:uiPriority w:val="21"/>
    <w:qFormat/>
    <w:rsid w:val="003D2CBF"/>
    <w:rPr>
      <w:i/>
      <w:iCs/>
      <w:color w:val="0F4761" w:themeColor="accent1" w:themeShade="BF"/>
    </w:rPr>
  </w:style>
  <w:style w:type="paragraph" w:styleId="IntenseQuote">
    <w:name w:val="Intense Quote"/>
    <w:basedOn w:val="Normal"/>
    <w:next w:val="Normal"/>
    <w:link w:val="IntenseQuoteChar"/>
    <w:uiPriority w:val="30"/>
    <w:qFormat/>
    <w:rsid w:val="003D2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CBF"/>
    <w:rPr>
      <w:i/>
      <w:iCs/>
      <w:color w:val="0F4761" w:themeColor="accent1" w:themeShade="BF"/>
    </w:rPr>
  </w:style>
  <w:style w:type="character" w:styleId="IntenseReference">
    <w:name w:val="Intense Reference"/>
    <w:basedOn w:val="DefaultParagraphFont"/>
    <w:uiPriority w:val="32"/>
    <w:qFormat/>
    <w:rsid w:val="003D2CBF"/>
    <w:rPr>
      <w:b/>
      <w:bCs/>
      <w:smallCaps/>
      <w:color w:val="0F4761" w:themeColor="accent1" w:themeShade="BF"/>
      <w:spacing w:val="5"/>
    </w:rPr>
  </w:style>
  <w:style w:type="paragraph" w:styleId="Header">
    <w:name w:val="header"/>
    <w:basedOn w:val="Normal"/>
    <w:link w:val="HeaderChar"/>
    <w:uiPriority w:val="99"/>
    <w:unhideWhenUsed/>
    <w:rsid w:val="003D2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CBF"/>
  </w:style>
  <w:style w:type="paragraph" w:styleId="Footer">
    <w:name w:val="footer"/>
    <w:basedOn w:val="Normal"/>
    <w:link w:val="FooterChar"/>
    <w:uiPriority w:val="99"/>
    <w:unhideWhenUsed/>
    <w:rsid w:val="003D2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CBF"/>
  </w:style>
  <w:style w:type="character" w:styleId="Hyperlink">
    <w:name w:val="Hyperlink"/>
    <w:basedOn w:val="DefaultParagraphFont"/>
    <w:uiPriority w:val="99"/>
    <w:unhideWhenUsed/>
    <w:rsid w:val="003D2CBF"/>
    <w:rPr>
      <w:color w:val="467886" w:themeColor="hyperlink"/>
      <w:u w:val="single"/>
    </w:rPr>
  </w:style>
  <w:style w:type="character" w:styleId="UnresolvedMention">
    <w:name w:val="Unresolved Mention"/>
    <w:basedOn w:val="DefaultParagraphFont"/>
    <w:uiPriority w:val="99"/>
    <w:semiHidden/>
    <w:unhideWhenUsed/>
    <w:rsid w:val="003D2CBF"/>
    <w:rPr>
      <w:color w:val="605E5C"/>
      <w:shd w:val="clear" w:color="auto" w:fill="E1DFDD"/>
    </w:rPr>
  </w:style>
  <w:style w:type="character" w:customStyle="1" w:styleId="ts-alignment-element">
    <w:name w:val="ts-alignment-element"/>
    <w:basedOn w:val="DefaultParagraphFont"/>
    <w:rsid w:val="003D2CBF"/>
  </w:style>
  <w:style w:type="character" w:customStyle="1" w:styleId="ts-alignment-element-highlighted">
    <w:name w:val="ts-alignment-element-highlighted"/>
    <w:basedOn w:val="DefaultParagraphFont"/>
    <w:rsid w:val="003D2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package" Target="embeddings/Microsoft_Excel_Worksheet.xlsx"/><Relationship Id="rId10" Type="http://schemas.openxmlformats.org/officeDocument/2006/relationships/hyperlink" Target="https://mm.tt/map/4089585871?t=9kOVuCWrFI"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9FEDB4-5370-9A41-8FFA-4CC7E93413BE}">
  <we:reference id="WA200004257" version="1.1.121.0" store="Omex" storeType="OMEX"/>
  <we:alternateReferences>
    <we:reference id="WA200004257" version="1.1.121.0" store="WA200004257"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7</Pages>
  <Words>697</Words>
  <Characters>4733</Characters>
  <Application>Microsoft Office Word</Application>
  <DocSecurity>0</DocSecurity>
  <Lines>118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David Rodriguez Castro (2506920)</dc:creator>
  <cp:keywords/>
  <dc:description/>
  <cp:lastModifiedBy>Josue David Rodriguez Castro (2506920)</cp:lastModifiedBy>
  <cp:revision>4</cp:revision>
  <dcterms:created xsi:type="dcterms:W3CDTF">2026-10-12T06:37:00Z</dcterms:created>
  <dcterms:modified xsi:type="dcterms:W3CDTF">2026-10-12T06:38:00Z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I_WORD_DOCUMENT_FILENAME">
    <vt:lpwstr>EDCI_Assessment_1_Business_Opportunity_Mind_Map.docx.docx</vt:lpwstr>
  </property>
  <property fmtid="{D5CDD505-2E9C-101B-9397-08002B2CF9AE}" pid="3" name="TII_WORD_DOCUMENT_ID">
    <vt:lpwstr>ebaa8464-e828-485e-92ab-ae51189264e8</vt:lpwstr>
  </property>
</Properties>
</file>