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EF4B3" w14:textId="77777777" w:rsidR="004979AB" w:rsidRPr="00113CF7" w:rsidRDefault="004979AB" w:rsidP="004979AB">
      <w:pPr>
        <w:pStyle w:val="p1"/>
        <w:rPr>
          <w:rStyle w:val="s1"/>
          <w:b/>
          <w:bCs/>
          <w:u w:val="single"/>
        </w:rPr>
      </w:pPr>
      <w:r>
        <w:rPr>
          <w:rStyle w:val="s1"/>
          <w:b/>
          <w:bCs/>
          <w:u w:val="single"/>
        </w:rPr>
        <w:t xml:space="preserve">Assignment 5: Transcription: </w:t>
      </w:r>
      <w:r w:rsidRPr="00113CF7">
        <w:rPr>
          <w:rStyle w:val="s1"/>
          <w:b/>
          <w:bCs/>
          <w:u w:val="single"/>
        </w:rPr>
        <w:t>Choose one text (of four) to transcribe, with a commentary.</w:t>
      </w:r>
    </w:p>
    <w:p w14:paraId="5DEE33B8" w14:textId="77777777" w:rsidR="004979AB" w:rsidRDefault="004979AB" w:rsidP="004979AB">
      <w:pPr>
        <w:pStyle w:val="p1"/>
      </w:pPr>
    </w:p>
    <w:p w14:paraId="1642F8A2" w14:textId="77777777" w:rsidR="004979AB" w:rsidRPr="00366E21" w:rsidRDefault="004979AB" w:rsidP="004979AB">
      <w:pPr>
        <w:rPr>
          <w:b/>
          <w:bCs/>
          <w:u w:val="single"/>
        </w:rPr>
      </w:pPr>
      <w:r>
        <w:rPr>
          <w:b/>
          <w:bCs/>
          <w:u w:val="single"/>
        </w:rPr>
        <w:t>Introduction</w:t>
      </w:r>
    </w:p>
    <w:p w14:paraId="224909B6" w14:textId="77777777" w:rsidR="004979AB" w:rsidRDefault="004979AB" w:rsidP="004979AB">
      <w:r>
        <w:t>Palaeography aims to aid the process of ascertaining who, when, and where a manuscript was written. The study of medieval handwriting also helps to determine the number of people involved in producing a particular document. Consequently, old documents often have key characteristic features in the form of handwriting that help to identify a timeframe in which the document was produced. To transcribe unfamiliar documents requires becoming highly familiar with the text in question. Language variations and palaeography can be enormous hurdles and hindrances for interpretation, but looking at patterns in specific features can be key for dating and accurately portraying the context of an antiquitous document. In this assignment, the document below (</w:t>
      </w:r>
      <w:r w:rsidRPr="00B07B51">
        <w:rPr>
          <w:i/>
        </w:rPr>
        <w:t>Document 2</w:t>
      </w:r>
      <w:r>
        <w:t>)</w:t>
      </w:r>
      <w:r w:rsidRPr="00B07B51">
        <w:rPr>
          <w:i/>
          <w:iCs/>
        </w:rPr>
        <w:t xml:space="preserve"> </w:t>
      </w:r>
      <w:r>
        <w:t xml:space="preserve">will be the focus of this transcription exercise. The intention will be to transcribe the manuscript whilst using clues such as geographical markers, names, and handwriting as methods of providing evidence to support an estimated timeline and contextual nature of the document. </w:t>
      </w:r>
    </w:p>
    <w:p w14:paraId="6706610F" w14:textId="77777777" w:rsidR="004979AB" w:rsidRDefault="004979AB" w:rsidP="004979AB"/>
    <w:p w14:paraId="7AC66366" w14:textId="77777777" w:rsidR="004979AB" w:rsidRDefault="004979AB" w:rsidP="004979AB">
      <w:pPr>
        <w:rPr>
          <w:b/>
          <w:bCs/>
          <w:u w:val="single"/>
        </w:rPr>
      </w:pPr>
      <w:r>
        <w:rPr>
          <w:b/>
          <w:bCs/>
          <w:u w:val="single"/>
        </w:rPr>
        <w:t>Transcription</w:t>
      </w:r>
    </w:p>
    <w:p w14:paraId="27E02FED" w14:textId="77777777" w:rsidR="004979AB" w:rsidRDefault="004979AB" w:rsidP="004979AB">
      <w:r w:rsidRPr="0017291A">
        <w:t xml:space="preserve"> The transcription has been formatted to mirror</w:t>
      </w:r>
      <w:r>
        <w:rPr>
          <w:i/>
          <w:iCs/>
        </w:rPr>
        <w:t xml:space="preserve"> Document 2 </w:t>
      </w:r>
      <w:r>
        <w:t xml:space="preserve">line-by- line. Special characters have been used as a method replicating the original lettering in the manuscript as accurately as possible. However, where replica symbols for certain letters were unavailable, these have been represented by their phonetic equivalent placed within square brackets. As a tool for ensuring special characters and/ or their phonetic equivalent are being represented as accurately as possible, the use of the website, </w:t>
      </w:r>
      <w:r>
        <w:rPr>
          <w:i/>
          <w:iCs/>
        </w:rPr>
        <w:t>Medieval Writing</w:t>
      </w:r>
      <w:r>
        <w:rPr>
          <w:rStyle w:val="FootnoteReference"/>
          <w:i/>
          <w:iCs/>
        </w:rPr>
        <w:footnoteReference w:id="1"/>
      </w:r>
      <w:r>
        <w:t xml:space="preserve"> with its script examples has been used as a guide. In particular, the example of English </w:t>
      </w:r>
      <w:proofErr w:type="spellStart"/>
      <w:r>
        <w:t>Protogothic</w:t>
      </w:r>
      <w:proofErr w:type="spellEnd"/>
      <w:r>
        <w:t xml:space="preserve"> private charter hand</w:t>
      </w:r>
      <w:r>
        <w:rPr>
          <w:rStyle w:val="FootnoteReference"/>
        </w:rPr>
        <w:footnoteReference w:id="2"/>
      </w:r>
      <w:r>
        <w:t xml:space="preserve"> from the twelfth </w:t>
      </w:r>
      <w:r>
        <w:lastRenderedPageBreak/>
        <w:t xml:space="preserve">century, which remarkably resembles the handwriting of </w:t>
      </w:r>
      <w:r>
        <w:rPr>
          <w:i/>
          <w:iCs/>
        </w:rPr>
        <w:t>Document 2</w:t>
      </w:r>
      <w:r>
        <w:t xml:space="preserve">, has been used as </w:t>
      </w:r>
      <w:r w:rsidRPr="0017291A">
        <w:rPr>
          <w:noProof/>
        </w:rPr>
        <w:drawing>
          <wp:anchor distT="0" distB="0" distL="114300" distR="114300" simplePos="0" relativeHeight="251659264" behindDoc="0" locked="0" layoutInCell="1" allowOverlap="1" wp14:anchorId="559CAE48" wp14:editId="65AAA19F">
            <wp:simplePos x="0" y="0"/>
            <wp:positionH relativeFrom="column">
              <wp:posOffset>1160585</wp:posOffset>
            </wp:positionH>
            <wp:positionV relativeFrom="paragraph">
              <wp:posOffset>967153</wp:posOffset>
            </wp:positionV>
            <wp:extent cx="3147060" cy="1924050"/>
            <wp:effectExtent l="0" t="0" r="2540" b="6350"/>
            <wp:wrapTopAndBottom/>
            <wp:docPr id="623142944" name="Picture 1"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142944" name="Picture 1" descr="A close up of a pap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47060" cy="1924050"/>
                    </a:xfrm>
                    <a:prstGeom prst="rect">
                      <a:avLst/>
                    </a:prstGeom>
                  </pic:spPr>
                </pic:pic>
              </a:graphicData>
            </a:graphic>
            <wp14:sizeRelH relativeFrom="margin">
              <wp14:pctWidth>0</wp14:pctWidth>
            </wp14:sizeRelH>
            <wp14:sizeRelV relativeFrom="margin">
              <wp14:pctHeight>0</wp14:pctHeight>
            </wp14:sizeRelV>
          </wp:anchor>
        </w:drawing>
      </w:r>
      <w:r>
        <w:t>a regular reference point for accurate transcription.</w:t>
      </w:r>
    </w:p>
    <w:p w14:paraId="5E9B51EA" w14:textId="77777777" w:rsidR="004979AB" w:rsidRDefault="004979AB" w:rsidP="004979AB">
      <w:r>
        <w:rPr>
          <w:noProof/>
        </w:rPr>
        <mc:AlternateContent>
          <mc:Choice Requires="wps">
            <w:drawing>
              <wp:anchor distT="0" distB="0" distL="114300" distR="114300" simplePos="0" relativeHeight="251661312" behindDoc="0" locked="0" layoutInCell="1" allowOverlap="1" wp14:anchorId="2F866E7E" wp14:editId="5349B582">
                <wp:simplePos x="0" y="0"/>
                <wp:positionH relativeFrom="column">
                  <wp:posOffset>26377</wp:posOffset>
                </wp:positionH>
                <wp:positionV relativeFrom="paragraph">
                  <wp:posOffset>2087636</wp:posOffset>
                </wp:positionV>
                <wp:extent cx="5451231" cy="307731"/>
                <wp:effectExtent l="0" t="0" r="0" b="0"/>
                <wp:wrapNone/>
                <wp:docPr id="1983839140" name="Text Box 1"/>
                <wp:cNvGraphicFramePr/>
                <a:graphic xmlns:a="http://schemas.openxmlformats.org/drawingml/2006/main">
                  <a:graphicData uri="http://schemas.microsoft.com/office/word/2010/wordprocessingShape">
                    <wps:wsp>
                      <wps:cNvSpPr txBox="1"/>
                      <wps:spPr>
                        <a:xfrm>
                          <a:off x="0" y="0"/>
                          <a:ext cx="5451231" cy="307731"/>
                        </a:xfrm>
                        <a:prstGeom prst="rect">
                          <a:avLst/>
                        </a:prstGeom>
                        <a:solidFill>
                          <a:schemeClr val="lt1"/>
                        </a:solidFill>
                        <a:ln w="6350">
                          <a:noFill/>
                        </a:ln>
                      </wps:spPr>
                      <wps:txbx>
                        <w:txbxContent>
                          <w:p w14:paraId="727873A6" w14:textId="77777777" w:rsidR="004979AB" w:rsidRPr="00E22C64" w:rsidRDefault="004979AB" w:rsidP="004979AB">
                            <w:pPr>
                              <w:rPr>
                                <w:sz w:val="20"/>
                                <w:szCs w:val="20"/>
                              </w:rPr>
                            </w:pPr>
                            <w:r>
                              <w:rPr>
                                <w:b/>
                                <w:bCs/>
                                <w:sz w:val="20"/>
                                <w:szCs w:val="20"/>
                              </w:rPr>
                              <w:t xml:space="preserve">Fig.1: </w:t>
                            </w:r>
                            <w:r>
                              <w:rPr>
                                <w:sz w:val="20"/>
                                <w:szCs w:val="20"/>
                              </w:rPr>
                              <w:t xml:space="preserve">Screenshot of the first page of </w:t>
                            </w:r>
                            <w:r>
                              <w:rPr>
                                <w:i/>
                                <w:iCs/>
                                <w:sz w:val="20"/>
                                <w:szCs w:val="20"/>
                              </w:rPr>
                              <w:t>Document 2</w:t>
                            </w:r>
                            <w:r>
                              <w:rPr>
                                <w:sz w:val="20"/>
                                <w:szCs w:val="20"/>
                              </w:rPr>
                              <w:t xml:space="preserve"> found on the Moodle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F866E7E" id="_x0000_t202" coordsize="21600,21600" o:spt="202" path="m,l,21600r21600,l21600,xe">
                <v:stroke joinstyle="miter"/>
                <v:path gradientshapeok="t" o:connecttype="rect"/>
              </v:shapetype>
              <v:shape id="Text Box 1" o:spid="_x0000_s1026" type="#_x0000_t202" style="position:absolute;margin-left:2.1pt;margin-top:164.4pt;width:429.25pt;height:24.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" fillcolor="white [3201]" stroked="f" strokeweight=".5pt">
                <v:textbox>
                  <w:txbxContent>
                    <w:p w14:paraId="727873A6" w14:textId="77777777" w:rsidR="004979AB" w:rsidRPr="00E22C64" w:rsidRDefault="004979AB" w:rsidP="004979AB">
                      <w:pPr>
                        <w:rPr>
                          <w:sz w:val="20"/>
                          <w:szCs w:val="20"/>
                        </w:rPr>
                      </w:pPr>
                      <w:r>
                        <w:rPr>
                          <w:b/>
                          <w:bCs/>
                          <w:sz w:val="20"/>
                          <w:szCs w:val="20"/>
                        </w:rPr>
                        <w:t xml:space="preserve">Fig.1: </w:t>
                      </w:r>
                      <w:r>
                        <w:rPr>
                          <w:sz w:val="20"/>
                          <w:szCs w:val="20"/>
                        </w:rPr>
                        <w:t xml:space="preserve">Screenshot of the first page of </w:t>
                      </w:r>
                      <w:r>
                        <w:rPr>
                          <w:i/>
                          <w:iCs/>
                          <w:sz w:val="20"/>
                          <w:szCs w:val="20"/>
                        </w:rPr>
                        <w:t>Document 2</w:t>
                      </w:r>
                      <w:r>
                        <w:rPr>
                          <w:sz w:val="20"/>
                          <w:szCs w:val="20"/>
                        </w:rPr>
                        <w:t xml:space="preserve"> found on the Moodle page</w:t>
                      </w:r>
                    </w:p>
                  </w:txbxContent>
                </v:textbox>
              </v:shape>
            </w:pict>
          </mc:Fallback>
        </mc:AlternateContent>
      </w:r>
    </w:p>
    <w:p w14:paraId="07A26E67" w14:textId="77777777" w:rsidR="004979AB" w:rsidRDefault="004979AB" w:rsidP="004979AB"/>
    <w:p w14:paraId="7D722A93" w14:textId="77777777" w:rsidR="004979AB" w:rsidRDefault="004979AB" w:rsidP="004979AB">
      <w:pPr>
        <w:rPr>
          <w:sz w:val="22"/>
          <w:szCs w:val="22"/>
        </w:rPr>
      </w:pPr>
      <w:r w:rsidRPr="00FE0CFB">
        <w:rPr>
          <w:sz w:val="22"/>
          <w:szCs w:val="22"/>
        </w:rPr>
        <w:t>“</w:t>
      </w:r>
      <w:proofErr w:type="spellStart"/>
      <w:r w:rsidRPr="00FE0CFB">
        <w:rPr>
          <w:sz w:val="22"/>
          <w:szCs w:val="22"/>
        </w:rPr>
        <w:t>Sciant</w:t>
      </w:r>
      <w:proofErr w:type="spellEnd"/>
      <w:r w:rsidRPr="00FE0CFB">
        <w:rPr>
          <w:sz w:val="22"/>
          <w:szCs w:val="22"/>
        </w:rPr>
        <w:t xml:space="preserve"> </w:t>
      </w:r>
      <w:proofErr w:type="gramStart"/>
      <w:r w:rsidRPr="00FE0CFB">
        <w:rPr>
          <w:sz w:val="22"/>
          <w:szCs w:val="22"/>
        </w:rPr>
        <w:t>[pre][S]</w:t>
      </w:r>
      <w:proofErr w:type="spellStart"/>
      <w:proofErr w:type="gramEnd"/>
      <w:r w:rsidRPr="00FE0CFB">
        <w:rPr>
          <w:sz w:val="22"/>
          <w:szCs w:val="22"/>
        </w:rPr>
        <w:t>ente</w:t>
      </w:r>
      <w:proofErr w:type="spellEnd"/>
      <w:r w:rsidRPr="00FE0CFB">
        <w:rPr>
          <w:sz w:val="22"/>
          <w:szCs w:val="22"/>
        </w:rPr>
        <w:t>[S] [et] fu[t]</w:t>
      </w:r>
      <w:proofErr w:type="spellStart"/>
      <w:r w:rsidRPr="00FE0CFB">
        <w:rPr>
          <w:sz w:val="22"/>
          <w:szCs w:val="22"/>
        </w:rPr>
        <w:t>i</w:t>
      </w:r>
      <w:proofErr w:type="spellEnd"/>
      <w:r w:rsidRPr="00FE0CFB">
        <w:rPr>
          <w:sz w:val="22"/>
          <w:szCs w:val="22"/>
        </w:rPr>
        <w:t xml:space="preserve"> [quod] Ego Rotb[er]t[us] [</w:t>
      </w:r>
      <w:proofErr w:type="spellStart"/>
      <w:r w:rsidRPr="00FE0CFB">
        <w:rPr>
          <w:sz w:val="22"/>
          <w:szCs w:val="22"/>
        </w:rPr>
        <w:t>pri</w:t>
      </w:r>
      <w:proofErr w:type="spellEnd"/>
      <w:r w:rsidRPr="00FE0CFB">
        <w:rPr>
          <w:sz w:val="22"/>
          <w:szCs w:val="22"/>
        </w:rPr>
        <w:t>]</w:t>
      </w:r>
      <w:proofErr w:type="spellStart"/>
      <w:r w:rsidRPr="00FE0CFB">
        <w:rPr>
          <w:sz w:val="22"/>
          <w:szCs w:val="22"/>
        </w:rPr>
        <w:t>os</w:t>
      </w:r>
      <w:proofErr w:type="spellEnd"/>
      <w:r w:rsidRPr="00FE0CFB">
        <w:rPr>
          <w:sz w:val="22"/>
          <w:szCs w:val="22"/>
        </w:rPr>
        <w:t xml:space="preserve"> [et] </w:t>
      </w:r>
      <w:proofErr w:type="spellStart"/>
      <w:r w:rsidRPr="00FE0CFB">
        <w:rPr>
          <w:sz w:val="22"/>
          <w:szCs w:val="22"/>
        </w:rPr>
        <w:t>Couent</w:t>
      </w:r>
      <w:proofErr w:type="spellEnd"/>
      <w:r w:rsidRPr="00FE0CFB">
        <w:rPr>
          <w:sz w:val="22"/>
          <w:szCs w:val="22"/>
        </w:rPr>
        <w:t xml:space="preserve">[us] </w:t>
      </w:r>
      <w:proofErr w:type="spellStart"/>
      <w:r w:rsidRPr="00FE0CFB">
        <w:rPr>
          <w:sz w:val="22"/>
          <w:szCs w:val="22"/>
        </w:rPr>
        <w:t>Ecclie</w:t>
      </w:r>
      <w:proofErr w:type="spellEnd"/>
      <w:r w:rsidRPr="00FE0CFB">
        <w:rPr>
          <w:sz w:val="22"/>
          <w:szCs w:val="22"/>
        </w:rPr>
        <w:t xml:space="preserve"> [St] Marie </w:t>
      </w:r>
    </w:p>
    <w:p w14:paraId="1FD83C58" w14:textId="77777777" w:rsidR="004979AB" w:rsidRDefault="004979AB" w:rsidP="004979AB">
      <w:pPr>
        <w:rPr>
          <w:sz w:val="22"/>
          <w:szCs w:val="22"/>
        </w:rPr>
      </w:pPr>
      <w:r w:rsidRPr="00FE0CFB">
        <w:rPr>
          <w:sz w:val="22"/>
          <w:szCs w:val="22"/>
        </w:rPr>
        <w:t xml:space="preserve">de </w:t>
      </w:r>
      <w:proofErr w:type="spellStart"/>
      <w:r w:rsidRPr="00FE0CFB">
        <w:rPr>
          <w:sz w:val="22"/>
          <w:szCs w:val="22"/>
        </w:rPr>
        <w:t>Meritona</w:t>
      </w:r>
      <w:proofErr w:type="spellEnd"/>
      <w:r w:rsidRPr="00FE0CFB">
        <w:rPr>
          <w:sz w:val="22"/>
          <w:szCs w:val="22"/>
        </w:rPr>
        <w:t xml:space="preserve"> </w:t>
      </w:r>
      <w:proofErr w:type="gramStart"/>
      <w:r w:rsidRPr="00FE0CFB">
        <w:rPr>
          <w:sz w:val="22"/>
          <w:szCs w:val="22"/>
        </w:rPr>
        <w:t>Conce[</w:t>
      </w:r>
      <w:proofErr w:type="gramEnd"/>
      <w:r w:rsidRPr="00FE0CFB">
        <w:rPr>
          <w:sz w:val="22"/>
          <w:szCs w:val="22"/>
        </w:rPr>
        <w:t xml:space="preserve">SS]un[us] </w:t>
      </w:r>
      <w:proofErr w:type="spellStart"/>
      <w:r w:rsidRPr="00FE0CFB">
        <w:rPr>
          <w:sz w:val="22"/>
          <w:szCs w:val="22"/>
        </w:rPr>
        <w:t>Ailmanno</w:t>
      </w:r>
      <w:proofErr w:type="spellEnd"/>
      <w:r w:rsidRPr="00FE0CFB">
        <w:rPr>
          <w:sz w:val="22"/>
          <w:szCs w:val="22"/>
        </w:rPr>
        <w:t xml:space="preserve"> de Wendt [et] </w:t>
      </w:r>
      <w:proofErr w:type="spellStart"/>
      <w:r w:rsidRPr="00FE0CFB">
        <w:rPr>
          <w:sz w:val="22"/>
          <w:szCs w:val="22"/>
        </w:rPr>
        <w:t>heredib</w:t>
      </w:r>
      <w:proofErr w:type="spellEnd"/>
      <w:r w:rsidRPr="00FE0CFB">
        <w:rPr>
          <w:sz w:val="22"/>
          <w:szCs w:val="22"/>
        </w:rPr>
        <w:t>; [S]</w:t>
      </w:r>
      <w:proofErr w:type="spellStart"/>
      <w:r w:rsidRPr="00FE0CFB">
        <w:rPr>
          <w:sz w:val="22"/>
          <w:szCs w:val="22"/>
        </w:rPr>
        <w:t>ui</w:t>
      </w:r>
      <w:proofErr w:type="spellEnd"/>
      <w:r w:rsidRPr="00FE0CFB">
        <w:rPr>
          <w:sz w:val="22"/>
          <w:szCs w:val="22"/>
        </w:rPr>
        <w:t xml:space="preserve">[S] </w:t>
      </w:r>
      <w:proofErr w:type="spellStart"/>
      <w:r w:rsidRPr="00FE0CFB">
        <w:rPr>
          <w:sz w:val="22"/>
          <w:szCs w:val="22"/>
        </w:rPr>
        <w:t>ťrā</w:t>
      </w:r>
      <w:proofErr w:type="spellEnd"/>
      <w:r w:rsidRPr="00FE0CFB">
        <w:rPr>
          <w:sz w:val="22"/>
          <w:szCs w:val="22"/>
        </w:rPr>
        <w:t xml:space="preserve"> </w:t>
      </w:r>
      <w:proofErr w:type="spellStart"/>
      <w:r w:rsidRPr="00FE0CFB">
        <w:rPr>
          <w:sz w:val="22"/>
          <w:szCs w:val="22"/>
        </w:rPr>
        <w:t>illā</w:t>
      </w:r>
      <w:proofErr w:type="spellEnd"/>
      <w:r w:rsidRPr="00FE0CFB">
        <w:rPr>
          <w:sz w:val="22"/>
          <w:szCs w:val="22"/>
        </w:rPr>
        <w:t xml:space="preserve"> o[S] </w:t>
      </w:r>
      <w:proofErr w:type="spellStart"/>
      <w:r w:rsidRPr="00FE0CFB">
        <w:rPr>
          <w:sz w:val="22"/>
          <w:szCs w:val="22"/>
        </w:rPr>
        <w:t>fu</w:t>
      </w:r>
      <w:r>
        <w:rPr>
          <w:sz w:val="22"/>
          <w:szCs w:val="22"/>
        </w:rPr>
        <w:t>i</w:t>
      </w:r>
      <w:r w:rsidRPr="00FE0CFB">
        <w:rPr>
          <w:sz w:val="22"/>
          <w:szCs w:val="22"/>
        </w:rPr>
        <w:t>t</w:t>
      </w:r>
      <w:proofErr w:type="spellEnd"/>
      <w:r w:rsidRPr="00FE0CFB">
        <w:rPr>
          <w:sz w:val="22"/>
          <w:szCs w:val="22"/>
        </w:rPr>
        <w:t xml:space="preserve"> </w:t>
      </w:r>
    </w:p>
    <w:p w14:paraId="458FC7DF" w14:textId="77777777" w:rsidR="004979AB" w:rsidRPr="00FE0CFB" w:rsidRDefault="004979AB" w:rsidP="004979AB">
      <w:pPr>
        <w:rPr>
          <w:sz w:val="22"/>
          <w:szCs w:val="22"/>
        </w:rPr>
      </w:pPr>
      <w:r w:rsidRPr="00FE0CFB">
        <w:rPr>
          <w:sz w:val="22"/>
          <w:szCs w:val="22"/>
        </w:rPr>
        <w:t xml:space="preserve">W </w:t>
      </w:r>
      <w:proofErr w:type="spellStart"/>
      <w:r w:rsidRPr="00FE0CFB">
        <w:rPr>
          <w:sz w:val="22"/>
          <w:szCs w:val="22"/>
        </w:rPr>
        <w:t>Iward</w:t>
      </w:r>
      <w:r>
        <w:rPr>
          <w:sz w:val="22"/>
          <w:szCs w:val="22"/>
        </w:rPr>
        <w:t>i</w:t>
      </w:r>
      <w:proofErr w:type="spellEnd"/>
      <w:r w:rsidRPr="00FE0CFB">
        <w:rPr>
          <w:sz w:val="22"/>
          <w:szCs w:val="22"/>
        </w:rPr>
        <w:t xml:space="preserve"> [S]</w:t>
      </w:r>
      <w:proofErr w:type="spellStart"/>
      <w:proofErr w:type="gramStart"/>
      <w:r w:rsidRPr="00FE0CFB">
        <w:rPr>
          <w:sz w:val="22"/>
          <w:szCs w:val="22"/>
        </w:rPr>
        <w:t>ewilde</w:t>
      </w:r>
      <w:proofErr w:type="spellEnd"/>
      <w:r w:rsidRPr="00FE0CFB">
        <w:rPr>
          <w:sz w:val="22"/>
          <w:szCs w:val="22"/>
        </w:rPr>
        <w:t xml:space="preserve"> .</w:t>
      </w:r>
      <w:proofErr w:type="gramEnd"/>
      <w:r w:rsidRPr="00FE0CFB">
        <w:rPr>
          <w:sz w:val="22"/>
          <w:szCs w:val="22"/>
        </w:rPr>
        <w:t xml:space="preserve"> [et] in </w:t>
      </w:r>
      <w:proofErr w:type="spellStart"/>
      <w:proofErr w:type="gramStart"/>
      <w:r w:rsidRPr="00FE0CFB">
        <w:rPr>
          <w:sz w:val="22"/>
          <w:szCs w:val="22"/>
        </w:rPr>
        <w:t>īcremto</w:t>
      </w:r>
      <w:proofErr w:type="spellEnd"/>
      <w:r w:rsidRPr="00FE0CFB">
        <w:rPr>
          <w:sz w:val="22"/>
          <w:szCs w:val="22"/>
        </w:rPr>
        <w:t xml:space="preserve"> .</w:t>
      </w:r>
      <w:proofErr w:type="gramEnd"/>
      <w:r w:rsidRPr="00FE0CFB">
        <w:rPr>
          <w:sz w:val="22"/>
          <w:szCs w:val="22"/>
        </w:rPr>
        <w:t>[1]. Ac[</w:t>
      </w:r>
      <w:proofErr w:type="spellStart"/>
      <w:r w:rsidRPr="00FE0CFB">
        <w:rPr>
          <w:sz w:val="22"/>
          <w:szCs w:val="22"/>
        </w:rPr>
        <w:t>i</w:t>
      </w:r>
      <w:proofErr w:type="spellEnd"/>
      <w:r w:rsidRPr="00FE0CFB">
        <w:rPr>
          <w:sz w:val="22"/>
          <w:szCs w:val="22"/>
        </w:rPr>
        <w:t xml:space="preserve">]n g </w:t>
      </w:r>
      <w:proofErr w:type="spellStart"/>
      <w:r w:rsidRPr="00FE0CFB">
        <w:rPr>
          <w:sz w:val="22"/>
          <w:szCs w:val="22"/>
        </w:rPr>
        <w:t>fuit</w:t>
      </w:r>
      <w:proofErr w:type="spellEnd"/>
      <w:r w:rsidRPr="00FE0CFB">
        <w:rPr>
          <w:sz w:val="22"/>
          <w:szCs w:val="22"/>
        </w:rPr>
        <w:t xml:space="preserve"> Godwin Gromchr ap </w:t>
      </w:r>
      <w:r>
        <w:rPr>
          <w:rFonts w:ascii="Latin" w:hAnsi="Latin"/>
          <w:sz w:val="22"/>
          <w:szCs w:val="22"/>
        </w:rPr>
        <w:t>°</w:t>
      </w:r>
      <w:r w:rsidRPr="00FE0CFB">
        <w:rPr>
          <w:sz w:val="22"/>
          <w:szCs w:val="22"/>
        </w:rPr>
        <w:t>Scola</w:t>
      </w:r>
      <w:r w:rsidRPr="00BC1DCC">
        <w:rPr>
          <w:sz w:val="22"/>
          <w:szCs w:val="22"/>
        </w:rPr>
        <w:t>ð</w:t>
      </w:r>
    </w:p>
    <w:p w14:paraId="37F38FED" w14:textId="77777777" w:rsidR="004979AB" w:rsidRPr="00FE0CFB" w:rsidRDefault="004979AB" w:rsidP="004979AB">
      <w:pPr>
        <w:rPr>
          <w:sz w:val="22"/>
          <w:szCs w:val="22"/>
        </w:rPr>
      </w:pPr>
      <w:r w:rsidRPr="00FE0CFB">
        <w:rPr>
          <w:sz w:val="22"/>
          <w:szCs w:val="22"/>
        </w:rPr>
        <w:t xml:space="preserve">[et] </w:t>
      </w:r>
      <w:proofErr w:type="spellStart"/>
      <w:r w:rsidRPr="00FE0CFB">
        <w:rPr>
          <w:sz w:val="22"/>
          <w:szCs w:val="22"/>
        </w:rPr>
        <w:t>duni</w:t>
      </w:r>
      <w:r w:rsidRPr="00BC1DCC">
        <w:rPr>
          <w:sz w:val="22"/>
          <w:szCs w:val="22"/>
        </w:rPr>
        <w:t>ð</w:t>
      </w:r>
      <w:proofErr w:type="spellEnd"/>
      <w:r w:rsidRPr="00FE0CFB">
        <w:rPr>
          <w:sz w:val="22"/>
          <w:szCs w:val="22"/>
        </w:rPr>
        <w:t xml:space="preserve"> </w:t>
      </w:r>
      <w:proofErr w:type="spellStart"/>
      <w:r w:rsidRPr="00FE0CFB">
        <w:rPr>
          <w:sz w:val="22"/>
          <w:szCs w:val="22"/>
        </w:rPr>
        <w:t>acrā</w:t>
      </w:r>
      <w:proofErr w:type="spellEnd"/>
      <w:r w:rsidRPr="00FE0CFB">
        <w:rPr>
          <w:sz w:val="22"/>
          <w:szCs w:val="22"/>
        </w:rPr>
        <w:t xml:space="preserve"> ğ </w:t>
      </w:r>
      <w:proofErr w:type="spellStart"/>
      <w:r w:rsidRPr="00FE0CFB">
        <w:rPr>
          <w:sz w:val="22"/>
          <w:szCs w:val="22"/>
        </w:rPr>
        <w:t>iacet</w:t>
      </w:r>
      <w:proofErr w:type="spellEnd"/>
      <w:r w:rsidRPr="00FE0CFB">
        <w:rPr>
          <w:sz w:val="22"/>
          <w:szCs w:val="22"/>
        </w:rPr>
        <w:t xml:space="preserve"> </w:t>
      </w:r>
      <w:proofErr w:type="spellStart"/>
      <w:r w:rsidRPr="00FE0CFB">
        <w:rPr>
          <w:sz w:val="22"/>
          <w:szCs w:val="22"/>
        </w:rPr>
        <w:t>ivxta</w:t>
      </w:r>
      <w:proofErr w:type="spellEnd"/>
      <w:r w:rsidRPr="00FE0CFB">
        <w:rPr>
          <w:sz w:val="22"/>
          <w:szCs w:val="22"/>
        </w:rPr>
        <w:t xml:space="preserve"> Claip[u]</w:t>
      </w:r>
      <w:proofErr w:type="spellStart"/>
      <w:r w:rsidRPr="00FE0CFB">
        <w:rPr>
          <w:sz w:val="22"/>
          <w:szCs w:val="22"/>
        </w:rPr>
        <w:t>tte</w:t>
      </w:r>
      <w:proofErr w:type="spellEnd"/>
      <w:r w:rsidRPr="00FE0CFB">
        <w:rPr>
          <w:sz w:val="22"/>
          <w:szCs w:val="22"/>
        </w:rPr>
        <w:t xml:space="preserve"> [S]up </w:t>
      </w:r>
      <w:proofErr w:type="spellStart"/>
      <w:r w:rsidRPr="00FE0CFB">
        <w:rPr>
          <w:sz w:val="22"/>
          <w:szCs w:val="22"/>
        </w:rPr>
        <w:t>ğin</w:t>
      </w:r>
      <w:proofErr w:type="spellEnd"/>
      <w:r w:rsidRPr="00FE0CFB">
        <w:rPr>
          <w:sz w:val="22"/>
          <w:szCs w:val="22"/>
        </w:rPr>
        <w:t xml:space="preserve"> Sigar [S]</w:t>
      </w:r>
      <w:proofErr w:type="gramStart"/>
      <w:r w:rsidRPr="00FE0CFB">
        <w:rPr>
          <w:sz w:val="22"/>
          <w:szCs w:val="22"/>
        </w:rPr>
        <w:t>edit .</w:t>
      </w:r>
      <w:proofErr w:type="gramEnd"/>
      <w:r w:rsidRPr="00FE0CFB">
        <w:rPr>
          <w:sz w:val="22"/>
          <w:szCs w:val="22"/>
        </w:rPr>
        <w:t xml:space="preserve"> </w:t>
      </w:r>
      <w:proofErr w:type="spellStart"/>
      <w:r w:rsidRPr="00FE0CFB">
        <w:rPr>
          <w:sz w:val="22"/>
          <w:szCs w:val="22"/>
        </w:rPr>
        <w:t>tenedā</w:t>
      </w:r>
      <w:proofErr w:type="spellEnd"/>
      <w:r w:rsidRPr="00FE0CFB">
        <w:rPr>
          <w:sz w:val="22"/>
          <w:szCs w:val="22"/>
        </w:rPr>
        <w:t xml:space="preserve"> </w:t>
      </w:r>
      <w:proofErr w:type="spellStart"/>
      <w:r w:rsidRPr="00FE0CFB">
        <w:rPr>
          <w:sz w:val="22"/>
          <w:szCs w:val="22"/>
        </w:rPr>
        <w:t>ip</w:t>
      </w:r>
      <w:proofErr w:type="spellEnd"/>
      <w:r w:rsidRPr="00FE0CFB">
        <w:rPr>
          <w:sz w:val="22"/>
          <w:szCs w:val="22"/>
        </w:rPr>
        <w:t>[S]</w:t>
      </w:r>
      <w:proofErr w:type="spellStart"/>
      <w:r w:rsidRPr="00FE0CFB">
        <w:rPr>
          <w:sz w:val="22"/>
          <w:szCs w:val="22"/>
        </w:rPr>
        <w:t>i</w:t>
      </w:r>
      <w:proofErr w:type="spellEnd"/>
    </w:p>
    <w:p w14:paraId="15E54FBE" w14:textId="77777777" w:rsidR="004979AB" w:rsidRPr="00FE0CFB" w:rsidRDefault="004979AB" w:rsidP="004979AB">
      <w:pPr>
        <w:rPr>
          <w:sz w:val="22"/>
          <w:szCs w:val="22"/>
        </w:rPr>
      </w:pPr>
      <w:r w:rsidRPr="00FE0CFB">
        <w:rPr>
          <w:sz w:val="22"/>
          <w:szCs w:val="22"/>
        </w:rPr>
        <w:t xml:space="preserve"> [et] </w:t>
      </w:r>
      <w:proofErr w:type="spellStart"/>
      <w:r w:rsidRPr="00FE0CFB">
        <w:rPr>
          <w:sz w:val="22"/>
          <w:szCs w:val="22"/>
        </w:rPr>
        <w:t>heredib</w:t>
      </w:r>
      <w:proofErr w:type="spellEnd"/>
      <w:r w:rsidRPr="00FE0CFB">
        <w:rPr>
          <w:sz w:val="22"/>
          <w:szCs w:val="22"/>
        </w:rPr>
        <w:t>; [S]</w:t>
      </w:r>
      <w:proofErr w:type="spellStart"/>
      <w:r w:rsidRPr="00FE0CFB">
        <w:rPr>
          <w:sz w:val="22"/>
          <w:szCs w:val="22"/>
        </w:rPr>
        <w:t>uis</w:t>
      </w:r>
      <w:proofErr w:type="spellEnd"/>
      <w:r w:rsidRPr="00FE0CFB">
        <w:rPr>
          <w:sz w:val="22"/>
          <w:szCs w:val="22"/>
        </w:rPr>
        <w:t xml:space="preserve"> in </w:t>
      </w:r>
      <w:proofErr w:type="spellStart"/>
      <w:r w:rsidRPr="00FE0CFB">
        <w:rPr>
          <w:sz w:val="22"/>
          <w:szCs w:val="22"/>
        </w:rPr>
        <w:t>fe</w:t>
      </w:r>
      <w:proofErr w:type="spellEnd"/>
      <w:r>
        <w:rPr>
          <w:sz w:val="22"/>
          <w:szCs w:val="22"/>
        </w:rPr>
        <w:t>[u]</w:t>
      </w:r>
      <w:proofErr w:type="spellStart"/>
      <w:r w:rsidRPr="00FE0CFB">
        <w:rPr>
          <w:sz w:val="22"/>
          <w:szCs w:val="22"/>
        </w:rPr>
        <w:t>dū</w:t>
      </w:r>
      <w:proofErr w:type="spellEnd"/>
      <w:r w:rsidRPr="00FE0CFB">
        <w:rPr>
          <w:sz w:val="22"/>
          <w:szCs w:val="22"/>
        </w:rPr>
        <w:t xml:space="preserve"> [et] </w:t>
      </w:r>
      <w:proofErr w:type="spellStart"/>
      <w:r w:rsidRPr="00FE0CFB">
        <w:rPr>
          <w:sz w:val="22"/>
          <w:szCs w:val="22"/>
        </w:rPr>
        <w:t>heredicatē</w:t>
      </w:r>
      <w:proofErr w:type="spellEnd"/>
      <w:r w:rsidRPr="00FE0CFB">
        <w:rPr>
          <w:sz w:val="22"/>
          <w:szCs w:val="22"/>
        </w:rPr>
        <w:t xml:space="preserve"> </w:t>
      </w:r>
      <w:proofErr w:type="spellStart"/>
      <w:r w:rsidRPr="00FE0CFB">
        <w:rPr>
          <w:sz w:val="22"/>
          <w:szCs w:val="22"/>
        </w:rPr>
        <w:t>p.u</w:t>
      </w:r>
      <w:proofErr w:type="spellEnd"/>
      <w:r w:rsidRPr="00FE0CFB">
        <w:rPr>
          <w:sz w:val="22"/>
          <w:szCs w:val="22"/>
        </w:rPr>
        <w:t>. [S]</w:t>
      </w:r>
      <w:proofErr w:type="spellStart"/>
      <w:r w:rsidRPr="00FE0CFB">
        <w:rPr>
          <w:sz w:val="22"/>
          <w:szCs w:val="22"/>
        </w:rPr>
        <w:t>ot</w:t>
      </w:r>
      <w:proofErr w:type="spellEnd"/>
      <w:r w:rsidRPr="00FE0CFB">
        <w:rPr>
          <w:sz w:val="22"/>
          <w:szCs w:val="22"/>
        </w:rPr>
        <w:t xml:space="preserve"> </w:t>
      </w:r>
      <w:proofErr w:type="spellStart"/>
      <w:r w:rsidRPr="00FE0CFB">
        <w:rPr>
          <w:sz w:val="22"/>
          <w:szCs w:val="22"/>
        </w:rPr>
        <w:t>annuatī</w:t>
      </w:r>
      <w:proofErr w:type="spellEnd"/>
      <w:r w:rsidRPr="00FE0CFB">
        <w:rPr>
          <w:sz w:val="22"/>
          <w:szCs w:val="22"/>
        </w:rPr>
        <w:t xml:space="preserve">. [et] </w:t>
      </w:r>
      <w:proofErr w:type="spellStart"/>
      <w:r w:rsidRPr="00FE0CFB">
        <w:rPr>
          <w:sz w:val="22"/>
          <w:szCs w:val="22"/>
        </w:rPr>
        <w:t>plibero</w:t>
      </w:r>
      <w:proofErr w:type="spellEnd"/>
      <w:r w:rsidRPr="00FE0CFB">
        <w:rPr>
          <w:sz w:val="22"/>
          <w:szCs w:val="22"/>
        </w:rPr>
        <w:t xml:space="preserve"> [S]er</w:t>
      </w:r>
    </w:p>
    <w:p w14:paraId="1930DAEE" w14:textId="77777777" w:rsidR="004979AB" w:rsidRPr="00FE0CFB" w:rsidRDefault="004979AB" w:rsidP="004979AB">
      <w:pPr>
        <w:rPr>
          <w:sz w:val="22"/>
          <w:szCs w:val="22"/>
        </w:rPr>
      </w:pPr>
      <w:proofErr w:type="spellStart"/>
      <w:r>
        <w:rPr>
          <w:sz w:val="22"/>
          <w:szCs w:val="22"/>
        </w:rPr>
        <w:t>urtio</w:t>
      </w:r>
      <w:proofErr w:type="spellEnd"/>
      <w:r>
        <w:rPr>
          <w:sz w:val="22"/>
          <w:szCs w:val="22"/>
        </w:rPr>
        <w:t xml:space="preserve"> </w:t>
      </w:r>
      <w:r w:rsidRPr="00FE0CFB">
        <w:rPr>
          <w:sz w:val="22"/>
          <w:szCs w:val="22"/>
        </w:rPr>
        <w:t>[S]</w:t>
      </w:r>
      <w:proofErr w:type="spellStart"/>
      <w:proofErr w:type="gramStart"/>
      <w:r w:rsidRPr="00FE0CFB">
        <w:rPr>
          <w:sz w:val="22"/>
          <w:szCs w:val="22"/>
        </w:rPr>
        <w:t>uo</w:t>
      </w:r>
      <w:proofErr w:type="spellEnd"/>
      <w:r>
        <w:rPr>
          <w:sz w:val="22"/>
          <w:szCs w:val="22"/>
        </w:rPr>
        <w:t xml:space="preserve"> .</w:t>
      </w:r>
      <w:proofErr w:type="gramEnd"/>
      <w:r w:rsidRPr="00FE0CFB">
        <w:rPr>
          <w:sz w:val="22"/>
          <w:szCs w:val="22"/>
        </w:rPr>
        <w:t xml:space="preserve"> [quod] [S]</w:t>
      </w:r>
      <w:proofErr w:type="spellStart"/>
      <w:r w:rsidRPr="00FE0CFB">
        <w:rPr>
          <w:sz w:val="22"/>
          <w:szCs w:val="22"/>
        </w:rPr>
        <w:t>cilicet</w:t>
      </w:r>
      <w:proofErr w:type="spellEnd"/>
      <w:r w:rsidRPr="00FE0CFB">
        <w:rPr>
          <w:sz w:val="22"/>
          <w:szCs w:val="22"/>
        </w:rPr>
        <w:t xml:space="preserve"> ad [S]</w:t>
      </w:r>
      <w:proofErr w:type="spellStart"/>
      <w:r w:rsidRPr="00FE0CFB">
        <w:rPr>
          <w:sz w:val="22"/>
          <w:szCs w:val="22"/>
        </w:rPr>
        <w:t>ubmonitione</w:t>
      </w:r>
      <w:proofErr w:type="spellEnd"/>
      <w:r w:rsidRPr="00FE0CFB">
        <w:rPr>
          <w:sz w:val="22"/>
          <w:szCs w:val="22"/>
        </w:rPr>
        <w:t xml:space="preserve"> </w:t>
      </w:r>
      <w:proofErr w:type="spellStart"/>
      <w:r w:rsidRPr="00FE0CFB">
        <w:rPr>
          <w:sz w:val="22"/>
          <w:szCs w:val="22"/>
        </w:rPr>
        <w:t>nřam</w:t>
      </w:r>
      <w:proofErr w:type="spellEnd"/>
      <w:r w:rsidRPr="00FE0CFB">
        <w:rPr>
          <w:sz w:val="22"/>
          <w:szCs w:val="22"/>
        </w:rPr>
        <w:t xml:space="preserve"> </w:t>
      </w:r>
      <w:proofErr w:type="spellStart"/>
      <w:r w:rsidRPr="00FE0CFB">
        <w:rPr>
          <w:sz w:val="22"/>
          <w:szCs w:val="22"/>
        </w:rPr>
        <w:t>ip</w:t>
      </w:r>
      <w:proofErr w:type="spellEnd"/>
      <w:r w:rsidRPr="00FE0CFB">
        <w:rPr>
          <w:sz w:val="22"/>
          <w:szCs w:val="22"/>
        </w:rPr>
        <w:t xml:space="preserve">[S]e [et] </w:t>
      </w:r>
      <w:proofErr w:type="spellStart"/>
      <w:r w:rsidRPr="00FE0CFB">
        <w:rPr>
          <w:sz w:val="22"/>
          <w:szCs w:val="22"/>
        </w:rPr>
        <w:t>herede</w:t>
      </w:r>
      <w:proofErr w:type="spellEnd"/>
      <w:r w:rsidRPr="00FE0CFB">
        <w:rPr>
          <w:sz w:val="22"/>
          <w:szCs w:val="22"/>
        </w:rPr>
        <w:t>[S] [S]</w:t>
      </w:r>
      <w:proofErr w:type="spellStart"/>
      <w:r w:rsidRPr="00FE0CFB">
        <w:rPr>
          <w:sz w:val="22"/>
          <w:szCs w:val="22"/>
        </w:rPr>
        <w:t>ui</w:t>
      </w:r>
      <w:proofErr w:type="spellEnd"/>
      <w:r w:rsidRPr="00FE0CFB">
        <w:rPr>
          <w:sz w:val="22"/>
          <w:szCs w:val="22"/>
        </w:rPr>
        <w:t xml:space="preserve"> ad </w:t>
      </w:r>
      <w:proofErr w:type="spellStart"/>
      <w:r w:rsidRPr="00FE0CFB">
        <w:rPr>
          <w:sz w:val="22"/>
          <w:szCs w:val="22"/>
        </w:rPr>
        <w:t>pla</w:t>
      </w:r>
      <w:proofErr w:type="spellEnd"/>
      <w:r w:rsidRPr="00FE0CFB">
        <w:rPr>
          <w:sz w:val="22"/>
          <w:szCs w:val="22"/>
        </w:rPr>
        <w:t xml:space="preserve"> </w:t>
      </w:r>
      <w:r>
        <w:rPr>
          <w:sz w:val="22"/>
          <w:szCs w:val="22"/>
        </w:rPr>
        <w:t>/</w:t>
      </w:r>
    </w:p>
    <w:p w14:paraId="024BAB11" w14:textId="77777777" w:rsidR="004979AB" w:rsidRPr="00FE0CFB" w:rsidRDefault="004979AB" w:rsidP="004979AB">
      <w:pPr>
        <w:rPr>
          <w:sz w:val="22"/>
          <w:szCs w:val="22"/>
        </w:rPr>
      </w:pPr>
      <w:proofErr w:type="spellStart"/>
      <w:r w:rsidRPr="00FE0CFB">
        <w:rPr>
          <w:sz w:val="22"/>
          <w:szCs w:val="22"/>
        </w:rPr>
        <w:t>cita</w:t>
      </w:r>
      <w:proofErr w:type="spellEnd"/>
      <w:r w:rsidRPr="00FE0CFB">
        <w:rPr>
          <w:sz w:val="22"/>
          <w:szCs w:val="22"/>
        </w:rPr>
        <w:t xml:space="preserve"> </w:t>
      </w:r>
      <w:proofErr w:type="spellStart"/>
      <w:r w:rsidRPr="00FE0CFB">
        <w:rPr>
          <w:sz w:val="22"/>
          <w:szCs w:val="22"/>
        </w:rPr>
        <w:t>nřa</w:t>
      </w:r>
      <w:proofErr w:type="spellEnd"/>
      <w:r w:rsidRPr="00FE0CFB">
        <w:rPr>
          <w:sz w:val="22"/>
          <w:szCs w:val="22"/>
        </w:rPr>
        <w:t xml:space="preserve"> infra </w:t>
      </w:r>
      <w:proofErr w:type="spellStart"/>
      <w:r w:rsidRPr="00FE0CFB">
        <w:rPr>
          <w:sz w:val="22"/>
          <w:szCs w:val="22"/>
        </w:rPr>
        <w:t>comitatū</w:t>
      </w:r>
      <w:proofErr w:type="spellEnd"/>
      <w:r w:rsidRPr="00FE0CFB">
        <w:rPr>
          <w:sz w:val="22"/>
          <w:szCs w:val="22"/>
        </w:rPr>
        <w:t xml:space="preserve"> Sud[j]</w:t>
      </w:r>
      <w:proofErr w:type="spellStart"/>
      <w:r w:rsidRPr="00FE0CFB">
        <w:rPr>
          <w:sz w:val="22"/>
          <w:szCs w:val="22"/>
        </w:rPr>
        <w:t>i</w:t>
      </w:r>
      <w:proofErr w:type="spellEnd"/>
      <w:r w:rsidRPr="00FE0CFB">
        <w:rPr>
          <w:sz w:val="22"/>
          <w:szCs w:val="22"/>
        </w:rPr>
        <w:t xml:space="preserve"> </w:t>
      </w:r>
      <w:proofErr w:type="spellStart"/>
      <w:r w:rsidRPr="00FE0CFB">
        <w:rPr>
          <w:sz w:val="22"/>
          <w:szCs w:val="22"/>
        </w:rPr>
        <w:t>fideliter</w:t>
      </w:r>
      <w:proofErr w:type="spellEnd"/>
      <w:r w:rsidRPr="00FE0CFB">
        <w:rPr>
          <w:sz w:val="22"/>
          <w:szCs w:val="22"/>
        </w:rPr>
        <w:t xml:space="preserve"> </w:t>
      </w:r>
      <w:proofErr w:type="spellStart"/>
      <w:r w:rsidRPr="00FE0CFB">
        <w:rPr>
          <w:sz w:val="22"/>
          <w:szCs w:val="22"/>
        </w:rPr>
        <w:t>uement</w:t>
      </w:r>
      <w:proofErr w:type="spellEnd"/>
      <w:r w:rsidRPr="00FE0CFB">
        <w:rPr>
          <w:sz w:val="22"/>
          <w:szCs w:val="22"/>
        </w:rPr>
        <w:t xml:space="preserve">. P hac </w:t>
      </w:r>
      <w:proofErr w:type="gramStart"/>
      <w:r w:rsidRPr="00FE0CFB">
        <w:rPr>
          <w:sz w:val="22"/>
          <w:szCs w:val="22"/>
        </w:rPr>
        <w:t>Conce[</w:t>
      </w:r>
      <w:proofErr w:type="gramEnd"/>
      <w:r w:rsidRPr="00FE0CFB">
        <w:rPr>
          <w:sz w:val="22"/>
          <w:szCs w:val="22"/>
        </w:rPr>
        <w:t>SS]</w:t>
      </w:r>
      <w:proofErr w:type="spellStart"/>
      <w:r w:rsidRPr="00FE0CFB">
        <w:rPr>
          <w:sz w:val="22"/>
          <w:szCs w:val="22"/>
        </w:rPr>
        <w:t>ione</w:t>
      </w:r>
      <w:proofErr w:type="spellEnd"/>
      <w:r w:rsidRPr="00FE0CFB">
        <w:rPr>
          <w:sz w:val="22"/>
          <w:szCs w:val="22"/>
        </w:rPr>
        <w:t xml:space="preserve"> </w:t>
      </w:r>
    </w:p>
    <w:p w14:paraId="2BEE4D0C" w14:textId="77777777" w:rsidR="004979AB" w:rsidRDefault="004979AB" w:rsidP="004979AB">
      <w:pPr>
        <w:rPr>
          <w:sz w:val="22"/>
          <w:szCs w:val="22"/>
        </w:rPr>
      </w:pPr>
      <w:r w:rsidRPr="00FE0CFB">
        <w:rPr>
          <w:sz w:val="22"/>
          <w:szCs w:val="22"/>
        </w:rPr>
        <w:t xml:space="preserve">[et] </w:t>
      </w:r>
      <w:proofErr w:type="spellStart"/>
      <w:r w:rsidRPr="00FE0CFB">
        <w:rPr>
          <w:sz w:val="22"/>
          <w:szCs w:val="22"/>
        </w:rPr>
        <w:t>tenuraq</w:t>
      </w:r>
      <w:proofErr w:type="spellEnd"/>
      <w:r w:rsidRPr="00FE0CFB">
        <w:rPr>
          <w:sz w:val="22"/>
          <w:szCs w:val="22"/>
        </w:rPr>
        <w:t>[</w:t>
      </w:r>
      <w:proofErr w:type="spellStart"/>
      <w:r w:rsidRPr="00FE0CFB">
        <w:rPr>
          <w:sz w:val="22"/>
          <w:szCs w:val="22"/>
        </w:rPr>
        <w:t>uam</w:t>
      </w:r>
      <w:proofErr w:type="spellEnd"/>
      <w:r w:rsidRPr="00FE0CFB">
        <w:rPr>
          <w:sz w:val="22"/>
          <w:szCs w:val="22"/>
        </w:rPr>
        <w:t xml:space="preserve">] </w:t>
      </w:r>
      <w:proofErr w:type="spellStart"/>
      <w:r w:rsidRPr="00FE0CFB">
        <w:rPr>
          <w:sz w:val="22"/>
          <w:szCs w:val="22"/>
        </w:rPr>
        <w:t>ei</w:t>
      </w:r>
      <w:proofErr w:type="spellEnd"/>
      <w:r w:rsidRPr="00FE0CFB">
        <w:rPr>
          <w:sz w:val="22"/>
          <w:szCs w:val="22"/>
        </w:rPr>
        <w:t xml:space="preserve"> dam[us</w:t>
      </w:r>
      <w:proofErr w:type="gramStart"/>
      <w:r w:rsidRPr="00FE0CFB">
        <w:rPr>
          <w:sz w:val="22"/>
          <w:szCs w:val="22"/>
        </w:rPr>
        <w:t>] :</w:t>
      </w:r>
      <w:proofErr w:type="gramEnd"/>
      <w:r w:rsidRPr="00FE0CFB">
        <w:rPr>
          <w:sz w:val="22"/>
          <w:szCs w:val="22"/>
        </w:rPr>
        <w:t xml:space="preserve"> </w:t>
      </w:r>
      <w:proofErr w:type="spellStart"/>
      <w:r w:rsidRPr="00FE0CFB">
        <w:rPr>
          <w:sz w:val="22"/>
          <w:szCs w:val="22"/>
        </w:rPr>
        <w:t>ips</w:t>
      </w:r>
      <w:proofErr w:type="spellEnd"/>
      <w:r w:rsidRPr="00FE0CFB">
        <w:rPr>
          <w:sz w:val="22"/>
          <w:szCs w:val="22"/>
        </w:rPr>
        <w:t xml:space="preserve">[S]e </w:t>
      </w:r>
      <w:proofErr w:type="spellStart"/>
      <w:r w:rsidRPr="00FE0CFB">
        <w:rPr>
          <w:sz w:val="22"/>
          <w:szCs w:val="22"/>
        </w:rPr>
        <w:t>Ailmann</w:t>
      </w:r>
      <w:proofErr w:type="spellEnd"/>
      <w:r w:rsidRPr="00FE0CFB">
        <w:rPr>
          <w:sz w:val="22"/>
          <w:szCs w:val="22"/>
        </w:rPr>
        <w:t xml:space="preserve">[us] nob[er] in </w:t>
      </w:r>
      <w:proofErr w:type="spellStart"/>
      <w:r w:rsidRPr="00FE0CFB">
        <w:rPr>
          <w:sz w:val="22"/>
          <w:szCs w:val="22"/>
        </w:rPr>
        <w:t>Capto</w:t>
      </w:r>
      <w:proofErr w:type="spellEnd"/>
      <w:r w:rsidRPr="00FE0CFB">
        <w:rPr>
          <w:sz w:val="22"/>
          <w:szCs w:val="22"/>
        </w:rPr>
        <w:t xml:space="preserve"> </w:t>
      </w:r>
      <w:proofErr w:type="spellStart"/>
      <w:r w:rsidRPr="00FE0CFB">
        <w:rPr>
          <w:sz w:val="22"/>
          <w:szCs w:val="22"/>
        </w:rPr>
        <w:t>tiřo</w:t>
      </w:r>
      <w:proofErr w:type="spellEnd"/>
      <w:r w:rsidRPr="00FE0CFB">
        <w:rPr>
          <w:sz w:val="22"/>
          <w:szCs w:val="22"/>
        </w:rPr>
        <w:t xml:space="preserve"> </w:t>
      </w:r>
      <w:proofErr w:type="spellStart"/>
      <w:r w:rsidRPr="00FE0CFB">
        <w:rPr>
          <w:sz w:val="22"/>
          <w:szCs w:val="22"/>
        </w:rPr>
        <w:t>homagūi</w:t>
      </w:r>
      <w:proofErr w:type="spellEnd"/>
      <w:r w:rsidRPr="00FE0CFB">
        <w:rPr>
          <w:sz w:val="22"/>
          <w:szCs w:val="22"/>
        </w:rPr>
        <w:t xml:space="preserve"> feat</w:t>
      </w:r>
    </w:p>
    <w:p w14:paraId="700E7CBB" w14:textId="77777777" w:rsidR="004979AB" w:rsidRPr="00FE0CFB" w:rsidRDefault="004979AB" w:rsidP="004979AB">
      <w:pPr>
        <w:rPr>
          <w:sz w:val="22"/>
          <w:szCs w:val="22"/>
        </w:rPr>
      </w:pPr>
      <w:r>
        <w:rPr>
          <w:sz w:val="22"/>
          <w:szCs w:val="22"/>
        </w:rPr>
        <w:t xml:space="preserve">[et] </w:t>
      </w:r>
      <w:proofErr w:type="spellStart"/>
      <w:r>
        <w:rPr>
          <w:sz w:val="22"/>
          <w:szCs w:val="22"/>
        </w:rPr>
        <w:t>fidelitat</w:t>
      </w:r>
      <w:r w:rsidRPr="00FE0CFB">
        <w:rPr>
          <w:sz w:val="22"/>
          <w:szCs w:val="22"/>
        </w:rPr>
        <w:t>ē</w:t>
      </w:r>
      <w:proofErr w:type="spellEnd"/>
      <w:r>
        <w:rPr>
          <w:sz w:val="22"/>
          <w:szCs w:val="22"/>
        </w:rPr>
        <w:t xml:space="preserve"> </w:t>
      </w:r>
      <w:proofErr w:type="spellStart"/>
      <w:proofErr w:type="gramStart"/>
      <w:r>
        <w:rPr>
          <w:sz w:val="22"/>
          <w:szCs w:val="22"/>
        </w:rPr>
        <w:t>iurauit</w:t>
      </w:r>
      <w:proofErr w:type="spellEnd"/>
      <w:r>
        <w:rPr>
          <w:sz w:val="22"/>
          <w:szCs w:val="22"/>
        </w:rPr>
        <w:t xml:space="preserve"> .</w:t>
      </w:r>
      <w:proofErr w:type="gramEnd"/>
      <w:r>
        <w:rPr>
          <w:sz w:val="22"/>
          <w:szCs w:val="22"/>
        </w:rPr>
        <w:t xml:space="preserve"> [et] </w:t>
      </w:r>
      <w:proofErr w:type="spellStart"/>
      <w:r>
        <w:rPr>
          <w:sz w:val="22"/>
          <w:szCs w:val="22"/>
        </w:rPr>
        <w:t>herede</w:t>
      </w:r>
      <w:proofErr w:type="spellEnd"/>
      <w:r>
        <w:rPr>
          <w:sz w:val="22"/>
          <w:szCs w:val="22"/>
        </w:rPr>
        <w:t>[S] [S]</w:t>
      </w:r>
      <w:proofErr w:type="spellStart"/>
      <w:r>
        <w:rPr>
          <w:sz w:val="22"/>
          <w:szCs w:val="22"/>
        </w:rPr>
        <w:t>ui</w:t>
      </w:r>
      <w:proofErr w:type="spellEnd"/>
      <w:r>
        <w:rPr>
          <w:sz w:val="22"/>
          <w:szCs w:val="22"/>
        </w:rPr>
        <w:t xml:space="preserve"> [</w:t>
      </w:r>
      <w:proofErr w:type="spellStart"/>
      <w:r>
        <w:rPr>
          <w:sz w:val="22"/>
          <w:szCs w:val="22"/>
        </w:rPr>
        <w:t>ph</w:t>
      </w:r>
      <w:proofErr w:type="spellEnd"/>
      <w:r>
        <w:rPr>
          <w:sz w:val="22"/>
          <w:szCs w:val="22"/>
        </w:rPr>
        <w:t xml:space="preserve">] </w:t>
      </w:r>
      <w:proofErr w:type="spellStart"/>
      <w:r>
        <w:rPr>
          <w:sz w:val="22"/>
          <w:szCs w:val="22"/>
        </w:rPr>
        <w:t>e</w:t>
      </w:r>
      <w:r w:rsidRPr="00FE0CFB">
        <w:rPr>
          <w:sz w:val="22"/>
          <w:szCs w:val="22"/>
        </w:rPr>
        <w:t>ū</w:t>
      </w:r>
      <w:proofErr w:type="spellEnd"/>
      <w:r>
        <w:rPr>
          <w:sz w:val="22"/>
          <w:szCs w:val="22"/>
        </w:rPr>
        <w:t xml:space="preserve"> </w:t>
      </w:r>
      <w:proofErr w:type="spellStart"/>
      <w:r>
        <w:rPr>
          <w:sz w:val="22"/>
          <w:szCs w:val="22"/>
        </w:rPr>
        <w:t>facient</w:t>
      </w:r>
      <w:proofErr w:type="spellEnd"/>
      <w:r>
        <w:rPr>
          <w:sz w:val="22"/>
          <w:szCs w:val="22"/>
        </w:rPr>
        <w:t xml:space="preserve"> [S]</w:t>
      </w:r>
      <w:proofErr w:type="spellStart"/>
      <w:proofErr w:type="gramStart"/>
      <w:r>
        <w:rPr>
          <w:sz w:val="22"/>
          <w:szCs w:val="22"/>
        </w:rPr>
        <w:t>unilrter</w:t>
      </w:r>
      <w:proofErr w:type="spellEnd"/>
      <w:r>
        <w:rPr>
          <w:sz w:val="22"/>
          <w:szCs w:val="22"/>
        </w:rPr>
        <w:t xml:space="preserve"> .</w:t>
      </w:r>
      <w:proofErr w:type="gramEnd"/>
      <w:r>
        <w:rPr>
          <w:sz w:val="22"/>
          <w:szCs w:val="22"/>
        </w:rPr>
        <w:t xml:space="preserve"> hoc [</w:t>
      </w:r>
      <w:proofErr w:type="spellStart"/>
      <w:r>
        <w:rPr>
          <w:sz w:val="22"/>
          <w:szCs w:val="22"/>
        </w:rPr>
        <w:t>oo</w:t>
      </w:r>
      <w:proofErr w:type="spellEnd"/>
      <w:r>
        <w:rPr>
          <w:sz w:val="22"/>
          <w:szCs w:val="22"/>
        </w:rPr>
        <w:t xml:space="preserve">] </w:t>
      </w:r>
      <w:proofErr w:type="spellStart"/>
      <w:r>
        <w:rPr>
          <w:sz w:val="22"/>
          <w:szCs w:val="22"/>
        </w:rPr>
        <w:t>tenemt</w:t>
      </w:r>
      <w:r w:rsidRPr="00FE0CFB">
        <w:rPr>
          <w:sz w:val="22"/>
          <w:szCs w:val="22"/>
        </w:rPr>
        <w:t>ū</w:t>
      </w:r>
      <w:proofErr w:type="spellEnd"/>
    </w:p>
    <w:p w14:paraId="76D40BB0" w14:textId="77777777" w:rsidR="004979AB" w:rsidRPr="00FE0CFB" w:rsidRDefault="004979AB" w:rsidP="004979AB">
      <w:pPr>
        <w:rPr>
          <w:sz w:val="22"/>
          <w:szCs w:val="22"/>
        </w:rPr>
      </w:pPr>
      <w:proofErr w:type="spellStart"/>
      <w:r>
        <w:rPr>
          <w:sz w:val="22"/>
          <w:szCs w:val="22"/>
        </w:rPr>
        <w:t>h</w:t>
      </w:r>
      <w:r w:rsidRPr="00FE0CFB">
        <w:rPr>
          <w:sz w:val="22"/>
          <w:szCs w:val="22"/>
        </w:rPr>
        <w:t>abebt</w:t>
      </w:r>
      <w:proofErr w:type="spellEnd"/>
      <w:r w:rsidRPr="00FE0CFB">
        <w:rPr>
          <w:sz w:val="22"/>
          <w:szCs w:val="22"/>
        </w:rPr>
        <w:t>[us] q[</w:t>
      </w:r>
      <w:proofErr w:type="spellStart"/>
      <w:r w:rsidRPr="00FE0CFB">
        <w:rPr>
          <w:sz w:val="22"/>
          <w:szCs w:val="22"/>
        </w:rPr>
        <w:t>ua</w:t>
      </w:r>
      <w:proofErr w:type="spellEnd"/>
      <w:r w:rsidRPr="00FE0CFB">
        <w:rPr>
          <w:sz w:val="22"/>
          <w:szCs w:val="22"/>
        </w:rPr>
        <w:t xml:space="preserve">]m </w:t>
      </w:r>
      <w:proofErr w:type="spellStart"/>
      <w:r w:rsidRPr="00FE0CFB">
        <w:rPr>
          <w:sz w:val="22"/>
          <w:szCs w:val="22"/>
        </w:rPr>
        <w:t>diu</w:t>
      </w:r>
      <w:proofErr w:type="spellEnd"/>
      <w:r w:rsidRPr="00FE0CFB">
        <w:rPr>
          <w:sz w:val="22"/>
          <w:szCs w:val="22"/>
        </w:rPr>
        <w:t xml:space="preserve"> p[er]</w:t>
      </w:r>
      <w:proofErr w:type="spellStart"/>
      <w:r w:rsidRPr="00FE0CFB">
        <w:rPr>
          <w:sz w:val="22"/>
          <w:szCs w:val="22"/>
        </w:rPr>
        <w:t>dietū</w:t>
      </w:r>
      <w:proofErr w:type="spellEnd"/>
      <w:r w:rsidRPr="00FE0CFB">
        <w:rPr>
          <w:sz w:val="22"/>
          <w:szCs w:val="22"/>
        </w:rPr>
        <w:t xml:space="preserve"> </w:t>
      </w:r>
      <w:proofErr w:type="spellStart"/>
      <w:r w:rsidRPr="00FE0CFB">
        <w:rPr>
          <w:sz w:val="22"/>
          <w:szCs w:val="22"/>
        </w:rPr>
        <w:t>cen</w:t>
      </w:r>
      <w:proofErr w:type="spellEnd"/>
      <w:r w:rsidRPr="00FE0CFB">
        <w:rPr>
          <w:sz w:val="22"/>
          <w:szCs w:val="22"/>
        </w:rPr>
        <w:t>[S]ū</w:t>
      </w:r>
      <w:r>
        <w:rPr>
          <w:sz w:val="22"/>
          <w:szCs w:val="22"/>
        </w:rPr>
        <w:t xml:space="preserve"> bene </w:t>
      </w:r>
      <w:r w:rsidRPr="00FE0CFB">
        <w:rPr>
          <w:sz w:val="22"/>
          <w:szCs w:val="22"/>
        </w:rPr>
        <w:t>[S]</w:t>
      </w:r>
      <w:proofErr w:type="spellStart"/>
      <w:proofErr w:type="gramStart"/>
      <w:r w:rsidRPr="00FE0CFB">
        <w:rPr>
          <w:sz w:val="22"/>
          <w:szCs w:val="22"/>
        </w:rPr>
        <w:t>olúit</w:t>
      </w:r>
      <w:r>
        <w:rPr>
          <w:sz w:val="22"/>
          <w:szCs w:val="22"/>
        </w:rPr>
        <w:t>it</w:t>
      </w:r>
      <w:proofErr w:type="spellEnd"/>
      <w:r>
        <w:rPr>
          <w:sz w:val="22"/>
          <w:szCs w:val="22"/>
        </w:rPr>
        <w:t xml:space="preserve"> .</w:t>
      </w:r>
      <w:proofErr w:type="gramEnd"/>
      <w:r w:rsidRPr="00FE0CFB">
        <w:rPr>
          <w:sz w:val="22"/>
          <w:szCs w:val="22"/>
        </w:rPr>
        <w:t xml:space="preserve"> [et] </w:t>
      </w:r>
      <w:proofErr w:type="spellStart"/>
      <w:r w:rsidRPr="00FE0CFB">
        <w:rPr>
          <w:sz w:val="22"/>
          <w:szCs w:val="22"/>
        </w:rPr>
        <w:t>fidele</w:t>
      </w:r>
      <w:proofErr w:type="spellEnd"/>
      <w:r w:rsidRPr="00FE0CFB">
        <w:rPr>
          <w:sz w:val="22"/>
          <w:szCs w:val="22"/>
        </w:rPr>
        <w:t xml:space="preserve">[S] nob[er] </w:t>
      </w:r>
      <w:proofErr w:type="spellStart"/>
      <w:r w:rsidRPr="00FE0CFB">
        <w:rPr>
          <w:sz w:val="22"/>
          <w:szCs w:val="22"/>
        </w:rPr>
        <w:t>exticeruit</w:t>
      </w:r>
      <w:proofErr w:type="spellEnd"/>
    </w:p>
    <w:p w14:paraId="3FD16595" w14:textId="77777777" w:rsidR="004979AB" w:rsidRPr="00FE0CFB" w:rsidRDefault="004979AB" w:rsidP="004979AB">
      <w:pPr>
        <w:rPr>
          <w:sz w:val="22"/>
          <w:szCs w:val="22"/>
        </w:rPr>
      </w:pPr>
      <w:r w:rsidRPr="00FE0CFB">
        <w:rPr>
          <w:sz w:val="22"/>
          <w:szCs w:val="22"/>
        </w:rPr>
        <w:t>hi[S]</w:t>
      </w:r>
      <w:proofErr w:type="gramStart"/>
      <w:r w:rsidRPr="00FE0CFB">
        <w:rPr>
          <w:sz w:val="22"/>
          <w:szCs w:val="22"/>
        </w:rPr>
        <w:t>ť .</w:t>
      </w:r>
      <w:proofErr w:type="gramEnd"/>
      <w:r w:rsidRPr="00FE0CFB">
        <w:rPr>
          <w:sz w:val="22"/>
          <w:szCs w:val="22"/>
        </w:rPr>
        <w:t xml:space="preserve"> Witt de </w:t>
      </w:r>
      <w:proofErr w:type="spellStart"/>
      <w:r w:rsidRPr="00FE0CFB">
        <w:rPr>
          <w:sz w:val="22"/>
          <w:szCs w:val="22"/>
        </w:rPr>
        <w:t>bo</w:t>
      </w:r>
      <w:proofErr w:type="spellEnd"/>
      <w:r w:rsidRPr="00FE0CFB">
        <w:rPr>
          <w:sz w:val="22"/>
          <w:szCs w:val="22"/>
        </w:rPr>
        <w:t>[S]</w:t>
      </w:r>
      <w:proofErr w:type="spellStart"/>
      <w:proofErr w:type="gramStart"/>
      <w:r w:rsidRPr="00FE0CFB">
        <w:rPr>
          <w:sz w:val="22"/>
          <w:szCs w:val="22"/>
        </w:rPr>
        <w:t>evilla</w:t>
      </w:r>
      <w:proofErr w:type="spellEnd"/>
      <w:r w:rsidRPr="00FE0CFB">
        <w:rPr>
          <w:sz w:val="22"/>
          <w:szCs w:val="22"/>
        </w:rPr>
        <w:t xml:space="preserve"> .</w:t>
      </w:r>
      <w:proofErr w:type="gramEnd"/>
      <w:r w:rsidRPr="00FE0CFB">
        <w:rPr>
          <w:sz w:val="22"/>
          <w:szCs w:val="22"/>
        </w:rPr>
        <w:t xml:space="preserve"> [et] </w:t>
      </w:r>
      <w:proofErr w:type="spellStart"/>
      <w:r w:rsidRPr="00FE0CFB">
        <w:rPr>
          <w:sz w:val="22"/>
          <w:szCs w:val="22"/>
        </w:rPr>
        <w:t>Gillebto</w:t>
      </w:r>
      <w:proofErr w:type="spellEnd"/>
      <w:r w:rsidRPr="00FE0CFB">
        <w:rPr>
          <w:sz w:val="22"/>
          <w:szCs w:val="22"/>
        </w:rPr>
        <w:t xml:space="preserve"> [S]</w:t>
      </w:r>
      <w:proofErr w:type="spellStart"/>
      <w:proofErr w:type="gramStart"/>
      <w:r w:rsidRPr="00FE0CFB">
        <w:rPr>
          <w:sz w:val="22"/>
          <w:szCs w:val="22"/>
        </w:rPr>
        <w:t>leri</w:t>
      </w:r>
      <w:proofErr w:type="spellEnd"/>
      <w:r w:rsidRPr="00FE0CFB">
        <w:rPr>
          <w:sz w:val="22"/>
          <w:szCs w:val="22"/>
        </w:rPr>
        <w:t xml:space="preserve"> .</w:t>
      </w:r>
      <w:proofErr w:type="gramEnd"/>
      <w:r w:rsidRPr="00FE0CFB">
        <w:rPr>
          <w:sz w:val="22"/>
          <w:szCs w:val="22"/>
        </w:rPr>
        <w:t xml:space="preserve"> [et] </w:t>
      </w:r>
      <w:proofErr w:type="spellStart"/>
      <w:r w:rsidRPr="00FE0CFB">
        <w:rPr>
          <w:sz w:val="22"/>
          <w:szCs w:val="22"/>
        </w:rPr>
        <w:t>Arcturi</w:t>
      </w:r>
      <w:proofErr w:type="spellEnd"/>
      <w:r w:rsidRPr="00FE0CFB">
        <w:rPr>
          <w:sz w:val="22"/>
          <w:szCs w:val="22"/>
        </w:rPr>
        <w:t xml:space="preserve">[us] de </w:t>
      </w:r>
      <w:proofErr w:type="spellStart"/>
      <w:proofErr w:type="gramStart"/>
      <w:r w:rsidRPr="00FE0CFB">
        <w:rPr>
          <w:sz w:val="22"/>
          <w:szCs w:val="22"/>
        </w:rPr>
        <w:t>Michehā</w:t>
      </w:r>
      <w:proofErr w:type="spellEnd"/>
      <w:r w:rsidRPr="00FE0CFB">
        <w:rPr>
          <w:sz w:val="22"/>
          <w:szCs w:val="22"/>
        </w:rPr>
        <w:t xml:space="preserve"> .</w:t>
      </w:r>
      <w:proofErr w:type="gramEnd"/>
      <w:r w:rsidRPr="00FE0CFB">
        <w:rPr>
          <w:sz w:val="22"/>
          <w:szCs w:val="22"/>
        </w:rPr>
        <w:t xml:space="preserve"> [et] ham</w:t>
      </w:r>
    </w:p>
    <w:p w14:paraId="5F32EEB4" w14:textId="77777777" w:rsidR="004979AB" w:rsidRDefault="004979AB" w:rsidP="004979AB">
      <w:pPr>
        <w:rPr>
          <w:sz w:val="22"/>
          <w:szCs w:val="22"/>
        </w:rPr>
      </w:pPr>
      <w:proofErr w:type="spellStart"/>
      <w:r w:rsidRPr="00FE0CFB">
        <w:rPr>
          <w:sz w:val="22"/>
          <w:szCs w:val="22"/>
        </w:rPr>
        <w:t>deri</w:t>
      </w:r>
      <w:proofErr w:type="spellEnd"/>
      <w:r w:rsidRPr="00FE0CFB">
        <w:rPr>
          <w:sz w:val="22"/>
          <w:szCs w:val="22"/>
        </w:rPr>
        <w:t xml:space="preserve"> de </w:t>
      </w:r>
      <w:proofErr w:type="gramStart"/>
      <w:r w:rsidRPr="00FE0CFB">
        <w:rPr>
          <w:sz w:val="22"/>
          <w:szCs w:val="22"/>
        </w:rPr>
        <w:t>ching .</w:t>
      </w:r>
      <w:proofErr w:type="gramEnd"/>
      <w:r w:rsidRPr="00FE0CFB">
        <w:rPr>
          <w:sz w:val="22"/>
          <w:szCs w:val="22"/>
        </w:rPr>
        <w:t xml:space="preserve">  [et] </w:t>
      </w:r>
      <w:proofErr w:type="gramStart"/>
      <w:r w:rsidRPr="00FE0CFB">
        <w:rPr>
          <w:sz w:val="22"/>
          <w:szCs w:val="22"/>
        </w:rPr>
        <w:t>Le[</w:t>
      </w:r>
      <w:proofErr w:type="gramEnd"/>
      <w:r w:rsidRPr="00FE0CFB">
        <w:rPr>
          <w:sz w:val="22"/>
          <w:szCs w:val="22"/>
        </w:rPr>
        <w:t xml:space="preserve">SW]ward[us] de Wendt.” </w:t>
      </w:r>
      <w:r>
        <w:rPr>
          <w:rStyle w:val="FootnoteReference"/>
          <w:sz w:val="22"/>
          <w:szCs w:val="22"/>
        </w:rPr>
        <w:footnoteReference w:id="3"/>
      </w:r>
    </w:p>
    <w:p w14:paraId="3FFC469C" w14:textId="77777777" w:rsidR="004979AB" w:rsidRPr="00146743" w:rsidRDefault="004979AB" w:rsidP="004979AB">
      <w:pPr>
        <w:rPr>
          <w:sz w:val="22"/>
          <w:szCs w:val="22"/>
        </w:rPr>
      </w:pPr>
      <w:r>
        <w:rPr>
          <w:noProof/>
        </w:rPr>
        <w:lastRenderedPageBreak/>
        <w:drawing>
          <wp:anchor distT="0" distB="0" distL="114300" distR="114300" simplePos="0" relativeHeight="251660288" behindDoc="0" locked="0" layoutInCell="1" allowOverlap="1" wp14:anchorId="4DC51EFB" wp14:editId="5E072BCC">
            <wp:simplePos x="0" y="0"/>
            <wp:positionH relativeFrom="column">
              <wp:posOffset>1265506</wp:posOffset>
            </wp:positionH>
            <wp:positionV relativeFrom="paragraph">
              <wp:posOffset>317500</wp:posOffset>
            </wp:positionV>
            <wp:extent cx="3162300" cy="2400935"/>
            <wp:effectExtent l="0" t="0" r="0" b="0"/>
            <wp:wrapTopAndBottom/>
            <wp:docPr id="186568032" name="Picture 1" descr="A close up of a st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8032" name="Picture 1" descr="A close up of a ston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2300" cy="2400935"/>
                    </a:xfrm>
                    <a:prstGeom prst="rect">
                      <a:avLst/>
                    </a:prstGeom>
                  </pic:spPr>
                </pic:pic>
              </a:graphicData>
            </a:graphic>
            <wp14:sizeRelH relativeFrom="margin">
              <wp14:pctWidth>0</wp14:pctWidth>
            </wp14:sizeRelH>
            <wp14:sizeRelV relativeFrom="margin">
              <wp14:pctHeight>0</wp14:pctHeight>
            </wp14:sizeRelV>
          </wp:anchor>
        </w:drawing>
      </w:r>
    </w:p>
    <w:p w14:paraId="4C2D92A2" w14:textId="77777777" w:rsidR="004979AB" w:rsidRDefault="004979AB" w:rsidP="004979AB"/>
    <w:p w14:paraId="0B5F2107" w14:textId="77777777" w:rsidR="004979AB" w:rsidRDefault="004979AB" w:rsidP="004979AB">
      <w:r>
        <w:rPr>
          <w:noProof/>
        </w:rPr>
        <mc:AlternateContent>
          <mc:Choice Requires="wps">
            <w:drawing>
              <wp:anchor distT="0" distB="0" distL="114300" distR="114300" simplePos="0" relativeHeight="251662336" behindDoc="0" locked="0" layoutInCell="1" allowOverlap="1" wp14:anchorId="7547A635" wp14:editId="58C03A0F">
                <wp:simplePos x="0" y="0"/>
                <wp:positionH relativeFrom="column">
                  <wp:posOffset>0</wp:posOffset>
                </wp:positionH>
                <wp:positionV relativeFrom="paragraph">
                  <wp:posOffset>0</wp:posOffset>
                </wp:positionV>
                <wp:extent cx="5451231" cy="307731"/>
                <wp:effectExtent l="0" t="0" r="0" b="0"/>
                <wp:wrapNone/>
                <wp:docPr id="582245343" name="Text Box 1"/>
                <wp:cNvGraphicFramePr/>
                <a:graphic xmlns:a="http://schemas.openxmlformats.org/drawingml/2006/main">
                  <a:graphicData uri="http://schemas.microsoft.com/office/word/2010/wordprocessingShape">
                    <wps:wsp>
                      <wps:cNvSpPr txBox="1"/>
                      <wps:spPr>
                        <a:xfrm>
                          <a:off x="0" y="0"/>
                          <a:ext cx="5451231" cy="307731"/>
                        </a:xfrm>
                        <a:prstGeom prst="rect">
                          <a:avLst/>
                        </a:prstGeom>
                        <a:solidFill>
                          <a:schemeClr val="lt1"/>
                        </a:solidFill>
                        <a:ln w="6350">
                          <a:noFill/>
                        </a:ln>
                      </wps:spPr>
                      <wps:txbx>
                        <w:txbxContent>
                          <w:p w14:paraId="2D6048A8" w14:textId="77777777" w:rsidR="004979AB" w:rsidRPr="00E22C64" w:rsidRDefault="004979AB" w:rsidP="004979AB">
                            <w:pPr>
                              <w:rPr>
                                <w:sz w:val="20"/>
                                <w:szCs w:val="20"/>
                              </w:rPr>
                            </w:pPr>
                            <w:r>
                              <w:rPr>
                                <w:b/>
                                <w:bCs/>
                                <w:sz w:val="20"/>
                                <w:szCs w:val="20"/>
                              </w:rPr>
                              <w:t xml:space="preserve">Fig.2: </w:t>
                            </w:r>
                            <w:r>
                              <w:rPr>
                                <w:sz w:val="20"/>
                                <w:szCs w:val="20"/>
                              </w:rPr>
                              <w:t xml:space="preserve">Screenshot of the second page of </w:t>
                            </w:r>
                            <w:r>
                              <w:rPr>
                                <w:i/>
                                <w:iCs/>
                                <w:sz w:val="20"/>
                                <w:szCs w:val="20"/>
                              </w:rPr>
                              <w:t>Document 2</w:t>
                            </w:r>
                            <w:r>
                              <w:rPr>
                                <w:sz w:val="20"/>
                                <w:szCs w:val="20"/>
                              </w:rPr>
                              <w:t xml:space="preserve"> found on the Moodle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47A635" id="_x0000_s1027" type="#_x0000_t202" style="position:absolute;margin-left:0;margin-top:0;width:429.25pt;height:24.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" fillcolor="white [3201]" stroked="f" strokeweight=".5pt">
                <v:textbox>
                  <w:txbxContent>
                    <w:p w14:paraId="2D6048A8" w14:textId="77777777" w:rsidR="004979AB" w:rsidRPr="00E22C64" w:rsidRDefault="004979AB" w:rsidP="004979AB">
                      <w:pPr>
                        <w:rPr>
                          <w:sz w:val="20"/>
                          <w:szCs w:val="20"/>
                        </w:rPr>
                      </w:pPr>
                      <w:r>
                        <w:rPr>
                          <w:b/>
                          <w:bCs/>
                          <w:sz w:val="20"/>
                          <w:szCs w:val="20"/>
                        </w:rPr>
                        <w:t xml:space="preserve">Fig.2: </w:t>
                      </w:r>
                      <w:r>
                        <w:rPr>
                          <w:sz w:val="20"/>
                          <w:szCs w:val="20"/>
                        </w:rPr>
                        <w:t xml:space="preserve">Screenshot of the second page of </w:t>
                      </w:r>
                      <w:r>
                        <w:rPr>
                          <w:i/>
                          <w:iCs/>
                          <w:sz w:val="20"/>
                          <w:szCs w:val="20"/>
                        </w:rPr>
                        <w:t>Document 2</w:t>
                      </w:r>
                      <w:r>
                        <w:rPr>
                          <w:sz w:val="20"/>
                          <w:szCs w:val="20"/>
                        </w:rPr>
                        <w:t xml:space="preserve"> found on the Moodle page</w:t>
                      </w:r>
                    </w:p>
                  </w:txbxContent>
                </v:textbox>
              </v:shape>
            </w:pict>
          </mc:Fallback>
        </mc:AlternateContent>
      </w:r>
    </w:p>
    <w:p w14:paraId="5B82CAA8" w14:textId="77777777" w:rsidR="004979AB" w:rsidRDefault="004979AB" w:rsidP="004979AB"/>
    <w:p w14:paraId="43A562F3" w14:textId="77777777" w:rsidR="004979AB" w:rsidRDefault="004979AB" w:rsidP="004979AB">
      <w:r>
        <w:t>“</w:t>
      </w:r>
      <w:proofErr w:type="spellStart"/>
      <w:r>
        <w:t>Cv</w:t>
      </w:r>
      <w:proofErr w:type="spellEnd"/>
      <w:r>
        <w:t xml:space="preserve"> </w:t>
      </w:r>
      <w:proofErr w:type="spellStart"/>
      <w:r>
        <w:t>Rogpru</w:t>
      </w:r>
      <w:proofErr w:type="spellEnd"/>
    </w:p>
    <w:p w14:paraId="3AD1EEE7" w14:textId="77777777" w:rsidR="004979AB" w:rsidRDefault="004979AB" w:rsidP="004979AB">
      <w:proofErr w:type="spellStart"/>
      <w:r>
        <w:t>nonico</w:t>
      </w:r>
      <w:proofErr w:type="spellEnd"/>
      <w:r>
        <w:t xml:space="preserve">[S] d </w:t>
      </w:r>
      <w:proofErr w:type="spellStart"/>
      <w:r>
        <w:t>mit</w:t>
      </w:r>
      <w:proofErr w:type="spellEnd"/>
      <w:r>
        <w:t xml:space="preserve"> [et] ail </w:t>
      </w:r>
    </w:p>
    <w:p w14:paraId="22C6D99A" w14:textId="77777777" w:rsidR="004979AB" w:rsidRDefault="004979AB" w:rsidP="004979AB">
      <w:proofErr w:type="gramStart"/>
      <w:r>
        <w:t>man</w:t>
      </w:r>
      <w:proofErr w:type="gramEnd"/>
      <w:r>
        <w:t xml:space="preserve"> d </w:t>
      </w:r>
      <w:proofErr w:type="spellStart"/>
      <w:r>
        <w:t>wandtref</w:t>
      </w:r>
      <w:proofErr w:type="spellEnd"/>
      <w:r>
        <w:t xml:space="preserve"> W’</w:t>
      </w:r>
    </w:p>
    <w:p w14:paraId="4196BFF0" w14:textId="77777777" w:rsidR="004979AB" w:rsidRDefault="004979AB" w:rsidP="004979AB">
      <w:r>
        <w:t xml:space="preserve">d </w:t>
      </w:r>
      <w:proofErr w:type="spellStart"/>
      <w:r>
        <w:t>t’ra</w:t>
      </w:r>
      <w:proofErr w:type="spellEnd"/>
      <w:r>
        <w:t xml:space="preserve"> d ğ </w:t>
      </w:r>
      <w:proofErr w:type="spellStart"/>
      <w:r>
        <w:t>ipē</w:t>
      </w:r>
      <w:proofErr w:type="spellEnd"/>
      <w:r>
        <w:t xml:space="preserve"> [et]</w:t>
      </w:r>
    </w:p>
    <w:p w14:paraId="4F4E2F9B" w14:textId="77777777" w:rsidR="004979AB" w:rsidRDefault="004979AB" w:rsidP="004979AB">
      <w:proofErr w:type="spellStart"/>
      <w:r>
        <w:t>herede</w:t>
      </w:r>
      <w:proofErr w:type="spellEnd"/>
      <w:r>
        <w:t xml:space="preserve">[S] </w:t>
      </w:r>
      <w:proofErr w:type="spellStart"/>
      <w:r>
        <w:t>ei</w:t>
      </w:r>
      <w:proofErr w:type="spellEnd"/>
      <w:r>
        <w:t xml:space="preserve"> </w:t>
      </w:r>
      <w:proofErr w:type="spellStart"/>
      <w:proofErr w:type="gramStart"/>
      <w:r>
        <w:t>iJ</w:t>
      </w:r>
      <w:proofErr w:type="spellEnd"/>
      <w:r>
        <w:t xml:space="preserve"> .</w:t>
      </w:r>
      <w:proofErr w:type="gramEnd"/>
      <w:r>
        <w:t xml:space="preserve"> [S]</w:t>
      </w:r>
      <w:proofErr w:type="spellStart"/>
      <w:r>
        <w:t>ot</w:t>
      </w:r>
      <w:proofErr w:type="spellEnd"/>
    </w:p>
    <w:p w14:paraId="058529D9" w14:textId="77777777" w:rsidR="004979AB" w:rsidRDefault="004979AB" w:rsidP="004979AB">
      <w:r>
        <w:t xml:space="preserve">re[dd]e </w:t>
      </w:r>
      <w:proofErr w:type="spellStart"/>
      <w:r>
        <w:t>debēt</w:t>
      </w:r>
      <w:proofErr w:type="spellEnd"/>
      <w:r>
        <w:t>.”</w:t>
      </w:r>
    </w:p>
    <w:p w14:paraId="60A329D2" w14:textId="77777777" w:rsidR="004979AB" w:rsidRDefault="004979AB" w:rsidP="004979AB"/>
    <w:p w14:paraId="6E883BC5" w14:textId="77777777" w:rsidR="004979AB" w:rsidRDefault="004979AB" w:rsidP="004979AB">
      <w:r>
        <w:rPr>
          <w:b/>
          <w:bCs/>
          <w:u w:val="single"/>
        </w:rPr>
        <w:t>Linguistic Geography</w:t>
      </w:r>
    </w:p>
    <w:p w14:paraId="7B69F6A3" w14:textId="77777777" w:rsidR="004979AB" w:rsidRDefault="004979AB" w:rsidP="004979AB">
      <w:r>
        <w:t>Evidence from inscriptions dating from the seventh and eighth centuries shows that British Latin changed drastically from its original form, causing regional influences to create fractal and local variations of British Latin.</w:t>
      </w:r>
      <w:r>
        <w:rPr>
          <w:rStyle w:val="FootnoteReference"/>
        </w:rPr>
        <w:footnoteReference w:id="4"/>
      </w:r>
      <w:r>
        <w:t xml:space="preserve"> Evidence from the lettering on Llantwit Major’s stone inscriptions shows that a fusion of Welsh and Latin was being used within monasteries</w:t>
      </w:r>
      <w:r>
        <w:rPr>
          <w:rStyle w:val="FootnoteReference"/>
        </w:rPr>
        <w:footnoteReference w:id="5"/>
      </w:r>
      <w:r>
        <w:t xml:space="preserve"> with pronunciation perhaps being governed by Welsh influence. Additionally, written languages were also evolving during this time. For instance, the sixth century Springmount Bog tablets from Northern Ireland show letters such as ‘f’ and ‘s’ written in cursive rather than the expected standard patterns of </w:t>
      </w:r>
      <w:r>
        <w:lastRenderedPageBreak/>
        <w:t>capitals, which was more common in this era.</w:t>
      </w:r>
      <w:r>
        <w:rPr>
          <w:rStyle w:val="FootnoteReference"/>
        </w:rPr>
        <w:footnoteReference w:id="6"/>
      </w:r>
      <w:r>
        <w:t xml:space="preserve"> By the ninth century, Latin spelling was infused with Welsh phonology as well as Welsh spelling patterns.</w:t>
      </w:r>
      <w:r>
        <w:rPr>
          <w:rStyle w:val="FootnoteReference"/>
        </w:rPr>
        <w:footnoteReference w:id="7"/>
      </w:r>
      <w:r>
        <w:t xml:space="preserve"> Therefore, from the post- Roman Britain and onwards, Latin was becoming infused with the native languages, creating regional orthographical and vernacular variations. However, Classical Latin appeared to be used as recognition of higher status, especially among ecclesiastical usages such as elite burial memorial stones and scriptures.</w:t>
      </w:r>
      <w:r>
        <w:rPr>
          <w:rStyle w:val="FootnoteReference"/>
        </w:rPr>
        <w:footnoteReference w:id="8"/>
      </w:r>
      <w:r>
        <w:t xml:space="preserve"> Therefore, with this in mind, clues in the language in </w:t>
      </w:r>
      <w:r>
        <w:rPr>
          <w:i/>
          <w:iCs/>
        </w:rPr>
        <w:t xml:space="preserve">Document </w:t>
      </w:r>
      <w:r w:rsidRPr="002D6DB3">
        <w:t>2</w:t>
      </w:r>
      <w:r>
        <w:t xml:space="preserve"> </w:t>
      </w:r>
      <w:r w:rsidRPr="002D6DB3">
        <w:t>surrounding</w:t>
      </w:r>
      <w:r>
        <w:t xml:space="preserve"> socio-geographical influences may help to narrow down the document’s location of origin as well as providing a time estimate for when it was written.</w:t>
      </w:r>
    </w:p>
    <w:p w14:paraId="2B27D802" w14:textId="77777777" w:rsidR="004979AB" w:rsidRDefault="004979AB" w:rsidP="004979AB">
      <w:r>
        <w:t>For instance, the first clue comes from the first couple of lines that appears to read:</w:t>
      </w:r>
    </w:p>
    <w:p w14:paraId="329683E4" w14:textId="77777777" w:rsidR="004979AB" w:rsidRDefault="004979AB" w:rsidP="004979AB">
      <w:pPr>
        <w:rPr>
          <w:sz w:val="22"/>
          <w:szCs w:val="22"/>
        </w:rPr>
      </w:pPr>
      <w:r>
        <w:rPr>
          <w:b/>
          <w:bCs/>
          <w:sz w:val="22"/>
          <w:szCs w:val="22"/>
        </w:rPr>
        <w:t xml:space="preserve">Line 1: </w:t>
      </w:r>
      <w:r w:rsidRPr="008A38EE">
        <w:rPr>
          <w:sz w:val="22"/>
          <w:szCs w:val="22"/>
        </w:rPr>
        <w:t>“</w:t>
      </w:r>
      <w:proofErr w:type="spellStart"/>
      <w:r w:rsidRPr="008A38EE">
        <w:rPr>
          <w:sz w:val="22"/>
          <w:szCs w:val="22"/>
        </w:rPr>
        <w:t>Sciant</w:t>
      </w:r>
      <w:proofErr w:type="spellEnd"/>
      <w:r w:rsidRPr="008A38EE">
        <w:rPr>
          <w:sz w:val="22"/>
          <w:szCs w:val="22"/>
        </w:rPr>
        <w:t xml:space="preserve"> </w:t>
      </w:r>
      <w:proofErr w:type="gramStart"/>
      <w:r w:rsidRPr="008A38EE">
        <w:rPr>
          <w:sz w:val="22"/>
          <w:szCs w:val="22"/>
        </w:rPr>
        <w:t>[pre][S]</w:t>
      </w:r>
      <w:proofErr w:type="spellStart"/>
      <w:proofErr w:type="gramEnd"/>
      <w:r w:rsidRPr="008A38EE">
        <w:rPr>
          <w:sz w:val="22"/>
          <w:szCs w:val="22"/>
        </w:rPr>
        <w:t>ente</w:t>
      </w:r>
      <w:proofErr w:type="spellEnd"/>
      <w:r w:rsidRPr="008A38EE">
        <w:rPr>
          <w:sz w:val="22"/>
          <w:szCs w:val="22"/>
        </w:rPr>
        <w:t>[S] [et] fu[t]</w:t>
      </w:r>
      <w:proofErr w:type="spellStart"/>
      <w:r w:rsidRPr="008A38EE">
        <w:rPr>
          <w:sz w:val="22"/>
          <w:szCs w:val="22"/>
        </w:rPr>
        <w:t>i</w:t>
      </w:r>
      <w:proofErr w:type="spellEnd"/>
      <w:r w:rsidRPr="008A38EE">
        <w:rPr>
          <w:sz w:val="22"/>
          <w:szCs w:val="22"/>
        </w:rPr>
        <w:t xml:space="preserve"> [quod] Ego Rotb[er]t[us] [</w:t>
      </w:r>
      <w:proofErr w:type="spellStart"/>
      <w:r w:rsidRPr="008A38EE">
        <w:rPr>
          <w:sz w:val="22"/>
          <w:szCs w:val="22"/>
        </w:rPr>
        <w:t>pri</w:t>
      </w:r>
      <w:proofErr w:type="spellEnd"/>
      <w:r w:rsidRPr="008A38EE">
        <w:rPr>
          <w:sz w:val="22"/>
          <w:szCs w:val="22"/>
        </w:rPr>
        <w:t>]</w:t>
      </w:r>
      <w:proofErr w:type="spellStart"/>
      <w:r w:rsidRPr="008A38EE">
        <w:rPr>
          <w:sz w:val="22"/>
          <w:szCs w:val="22"/>
        </w:rPr>
        <w:t>os</w:t>
      </w:r>
      <w:proofErr w:type="spellEnd"/>
      <w:r w:rsidRPr="008A38EE">
        <w:rPr>
          <w:sz w:val="22"/>
          <w:szCs w:val="22"/>
        </w:rPr>
        <w:t xml:space="preserve"> [et] </w:t>
      </w:r>
      <w:proofErr w:type="spellStart"/>
      <w:r w:rsidRPr="008A38EE">
        <w:rPr>
          <w:sz w:val="22"/>
          <w:szCs w:val="22"/>
        </w:rPr>
        <w:t>Couent</w:t>
      </w:r>
      <w:proofErr w:type="spellEnd"/>
      <w:r w:rsidRPr="008A38EE">
        <w:rPr>
          <w:sz w:val="22"/>
          <w:szCs w:val="22"/>
        </w:rPr>
        <w:t xml:space="preserve">[us] </w:t>
      </w:r>
      <w:proofErr w:type="spellStart"/>
      <w:r w:rsidRPr="008A38EE">
        <w:rPr>
          <w:sz w:val="22"/>
          <w:szCs w:val="22"/>
        </w:rPr>
        <w:t>Ecclie</w:t>
      </w:r>
      <w:proofErr w:type="spellEnd"/>
      <w:r w:rsidRPr="008A38EE">
        <w:rPr>
          <w:sz w:val="22"/>
          <w:szCs w:val="22"/>
        </w:rPr>
        <w:t xml:space="preserve"> [St] Marie </w:t>
      </w:r>
    </w:p>
    <w:p w14:paraId="534EA063" w14:textId="77777777" w:rsidR="004979AB" w:rsidRDefault="004979AB" w:rsidP="004979AB">
      <w:r>
        <w:rPr>
          <w:b/>
          <w:bCs/>
          <w:sz w:val="22"/>
          <w:szCs w:val="22"/>
        </w:rPr>
        <w:t xml:space="preserve">Line 2: </w:t>
      </w:r>
      <w:r w:rsidRPr="00FE0CFB">
        <w:rPr>
          <w:sz w:val="22"/>
          <w:szCs w:val="22"/>
        </w:rPr>
        <w:t xml:space="preserve">de </w:t>
      </w:r>
      <w:proofErr w:type="spellStart"/>
      <w:r w:rsidRPr="00FE0CFB">
        <w:rPr>
          <w:sz w:val="22"/>
          <w:szCs w:val="22"/>
        </w:rPr>
        <w:t>Meritona</w:t>
      </w:r>
      <w:proofErr w:type="spellEnd"/>
      <w:r w:rsidRPr="00FE0CFB">
        <w:rPr>
          <w:sz w:val="22"/>
          <w:szCs w:val="22"/>
        </w:rPr>
        <w:t xml:space="preserve"> </w:t>
      </w:r>
      <w:proofErr w:type="gramStart"/>
      <w:r w:rsidRPr="00FE0CFB">
        <w:rPr>
          <w:sz w:val="22"/>
          <w:szCs w:val="22"/>
        </w:rPr>
        <w:t>Conce[</w:t>
      </w:r>
      <w:proofErr w:type="gramEnd"/>
      <w:r w:rsidRPr="00FE0CFB">
        <w:rPr>
          <w:sz w:val="22"/>
          <w:szCs w:val="22"/>
        </w:rPr>
        <w:t xml:space="preserve">SS]un[us] </w:t>
      </w:r>
      <w:proofErr w:type="spellStart"/>
      <w:r w:rsidRPr="00FE0CFB">
        <w:rPr>
          <w:sz w:val="22"/>
          <w:szCs w:val="22"/>
        </w:rPr>
        <w:t>Ailmanno</w:t>
      </w:r>
      <w:proofErr w:type="spellEnd"/>
      <w:r w:rsidRPr="00FE0CFB">
        <w:rPr>
          <w:sz w:val="22"/>
          <w:szCs w:val="22"/>
        </w:rPr>
        <w:t xml:space="preserve"> de Wendt [et] </w:t>
      </w:r>
      <w:proofErr w:type="spellStart"/>
      <w:r w:rsidRPr="00FE0CFB">
        <w:rPr>
          <w:sz w:val="22"/>
          <w:szCs w:val="22"/>
        </w:rPr>
        <w:t>heredib</w:t>
      </w:r>
      <w:proofErr w:type="spellEnd"/>
      <w:r>
        <w:rPr>
          <w:sz w:val="22"/>
          <w:szCs w:val="22"/>
        </w:rPr>
        <w:t>;”</w:t>
      </w:r>
      <w:r>
        <w:rPr>
          <w:rStyle w:val="FootnoteReference"/>
        </w:rPr>
        <w:footnoteReference w:id="9"/>
      </w:r>
    </w:p>
    <w:p w14:paraId="0A6BD8A6" w14:textId="77777777" w:rsidR="004979AB" w:rsidRDefault="004979AB" w:rsidP="004979AB">
      <w:r>
        <w:t xml:space="preserve">For the purposes of this assignment, the church of ‘St Mary’ “de </w:t>
      </w:r>
      <w:proofErr w:type="spellStart"/>
      <w:r>
        <w:t>Merutona</w:t>
      </w:r>
      <w:proofErr w:type="spellEnd"/>
      <w:r>
        <w:t>”, “de Wendt”, and “</w:t>
      </w:r>
      <w:proofErr w:type="spellStart"/>
      <w:r>
        <w:t>Rotb</w:t>
      </w:r>
      <w:proofErr w:type="spellEnd"/>
      <w:r>
        <w:t xml:space="preserve">[er]t[us]” (Robert) will be used as a selection of examples to showcase the methodology behind using linguistic geography to help determine a timeframe and location of origin of </w:t>
      </w:r>
      <w:r>
        <w:rPr>
          <w:i/>
          <w:iCs/>
        </w:rPr>
        <w:t xml:space="preserve">Document </w:t>
      </w:r>
      <w:r w:rsidRPr="007C67EB">
        <w:t>2</w:t>
      </w:r>
      <w:r>
        <w:t xml:space="preserve">. Further reason for these choices is that these three examples appear to have a direct historical link with one another. </w:t>
      </w:r>
    </w:p>
    <w:p w14:paraId="6663143F" w14:textId="77777777" w:rsidR="004979AB" w:rsidRDefault="004979AB" w:rsidP="004979AB">
      <w:r>
        <w:t>Firstly, “de Wendt” does indeed look like ‘Gwent’, but the post- Roman name from the 7</w:t>
      </w:r>
      <w:r w:rsidRPr="00404B32">
        <w:rPr>
          <w:vertAlign w:val="superscript"/>
        </w:rPr>
        <w:t>th</w:t>
      </w:r>
      <w:r>
        <w:t xml:space="preserve"> century for this county was initially ‘</w:t>
      </w:r>
      <w:proofErr w:type="spellStart"/>
      <w:r>
        <w:t>Uenta</w:t>
      </w:r>
      <w:proofErr w:type="spellEnd"/>
      <w:r>
        <w:t xml:space="preserve"> </w:t>
      </w:r>
      <w:proofErr w:type="spellStart"/>
      <w:r>
        <w:t>Silurum</w:t>
      </w:r>
      <w:proofErr w:type="spellEnd"/>
      <w:r>
        <w:t>’, perhaps referring to the connection with this part of Wales and the Celtic tribe of the Silures.</w:t>
      </w:r>
      <w:r>
        <w:rPr>
          <w:rStyle w:val="FootnoteReference"/>
        </w:rPr>
        <w:footnoteReference w:id="10"/>
      </w:r>
      <w:r>
        <w:t xml:space="preserve"> However, by the post- Roman era in Wales, ‘</w:t>
      </w:r>
      <w:proofErr w:type="spellStart"/>
      <w:r>
        <w:t>Uenta</w:t>
      </w:r>
      <w:proofErr w:type="spellEnd"/>
      <w:r>
        <w:t>’ evolved to form ‘</w:t>
      </w:r>
      <w:proofErr w:type="spellStart"/>
      <w:r>
        <w:t>Caerwent</w:t>
      </w:r>
      <w:proofErr w:type="spellEnd"/>
      <w:r>
        <w:t>’, a fusion of early post-Roman Latin and Welsh history: ‘Caer’ meaning a fortress or fortified area,</w:t>
      </w:r>
      <w:r>
        <w:rPr>
          <w:rStyle w:val="FootnoteReference"/>
        </w:rPr>
        <w:footnoteReference w:id="11"/>
      </w:r>
      <w:r>
        <w:t xml:space="preserve"> and ‘Went’ perhaps being a mutation from ‘</w:t>
      </w:r>
      <w:proofErr w:type="spellStart"/>
      <w:r>
        <w:t>Uenta</w:t>
      </w:r>
      <w:proofErr w:type="spellEnd"/>
      <w:r>
        <w:t>’. Therefore, since the name ‘</w:t>
      </w:r>
      <w:proofErr w:type="spellStart"/>
      <w:r>
        <w:t>Caerwent</w:t>
      </w:r>
      <w:proofErr w:type="spellEnd"/>
      <w:r>
        <w:t>’ lasted until the late 11</w:t>
      </w:r>
      <w:r w:rsidRPr="00A96759">
        <w:rPr>
          <w:vertAlign w:val="superscript"/>
        </w:rPr>
        <w:t>th</w:t>
      </w:r>
      <w:r>
        <w:t xml:space="preserve"> century after the Norman invasion</w:t>
      </w:r>
      <w:r>
        <w:rPr>
          <w:rStyle w:val="FootnoteReference"/>
        </w:rPr>
        <w:footnoteReference w:id="12"/>
      </w:r>
      <w:r>
        <w:t>, ‘Wendt’ appears to be an even later mutation of ‘</w:t>
      </w:r>
      <w:proofErr w:type="spellStart"/>
      <w:r>
        <w:t>Caerwent</w:t>
      </w:r>
      <w:proofErr w:type="spellEnd"/>
      <w:r>
        <w:t xml:space="preserve">’, which would place </w:t>
      </w:r>
      <w:r>
        <w:rPr>
          <w:i/>
          <w:iCs/>
        </w:rPr>
        <w:t xml:space="preserve">Document 2 </w:t>
      </w:r>
      <w:r>
        <w:t>in a timeframe that proceeds the Norman conquest. Though the ‘de’ beforehand is a Latin preposition for ‘of’ or ‘from’,</w:t>
      </w:r>
      <w:r>
        <w:rPr>
          <w:rStyle w:val="FootnoteReference"/>
        </w:rPr>
        <w:footnoteReference w:id="13"/>
      </w:r>
      <w:r>
        <w:t xml:space="preserve"> ‘Wendt’ is </w:t>
      </w:r>
      <w:r>
        <w:lastRenderedPageBreak/>
        <w:t>not a common spelling of the county, even for its time, suggesting that at first glance, this spelling could be an anomaly.</w:t>
      </w:r>
      <w:r>
        <w:rPr>
          <w:rStyle w:val="FootnoteReference"/>
        </w:rPr>
        <w:footnoteReference w:id="14"/>
      </w:r>
    </w:p>
    <w:p w14:paraId="020C9AB8" w14:textId="77777777" w:rsidR="004979AB" w:rsidRDefault="004979AB" w:rsidP="004979AB">
      <w:r>
        <w:t xml:space="preserve">However, there are numerous reasons why “Wendt” is unlikely to be an accidental error. Not only is the same spelling repeated within the document, but if </w:t>
      </w:r>
      <w:r w:rsidRPr="00574400">
        <w:rPr>
          <w:i/>
          <w:iCs/>
        </w:rPr>
        <w:t>Document 2</w:t>
      </w:r>
      <w:r>
        <w:t xml:space="preserve"> was indeed written around the eleventh or twelfth centuries, there was no standardised spelling of languages in Britain during this time. It was not until the fourteenth and fifteenth centuries that standardised English is seen to be used;</w:t>
      </w:r>
      <w:r>
        <w:rPr>
          <w:rStyle w:val="FootnoteReference"/>
        </w:rPr>
        <w:footnoteReference w:id="15"/>
      </w:r>
      <w:r>
        <w:t xml:space="preserve"> and the greatest noticeable difference between the earliest Old Welsh and Middle Welsh (1150-1250) is the introduction of “radically new orthographic conventions”, suggesting that older examples of Welsh also did not have a rigid spelling system.</w:t>
      </w:r>
      <w:r>
        <w:rPr>
          <w:rStyle w:val="FootnoteReference"/>
        </w:rPr>
        <w:footnoteReference w:id="16"/>
      </w:r>
      <w:r>
        <w:t xml:space="preserve"> Therefore, spelling variations from before the thirteenth century are commonly recognised due to non- standardised orthographic conventions, reinforcing the idea that ‘Wendt’ is not a mistake and rather, a result of regional phonetic influence. Furthermore, this choice of spelling helps to narrow the timeframe of </w:t>
      </w:r>
      <w:r>
        <w:rPr>
          <w:i/>
          <w:iCs/>
        </w:rPr>
        <w:t xml:space="preserve">Document 2 </w:t>
      </w:r>
      <w:r>
        <w:t xml:space="preserve">down to the eleventh or twelfth century. </w:t>
      </w:r>
    </w:p>
    <w:p w14:paraId="3898328D" w14:textId="77777777" w:rsidR="004979AB" w:rsidRDefault="004979AB" w:rsidP="004979AB">
      <w:r>
        <w:t xml:space="preserve"> During this timeframe, the Marcher regions bordering England and Wales provided a varied and shifting “linguistic landscape” whereby a mix of French, Welsh, and English would have been spoken, with “flourishing Latinate” being accessed in written form among networks and institutions.</w:t>
      </w:r>
      <w:r>
        <w:rPr>
          <w:rStyle w:val="FootnoteReference"/>
        </w:rPr>
        <w:footnoteReference w:id="17"/>
      </w:r>
      <w:r>
        <w:t xml:space="preserve"> Furthermore, fusions of languages such as Anglo- Norman influenced the vernacular, not just in the Welsh language but across the British Isles.</w:t>
      </w:r>
      <w:r>
        <w:rPr>
          <w:rStyle w:val="FootnoteReference"/>
        </w:rPr>
        <w:footnoteReference w:id="18"/>
      </w:r>
      <w:r>
        <w:t xml:space="preserve"> Specifically, because of the rise of the Marches in Wales, communities and those of a lower rank, were exposed to a rise in class, dynasties, and figureheads through work opportunities. For instance, the Marches brought with them employment that centred around letter writing, legal and representational work, and housekeeping such as maids and cooks.</w:t>
      </w:r>
      <w:r>
        <w:rPr>
          <w:rStyle w:val="FootnoteReference"/>
        </w:rPr>
        <w:footnoteReference w:id="19"/>
      </w:r>
      <w:r>
        <w:t xml:space="preserve"> With this cultural exposure through employment, Welsh speakers garnered access to a range of key social, professional, and financial opportunities that expanded their exposure to language; and thus, enabling many of those outside of nobility circles to gain skills in multilingualism.</w:t>
      </w:r>
      <w:r>
        <w:rPr>
          <w:rStyle w:val="FootnoteReference"/>
        </w:rPr>
        <w:footnoteReference w:id="20"/>
      </w:r>
      <w:r>
        <w:t xml:space="preserve"> Equally, employment of locals exposed the Marchers to Welsh and local dialects, which created this fusion of language. Consequently, linguistic geography has important implications for “modes of </w:t>
      </w:r>
      <w:r>
        <w:lastRenderedPageBreak/>
        <w:t>textual production”</w:t>
      </w:r>
      <w:r>
        <w:rPr>
          <w:rStyle w:val="FootnoteReference"/>
        </w:rPr>
        <w:footnoteReference w:id="21"/>
      </w:r>
      <w:r>
        <w:t xml:space="preserve"> and therefore, these factors contribute to shaping the regional variations in language, both through the vernacular and the written form. Therefore, perhaps “Wendt” is an example of this fusion of language: a written word embodying a series of factors from a certain point in time that influenced the writer’s decision to use this specific spelling of ‘Gwent’. Consequently, ‘Wendt’ reinforces the implication that </w:t>
      </w:r>
      <w:r w:rsidRPr="000D5AA5">
        <w:rPr>
          <w:i/>
          <w:iCs/>
        </w:rPr>
        <w:t>Document 2</w:t>
      </w:r>
      <w:r>
        <w:t xml:space="preserve"> was created between the eleventh and twelfth century. However, to narrow down the timeframe even further, more specified geo-historical names mentioned in </w:t>
      </w:r>
      <w:r>
        <w:rPr>
          <w:i/>
          <w:iCs/>
        </w:rPr>
        <w:t xml:space="preserve">Document </w:t>
      </w:r>
      <w:r w:rsidRPr="00AE06D6">
        <w:t>2</w:t>
      </w:r>
      <w:r>
        <w:t xml:space="preserve"> </w:t>
      </w:r>
      <w:r w:rsidRPr="00AE06D6">
        <w:t>within</w:t>
      </w:r>
      <w:r>
        <w:t xml:space="preserve"> the region of Gwent will need exploring.</w:t>
      </w:r>
    </w:p>
    <w:p w14:paraId="41D81D6C" w14:textId="77777777" w:rsidR="004979AB" w:rsidRDefault="004979AB" w:rsidP="004979AB">
      <w:r>
        <w:t>For instance, “</w:t>
      </w:r>
      <w:proofErr w:type="spellStart"/>
      <w:r>
        <w:t>Ecclie</w:t>
      </w:r>
      <w:proofErr w:type="spellEnd"/>
      <w:r>
        <w:t xml:space="preserve"> [St] Marie de </w:t>
      </w:r>
      <w:proofErr w:type="spellStart"/>
      <w:r>
        <w:t>Meritona</w:t>
      </w:r>
      <w:proofErr w:type="spellEnd"/>
      <w:r>
        <w:t>”</w:t>
      </w:r>
      <w:r>
        <w:rPr>
          <w:rStyle w:val="FootnoteReference"/>
        </w:rPr>
        <w:footnoteReference w:id="22"/>
      </w:r>
      <w:r>
        <w:t xml:space="preserve"> appears to refer to an ecclesiastical establishment of the name ‘St Marie’ or ‘St Mary’. A quick Google search shows that there are several churches within the region of Gwent that share this name. However, </w:t>
      </w:r>
      <w:proofErr w:type="gramStart"/>
      <w:r>
        <w:t>one in particular, St Mary</w:t>
      </w:r>
      <w:proofErr w:type="gramEnd"/>
      <w:r>
        <w:t xml:space="preserve"> of Marshfield, might be the establishment in question.</w:t>
      </w:r>
      <w:r>
        <w:rPr>
          <w:rStyle w:val="FootnoteReference"/>
        </w:rPr>
        <w:footnoteReference w:id="23"/>
      </w:r>
      <w:r>
        <w:t xml:space="preserve"> </w:t>
      </w:r>
    </w:p>
    <w:p w14:paraId="1AED8CAE" w14:textId="77777777" w:rsidR="004979AB" w:rsidRDefault="004979AB" w:rsidP="004979AB">
      <w:r>
        <w:t>‘</w:t>
      </w:r>
      <w:proofErr w:type="spellStart"/>
      <w:r>
        <w:t>Meritona</w:t>
      </w:r>
      <w:proofErr w:type="spellEnd"/>
      <w:r>
        <w:t>’ appears to be a compound word, or perhaps a portmanteau, made from ‘Meri’ and ‘</w:t>
      </w:r>
      <w:proofErr w:type="spellStart"/>
      <w:r>
        <w:t>tona</w:t>
      </w:r>
      <w:proofErr w:type="spellEnd"/>
      <w:r>
        <w:t>’. The ‘</w:t>
      </w:r>
      <w:proofErr w:type="spellStart"/>
      <w:r>
        <w:t>tona</w:t>
      </w:r>
      <w:proofErr w:type="spellEnd"/>
      <w:r>
        <w:t>’ element appears to be a variation on the Anglo- Saxon word, ‘ton’ or ‘tun’ meaning a “settlement” or “village”.</w:t>
      </w:r>
      <w:r>
        <w:rPr>
          <w:rStyle w:val="FootnoteReference"/>
        </w:rPr>
        <w:footnoteReference w:id="24"/>
      </w:r>
      <w:r>
        <w:t xml:space="preserve"> Whereas, the ‘Meri’ aspect has a Welsh linguistic connection. In contemporary Welsh, the area of Marshfield in Newport, Gwent, is called ‘</w:t>
      </w:r>
      <w:proofErr w:type="spellStart"/>
      <w:r>
        <w:t>Maerun</w:t>
      </w:r>
      <w:proofErr w:type="spellEnd"/>
      <w:r>
        <w:t>’.</w:t>
      </w:r>
      <w:r>
        <w:rPr>
          <w:rStyle w:val="FootnoteReference"/>
        </w:rPr>
        <w:footnoteReference w:id="25"/>
      </w:r>
      <w:r>
        <w:t xml:space="preserve"> With the Welsh equivalent of ‘Mary’ being ‘Mair’ or ‘Mari’,</w:t>
      </w:r>
      <w:r>
        <w:rPr>
          <w:rStyle w:val="FootnoteReference"/>
        </w:rPr>
        <w:footnoteReference w:id="26"/>
      </w:r>
      <w:r>
        <w:t xml:space="preserve"> a surface- level connection already seems established, reinforcing the possibility that ‘</w:t>
      </w:r>
      <w:proofErr w:type="spellStart"/>
      <w:r>
        <w:t>Meritona</w:t>
      </w:r>
      <w:proofErr w:type="spellEnd"/>
      <w:r>
        <w:t xml:space="preserve">’ </w:t>
      </w:r>
      <w:r w:rsidRPr="00AF64C6">
        <w:t>is</w:t>
      </w:r>
      <w:r>
        <w:t xml:space="preserve"> referring to the Old Welsh name for Marshfield, which would simultaneously connect this particular St Mary’s church with Gwent as well as the aforementioned “St Marie de </w:t>
      </w:r>
      <w:proofErr w:type="spellStart"/>
      <w:r>
        <w:t>Meritona</w:t>
      </w:r>
      <w:proofErr w:type="spellEnd"/>
      <w:r>
        <w:t xml:space="preserve">” in </w:t>
      </w:r>
      <w:r>
        <w:rPr>
          <w:i/>
          <w:iCs/>
        </w:rPr>
        <w:t>Document 2</w:t>
      </w:r>
      <w:r>
        <w:t>. If so, the St Mary’s church in question is dated as far back as the twelfth century and the reign of King Stephen(1135).</w:t>
      </w:r>
      <w:r>
        <w:rPr>
          <w:rStyle w:val="FootnoteReference"/>
        </w:rPr>
        <w:footnoteReference w:id="27"/>
      </w:r>
      <w:r>
        <w:t xml:space="preserve">  Though the date of construction does not mean that </w:t>
      </w:r>
      <w:r>
        <w:rPr>
          <w:i/>
          <w:iCs/>
        </w:rPr>
        <w:t xml:space="preserve">Document </w:t>
      </w:r>
      <w:r w:rsidRPr="00507D10">
        <w:t>2</w:t>
      </w:r>
      <w:r>
        <w:t xml:space="preserve"> was produced at the same time, the combination of spelling and geographically- connected locations do confirm that </w:t>
      </w:r>
      <w:r>
        <w:rPr>
          <w:i/>
          <w:iCs/>
        </w:rPr>
        <w:t xml:space="preserve">Document 2 </w:t>
      </w:r>
      <w:r>
        <w:t xml:space="preserve"> was unlikely to be produced beyond the twelfth century and perhaps forged in this region. However, A.D. Mills notes that there is a Marshfield in South Gloucestershire, whose name originates from “</w:t>
      </w:r>
      <w:proofErr w:type="spellStart"/>
      <w:r>
        <w:t>Meresfelde</w:t>
      </w:r>
      <w:proofErr w:type="spellEnd"/>
      <w:r>
        <w:t>” from around 1086 with its meaning roughly translating to “open land and boundary”.</w:t>
      </w:r>
      <w:r>
        <w:rPr>
          <w:rStyle w:val="FootnoteReference"/>
        </w:rPr>
        <w:footnoteReference w:id="28"/>
      </w:r>
      <w:r>
        <w:t xml:space="preserve">  </w:t>
      </w:r>
    </w:p>
    <w:p w14:paraId="263ABDE3" w14:textId="77777777" w:rsidR="004979AB" w:rsidRDefault="004979AB" w:rsidP="004979AB">
      <w:r>
        <w:lastRenderedPageBreak/>
        <w:t>Though Gwent is used in conjunction with “</w:t>
      </w:r>
      <w:proofErr w:type="spellStart"/>
      <w:r>
        <w:t>Ailmanno</w:t>
      </w:r>
      <w:proofErr w:type="spellEnd"/>
      <w:r>
        <w:t xml:space="preserve"> de Wendt”, in both instances, not only is there a linguistic connection between the two locations, </w:t>
      </w:r>
      <w:proofErr w:type="gramStart"/>
      <w:r>
        <w:t>there</w:t>
      </w:r>
      <w:proofErr w:type="gramEnd"/>
      <w:r>
        <w:t xml:space="preserve"> is also a connection with the name ‘Robert’, who offers a direct historical link between Gwent and Gloucestershire. Consequently, this connection questions the likelihood of </w:t>
      </w:r>
      <w:r>
        <w:rPr>
          <w:i/>
          <w:iCs/>
        </w:rPr>
        <w:t xml:space="preserve">Document 2 </w:t>
      </w:r>
      <w:r>
        <w:t xml:space="preserve">being produced in Gwent. Therefore, to ensure these links are correct, and to narrow the timeframe, further research into the name ‘Robert’ seems prudent. </w:t>
      </w:r>
    </w:p>
    <w:p w14:paraId="36937CAA" w14:textId="77777777" w:rsidR="004979AB" w:rsidRDefault="004979AB" w:rsidP="004979AB"/>
    <w:p w14:paraId="53225F5F" w14:textId="77777777" w:rsidR="004979AB" w:rsidRPr="00FF5D30" w:rsidRDefault="004979AB" w:rsidP="004979AB">
      <w:pPr>
        <w:rPr>
          <w:b/>
          <w:bCs/>
          <w:u w:val="single"/>
        </w:rPr>
      </w:pPr>
      <w:r>
        <w:rPr>
          <w:b/>
          <w:bCs/>
          <w:u w:val="single"/>
        </w:rPr>
        <w:t>Names and Geographical Links</w:t>
      </w:r>
    </w:p>
    <w:p w14:paraId="68B1A2A4" w14:textId="77777777" w:rsidR="004979AB" w:rsidRPr="009E3EFC" w:rsidRDefault="004979AB" w:rsidP="004979AB">
      <w:r>
        <w:t xml:space="preserve">Historical names of well- known individuals linked to substantial research of primary sources can provide modern researchers with a ready-made filter of supporting evidence, allowing quick identity and verification when the same names are found in new or unfamiliar documents. Therefore, names can offer useful layers of insight, proving that they can be a key component for identifying and interpreting documents accurately. In this instance, </w:t>
      </w:r>
      <w:r>
        <w:rPr>
          <w:i/>
          <w:iCs/>
        </w:rPr>
        <w:t>Document 2</w:t>
      </w:r>
      <w:r>
        <w:t xml:space="preserve"> provides several and to verify the connections between the locations stated in </w:t>
      </w:r>
      <w:r>
        <w:rPr>
          <w:i/>
          <w:iCs/>
        </w:rPr>
        <w:t>Document 2</w:t>
      </w:r>
      <w:r>
        <w:t xml:space="preserve"> are accurate, the name ‘Robert’ will be explored as an example of evidence.</w:t>
      </w:r>
    </w:p>
    <w:p w14:paraId="01B95356" w14:textId="77777777" w:rsidR="004979AB" w:rsidRPr="001F31DF" w:rsidRDefault="004979AB" w:rsidP="004979AB">
      <w:r w:rsidRPr="0014410B">
        <w:t>St</w:t>
      </w:r>
      <w:r>
        <w:t xml:space="preserve"> Mary the Virgin Church of Marshfield in Newport was built by the countess Mabel, who dedicated the church as tribute to her late Norman Lord father, Robert Fitzhammon,</w:t>
      </w:r>
      <w:r>
        <w:rPr>
          <w:rStyle w:val="FootnoteReference"/>
        </w:rPr>
        <w:footnoteReference w:id="29"/>
      </w:r>
      <w:r>
        <w:t xml:space="preserve"> who died in 1107. However, in </w:t>
      </w:r>
      <w:r>
        <w:rPr>
          <w:i/>
          <w:iCs/>
        </w:rPr>
        <w:t>Document 2</w:t>
      </w:r>
      <w:r>
        <w:t>, ‘Robert’ is paired with “Ego” (“I”),</w:t>
      </w:r>
      <w:r w:rsidRPr="00651A34">
        <w:rPr>
          <w:rStyle w:val="FootnoteReference"/>
        </w:rPr>
        <w:t xml:space="preserve"> </w:t>
      </w:r>
      <w:r>
        <w:rPr>
          <w:rStyle w:val="FootnoteReference"/>
        </w:rPr>
        <w:footnoteReference w:id="30"/>
      </w:r>
      <w:r>
        <w:t xml:space="preserve"> suggesting that </w:t>
      </w:r>
      <w:r>
        <w:rPr>
          <w:i/>
          <w:iCs/>
        </w:rPr>
        <w:t>Document 2</w:t>
      </w:r>
      <w:r>
        <w:t xml:space="preserve"> was written by, or at least on behalf of, ‘Robert’, creating an obvious flaw in the link between the name and church’s location; and thus, pulling into question whether the manuscript was indeed written in Gwent. Further research into the name ‘Robert Fitzhamon’ reveals that he was indeed a Norman nobleman, who after the Norman Conquest, who was granted land in Gloucester, Tewkesbury, and Bristol after supporting William Rufus in the 1088 rebellion.</w:t>
      </w:r>
      <w:r>
        <w:rPr>
          <w:rStyle w:val="FootnoteReference"/>
        </w:rPr>
        <w:footnoteReference w:id="31"/>
      </w:r>
      <w:r>
        <w:t xml:space="preserve"> More specifically, he used his economic position to gain territory in South Wales, whilst also being given the estate in Tewkesbury, which lead to the founding of Tewkesbury Abbey around 1087. Tewkesbury Abbey is also known as ‘St Mary the Virgin, Tewkesbury Abbey’, which is located in Gloucestershire.</w:t>
      </w:r>
      <w:r>
        <w:rPr>
          <w:rStyle w:val="FootnoteReference"/>
        </w:rPr>
        <w:footnoteReference w:id="32"/>
      </w:r>
      <w:r>
        <w:t xml:space="preserve"> After Robert died in 1107, Tewkesbury Abbey passed to his son- in- law, who married his daughter, Mabel.</w:t>
      </w:r>
      <w:r>
        <w:rPr>
          <w:rStyle w:val="FootnoteReference"/>
        </w:rPr>
        <w:footnoteReference w:id="33"/>
      </w:r>
      <w:r>
        <w:t xml:space="preserve"> Therefore, the above research confirms that Robert Fitzhamon does share a direct ancestorial link </w:t>
      </w:r>
      <w:r>
        <w:lastRenderedPageBreak/>
        <w:t xml:space="preserve">with St Mary’s church in Gwent, but the “St Marie de </w:t>
      </w:r>
      <w:proofErr w:type="spellStart"/>
      <w:r>
        <w:t>Meritona</w:t>
      </w:r>
      <w:proofErr w:type="spellEnd"/>
      <w:r>
        <w:t xml:space="preserve">” in </w:t>
      </w:r>
      <w:r>
        <w:rPr>
          <w:i/>
          <w:iCs/>
        </w:rPr>
        <w:t xml:space="preserve">Document </w:t>
      </w:r>
      <w:r w:rsidRPr="00AF2A97">
        <w:t>2</w:t>
      </w:r>
      <w:r>
        <w:t xml:space="preserve"> </w:t>
      </w:r>
      <w:r w:rsidRPr="00AF2A97">
        <w:t>is</w:t>
      </w:r>
      <w:r>
        <w:t xml:space="preserve"> more likely to be in reference to St Mary the Virgin of Gloucestershire because Robert Fitzhamon would have been alive to refer to himself as</w:t>
      </w:r>
      <w:r w:rsidRPr="00EA5471">
        <w:t xml:space="preserve">, “Ego” in conjunction with ‘St Marie de </w:t>
      </w:r>
      <w:proofErr w:type="spellStart"/>
      <w:r w:rsidRPr="00EA5471">
        <w:t>Meritona</w:t>
      </w:r>
      <w:proofErr w:type="spellEnd"/>
      <w:r w:rsidRPr="00EA5471">
        <w:t>’</w:t>
      </w:r>
      <w:r w:rsidRPr="00EA5471">
        <w:rPr>
          <w:rStyle w:val="FootnoteReference"/>
        </w:rPr>
        <w:footnoteReference w:id="34"/>
      </w:r>
      <w:r>
        <w:t xml:space="preserve"> and therefore, suggesting that Gloucestershire is more probable to be the place of production of </w:t>
      </w:r>
      <w:r>
        <w:rPr>
          <w:i/>
          <w:iCs/>
        </w:rPr>
        <w:t>Document 2</w:t>
      </w:r>
      <w:r>
        <w:t>. Furthermore</w:t>
      </w:r>
      <w:r w:rsidRPr="00257A55">
        <w:t xml:space="preserve">, this greatly narrows down the timeframe of </w:t>
      </w:r>
      <w:r w:rsidRPr="00257A55">
        <w:rPr>
          <w:i/>
          <w:iCs/>
        </w:rPr>
        <w:t>Document 2</w:t>
      </w:r>
      <w:r>
        <w:t xml:space="preserve">, placing it between the post-establishment of </w:t>
      </w:r>
      <w:r w:rsidRPr="00257A55">
        <w:t>Tewkesbury Abbey around 1087 an</w:t>
      </w:r>
      <w:r>
        <w:t>d</w:t>
      </w:r>
      <w:r w:rsidRPr="00257A55">
        <w:t xml:space="preserve"> before </w:t>
      </w:r>
      <w:r>
        <w:t xml:space="preserve">the passing of </w:t>
      </w:r>
      <w:proofErr w:type="spellStart"/>
      <w:r>
        <w:t>Fitzhammon</w:t>
      </w:r>
      <w:proofErr w:type="spellEnd"/>
      <w:r w:rsidRPr="00257A55">
        <w:t xml:space="preserve"> in 1107.</w:t>
      </w:r>
    </w:p>
    <w:p w14:paraId="3DBEB0FB" w14:textId="77777777" w:rsidR="004979AB" w:rsidRDefault="004979AB" w:rsidP="004979AB">
      <w:pPr>
        <w:rPr>
          <w:b/>
          <w:bCs/>
          <w:u w:val="single"/>
        </w:rPr>
      </w:pPr>
    </w:p>
    <w:p w14:paraId="57986381" w14:textId="77777777" w:rsidR="004979AB" w:rsidRDefault="004979AB" w:rsidP="004979AB">
      <w:r>
        <w:rPr>
          <w:b/>
          <w:bCs/>
          <w:u w:val="single"/>
        </w:rPr>
        <w:t>Content and Context</w:t>
      </w:r>
    </w:p>
    <w:p w14:paraId="0C2E1FF0" w14:textId="77777777" w:rsidR="004979AB" w:rsidRPr="00B16432" w:rsidRDefault="004979AB" w:rsidP="004979AB">
      <w:r>
        <w:t xml:space="preserve">Robert Fitzhamon’s connection with nobility and land ownership provides some context into the likely nature of the document’s content. However, the specific content is difficult to understand without some form of translation. Therefore, a series of the transcripted lines will be loosely translated as a method of providing contextual examples of content. More specifically, this will be attempted by comparing similarly routed words from </w:t>
      </w:r>
      <w:r>
        <w:rPr>
          <w:i/>
          <w:iCs/>
        </w:rPr>
        <w:t xml:space="preserve">Document </w:t>
      </w:r>
      <w:r w:rsidRPr="000C3FF1">
        <w:t>2</w:t>
      </w:r>
      <w:r>
        <w:t xml:space="preserve"> to Classic Latin listed in the </w:t>
      </w:r>
      <w:r>
        <w:rPr>
          <w:i/>
          <w:iCs/>
        </w:rPr>
        <w:t xml:space="preserve">Pocket Oxford Latin </w:t>
      </w:r>
      <w:r w:rsidRPr="009671AC">
        <w:t>Dictionary</w:t>
      </w:r>
      <w:r>
        <w:t xml:space="preserve"> </w:t>
      </w:r>
      <w:proofErr w:type="gramStart"/>
      <w:r>
        <w:t>in order to</w:t>
      </w:r>
      <w:proofErr w:type="gramEnd"/>
      <w:r>
        <w:t xml:space="preserve"> reveal a loose modern English translation as a practical endeavour to reveal the essence of the content. </w:t>
      </w:r>
    </w:p>
    <w:p w14:paraId="608BE605" w14:textId="77777777" w:rsidR="004979AB" w:rsidRDefault="004979AB" w:rsidP="004979AB">
      <w:pPr>
        <w:rPr>
          <w:b/>
          <w:bCs/>
          <w:sz w:val="22"/>
          <w:szCs w:val="22"/>
        </w:rPr>
      </w:pPr>
    </w:p>
    <w:p w14:paraId="7204319E" w14:textId="77777777" w:rsidR="004979AB" w:rsidRDefault="004979AB" w:rsidP="004979AB">
      <w:pPr>
        <w:rPr>
          <w:sz w:val="22"/>
          <w:szCs w:val="22"/>
        </w:rPr>
      </w:pPr>
      <w:r>
        <w:rPr>
          <w:b/>
          <w:bCs/>
          <w:sz w:val="22"/>
          <w:szCs w:val="22"/>
        </w:rPr>
        <w:t xml:space="preserve">Line 2: </w:t>
      </w:r>
      <w:r>
        <w:rPr>
          <w:sz w:val="22"/>
          <w:szCs w:val="22"/>
        </w:rPr>
        <w:t>“…</w:t>
      </w:r>
      <w:proofErr w:type="gramStart"/>
      <w:r w:rsidRPr="00FE0CFB">
        <w:rPr>
          <w:sz w:val="22"/>
          <w:szCs w:val="22"/>
        </w:rPr>
        <w:t>Conce[</w:t>
      </w:r>
      <w:proofErr w:type="gramEnd"/>
      <w:r w:rsidRPr="00FE0CFB">
        <w:rPr>
          <w:sz w:val="22"/>
          <w:szCs w:val="22"/>
        </w:rPr>
        <w:t xml:space="preserve">SS]un[us] </w:t>
      </w:r>
      <w:proofErr w:type="spellStart"/>
      <w:r w:rsidRPr="00FE0CFB">
        <w:rPr>
          <w:sz w:val="22"/>
          <w:szCs w:val="22"/>
        </w:rPr>
        <w:t>Ailmanno</w:t>
      </w:r>
      <w:proofErr w:type="spellEnd"/>
      <w:r w:rsidRPr="00FE0CFB">
        <w:rPr>
          <w:sz w:val="22"/>
          <w:szCs w:val="22"/>
        </w:rPr>
        <w:t xml:space="preserve"> de Wendt [et] </w:t>
      </w:r>
      <w:proofErr w:type="spellStart"/>
      <w:r w:rsidRPr="00FE0CFB">
        <w:rPr>
          <w:sz w:val="22"/>
          <w:szCs w:val="22"/>
        </w:rPr>
        <w:t>heredib</w:t>
      </w:r>
      <w:proofErr w:type="spellEnd"/>
      <w:r w:rsidRPr="00FE0CFB">
        <w:rPr>
          <w:sz w:val="22"/>
          <w:szCs w:val="22"/>
        </w:rPr>
        <w:t>; [S]</w:t>
      </w:r>
      <w:proofErr w:type="spellStart"/>
      <w:r w:rsidRPr="00FE0CFB">
        <w:rPr>
          <w:sz w:val="22"/>
          <w:szCs w:val="22"/>
        </w:rPr>
        <w:t>ui</w:t>
      </w:r>
      <w:proofErr w:type="spellEnd"/>
      <w:r w:rsidRPr="00FE0CFB">
        <w:rPr>
          <w:sz w:val="22"/>
          <w:szCs w:val="22"/>
        </w:rPr>
        <w:t xml:space="preserve">[S] </w:t>
      </w:r>
      <w:proofErr w:type="spellStart"/>
      <w:r w:rsidRPr="00FE0CFB">
        <w:rPr>
          <w:sz w:val="22"/>
          <w:szCs w:val="22"/>
        </w:rPr>
        <w:t>ťrā</w:t>
      </w:r>
      <w:proofErr w:type="spellEnd"/>
      <w:r w:rsidRPr="00FE0CFB">
        <w:rPr>
          <w:sz w:val="22"/>
          <w:szCs w:val="22"/>
        </w:rPr>
        <w:t xml:space="preserve"> </w:t>
      </w:r>
      <w:proofErr w:type="spellStart"/>
      <w:r w:rsidRPr="00FE0CFB">
        <w:rPr>
          <w:sz w:val="22"/>
          <w:szCs w:val="22"/>
        </w:rPr>
        <w:t>illā</w:t>
      </w:r>
      <w:proofErr w:type="spellEnd"/>
      <w:r w:rsidRPr="00FE0CFB">
        <w:rPr>
          <w:sz w:val="22"/>
          <w:szCs w:val="22"/>
        </w:rPr>
        <w:t xml:space="preserve"> o[S] </w:t>
      </w:r>
      <w:proofErr w:type="spellStart"/>
      <w:r w:rsidRPr="00FE0CFB">
        <w:rPr>
          <w:sz w:val="22"/>
          <w:szCs w:val="22"/>
        </w:rPr>
        <w:t>fu</w:t>
      </w:r>
      <w:r>
        <w:rPr>
          <w:sz w:val="22"/>
          <w:szCs w:val="22"/>
        </w:rPr>
        <w:t>i</w:t>
      </w:r>
      <w:r w:rsidRPr="00FE0CFB">
        <w:rPr>
          <w:sz w:val="22"/>
          <w:szCs w:val="22"/>
        </w:rPr>
        <w:t>t</w:t>
      </w:r>
      <w:proofErr w:type="spellEnd"/>
      <w:r w:rsidRPr="00FE0CFB">
        <w:rPr>
          <w:sz w:val="22"/>
          <w:szCs w:val="22"/>
        </w:rPr>
        <w:t xml:space="preserve"> </w:t>
      </w:r>
    </w:p>
    <w:p w14:paraId="25F07881" w14:textId="77777777" w:rsidR="004979AB" w:rsidRPr="00564499" w:rsidRDefault="004979AB" w:rsidP="004979AB">
      <w:pPr>
        <w:rPr>
          <w:sz w:val="22"/>
          <w:szCs w:val="22"/>
        </w:rPr>
      </w:pPr>
      <w:r>
        <w:rPr>
          <w:b/>
          <w:bCs/>
          <w:sz w:val="22"/>
          <w:szCs w:val="22"/>
        </w:rPr>
        <w:t xml:space="preserve">Line 3: </w:t>
      </w:r>
      <w:r w:rsidRPr="00FE0CFB">
        <w:rPr>
          <w:sz w:val="22"/>
          <w:szCs w:val="22"/>
        </w:rPr>
        <w:t xml:space="preserve">W </w:t>
      </w:r>
      <w:proofErr w:type="spellStart"/>
      <w:r w:rsidRPr="00FE0CFB">
        <w:rPr>
          <w:sz w:val="22"/>
          <w:szCs w:val="22"/>
        </w:rPr>
        <w:t>Iward</w:t>
      </w:r>
      <w:r>
        <w:rPr>
          <w:sz w:val="22"/>
          <w:szCs w:val="22"/>
        </w:rPr>
        <w:t>i</w:t>
      </w:r>
      <w:proofErr w:type="spellEnd"/>
      <w:r w:rsidRPr="00FE0CFB">
        <w:rPr>
          <w:sz w:val="22"/>
          <w:szCs w:val="22"/>
        </w:rPr>
        <w:t xml:space="preserve"> [S]</w:t>
      </w:r>
      <w:proofErr w:type="spellStart"/>
      <w:proofErr w:type="gramStart"/>
      <w:r w:rsidRPr="00FE0CFB">
        <w:rPr>
          <w:sz w:val="22"/>
          <w:szCs w:val="22"/>
        </w:rPr>
        <w:t>ewilde</w:t>
      </w:r>
      <w:proofErr w:type="spellEnd"/>
      <w:r w:rsidRPr="00FE0CFB">
        <w:rPr>
          <w:sz w:val="22"/>
          <w:szCs w:val="22"/>
        </w:rPr>
        <w:t xml:space="preserve"> .</w:t>
      </w:r>
      <w:proofErr w:type="gramEnd"/>
      <w:r w:rsidRPr="00FE0CFB">
        <w:rPr>
          <w:sz w:val="22"/>
          <w:szCs w:val="22"/>
        </w:rPr>
        <w:t xml:space="preserve"> [et] in </w:t>
      </w:r>
      <w:proofErr w:type="spellStart"/>
      <w:proofErr w:type="gramStart"/>
      <w:r w:rsidRPr="00FE0CFB">
        <w:rPr>
          <w:sz w:val="22"/>
          <w:szCs w:val="22"/>
        </w:rPr>
        <w:t>īcremto</w:t>
      </w:r>
      <w:proofErr w:type="spellEnd"/>
      <w:r w:rsidRPr="00FE0CFB">
        <w:rPr>
          <w:sz w:val="22"/>
          <w:szCs w:val="22"/>
        </w:rPr>
        <w:t xml:space="preserve"> .</w:t>
      </w:r>
      <w:proofErr w:type="gramEnd"/>
      <w:r w:rsidRPr="00FE0CFB">
        <w:rPr>
          <w:sz w:val="22"/>
          <w:szCs w:val="22"/>
        </w:rPr>
        <w:t>[1]. Ac[</w:t>
      </w:r>
      <w:proofErr w:type="spellStart"/>
      <w:r w:rsidRPr="00FE0CFB">
        <w:rPr>
          <w:sz w:val="22"/>
          <w:szCs w:val="22"/>
        </w:rPr>
        <w:t>i</w:t>
      </w:r>
      <w:proofErr w:type="spellEnd"/>
      <w:r w:rsidRPr="00FE0CFB">
        <w:rPr>
          <w:sz w:val="22"/>
          <w:szCs w:val="22"/>
        </w:rPr>
        <w:t xml:space="preserve">]n g </w:t>
      </w:r>
      <w:proofErr w:type="spellStart"/>
      <w:r w:rsidRPr="00FE0CFB">
        <w:rPr>
          <w:sz w:val="22"/>
          <w:szCs w:val="22"/>
        </w:rPr>
        <w:t>fuit</w:t>
      </w:r>
      <w:proofErr w:type="spellEnd"/>
      <w:r w:rsidRPr="00FE0CFB">
        <w:rPr>
          <w:sz w:val="22"/>
          <w:szCs w:val="22"/>
        </w:rPr>
        <w:t xml:space="preserve"> Godwin Gromchr ap </w:t>
      </w:r>
      <w:r>
        <w:rPr>
          <w:rFonts w:ascii="Latin" w:hAnsi="Latin"/>
          <w:sz w:val="22"/>
          <w:szCs w:val="22"/>
        </w:rPr>
        <w:t>°</w:t>
      </w:r>
      <w:r w:rsidRPr="00FE0CFB">
        <w:rPr>
          <w:sz w:val="22"/>
          <w:szCs w:val="22"/>
        </w:rPr>
        <w:t>Scola</w:t>
      </w:r>
      <w:r w:rsidRPr="00BC1DCC">
        <w:rPr>
          <w:sz w:val="22"/>
          <w:szCs w:val="22"/>
        </w:rPr>
        <w:t>ð</w:t>
      </w:r>
      <w:r>
        <w:rPr>
          <w:sz w:val="22"/>
          <w:szCs w:val="22"/>
        </w:rPr>
        <w:t>”</w:t>
      </w:r>
      <w:r>
        <w:rPr>
          <w:rStyle w:val="FootnoteReference"/>
          <w:sz w:val="22"/>
          <w:szCs w:val="22"/>
        </w:rPr>
        <w:footnoteReference w:id="35"/>
      </w:r>
      <w:r w:rsidRPr="00740568">
        <w:rPr>
          <w:rStyle w:val="FootnoteReference"/>
          <w:rFonts w:eastAsia="Times New Roman" w:cs="Arial"/>
          <w:color w:val="231F20"/>
          <w:kern w:val="36"/>
          <w14:ligatures w14:val="none"/>
        </w:rPr>
        <w:t xml:space="preserve"> </w:t>
      </w:r>
    </w:p>
    <w:p w14:paraId="154BBB51" w14:textId="77777777" w:rsidR="004979AB" w:rsidRDefault="004979AB" w:rsidP="004979AB"/>
    <w:p w14:paraId="155DCCB9" w14:textId="77777777" w:rsidR="004979AB" w:rsidRDefault="004979AB" w:rsidP="004979AB">
      <w:pPr>
        <w:rPr>
          <w:sz w:val="22"/>
          <w:szCs w:val="22"/>
        </w:rPr>
      </w:pPr>
      <w:r>
        <w:t xml:space="preserve">In </w:t>
      </w:r>
      <w:r>
        <w:rPr>
          <w:b/>
          <w:bCs/>
        </w:rPr>
        <w:t xml:space="preserve">Lines 2 </w:t>
      </w:r>
      <w:r>
        <w:t xml:space="preserve">and </w:t>
      </w:r>
      <w:r>
        <w:rPr>
          <w:b/>
          <w:bCs/>
        </w:rPr>
        <w:t>3</w:t>
      </w:r>
      <w:r>
        <w:t xml:space="preserve">, </w:t>
      </w:r>
      <w:r w:rsidRPr="00AE297E">
        <w:t>if</w:t>
      </w:r>
      <w:r>
        <w:t xml:space="preserve"> “</w:t>
      </w:r>
      <w:proofErr w:type="spellStart"/>
      <w:r>
        <w:t>conce</w:t>
      </w:r>
      <w:proofErr w:type="spellEnd"/>
      <w:r>
        <w:t xml:space="preserve">[SS]un[us] is taken to be Latinate variation of the word, </w:t>
      </w:r>
      <w:r w:rsidRPr="0053389C">
        <w:t>“</w:t>
      </w:r>
      <w:proofErr w:type="spellStart"/>
      <w:r w:rsidRPr="0053389C">
        <w:t>concessi</w:t>
      </w:r>
      <w:r w:rsidRPr="005E67A0">
        <w:rPr>
          <w:rFonts w:eastAsia="Times New Roman" w:cs="Arial"/>
          <w:color w:val="231F20"/>
          <w:kern w:val="36"/>
          <w14:ligatures w14:val="none"/>
        </w:rPr>
        <w:t>ō</w:t>
      </w:r>
      <w:proofErr w:type="spellEnd"/>
      <w:r>
        <w:rPr>
          <w:rFonts w:eastAsia="Times New Roman" w:cs="Arial"/>
          <w:color w:val="231F20"/>
          <w:kern w:val="36"/>
          <w14:ligatures w14:val="none"/>
        </w:rPr>
        <w:t>”</w:t>
      </w:r>
      <w:r w:rsidRPr="00CD3929">
        <w:rPr>
          <w:rStyle w:val="FootnoteReference"/>
          <w:rFonts w:eastAsia="Times New Roman" w:cs="Arial"/>
          <w:color w:val="231F20"/>
          <w:kern w:val="36"/>
          <w14:ligatures w14:val="none"/>
        </w:rPr>
        <w:t xml:space="preserve"> </w:t>
      </w:r>
      <w:r>
        <w:rPr>
          <w:rStyle w:val="FootnoteReference"/>
          <w:rFonts w:eastAsia="Times New Roman" w:cs="Arial"/>
          <w:color w:val="231F20"/>
          <w:kern w:val="36"/>
          <w14:ligatures w14:val="none"/>
        </w:rPr>
        <w:footnoteReference w:id="36"/>
      </w:r>
      <w:r>
        <w:rPr>
          <w:rFonts w:eastAsia="Times New Roman" w:cs="Arial"/>
          <w:color w:val="231F20"/>
          <w:kern w:val="36"/>
          <w14:ligatures w14:val="none"/>
        </w:rPr>
        <w:t xml:space="preserve"> meaning ‘grant’ or ‘permission’, and “</w:t>
      </w:r>
      <w:proofErr w:type="spellStart"/>
      <w:r>
        <w:rPr>
          <w:rFonts w:eastAsia="Times New Roman" w:cs="Arial"/>
          <w:color w:val="231F20"/>
          <w:kern w:val="36"/>
          <w14:ligatures w14:val="none"/>
        </w:rPr>
        <w:t>heredib</w:t>
      </w:r>
      <w:proofErr w:type="spellEnd"/>
      <w:r>
        <w:rPr>
          <w:rFonts w:eastAsia="Times New Roman" w:cs="Arial"/>
          <w:color w:val="231F20"/>
          <w:kern w:val="36"/>
          <w14:ligatures w14:val="none"/>
        </w:rPr>
        <w:t>” to refer to ‘heirship’ or ‘inheritance’,</w:t>
      </w:r>
      <w:r>
        <w:rPr>
          <w:rStyle w:val="FootnoteReference"/>
          <w:rFonts w:eastAsia="Times New Roman" w:cs="Arial"/>
          <w:color w:val="231F20"/>
          <w:kern w:val="36"/>
          <w14:ligatures w14:val="none"/>
        </w:rPr>
        <w:footnoteReference w:id="37"/>
      </w:r>
      <w:r>
        <w:rPr>
          <w:rFonts w:eastAsia="Times New Roman" w:cs="Arial"/>
          <w:color w:val="231F20"/>
          <w:kern w:val="36"/>
          <w14:ligatures w14:val="none"/>
        </w:rPr>
        <w:t xml:space="preserve"> then </w:t>
      </w:r>
      <w:r>
        <w:rPr>
          <w:rFonts w:eastAsia="Times New Roman" w:cs="Arial"/>
          <w:i/>
          <w:iCs/>
          <w:color w:val="231F20"/>
          <w:kern w:val="36"/>
          <w14:ligatures w14:val="none"/>
        </w:rPr>
        <w:t>Document 2</w:t>
      </w:r>
      <w:r>
        <w:rPr>
          <w:rFonts w:eastAsia="Times New Roman" w:cs="Arial"/>
          <w:color w:val="231F20"/>
          <w:kern w:val="36"/>
          <w14:ligatures w14:val="none"/>
        </w:rPr>
        <w:t xml:space="preserve"> does seem to be a legal document surrounding the transfer of land (“</w:t>
      </w:r>
      <w:proofErr w:type="spellStart"/>
      <w:r w:rsidRPr="00FE0CFB">
        <w:rPr>
          <w:sz w:val="22"/>
          <w:szCs w:val="22"/>
        </w:rPr>
        <w:t>ťrā</w:t>
      </w:r>
      <w:proofErr w:type="spellEnd"/>
      <w:r>
        <w:rPr>
          <w:rFonts w:eastAsia="Times New Roman" w:cs="Arial"/>
          <w:color w:val="231F20"/>
          <w:kern w:val="36"/>
          <w14:ligatures w14:val="none"/>
        </w:rPr>
        <w:t xml:space="preserve"> )between Robert Fitzhammon of St Mary’s in Tewksbury to </w:t>
      </w:r>
      <w:proofErr w:type="spellStart"/>
      <w:r>
        <w:rPr>
          <w:rFonts w:eastAsia="Times New Roman" w:cs="Arial"/>
          <w:color w:val="231F20"/>
          <w:kern w:val="36"/>
          <w14:ligatures w14:val="none"/>
        </w:rPr>
        <w:t>Ailmanno</w:t>
      </w:r>
      <w:proofErr w:type="spellEnd"/>
      <w:r>
        <w:rPr>
          <w:rFonts w:eastAsia="Times New Roman" w:cs="Arial"/>
          <w:color w:val="231F20"/>
          <w:kern w:val="36"/>
          <w14:ligatures w14:val="none"/>
        </w:rPr>
        <w:t xml:space="preserve"> of Gwent and his heirs that was belonged to “</w:t>
      </w:r>
      <w:r w:rsidRPr="00FE0CFB">
        <w:rPr>
          <w:sz w:val="22"/>
          <w:szCs w:val="22"/>
        </w:rPr>
        <w:t>W</w:t>
      </w:r>
      <w:r>
        <w:rPr>
          <w:sz w:val="22"/>
          <w:szCs w:val="22"/>
        </w:rPr>
        <w:t>.</w:t>
      </w:r>
      <w:r w:rsidRPr="00FE0CFB">
        <w:rPr>
          <w:sz w:val="22"/>
          <w:szCs w:val="22"/>
        </w:rPr>
        <w:t xml:space="preserve"> </w:t>
      </w:r>
      <w:proofErr w:type="spellStart"/>
      <w:r w:rsidRPr="00FE0CFB">
        <w:rPr>
          <w:sz w:val="22"/>
          <w:szCs w:val="22"/>
        </w:rPr>
        <w:t>Iward</w:t>
      </w:r>
      <w:proofErr w:type="spellEnd"/>
      <w:r>
        <w:rPr>
          <w:sz w:val="22"/>
          <w:szCs w:val="22"/>
        </w:rPr>
        <w:t>”</w:t>
      </w:r>
      <w:r w:rsidRPr="00FE0CFB">
        <w:rPr>
          <w:sz w:val="22"/>
          <w:szCs w:val="22"/>
        </w:rPr>
        <w:t xml:space="preserve"> </w:t>
      </w:r>
      <w:r>
        <w:rPr>
          <w:sz w:val="22"/>
          <w:szCs w:val="22"/>
        </w:rPr>
        <w:t>and increased by “</w:t>
      </w:r>
      <w:r w:rsidRPr="00FE0CFB">
        <w:rPr>
          <w:sz w:val="22"/>
          <w:szCs w:val="22"/>
        </w:rPr>
        <w:t>[1]. Ac[</w:t>
      </w:r>
      <w:proofErr w:type="spellStart"/>
      <w:r w:rsidRPr="00FE0CFB">
        <w:rPr>
          <w:sz w:val="22"/>
          <w:szCs w:val="22"/>
        </w:rPr>
        <w:t>i</w:t>
      </w:r>
      <w:proofErr w:type="spellEnd"/>
      <w:r w:rsidRPr="00FE0CFB">
        <w:rPr>
          <w:sz w:val="22"/>
          <w:szCs w:val="22"/>
        </w:rPr>
        <w:t>]n g</w:t>
      </w:r>
      <w:r>
        <w:rPr>
          <w:sz w:val="22"/>
          <w:szCs w:val="22"/>
        </w:rPr>
        <w:t>” (perhaps one acre) from land that belonged to “</w:t>
      </w:r>
      <w:r w:rsidRPr="00FE0CFB">
        <w:rPr>
          <w:sz w:val="22"/>
          <w:szCs w:val="22"/>
        </w:rPr>
        <w:t xml:space="preserve">Godwin Gromchr ap </w:t>
      </w:r>
      <w:r>
        <w:rPr>
          <w:rFonts w:ascii="Latin" w:hAnsi="Latin"/>
          <w:sz w:val="22"/>
          <w:szCs w:val="22"/>
        </w:rPr>
        <w:t>°</w:t>
      </w:r>
      <w:r w:rsidRPr="00FE0CFB">
        <w:rPr>
          <w:sz w:val="22"/>
          <w:szCs w:val="22"/>
        </w:rPr>
        <w:t>Scola</w:t>
      </w:r>
      <w:r w:rsidRPr="00BC1DCC">
        <w:rPr>
          <w:sz w:val="22"/>
          <w:szCs w:val="22"/>
        </w:rPr>
        <w:t>ð</w:t>
      </w:r>
      <w:r>
        <w:rPr>
          <w:sz w:val="22"/>
          <w:szCs w:val="22"/>
        </w:rPr>
        <w:t>”.</w:t>
      </w:r>
      <w:r>
        <w:rPr>
          <w:rStyle w:val="FootnoteReference"/>
          <w:sz w:val="22"/>
          <w:szCs w:val="22"/>
        </w:rPr>
        <w:footnoteReference w:id="38"/>
      </w:r>
      <w:r>
        <w:rPr>
          <w:sz w:val="22"/>
          <w:szCs w:val="22"/>
        </w:rPr>
        <w:t xml:space="preserve"> </w:t>
      </w:r>
    </w:p>
    <w:p w14:paraId="4A8394D2" w14:textId="77777777" w:rsidR="004979AB" w:rsidRDefault="004979AB" w:rsidP="004979AB">
      <w:pPr>
        <w:rPr>
          <w:sz w:val="22"/>
          <w:szCs w:val="22"/>
        </w:rPr>
      </w:pPr>
    </w:p>
    <w:p w14:paraId="34F11E4C" w14:textId="77777777" w:rsidR="004979AB" w:rsidRPr="00FE0CFB" w:rsidRDefault="004979AB" w:rsidP="004979AB">
      <w:pPr>
        <w:rPr>
          <w:sz w:val="22"/>
          <w:szCs w:val="22"/>
        </w:rPr>
      </w:pPr>
      <w:r>
        <w:rPr>
          <w:b/>
          <w:bCs/>
          <w:sz w:val="22"/>
          <w:szCs w:val="22"/>
        </w:rPr>
        <w:lastRenderedPageBreak/>
        <w:t>Line 4: “</w:t>
      </w:r>
      <w:r w:rsidRPr="00FE0CFB">
        <w:rPr>
          <w:sz w:val="22"/>
          <w:szCs w:val="22"/>
        </w:rPr>
        <w:t xml:space="preserve">[et] </w:t>
      </w:r>
      <w:proofErr w:type="spellStart"/>
      <w:r w:rsidRPr="00FE0CFB">
        <w:rPr>
          <w:sz w:val="22"/>
          <w:szCs w:val="22"/>
        </w:rPr>
        <w:t>duni</w:t>
      </w:r>
      <w:r w:rsidRPr="00BC1DCC">
        <w:rPr>
          <w:sz w:val="22"/>
          <w:szCs w:val="22"/>
        </w:rPr>
        <w:t>ð</w:t>
      </w:r>
      <w:proofErr w:type="spellEnd"/>
      <w:r w:rsidRPr="00FE0CFB">
        <w:rPr>
          <w:sz w:val="22"/>
          <w:szCs w:val="22"/>
        </w:rPr>
        <w:t xml:space="preserve"> </w:t>
      </w:r>
      <w:proofErr w:type="spellStart"/>
      <w:r w:rsidRPr="00FE0CFB">
        <w:rPr>
          <w:sz w:val="22"/>
          <w:szCs w:val="22"/>
        </w:rPr>
        <w:t>acrā</w:t>
      </w:r>
      <w:proofErr w:type="spellEnd"/>
      <w:r w:rsidRPr="00FE0CFB">
        <w:rPr>
          <w:sz w:val="22"/>
          <w:szCs w:val="22"/>
        </w:rPr>
        <w:t xml:space="preserve"> ğ </w:t>
      </w:r>
      <w:proofErr w:type="spellStart"/>
      <w:r w:rsidRPr="00FE0CFB">
        <w:rPr>
          <w:sz w:val="22"/>
          <w:szCs w:val="22"/>
        </w:rPr>
        <w:t>iacet</w:t>
      </w:r>
      <w:proofErr w:type="spellEnd"/>
      <w:r w:rsidRPr="00FE0CFB">
        <w:rPr>
          <w:sz w:val="22"/>
          <w:szCs w:val="22"/>
        </w:rPr>
        <w:t xml:space="preserve"> </w:t>
      </w:r>
      <w:proofErr w:type="spellStart"/>
      <w:r w:rsidRPr="00FE0CFB">
        <w:rPr>
          <w:sz w:val="22"/>
          <w:szCs w:val="22"/>
        </w:rPr>
        <w:t>ivxta</w:t>
      </w:r>
      <w:proofErr w:type="spellEnd"/>
      <w:r w:rsidRPr="00FE0CFB">
        <w:rPr>
          <w:sz w:val="22"/>
          <w:szCs w:val="22"/>
        </w:rPr>
        <w:t xml:space="preserve"> Claip[u]</w:t>
      </w:r>
      <w:proofErr w:type="spellStart"/>
      <w:r w:rsidRPr="00FE0CFB">
        <w:rPr>
          <w:sz w:val="22"/>
          <w:szCs w:val="22"/>
        </w:rPr>
        <w:t>tte</w:t>
      </w:r>
      <w:proofErr w:type="spellEnd"/>
      <w:r w:rsidRPr="00FE0CFB">
        <w:rPr>
          <w:sz w:val="22"/>
          <w:szCs w:val="22"/>
        </w:rPr>
        <w:t xml:space="preserve"> [S]up </w:t>
      </w:r>
      <w:proofErr w:type="spellStart"/>
      <w:r w:rsidRPr="00FE0CFB">
        <w:rPr>
          <w:sz w:val="22"/>
          <w:szCs w:val="22"/>
        </w:rPr>
        <w:t>ğin</w:t>
      </w:r>
      <w:proofErr w:type="spellEnd"/>
      <w:r w:rsidRPr="00FE0CFB">
        <w:rPr>
          <w:sz w:val="22"/>
          <w:szCs w:val="22"/>
        </w:rPr>
        <w:t xml:space="preserve"> Sigar [S]</w:t>
      </w:r>
      <w:proofErr w:type="gramStart"/>
      <w:r w:rsidRPr="00FE0CFB">
        <w:rPr>
          <w:sz w:val="22"/>
          <w:szCs w:val="22"/>
        </w:rPr>
        <w:t>edit .</w:t>
      </w:r>
      <w:proofErr w:type="gramEnd"/>
      <w:r w:rsidRPr="00FE0CFB">
        <w:rPr>
          <w:sz w:val="22"/>
          <w:szCs w:val="22"/>
        </w:rPr>
        <w:t xml:space="preserve"> </w:t>
      </w:r>
      <w:proofErr w:type="spellStart"/>
      <w:r w:rsidRPr="00FE0CFB">
        <w:rPr>
          <w:sz w:val="22"/>
          <w:szCs w:val="22"/>
        </w:rPr>
        <w:t>tenedā</w:t>
      </w:r>
      <w:proofErr w:type="spellEnd"/>
      <w:r w:rsidRPr="00FE0CFB">
        <w:rPr>
          <w:sz w:val="22"/>
          <w:szCs w:val="22"/>
        </w:rPr>
        <w:t xml:space="preserve"> </w:t>
      </w:r>
      <w:proofErr w:type="spellStart"/>
      <w:r w:rsidRPr="00FE0CFB">
        <w:rPr>
          <w:sz w:val="22"/>
          <w:szCs w:val="22"/>
        </w:rPr>
        <w:t>ip</w:t>
      </w:r>
      <w:proofErr w:type="spellEnd"/>
      <w:r w:rsidRPr="00FE0CFB">
        <w:rPr>
          <w:sz w:val="22"/>
          <w:szCs w:val="22"/>
        </w:rPr>
        <w:t>[S]</w:t>
      </w:r>
      <w:proofErr w:type="spellStart"/>
      <w:r w:rsidRPr="00FE0CFB">
        <w:rPr>
          <w:sz w:val="22"/>
          <w:szCs w:val="22"/>
        </w:rPr>
        <w:t>i</w:t>
      </w:r>
      <w:proofErr w:type="spellEnd"/>
    </w:p>
    <w:p w14:paraId="21241391" w14:textId="77777777" w:rsidR="004979AB" w:rsidRDefault="004979AB" w:rsidP="004979AB">
      <w:pPr>
        <w:rPr>
          <w:sz w:val="22"/>
          <w:szCs w:val="22"/>
        </w:rPr>
      </w:pPr>
      <w:r w:rsidRPr="00FE0CFB">
        <w:rPr>
          <w:sz w:val="22"/>
          <w:szCs w:val="22"/>
        </w:rPr>
        <w:t xml:space="preserve"> </w:t>
      </w:r>
      <w:r>
        <w:rPr>
          <w:b/>
          <w:bCs/>
          <w:sz w:val="22"/>
          <w:szCs w:val="22"/>
        </w:rPr>
        <w:t xml:space="preserve">Line 5: </w:t>
      </w:r>
      <w:r w:rsidRPr="00FE0CFB">
        <w:rPr>
          <w:sz w:val="22"/>
          <w:szCs w:val="22"/>
        </w:rPr>
        <w:t xml:space="preserve">[et] </w:t>
      </w:r>
      <w:proofErr w:type="spellStart"/>
      <w:r w:rsidRPr="00FE0CFB">
        <w:rPr>
          <w:sz w:val="22"/>
          <w:szCs w:val="22"/>
        </w:rPr>
        <w:t>heredib</w:t>
      </w:r>
      <w:proofErr w:type="spellEnd"/>
      <w:r w:rsidRPr="00FE0CFB">
        <w:rPr>
          <w:sz w:val="22"/>
          <w:szCs w:val="22"/>
        </w:rPr>
        <w:t>; [S]</w:t>
      </w:r>
      <w:proofErr w:type="spellStart"/>
      <w:r w:rsidRPr="00FE0CFB">
        <w:rPr>
          <w:sz w:val="22"/>
          <w:szCs w:val="22"/>
        </w:rPr>
        <w:t>uis</w:t>
      </w:r>
      <w:proofErr w:type="spellEnd"/>
      <w:r w:rsidRPr="00FE0CFB">
        <w:rPr>
          <w:sz w:val="22"/>
          <w:szCs w:val="22"/>
        </w:rPr>
        <w:t xml:space="preserve"> in </w:t>
      </w:r>
      <w:proofErr w:type="spellStart"/>
      <w:r w:rsidRPr="00FE0CFB">
        <w:rPr>
          <w:sz w:val="22"/>
          <w:szCs w:val="22"/>
        </w:rPr>
        <w:t>fe</w:t>
      </w:r>
      <w:proofErr w:type="spellEnd"/>
      <w:r>
        <w:rPr>
          <w:sz w:val="22"/>
          <w:szCs w:val="22"/>
        </w:rPr>
        <w:t>[u]</w:t>
      </w:r>
      <w:proofErr w:type="spellStart"/>
      <w:r w:rsidRPr="00FE0CFB">
        <w:rPr>
          <w:sz w:val="22"/>
          <w:szCs w:val="22"/>
        </w:rPr>
        <w:t>dū</w:t>
      </w:r>
      <w:proofErr w:type="spellEnd"/>
      <w:r w:rsidRPr="00FE0CFB">
        <w:rPr>
          <w:sz w:val="22"/>
          <w:szCs w:val="22"/>
        </w:rPr>
        <w:t xml:space="preserve"> [et] </w:t>
      </w:r>
      <w:proofErr w:type="spellStart"/>
      <w:r w:rsidRPr="00FE0CFB">
        <w:rPr>
          <w:sz w:val="22"/>
          <w:szCs w:val="22"/>
        </w:rPr>
        <w:t>heredicatē</w:t>
      </w:r>
      <w:proofErr w:type="spellEnd"/>
      <w:r w:rsidRPr="00FE0CFB">
        <w:rPr>
          <w:sz w:val="22"/>
          <w:szCs w:val="22"/>
        </w:rPr>
        <w:t xml:space="preserve"> </w:t>
      </w:r>
      <w:proofErr w:type="spellStart"/>
      <w:r w:rsidRPr="00FE0CFB">
        <w:rPr>
          <w:sz w:val="22"/>
          <w:szCs w:val="22"/>
        </w:rPr>
        <w:t>p.u</w:t>
      </w:r>
      <w:proofErr w:type="spellEnd"/>
      <w:r w:rsidRPr="00FE0CFB">
        <w:rPr>
          <w:sz w:val="22"/>
          <w:szCs w:val="22"/>
        </w:rPr>
        <w:t>. [S]</w:t>
      </w:r>
      <w:proofErr w:type="spellStart"/>
      <w:r w:rsidRPr="00FE0CFB">
        <w:rPr>
          <w:sz w:val="22"/>
          <w:szCs w:val="22"/>
        </w:rPr>
        <w:t>ot</w:t>
      </w:r>
      <w:proofErr w:type="spellEnd"/>
      <w:r w:rsidRPr="00FE0CFB">
        <w:rPr>
          <w:sz w:val="22"/>
          <w:szCs w:val="22"/>
        </w:rPr>
        <w:t xml:space="preserve"> </w:t>
      </w:r>
      <w:proofErr w:type="spellStart"/>
      <w:r w:rsidRPr="00FE0CFB">
        <w:rPr>
          <w:sz w:val="22"/>
          <w:szCs w:val="22"/>
        </w:rPr>
        <w:t>annuatī</w:t>
      </w:r>
      <w:proofErr w:type="spellEnd"/>
      <w:r w:rsidRPr="00FE0CFB">
        <w:rPr>
          <w:sz w:val="22"/>
          <w:szCs w:val="22"/>
        </w:rPr>
        <w:t>.</w:t>
      </w:r>
      <w:r>
        <w:rPr>
          <w:sz w:val="22"/>
          <w:szCs w:val="22"/>
        </w:rPr>
        <w:t>”</w:t>
      </w:r>
      <w:r>
        <w:rPr>
          <w:rStyle w:val="FootnoteReference"/>
          <w:sz w:val="22"/>
          <w:szCs w:val="22"/>
        </w:rPr>
        <w:footnoteReference w:id="39"/>
      </w:r>
    </w:p>
    <w:p w14:paraId="000F5FDF" w14:textId="77777777" w:rsidR="004979AB" w:rsidRDefault="004979AB" w:rsidP="004979AB">
      <w:pPr>
        <w:rPr>
          <w:sz w:val="22"/>
          <w:szCs w:val="22"/>
        </w:rPr>
      </w:pPr>
      <w:r>
        <w:rPr>
          <w:sz w:val="22"/>
          <w:szCs w:val="22"/>
        </w:rPr>
        <w:t>This exchange appears to have been agreed under the condition that ‘</w:t>
      </w:r>
      <w:proofErr w:type="spellStart"/>
      <w:r>
        <w:rPr>
          <w:sz w:val="22"/>
          <w:szCs w:val="22"/>
        </w:rPr>
        <w:t>Ailmanno</w:t>
      </w:r>
      <w:proofErr w:type="spellEnd"/>
      <w:r>
        <w:rPr>
          <w:sz w:val="22"/>
          <w:szCs w:val="22"/>
        </w:rPr>
        <w:t>’ of Gwent “</w:t>
      </w:r>
      <w:r w:rsidRPr="00FE0CFB">
        <w:rPr>
          <w:sz w:val="22"/>
          <w:szCs w:val="22"/>
        </w:rPr>
        <w:t>p[er]</w:t>
      </w:r>
      <w:proofErr w:type="spellStart"/>
      <w:r w:rsidRPr="00FE0CFB">
        <w:rPr>
          <w:sz w:val="22"/>
          <w:szCs w:val="22"/>
        </w:rPr>
        <w:t>dietū</w:t>
      </w:r>
      <w:proofErr w:type="spellEnd"/>
      <w:r w:rsidRPr="00FE0CFB">
        <w:rPr>
          <w:sz w:val="22"/>
          <w:szCs w:val="22"/>
        </w:rPr>
        <w:t xml:space="preserve"> </w:t>
      </w:r>
      <w:r>
        <w:rPr>
          <w:sz w:val="22"/>
          <w:szCs w:val="22"/>
        </w:rPr>
        <w:t>(‘dies’: day)</w:t>
      </w:r>
      <w:r>
        <w:rPr>
          <w:rStyle w:val="FootnoteReference"/>
          <w:sz w:val="22"/>
          <w:szCs w:val="22"/>
        </w:rPr>
        <w:footnoteReference w:id="40"/>
      </w:r>
      <w:r>
        <w:rPr>
          <w:sz w:val="22"/>
          <w:szCs w:val="22"/>
        </w:rPr>
        <w:t xml:space="preserve"> </w:t>
      </w:r>
      <w:proofErr w:type="spellStart"/>
      <w:r w:rsidRPr="00FE0CFB">
        <w:rPr>
          <w:sz w:val="22"/>
          <w:szCs w:val="22"/>
        </w:rPr>
        <w:t>cen</w:t>
      </w:r>
      <w:proofErr w:type="spellEnd"/>
      <w:r w:rsidRPr="00FE0CFB">
        <w:rPr>
          <w:sz w:val="22"/>
          <w:szCs w:val="22"/>
        </w:rPr>
        <w:t>[S]ū</w:t>
      </w:r>
      <w:r>
        <w:rPr>
          <w:sz w:val="22"/>
          <w:szCs w:val="22"/>
        </w:rPr>
        <w:t xml:space="preserve"> (‘census’: sum calculated by estate)</w:t>
      </w:r>
      <w:r>
        <w:rPr>
          <w:rStyle w:val="FootnoteReference"/>
          <w:sz w:val="22"/>
          <w:szCs w:val="22"/>
        </w:rPr>
        <w:footnoteReference w:id="41"/>
      </w:r>
      <w:r>
        <w:rPr>
          <w:sz w:val="22"/>
          <w:szCs w:val="22"/>
        </w:rPr>
        <w:t xml:space="preserve"> bene (‘bene’: rightly)</w:t>
      </w:r>
      <w:r>
        <w:rPr>
          <w:rStyle w:val="FootnoteReference"/>
          <w:sz w:val="22"/>
          <w:szCs w:val="22"/>
        </w:rPr>
        <w:footnoteReference w:id="42"/>
      </w:r>
      <w:r>
        <w:rPr>
          <w:sz w:val="22"/>
          <w:szCs w:val="22"/>
        </w:rPr>
        <w:t xml:space="preserve">  </w:t>
      </w:r>
      <w:r w:rsidRPr="00FE0CFB">
        <w:rPr>
          <w:sz w:val="22"/>
          <w:szCs w:val="22"/>
        </w:rPr>
        <w:t>[S]</w:t>
      </w:r>
      <w:proofErr w:type="spellStart"/>
      <w:r w:rsidRPr="00FE0CFB">
        <w:rPr>
          <w:sz w:val="22"/>
          <w:szCs w:val="22"/>
        </w:rPr>
        <w:t>olúit</w:t>
      </w:r>
      <w:r>
        <w:rPr>
          <w:sz w:val="22"/>
          <w:szCs w:val="22"/>
        </w:rPr>
        <w:t>it</w:t>
      </w:r>
      <w:proofErr w:type="spellEnd"/>
      <w:r>
        <w:rPr>
          <w:sz w:val="22"/>
          <w:szCs w:val="22"/>
        </w:rPr>
        <w:t xml:space="preserve"> (‘</w:t>
      </w:r>
      <w:proofErr w:type="spellStart"/>
      <w:r>
        <w:rPr>
          <w:sz w:val="22"/>
          <w:szCs w:val="22"/>
        </w:rPr>
        <w:t>solutio</w:t>
      </w:r>
      <w:proofErr w:type="spellEnd"/>
      <w:r>
        <w:rPr>
          <w:sz w:val="22"/>
          <w:szCs w:val="22"/>
        </w:rPr>
        <w:t xml:space="preserve">’: payment)”: “a daily calculated payment”  or a ‘custom service’ is paid. </w:t>
      </w:r>
    </w:p>
    <w:p w14:paraId="68DD9858" w14:textId="77777777" w:rsidR="004979AB" w:rsidRDefault="004979AB" w:rsidP="004979AB">
      <w:pPr>
        <w:rPr>
          <w:sz w:val="22"/>
          <w:szCs w:val="22"/>
        </w:rPr>
      </w:pPr>
    </w:p>
    <w:p w14:paraId="182A59DD" w14:textId="77777777" w:rsidR="004979AB" w:rsidRPr="00FE0CFB" w:rsidRDefault="004979AB" w:rsidP="004979AB">
      <w:pPr>
        <w:rPr>
          <w:sz w:val="22"/>
          <w:szCs w:val="22"/>
        </w:rPr>
      </w:pPr>
      <w:r>
        <w:rPr>
          <w:b/>
          <w:bCs/>
          <w:sz w:val="22"/>
          <w:szCs w:val="22"/>
        </w:rPr>
        <w:t>Line 11: “</w:t>
      </w:r>
      <w:r w:rsidRPr="00FE0CFB">
        <w:rPr>
          <w:sz w:val="22"/>
          <w:szCs w:val="22"/>
        </w:rPr>
        <w:t>hi[S]</w:t>
      </w:r>
      <w:proofErr w:type="gramStart"/>
      <w:r w:rsidRPr="00FE0CFB">
        <w:rPr>
          <w:sz w:val="22"/>
          <w:szCs w:val="22"/>
        </w:rPr>
        <w:t>ť .</w:t>
      </w:r>
      <w:proofErr w:type="gramEnd"/>
      <w:r w:rsidRPr="00FE0CFB">
        <w:rPr>
          <w:sz w:val="22"/>
          <w:szCs w:val="22"/>
        </w:rPr>
        <w:t xml:space="preserve"> Witt de </w:t>
      </w:r>
      <w:proofErr w:type="spellStart"/>
      <w:r w:rsidRPr="00FE0CFB">
        <w:rPr>
          <w:sz w:val="22"/>
          <w:szCs w:val="22"/>
        </w:rPr>
        <w:t>bo</w:t>
      </w:r>
      <w:proofErr w:type="spellEnd"/>
      <w:r w:rsidRPr="00FE0CFB">
        <w:rPr>
          <w:sz w:val="22"/>
          <w:szCs w:val="22"/>
        </w:rPr>
        <w:t>[S]</w:t>
      </w:r>
      <w:proofErr w:type="spellStart"/>
      <w:proofErr w:type="gramStart"/>
      <w:r w:rsidRPr="00FE0CFB">
        <w:rPr>
          <w:sz w:val="22"/>
          <w:szCs w:val="22"/>
        </w:rPr>
        <w:t>evilla</w:t>
      </w:r>
      <w:proofErr w:type="spellEnd"/>
      <w:r w:rsidRPr="00FE0CFB">
        <w:rPr>
          <w:sz w:val="22"/>
          <w:szCs w:val="22"/>
        </w:rPr>
        <w:t xml:space="preserve"> .</w:t>
      </w:r>
      <w:proofErr w:type="gramEnd"/>
      <w:r w:rsidRPr="00FE0CFB">
        <w:rPr>
          <w:sz w:val="22"/>
          <w:szCs w:val="22"/>
        </w:rPr>
        <w:t xml:space="preserve"> [et] </w:t>
      </w:r>
      <w:proofErr w:type="spellStart"/>
      <w:r w:rsidRPr="00FE0CFB">
        <w:rPr>
          <w:sz w:val="22"/>
          <w:szCs w:val="22"/>
        </w:rPr>
        <w:t>Gillebto</w:t>
      </w:r>
      <w:proofErr w:type="spellEnd"/>
      <w:r w:rsidRPr="00FE0CFB">
        <w:rPr>
          <w:sz w:val="22"/>
          <w:szCs w:val="22"/>
        </w:rPr>
        <w:t xml:space="preserve"> [S]</w:t>
      </w:r>
      <w:proofErr w:type="spellStart"/>
      <w:proofErr w:type="gramStart"/>
      <w:r w:rsidRPr="00FE0CFB">
        <w:rPr>
          <w:sz w:val="22"/>
          <w:szCs w:val="22"/>
        </w:rPr>
        <w:t>leri</w:t>
      </w:r>
      <w:proofErr w:type="spellEnd"/>
      <w:r w:rsidRPr="00FE0CFB">
        <w:rPr>
          <w:sz w:val="22"/>
          <w:szCs w:val="22"/>
        </w:rPr>
        <w:t xml:space="preserve"> .</w:t>
      </w:r>
      <w:proofErr w:type="gramEnd"/>
      <w:r w:rsidRPr="00FE0CFB">
        <w:rPr>
          <w:sz w:val="22"/>
          <w:szCs w:val="22"/>
        </w:rPr>
        <w:t xml:space="preserve"> [et] </w:t>
      </w:r>
      <w:proofErr w:type="spellStart"/>
      <w:r w:rsidRPr="00FE0CFB">
        <w:rPr>
          <w:sz w:val="22"/>
          <w:szCs w:val="22"/>
        </w:rPr>
        <w:t>Arcturi</w:t>
      </w:r>
      <w:proofErr w:type="spellEnd"/>
      <w:r w:rsidRPr="00FE0CFB">
        <w:rPr>
          <w:sz w:val="22"/>
          <w:szCs w:val="22"/>
        </w:rPr>
        <w:t xml:space="preserve">[us] de </w:t>
      </w:r>
      <w:proofErr w:type="spellStart"/>
      <w:proofErr w:type="gramStart"/>
      <w:r w:rsidRPr="00FE0CFB">
        <w:rPr>
          <w:sz w:val="22"/>
          <w:szCs w:val="22"/>
        </w:rPr>
        <w:t>Michehā</w:t>
      </w:r>
      <w:proofErr w:type="spellEnd"/>
      <w:r w:rsidRPr="00FE0CFB">
        <w:rPr>
          <w:sz w:val="22"/>
          <w:szCs w:val="22"/>
        </w:rPr>
        <w:t xml:space="preserve"> .</w:t>
      </w:r>
      <w:proofErr w:type="gramEnd"/>
      <w:r w:rsidRPr="00FE0CFB">
        <w:rPr>
          <w:sz w:val="22"/>
          <w:szCs w:val="22"/>
        </w:rPr>
        <w:t xml:space="preserve"> [et] ham</w:t>
      </w:r>
    </w:p>
    <w:p w14:paraId="2BC637FF" w14:textId="77777777" w:rsidR="004979AB" w:rsidRPr="001B7C48" w:rsidRDefault="004979AB" w:rsidP="004979AB">
      <w:pPr>
        <w:rPr>
          <w:sz w:val="22"/>
          <w:szCs w:val="22"/>
        </w:rPr>
      </w:pPr>
      <w:r>
        <w:rPr>
          <w:b/>
          <w:bCs/>
          <w:sz w:val="22"/>
          <w:szCs w:val="22"/>
        </w:rPr>
        <w:t xml:space="preserve">Line 12: </w:t>
      </w:r>
      <w:proofErr w:type="spellStart"/>
      <w:r w:rsidRPr="00FE0CFB">
        <w:rPr>
          <w:sz w:val="22"/>
          <w:szCs w:val="22"/>
        </w:rPr>
        <w:t>deri</w:t>
      </w:r>
      <w:proofErr w:type="spellEnd"/>
      <w:r w:rsidRPr="00FE0CFB">
        <w:rPr>
          <w:sz w:val="22"/>
          <w:szCs w:val="22"/>
        </w:rPr>
        <w:t xml:space="preserve"> de </w:t>
      </w:r>
      <w:proofErr w:type="gramStart"/>
      <w:r w:rsidRPr="00FE0CFB">
        <w:rPr>
          <w:sz w:val="22"/>
          <w:szCs w:val="22"/>
        </w:rPr>
        <w:t>ching .</w:t>
      </w:r>
      <w:proofErr w:type="gramEnd"/>
      <w:r w:rsidRPr="00FE0CFB">
        <w:rPr>
          <w:sz w:val="22"/>
          <w:szCs w:val="22"/>
        </w:rPr>
        <w:t xml:space="preserve">  [et] </w:t>
      </w:r>
      <w:proofErr w:type="gramStart"/>
      <w:r w:rsidRPr="00FE0CFB">
        <w:rPr>
          <w:sz w:val="22"/>
          <w:szCs w:val="22"/>
        </w:rPr>
        <w:t>Le[</w:t>
      </w:r>
      <w:proofErr w:type="gramEnd"/>
      <w:r w:rsidRPr="00FE0CFB">
        <w:rPr>
          <w:sz w:val="22"/>
          <w:szCs w:val="22"/>
        </w:rPr>
        <w:t>SW]ward[us] de Wendt.”</w:t>
      </w:r>
    </w:p>
    <w:p w14:paraId="6E5EFAC4" w14:textId="77777777" w:rsidR="004979AB" w:rsidRDefault="004979AB" w:rsidP="004979AB"/>
    <w:p w14:paraId="4CC715D5" w14:textId="77777777" w:rsidR="004979AB" w:rsidRDefault="004979AB" w:rsidP="004979AB">
      <w:r>
        <w:t xml:space="preserve">Perhaps ‘hi[s] is a variation of the adverb, </w:t>
      </w:r>
      <w:r w:rsidRPr="00C537A1">
        <w:t>‘</w:t>
      </w:r>
      <w:proofErr w:type="spellStart"/>
      <w:r w:rsidRPr="00C537A1">
        <w:t>h</w:t>
      </w:r>
      <w:r w:rsidRPr="00C537A1">
        <w:rPr>
          <w:rFonts w:eastAsia="Times New Roman" w:cs="Arial"/>
          <w:color w:val="231F20"/>
          <w:kern w:val="36"/>
          <w14:ligatures w14:val="none"/>
        </w:rPr>
        <w:t>ī</w:t>
      </w:r>
      <w:r w:rsidRPr="00C537A1">
        <w:t>c</w:t>
      </w:r>
      <w:proofErr w:type="spellEnd"/>
      <w:r w:rsidRPr="00C537A1">
        <w:t>’</w:t>
      </w:r>
      <w:r>
        <w:t xml:space="preserve"> meaning ‘here/ present’</w:t>
      </w:r>
      <w:r>
        <w:rPr>
          <w:rStyle w:val="FootnoteReference"/>
        </w:rPr>
        <w:footnoteReference w:id="43"/>
      </w:r>
      <w:r>
        <w:t xml:space="preserve"> or the pronoun, ‘hic’</w:t>
      </w:r>
      <w:r>
        <w:rPr>
          <w:rStyle w:val="FootnoteReference"/>
        </w:rPr>
        <w:footnoteReference w:id="44"/>
      </w:r>
      <w:r>
        <w:t xml:space="preserve"> used to mean ‘this’, which was often used in legal speeches to refer to clients. Consequently, with the list of various names, perhaps the loose translation of </w:t>
      </w:r>
      <w:r>
        <w:rPr>
          <w:b/>
          <w:bCs/>
        </w:rPr>
        <w:t xml:space="preserve">Lines 11 </w:t>
      </w:r>
      <w:r>
        <w:t xml:space="preserve">and </w:t>
      </w:r>
      <w:r>
        <w:rPr>
          <w:b/>
          <w:bCs/>
        </w:rPr>
        <w:t>12</w:t>
      </w:r>
      <w:r>
        <w:t xml:space="preserve"> is “these witnesses” or “these [clients of mine] are witnesses”. Looking carefully at the handwriting could help reinforce this notion.</w:t>
      </w:r>
    </w:p>
    <w:p w14:paraId="0C9D6420" w14:textId="77777777" w:rsidR="004979AB" w:rsidRPr="00B1109E" w:rsidRDefault="004979AB" w:rsidP="004979AB">
      <w:r>
        <w:t>Palaeography helps to identify who, when, and where a manuscript was written. This process of becoming familiar with a manuscript’s style of handwriting can further determine the number of people involved in producing a particular document.</w:t>
      </w:r>
      <w:r>
        <w:rPr>
          <w:rStyle w:val="FootnoteReference"/>
        </w:rPr>
        <w:footnoteReference w:id="45"/>
      </w:r>
      <w:r>
        <w:t xml:space="preserve"> Consequently, using palaeography as a method of studying patterns within the handwriting of documents, key characteristic can be recognised and thus, offering insight into timeframes via their author(s).</w:t>
      </w:r>
      <w:r>
        <w:rPr>
          <w:rStyle w:val="FootnoteReference"/>
        </w:rPr>
        <w:footnoteReference w:id="46"/>
      </w:r>
      <w:r>
        <w:t xml:space="preserve"> With this in mind, looking carefully at the handwriting in </w:t>
      </w:r>
      <w:r>
        <w:rPr>
          <w:i/>
          <w:iCs/>
        </w:rPr>
        <w:t>Document 2</w:t>
      </w:r>
      <w:r>
        <w:t>, it is clear that there are variations of patterns to the letter formations in comparison to the main bulk of the manuscript.</w:t>
      </w:r>
    </w:p>
    <w:p w14:paraId="0D16C7A4" w14:textId="77777777" w:rsidR="004979AB" w:rsidRDefault="004979AB" w:rsidP="004979AB">
      <w:r>
        <w:t xml:space="preserve">Specifically, each name is written in a different style of handwriting compared to the main body of text and one another. Therefore, there is a strong suggestion that, not only are these names of witnesses, but the names are the signatures of the individual witnesses; and thus, the context of the manuscript is of a legal nature whereby land was being transferred under specific conditions that required testimonial agency </w:t>
      </w:r>
      <w:proofErr w:type="gramStart"/>
      <w:r>
        <w:t>in order to</w:t>
      </w:r>
      <w:proofErr w:type="gramEnd"/>
      <w:r>
        <w:t xml:space="preserve"> be fulfilled. Therefore, using palaeography and a loose translation has uncovered </w:t>
      </w:r>
      <w:r>
        <w:lastRenderedPageBreak/>
        <w:t xml:space="preserve">substantial context to the content of </w:t>
      </w:r>
      <w:r>
        <w:rPr>
          <w:i/>
          <w:iCs/>
        </w:rPr>
        <w:t>Document 2</w:t>
      </w:r>
      <w:r>
        <w:t xml:space="preserve"> whilst simultaneously confirming that this is indeed a legal document likely written, or at least written on behalf of, Robert Fitzhammon between 1087 and 1107. </w:t>
      </w:r>
    </w:p>
    <w:p w14:paraId="3DF591E8" w14:textId="77777777" w:rsidR="004979AB" w:rsidRDefault="004979AB" w:rsidP="004979AB"/>
    <w:p w14:paraId="10EB3505" w14:textId="77777777" w:rsidR="004979AB" w:rsidRDefault="004979AB" w:rsidP="004979AB">
      <w:r>
        <w:rPr>
          <w:b/>
          <w:bCs/>
          <w:u w:val="single"/>
        </w:rPr>
        <w:t>Conclusion</w:t>
      </w:r>
    </w:p>
    <w:p w14:paraId="2A5DBC16" w14:textId="77777777" w:rsidR="004979AB" w:rsidRPr="006D6923" w:rsidRDefault="004979AB" w:rsidP="004979AB">
      <w:r>
        <w:t xml:space="preserve">Transcription requires a high degree of familiarity with a manuscript and aided by comparative examples for reliable reference points. Consequently, transcription can govern the process of accurate interpretation of content for the purpose of extracting searchable clues to support research into the historical context of a manuscript. Therefore, for </w:t>
      </w:r>
      <w:r>
        <w:rPr>
          <w:i/>
          <w:iCs/>
        </w:rPr>
        <w:t xml:space="preserve">Document 2, </w:t>
      </w:r>
      <w:r>
        <w:t>the process of transcription provided researchable details such as ‘St Mary’s Church’, ‘Robert’, and ‘Gwent’ that were used to verify the interpreted context of the document</w:t>
      </w:r>
      <w:r w:rsidRPr="00737004">
        <w:t xml:space="preserve"> </w:t>
      </w:r>
      <w:r>
        <w:t xml:space="preserve">Therefore, geographical locations, names, and handwriting were essential components for theorising the timeframe, place of origin, and nature of the </w:t>
      </w:r>
      <w:r>
        <w:rPr>
          <w:i/>
          <w:iCs/>
        </w:rPr>
        <w:t>Document 2</w:t>
      </w:r>
      <w:r>
        <w:t xml:space="preserve">; all of which were potentially identified through the skill of transcription. </w:t>
      </w:r>
    </w:p>
    <w:p w14:paraId="69056577" w14:textId="77777777" w:rsidR="004979AB" w:rsidRDefault="004979AB" w:rsidP="004979AB"/>
    <w:p w14:paraId="0F127F65" w14:textId="77777777" w:rsidR="004979AB" w:rsidRDefault="004979AB" w:rsidP="004979AB"/>
    <w:p w14:paraId="53ADEE27" w14:textId="77777777" w:rsidR="004979AB" w:rsidRDefault="004979AB" w:rsidP="004979AB"/>
    <w:p w14:paraId="52962B4E" w14:textId="77777777" w:rsidR="004979AB" w:rsidRDefault="004979AB" w:rsidP="004979AB"/>
    <w:p w14:paraId="660820B5" w14:textId="77777777" w:rsidR="004979AB" w:rsidRDefault="004979AB" w:rsidP="004979AB"/>
    <w:p w14:paraId="60DBA3A2" w14:textId="77777777" w:rsidR="004979AB" w:rsidRDefault="004979AB" w:rsidP="004979AB"/>
    <w:p w14:paraId="65215C8F" w14:textId="77777777" w:rsidR="004979AB" w:rsidRDefault="004979AB" w:rsidP="004979AB"/>
    <w:p w14:paraId="4BE8CA91" w14:textId="77777777" w:rsidR="004979AB" w:rsidRDefault="004979AB" w:rsidP="004979AB"/>
    <w:p w14:paraId="3CAFF6BD" w14:textId="77777777" w:rsidR="004979AB" w:rsidRDefault="004979AB" w:rsidP="004979AB"/>
    <w:p w14:paraId="4599973D" w14:textId="77777777" w:rsidR="004979AB" w:rsidRDefault="004979AB" w:rsidP="004979AB"/>
    <w:p w14:paraId="304BCC30" w14:textId="77777777" w:rsidR="004979AB" w:rsidRDefault="004979AB" w:rsidP="004979AB"/>
    <w:p w14:paraId="66E51CC9" w14:textId="77777777" w:rsidR="004979AB" w:rsidRDefault="004979AB" w:rsidP="004979AB"/>
    <w:p w14:paraId="7E8E3291" w14:textId="77777777" w:rsidR="004979AB" w:rsidRDefault="004979AB" w:rsidP="004979AB"/>
    <w:p w14:paraId="3036E5EE" w14:textId="77777777" w:rsidR="004979AB" w:rsidRDefault="004979AB" w:rsidP="004979AB"/>
    <w:p w14:paraId="451F9BAD" w14:textId="77777777" w:rsidR="004979AB" w:rsidRDefault="004979AB" w:rsidP="004979AB"/>
    <w:p w14:paraId="68A408DF" w14:textId="77777777" w:rsidR="004979AB" w:rsidRDefault="004979AB" w:rsidP="004979AB"/>
    <w:p w14:paraId="77F548B9" w14:textId="77777777" w:rsidR="004979AB" w:rsidRDefault="004979AB" w:rsidP="004979AB">
      <w:r>
        <w:rPr>
          <w:b/>
          <w:bCs/>
          <w:u w:val="single"/>
        </w:rPr>
        <w:lastRenderedPageBreak/>
        <w:t>Bibliography</w:t>
      </w:r>
      <w:r>
        <w:t xml:space="preserve"> </w:t>
      </w:r>
    </w:p>
    <w:p w14:paraId="17F3C8C3" w14:textId="77777777" w:rsidR="004979AB" w:rsidRDefault="004979AB" w:rsidP="004979AB">
      <w:pPr>
        <w:pStyle w:val="FootnoteText"/>
        <w:ind w:firstLine="720"/>
        <w:rPr>
          <w:sz w:val="24"/>
          <w:szCs w:val="24"/>
        </w:rPr>
      </w:pPr>
      <w:r w:rsidRPr="00035E2E">
        <w:rPr>
          <w:sz w:val="24"/>
          <w:szCs w:val="24"/>
        </w:rPr>
        <w:t>ed. M.J. Ball,</w:t>
      </w:r>
      <w:r>
        <w:rPr>
          <w:sz w:val="24"/>
          <w:szCs w:val="24"/>
        </w:rPr>
        <w:t xml:space="preserve"> M.J.,</w:t>
      </w:r>
      <w:r w:rsidRPr="00035E2E">
        <w:rPr>
          <w:sz w:val="24"/>
          <w:szCs w:val="24"/>
        </w:rPr>
        <w:t xml:space="preserve"> Muller,</w:t>
      </w:r>
      <w:r>
        <w:rPr>
          <w:sz w:val="24"/>
          <w:szCs w:val="24"/>
        </w:rPr>
        <w:t xml:space="preserve"> J.,</w:t>
      </w:r>
      <w:r w:rsidRPr="00035E2E">
        <w:rPr>
          <w:sz w:val="24"/>
          <w:szCs w:val="24"/>
        </w:rPr>
        <w:t xml:space="preserve"> </w:t>
      </w:r>
      <w:r w:rsidRPr="00035E2E">
        <w:rPr>
          <w:i/>
          <w:iCs/>
          <w:sz w:val="24"/>
          <w:szCs w:val="24"/>
        </w:rPr>
        <w:t xml:space="preserve">The </w:t>
      </w:r>
      <w:proofErr w:type="gramStart"/>
      <w:r w:rsidRPr="00035E2E">
        <w:rPr>
          <w:i/>
          <w:iCs/>
          <w:sz w:val="24"/>
          <w:szCs w:val="24"/>
        </w:rPr>
        <w:t>Celtic  Languages</w:t>
      </w:r>
      <w:proofErr w:type="gramEnd"/>
      <w:r w:rsidRPr="00035E2E">
        <w:rPr>
          <w:sz w:val="24"/>
          <w:szCs w:val="24"/>
        </w:rPr>
        <w:t>, 2, (London, Routledge, Taylor &amp; Francis Group, 2015), pp. 1996-1997.</w:t>
      </w:r>
    </w:p>
    <w:p w14:paraId="7E69955C" w14:textId="77777777" w:rsidR="004979AB" w:rsidRPr="00DD5B3E" w:rsidRDefault="004979AB" w:rsidP="004979AB">
      <w:pPr>
        <w:pStyle w:val="FootnoteText"/>
        <w:ind w:firstLine="720"/>
        <w:rPr>
          <w:sz w:val="24"/>
          <w:szCs w:val="24"/>
        </w:rPr>
      </w:pPr>
    </w:p>
    <w:p w14:paraId="3393F74A" w14:textId="77777777" w:rsidR="004979AB" w:rsidRDefault="004979AB" w:rsidP="004979AB">
      <w:pPr>
        <w:pStyle w:val="FootnoteText"/>
        <w:ind w:firstLine="720"/>
        <w:rPr>
          <w:sz w:val="24"/>
          <w:szCs w:val="24"/>
        </w:rPr>
      </w:pPr>
      <w:r w:rsidRPr="000426C6">
        <w:rPr>
          <w:sz w:val="24"/>
          <w:szCs w:val="24"/>
        </w:rPr>
        <w:t xml:space="preserve">ed. Crowcroft, R., Cannon, J.,  </w:t>
      </w:r>
      <w:r w:rsidRPr="000426C6">
        <w:rPr>
          <w:i/>
          <w:iCs/>
          <w:sz w:val="24"/>
          <w:szCs w:val="24"/>
        </w:rPr>
        <w:t>The Oxford Companion to British History, Gwent, Kingdom of,</w:t>
      </w:r>
      <w:r w:rsidRPr="000426C6">
        <w:rPr>
          <w:sz w:val="24"/>
          <w:szCs w:val="24"/>
        </w:rPr>
        <w:t xml:space="preserve"> 2, (Oxford University Press, 2015), </w:t>
      </w:r>
      <w:hyperlink r:id="rId9" w:history="1">
        <w:r w:rsidRPr="000426C6">
          <w:rPr>
            <w:rStyle w:val="Hyperlink"/>
            <w:sz w:val="24"/>
            <w:szCs w:val="24"/>
          </w:rPr>
          <w:t>https://librarysearch.uwtsd.ac.uk/permalink/44WHELF_UWTSD/1ir6fgh/cdi_askewsholts_vlebooks_9780191044816</w:t>
        </w:r>
      </w:hyperlink>
      <w:r w:rsidRPr="000426C6">
        <w:rPr>
          <w:sz w:val="24"/>
          <w:szCs w:val="24"/>
        </w:rPr>
        <w:t xml:space="preserve"> [Accessed 13th February 2026]</w:t>
      </w:r>
    </w:p>
    <w:p w14:paraId="4E8297F1" w14:textId="77777777" w:rsidR="004979AB" w:rsidRPr="00035E2E" w:rsidRDefault="004979AB" w:rsidP="004979AB">
      <w:pPr>
        <w:pStyle w:val="FootnoteText"/>
        <w:ind w:firstLine="720"/>
        <w:rPr>
          <w:sz w:val="24"/>
          <w:szCs w:val="24"/>
        </w:rPr>
      </w:pPr>
    </w:p>
    <w:p w14:paraId="030BCC06" w14:textId="77777777" w:rsidR="004979AB" w:rsidRDefault="004979AB" w:rsidP="004979AB">
      <w:pPr>
        <w:ind w:firstLine="720"/>
      </w:pPr>
      <w:r>
        <w:t xml:space="preserve">Edwards, T.M.C., </w:t>
      </w:r>
      <w:r>
        <w:rPr>
          <w:i/>
          <w:iCs/>
        </w:rPr>
        <w:t xml:space="preserve">Wales and the Britons, 350-1064, </w:t>
      </w:r>
      <w:r w:rsidRPr="00F231CB">
        <w:t>Latin Learning in Wales</w:t>
      </w:r>
      <w:r>
        <w:t>, c. 400-1100 (Oxford University Press, 2012), p. 625.</w:t>
      </w:r>
    </w:p>
    <w:p w14:paraId="769EC2FD" w14:textId="77777777" w:rsidR="004979AB" w:rsidRDefault="004979AB" w:rsidP="004979AB">
      <w:pPr>
        <w:ind w:firstLine="720"/>
      </w:pPr>
      <w:r>
        <w:t xml:space="preserve">ed. Hanks, P., Hardcastle, k., Hodges, F., </w:t>
      </w:r>
      <w:r>
        <w:rPr>
          <w:i/>
          <w:iCs/>
        </w:rPr>
        <w:t>Oxford Dictionary of First Names,</w:t>
      </w:r>
      <w:r>
        <w:t xml:space="preserve"> 2, (Oxford University Press, 2006), </w:t>
      </w:r>
      <w:hyperlink r:id="rId10" w:history="1">
        <w:r w:rsidRPr="00D9333C">
          <w:rPr>
            <w:rStyle w:val="Hyperlink"/>
          </w:rPr>
          <w:t>https://www-oxfordreference-com.uwtsd.idm.oclc.org/display/10.1093/acref/9780198610601.001.0001/acref-9780198610601-e-7688</w:t>
        </w:r>
      </w:hyperlink>
      <w:r>
        <w:t xml:space="preserve"> [Accessed 26th February 2026].</w:t>
      </w:r>
    </w:p>
    <w:p w14:paraId="43AB68AF" w14:textId="77777777" w:rsidR="004979AB" w:rsidRDefault="004979AB" w:rsidP="004979AB">
      <w:pPr>
        <w:ind w:firstLine="720"/>
      </w:pPr>
      <w:r>
        <w:t xml:space="preserve">Lampitt, M.S., </w:t>
      </w:r>
      <w:r>
        <w:rPr>
          <w:i/>
          <w:iCs/>
        </w:rPr>
        <w:t xml:space="preserve">Literary Culture in the Medieval Welsh Marches: Networks, Places, Politics, </w:t>
      </w:r>
      <w:r>
        <w:t>(Oxford University Press, 2025), p. 146)</w:t>
      </w:r>
    </w:p>
    <w:p w14:paraId="21DBED40" w14:textId="77777777" w:rsidR="004979AB" w:rsidRDefault="004979AB" w:rsidP="004979AB">
      <w:pPr>
        <w:ind w:firstLine="720"/>
      </w:pPr>
      <w:r>
        <w:t xml:space="preserve">A.D. Mills., </w:t>
      </w:r>
      <w:r>
        <w:rPr>
          <w:i/>
          <w:iCs/>
        </w:rPr>
        <w:t>A Dictionary of British Place Names</w:t>
      </w:r>
      <w:r>
        <w:t xml:space="preserve">, (Oxford University Press, 2011), Marshfield, </w:t>
      </w:r>
      <w:hyperlink r:id="rId11" w:history="1">
        <w:r w:rsidRPr="00D9333C">
          <w:rPr>
            <w:rStyle w:val="Hyperlink"/>
          </w:rPr>
          <w:t>https://www-oxfordreference.com.uwtsd.idm.oclc.org/display/10.1093/acref/9780199609086.001.0001/acref-9780199609086</w:t>
        </w:r>
      </w:hyperlink>
      <w:r>
        <w:t xml:space="preserve"> [Accessed 16th February 2026].</w:t>
      </w:r>
    </w:p>
    <w:p w14:paraId="0D296467" w14:textId="77777777" w:rsidR="004979AB" w:rsidRDefault="004979AB" w:rsidP="004979AB">
      <w:pPr>
        <w:pStyle w:val="FootnoteText"/>
        <w:ind w:firstLine="720"/>
        <w:rPr>
          <w:sz w:val="24"/>
          <w:szCs w:val="24"/>
        </w:rPr>
      </w:pPr>
      <w:r w:rsidRPr="0074536C">
        <w:rPr>
          <w:sz w:val="24"/>
          <w:szCs w:val="24"/>
        </w:rPr>
        <w:t xml:space="preserve">ed. Morwood, J., </w:t>
      </w:r>
      <w:r w:rsidRPr="0074536C">
        <w:rPr>
          <w:i/>
          <w:iCs/>
          <w:sz w:val="24"/>
          <w:szCs w:val="24"/>
        </w:rPr>
        <w:t>Pocket Oxford Latin Dictionary: Latin- English,</w:t>
      </w:r>
      <w:r w:rsidRPr="0074536C">
        <w:rPr>
          <w:sz w:val="24"/>
          <w:szCs w:val="24"/>
        </w:rPr>
        <w:t xml:space="preserve"> 3, (Oxford University Press, 2012), de, </w:t>
      </w:r>
      <w:hyperlink r:id="rId12" w:history="1">
        <w:r w:rsidRPr="0074536C">
          <w:rPr>
            <w:rStyle w:val="Hyperlink"/>
            <w:sz w:val="24"/>
            <w:szCs w:val="24"/>
          </w:rPr>
          <w:t>https://www-oxfordreference-com.uwtsd.idm.oclc.org</w:t>
        </w:r>
      </w:hyperlink>
      <w:r w:rsidRPr="0074536C">
        <w:rPr>
          <w:sz w:val="24"/>
          <w:szCs w:val="24"/>
        </w:rPr>
        <w:t xml:space="preserve"> [Accessed 16</w:t>
      </w:r>
      <w:r w:rsidRPr="0074536C">
        <w:rPr>
          <w:sz w:val="24"/>
          <w:szCs w:val="24"/>
          <w:vertAlign w:val="superscript"/>
        </w:rPr>
        <w:t>th</w:t>
      </w:r>
      <w:r w:rsidRPr="0074536C">
        <w:rPr>
          <w:sz w:val="24"/>
          <w:szCs w:val="24"/>
        </w:rPr>
        <w:t xml:space="preserve"> February 2026]</w:t>
      </w:r>
    </w:p>
    <w:p w14:paraId="07FD8715" w14:textId="77777777" w:rsidR="004979AB" w:rsidRPr="00632A9A" w:rsidRDefault="004979AB" w:rsidP="004979AB">
      <w:pPr>
        <w:pStyle w:val="FootnoteText"/>
        <w:ind w:firstLine="720"/>
        <w:rPr>
          <w:sz w:val="24"/>
          <w:szCs w:val="24"/>
        </w:rPr>
      </w:pPr>
    </w:p>
    <w:p w14:paraId="2433E4EE" w14:textId="77777777" w:rsidR="004979AB" w:rsidRDefault="004979AB" w:rsidP="004979AB">
      <w:pPr>
        <w:pStyle w:val="FootnoteText"/>
        <w:ind w:firstLine="720"/>
        <w:rPr>
          <w:sz w:val="24"/>
          <w:szCs w:val="24"/>
        </w:rPr>
      </w:pPr>
      <w:r w:rsidRPr="003E2DF6">
        <w:rPr>
          <w:sz w:val="24"/>
          <w:szCs w:val="24"/>
        </w:rPr>
        <w:t xml:space="preserve">Pacheco- Franco, </w:t>
      </w:r>
      <w:proofErr w:type="spellStart"/>
      <w:proofErr w:type="gramStart"/>
      <w:r w:rsidRPr="003E2DF6">
        <w:rPr>
          <w:sz w:val="24"/>
          <w:szCs w:val="24"/>
        </w:rPr>
        <w:t>M.,The</w:t>
      </w:r>
      <w:proofErr w:type="spellEnd"/>
      <w:proofErr w:type="gramEnd"/>
      <w:r w:rsidRPr="003E2DF6">
        <w:rPr>
          <w:sz w:val="24"/>
          <w:szCs w:val="24"/>
        </w:rPr>
        <w:t xml:space="preserve"> pursuit of “true spelling” in English: Perspectivism, standardisation and orthographic variation, </w:t>
      </w:r>
      <w:r w:rsidRPr="003E2DF6">
        <w:rPr>
          <w:i/>
          <w:iCs/>
          <w:sz w:val="24"/>
          <w:szCs w:val="24"/>
        </w:rPr>
        <w:t xml:space="preserve">Studia </w:t>
      </w:r>
      <w:proofErr w:type="spellStart"/>
      <w:r w:rsidRPr="003E2DF6">
        <w:rPr>
          <w:i/>
          <w:iCs/>
          <w:sz w:val="24"/>
          <w:szCs w:val="24"/>
        </w:rPr>
        <w:t>Neophilogica</w:t>
      </w:r>
      <w:proofErr w:type="spellEnd"/>
      <w:r w:rsidRPr="003E2DF6">
        <w:rPr>
          <w:i/>
          <w:iCs/>
          <w:sz w:val="24"/>
          <w:szCs w:val="24"/>
        </w:rPr>
        <w:t xml:space="preserve">, </w:t>
      </w:r>
      <w:r w:rsidRPr="003E2DF6">
        <w:rPr>
          <w:sz w:val="24"/>
          <w:szCs w:val="24"/>
        </w:rPr>
        <w:t>(University of Malaga, Spain, Routledge, 2024), p. 784</w:t>
      </w:r>
    </w:p>
    <w:p w14:paraId="75E2500E" w14:textId="77777777" w:rsidR="004979AB" w:rsidRDefault="004979AB" w:rsidP="004979AB">
      <w:pPr>
        <w:pStyle w:val="FootnoteText"/>
        <w:ind w:firstLine="720"/>
        <w:rPr>
          <w:sz w:val="24"/>
          <w:szCs w:val="24"/>
        </w:rPr>
      </w:pPr>
    </w:p>
    <w:p w14:paraId="062621E0" w14:textId="77777777" w:rsidR="004979AB" w:rsidRPr="00F91CAF" w:rsidRDefault="004979AB" w:rsidP="004979AB">
      <w:pPr>
        <w:pStyle w:val="FootnoteText"/>
        <w:ind w:firstLine="720"/>
        <w:rPr>
          <w:sz w:val="24"/>
          <w:szCs w:val="24"/>
        </w:rPr>
      </w:pPr>
      <w:proofErr w:type="spellStart"/>
      <w:r w:rsidRPr="00F91CAF">
        <w:rPr>
          <w:sz w:val="24"/>
          <w:szCs w:val="24"/>
        </w:rPr>
        <w:t>Omayo</w:t>
      </w:r>
      <w:proofErr w:type="spellEnd"/>
      <w:r w:rsidRPr="00F91CAF">
        <w:rPr>
          <w:sz w:val="24"/>
          <w:szCs w:val="24"/>
        </w:rPr>
        <w:t xml:space="preserve">, E.O., S. Indu, S., Panda, J., Historical manuscript dating: traditional and current trends, </w:t>
      </w:r>
      <w:r w:rsidRPr="00F91CAF">
        <w:rPr>
          <w:i/>
          <w:iCs/>
          <w:sz w:val="24"/>
          <w:szCs w:val="24"/>
        </w:rPr>
        <w:t>Multimedia Tools and Applications</w:t>
      </w:r>
      <w:r w:rsidRPr="00F91CAF">
        <w:rPr>
          <w:sz w:val="24"/>
          <w:szCs w:val="24"/>
        </w:rPr>
        <w:t>, 81:22, (New York: Springs US, 2022), pp.31573-31576.</w:t>
      </w:r>
    </w:p>
    <w:p w14:paraId="7FEE3A5B" w14:textId="77777777" w:rsidR="004979AB" w:rsidRPr="008D4EE6" w:rsidRDefault="004979AB" w:rsidP="004979AB">
      <w:pPr>
        <w:pStyle w:val="FootnoteText"/>
        <w:rPr>
          <w:sz w:val="24"/>
          <w:szCs w:val="24"/>
        </w:rPr>
      </w:pPr>
    </w:p>
    <w:p w14:paraId="7141A6CC" w14:textId="77777777" w:rsidR="004979AB" w:rsidRPr="001C1F55" w:rsidRDefault="004979AB" w:rsidP="004979AB">
      <w:pPr>
        <w:pStyle w:val="FootnoteText"/>
        <w:ind w:firstLine="720"/>
        <w:rPr>
          <w:sz w:val="24"/>
          <w:szCs w:val="24"/>
        </w:rPr>
      </w:pPr>
      <w:r w:rsidRPr="001C1F55">
        <w:rPr>
          <w:sz w:val="24"/>
          <w:szCs w:val="24"/>
        </w:rPr>
        <w:t xml:space="preserve">De Stefano, C.D., Maniaci, M., Fontanella, F., Scotto di </w:t>
      </w:r>
      <w:proofErr w:type="spellStart"/>
      <w:r w:rsidRPr="001C1F55">
        <w:rPr>
          <w:sz w:val="24"/>
          <w:szCs w:val="24"/>
        </w:rPr>
        <w:t>Freca</w:t>
      </w:r>
      <w:proofErr w:type="spellEnd"/>
      <w:r w:rsidRPr="001C1F55">
        <w:rPr>
          <w:sz w:val="24"/>
          <w:szCs w:val="24"/>
        </w:rPr>
        <w:t xml:space="preserve">, A., Reliable writer identification in medieval manuscripts through page layout features: The ‘Avila’ Bible Case, </w:t>
      </w:r>
      <w:r w:rsidRPr="001C1F55">
        <w:rPr>
          <w:i/>
          <w:iCs/>
          <w:sz w:val="24"/>
          <w:szCs w:val="24"/>
        </w:rPr>
        <w:t xml:space="preserve">Engineering Applications of Artificial Intelligence, </w:t>
      </w:r>
      <w:r w:rsidRPr="001C1F55">
        <w:rPr>
          <w:sz w:val="24"/>
          <w:szCs w:val="24"/>
        </w:rPr>
        <w:t>72, (2018), p. 99.</w:t>
      </w:r>
    </w:p>
    <w:p w14:paraId="7EA8D5F8" w14:textId="77777777" w:rsidR="004979AB" w:rsidRPr="009D572E" w:rsidRDefault="004979AB" w:rsidP="004979AB">
      <w:pPr>
        <w:pStyle w:val="FootnoteText"/>
      </w:pPr>
    </w:p>
    <w:p w14:paraId="2E2580A8" w14:textId="77777777" w:rsidR="004979AB" w:rsidRDefault="004979AB" w:rsidP="004979AB"/>
    <w:p w14:paraId="6FC586B8" w14:textId="77777777" w:rsidR="004979AB" w:rsidRDefault="004979AB" w:rsidP="004979AB"/>
    <w:p w14:paraId="07CE2AF2" w14:textId="77777777" w:rsidR="004979AB" w:rsidRDefault="004979AB" w:rsidP="004979AB"/>
    <w:p w14:paraId="0B524130" w14:textId="77777777" w:rsidR="004979AB" w:rsidRDefault="004979AB" w:rsidP="004979AB">
      <w:pPr>
        <w:rPr>
          <w:u w:val="single"/>
        </w:rPr>
      </w:pPr>
      <w:r>
        <w:rPr>
          <w:u w:val="single"/>
        </w:rPr>
        <w:lastRenderedPageBreak/>
        <w:t>Websites</w:t>
      </w:r>
    </w:p>
    <w:p w14:paraId="6D9B758C" w14:textId="77777777" w:rsidR="004979AB" w:rsidRDefault="004979AB" w:rsidP="004979AB">
      <w:pPr>
        <w:pStyle w:val="FootnoteText"/>
        <w:ind w:firstLine="720"/>
        <w:rPr>
          <w:sz w:val="24"/>
          <w:szCs w:val="24"/>
        </w:rPr>
      </w:pPr>
      <w:r w:rsidRPr="00A82BA2">
        <w:rPr>
          <w:sz w:val="24"/>
          <w:szCs w:val="24"/>
        </w:rPr>
        <w:t xml:space="preserve">English Heritage, </w:t>
      </w:r>
      <w:r w:rsidRPr="00A82BA2">
        <w:rPr>
          <w:i/>
          <w:iCs/>
          <w:sz w:val="24"/>
          <w:szCs w:val="24"/>
        </w:rPr>
        <w:t>Origins of English Place Names: Anglo- Saxons and Old English</w:t>
      </w:r>
      <w:r w:rsidRPr="00A82BA2">
        <w:rPr>
          <w:sz w:val="24"/>
          <w:szCs w:val="24"/>
        </w:rPr>
        <w:t xml:space="preserve">, </w:t>
      </w:r>
      <w:hyperlink r:id="rId13" w:history="1">
        <w:r w:rsidRPr="00A82BA2">
          <w:rPr>
            <w:rStyle w:val="Hyperlink"/>
            <w:sz w:val="24"/>
            <w:szCs w:val="24"/>
          </w:rPr>
          <w:t>https://www.english-heritage.org.uk/visit/inspire-me/origins-of-english-place-names/</w:t>
        </w:r>
      </w:hyperlink>
      <w:r w:rsidRPr="00A82BA2">
        <w:rPr>
          <w:sz w:val="24"/>
          <w:szCs w:val="24"/>
        </w:rPr>
        <w:t xml:space="preserve"> [Accessed:16</w:t>
      </w:r>
      <w:r w:rsidRPr="00A82BA2">
        <w:rPr>
          <w:sz w:val="24"/>
          <w:szCs w:val="24"/>
          <w:vertAlign w:val="superscript"/>
        </w:rPr>
        <w:t>th</w:t>
      </w:r>
      <w:r w:rsidRPr="00A82BA2">
        <w:rPr>
          <w:sz w:val="24"/>
          <w:szCs w:val="24"/>
        </w:rPr>
        <w:t xml:space="preserve"> February 2026]</w:t>
      </w:r>
    </w:p>
    <w:p w14:paraId="7FF97504" w14:textId="77777777" w:rsidR="004979AB" w:rsidRPr="00A82BA2" w:rsidRDefault="004979AB" w:rsidP="004979AB">
      <w:pPr>
        <w:pStyle w:val="FootnoteText"/>
        <w:ind w:firstLine="720"/>
        <w:rPr>
          <w:sz w:val="24"/>
          <w:szCs w:val="24"/>
        </w:rPr>
      </w:pPr>
    </w:p>
    <w:p w14:paraId="200B0FB8" w14:textId="77777777" w:rsidR="004979AB" w:rsidRPr="00AE5A13" w:rsidRDefault="004979AB" w:rsidP="004979AB">
      <w:pPr>
        <w:pStyle w:val="FootnoteText"/>
        <w:ind w:firstLine="720"/>
        <w:rPr>
          <w:sz w:val="24"/>
          <w:szCs w:val="24"/>
        </w:rPr>
      </w:pPr>
      <w:proofErr w:type="spellStart"/>
      <w:r w:rsidRPr="00AE5A13">
        <w:rPr>
          <w:sz w:val="24"/>
          <w:szCs w:val="24"/>
        </w:rPr>
        <w:t>Geuriadur</w:t>
      </w:r>
      <w:proofErr w:type="spellEnd"/>
      <w:r w:rsidRPr="00AE5A13">
        <w:rPr>
          <w:sz w:val="24"/>
          <w:szCs w:val="24"/>
        </w:rPr>
        <w:t xml:space="preserve"> Bangor, </w:t>
      </w:r>
      <w:r w:rsidRPr="00AE5A13">
        <w:rPr>
          <w:i/>
          <w:iCs/>
          <w:sz w:val="24"/>
          <w:szCs w:val="24"/>
        </w:rPr>
        <w:t>Caer</w:t>
      </w:r>
      <w:r w:rsidRPr="00AE5A13">
        <w:rPr>
          <w:sz w:val="24"/>
          <w:szCs w:val="24"/>
        </w:rPr>
        <w:t xml:space="preserve">, </w:t>
      </w:r>
      <w:hyperlink r:id="rId14" w:anchor="Caer" w:history="1">
        <w:r w:rsidRPr="00AE5A13">
          <w:rPr>
            <w:rStyle w:val="Hyperlink"/>
            <w:sz w:val="24"/>
            <w:szCs w:val="24"/>
          </w:rPr>
          <w:t>https://geiriadur.bangor.ac.uk/#Caer</w:t>
        </w:r>
      </w:hyperlink>
      <w:r w:rsidRPr="00AE5A13">
        <w:rPr>
          <w:sz w:val="24"/>
          <w:szCs w:val="24"/>
        </w:rPr>
        <w:t xml:space="preserve"> [Accessed 26</w:t>
      </w:r>
      <w:r w:rsidRPr="00AE5A13">
        <w:rPr>
          <w:sz w:val="24"/>
          <w:szCs w:val="24"/>
          <w:vertAlign w:val="superscript"/>
        </w:rPr>
        <w:t>th</w:t>
      </w:r>
      <w:r w:rsidRPr="00AE5A13">
        <w:rPr>
          <w:sz w:val="24"/>
          <w:szCs w:val="24"/>
        </w:rPr>
        <w:t xml:space="preserve"> </w:t>
      </w:r>
      <w:proofErr w:type="gramStart"/>
      <w:r w:rsidRPr="00AE5A13">
        <w:rPr>
          <w:sz w:val="24"/>
          <w:szCs w:val="24"/>
        </w:rPr>
        <w:t>February,</w:t>
      </w:r>
      <w:proofErr w:type="gramEnd"/>
      <w:r w:rsidRPr="00AE5A13">
        <w:rPr>
          <w:sz w:val="24"/>
          <w:szCs w:val="24"/>
        </w:rPr>
        <w:t xml:space="preserve"> 2026]</w:t>
      </w:r>
    </w:p>
    <w:p w14:paraId="6366C3A8" w14:textId="77777777" w:rsidR="004979AB" w:rsidRDefault="004979AB" w:rsidP="004979AB">
      <w:pPr>
        <w:pStyle w:val="FootnoteText"/>
        <w:rPr>
          <w:sz w:val="24"/>
          <w:szCs w:val="24"/>
        </w:rPr>
      </w:pPr>
    </w:p>
    <w:p w14:paraId="786CFE9C" w14:textId="77777777" w:rsidR="004979AB" w:rsidRPr="00A82BA2" w:rsidRDefault="004979AB" w:rsidP="004979AB">
      <w:pPr>
        <w:pStyle w:val="FootnoteText"/>
        <w:ind w:firstLine="720"/>
        <w:rPr>
          <w:sz w:val="24"/>
          <w:szCs w:val="24"/>
        </w:rPr>
      </w:pPr>
      <w:proofErr w:type="spellStart"/>
      <w:r>
        <w:t>Glo</w:t>
      </w:r>
      <w:r w:rsidRPr="00A82BA2">
        <w:rPr>
          <w:sz w:val="24"/>
          <w:szCs w:val="24"/>
        </w:rPr>
        <w:t>sbe</w:t>
      </w:r>
      <w:proofErr w:type="spellEnd"/>
      <w:r w:rsidRPr="00A82BA2">
        <w:rPr>
          <w:sz w:val="24"/>
          <w:szCs w:val="24"/>
        </w:rPr>
        <w:t xml:space="preserve">, </w:t>
      </w:r>
      <w:r w:rsidRPr="00A82BA2">
        <w:rPr>
          <w:i/>
          <w:iCs/>
          <w:sz w:val="24"/>
          <w:szCs w:val="24"/>
        </w:rPr>
        <w:t>Marshfield</w:t>
      </w:r>
      <w:r w:rsidRPr="00A82BA2">
        <w:rPr>
          <w:sz w:val="24"/>
          <w:szCs w:val="24"/>
        </w:rPr>
        <w:t xml:space="preserve">, </w:t>
      </w:r>
      <w:hyperlink r:id="rId15" w:history="1">
        <w:r w:rsidRPr="00A82BA2">
          <w:rPr>
            <w:rStyle w:val="Hyperlink"/>
            <w:sz w:val="24"/>
            <w:szCs w:val="24"/>
          </w:rPr>
          <w:t>https://glosbe.com/en/cy/Marshfield</w:t>
        </w:r>
      </w:hyperlink>
      <w:r w:rsidRPr="00A82BA2">
        <w:rPr>
          <w:sz w:val="24"/>
          <w:szCs w:val="24"/>
        </w:rPr>
        <w:t xml:space="preserve"> [Accessed: 16</w:t>
      </w:r>
      <w:r w:rsidRPr="00A82BA2">
        <w:rPr>
          <w:sz w:val="24"/>
          <w:szCs w:val="24"/>
          <w:vertAlign w:val="superscript"/>
        </w:rPr>
        <w:t>th</w:t>
      </w:r>
      <w:r w:rsidRPr="00A82BA2">
        <w:rPr>
          <w:sz w:val="24"/>
          <w:szCs w:val="24"/>
        </w:rPr>
        <w:t xml:space="preserve"> February 2026]</w:t>
      </w:r>
    </w:p>
    <w:p w14:paraId="0870AD2C" w14:textId="77777777" w:rsidR="004979AB" w:rsidRDefault="004979AB" w:rsidP="004979AB">
      <w:pPr>
        <w:pStyle w:val="FootnoteText"/>
        <w:ind w:firstLine="720"/>
        <w:rPr>
          <w:sz w:val="24"/>
          <w:szCs w:val="24"/>
        </w:rPr>
      </w:pPr>
    </w:p>
    <w:p w14:paraId="65B02642" w14:textId="77777777" w:rsidR="004979AB" w:rsidRPr="003978A7" w:rsidRDefault="004979AB" w:rsidP="004979AB">
      <w:pPr>
        <w:pStyle w:val="FootnoteText"/>
        <w:ind w:firstLine="720"/>
        <w:rPr>
          <w:sz w:val="24"/>
          <w:szCs w:val="24"/>
        </w:rPr>
      </w:pPr>
      <w:r w:rsidRPr="003978A7">
        <w:rPr>
          <w:sz w:val="24"/>
          <w:szCs w:val="24"/>
        </w:rPr>
        <w:t xml:space="preserve">Living Levels, </w:t>
      </w:r>
      <w:r w:rsidRPr="003978A7">
        <w:rPr>
          <w:i/>
          <w:iCs/>
          <w:sz w:val="24"/>
          <w:szCs w:val="24"/>
        </w:rPr>
        <w:t>Churches on the Levels</w:t>
      </w:r>
      <w:r w:rsidRPr="003978A7">
        <w:rPr>
          <w:sz w:val="24"/>
          <w:szCs w:val="24"/>
        </w:rPr>
        <w:t xml:space="preserve">, </w:t>
      </w:r>
      <w:hyperlink r:id="rId16" w:history="1">
        <w:r w:rsidRPr="003978A7">
          <w:rPr>
            <w:rStyle w:val="Hyperlink"/>
            <w:sz w:val="24"/>
            <w:szCs w:val="24"/>
          </w:rPr>
          <w:t>https://www.livinglevels.org.uk/stories/2021/7/26/churches-on-the-levels</w:t>
        </w:r>
      </w:hyperlink>
      <w:r w:rsidRPr="003978A7">
        <w:rPr>
          <w:sz w:val="24"/>
          <w:szCs w:val="24"/>
        </w:rPr>
        <w:t xml:space="preserve"> [Accessed 3rd March 2026]</w:t>
      </w:r>
    </w:p>
    <w:p w14:paraId="31B89170" w14:textId="77777777" w:rsidR="004979AB" w:rsidRDefault="004979AB" w:rsidP="004979AB">
      <w:pPr>
        <w:pStyle w:val="FootnoteText"/>
        <w:rPr>
          <w:sz w:val="24"/>
          <w:szCs w:val="24"/>
        </w:rPr>
      </w:pPr>
    </w:p>
    <w:p w14:paraId="10B038E7" w14:textId="77777777" w:rsidR="004979AB" w:rsidRPr="00BF6DBA" w:rsidRDefault="004979AB" w:rsidP="004979AB">
      <w:pPr>
        <w:pStyle w:val="FootnoteText"/>
        <w:ind w:firstLine="720"/>
        <w:rPr>
          <w:sz w:val="24"/>
          <w:szCs w:val="24"/>
        </w:rPr>
      </w:pPr>
      <w:r w:rsidRPr="00BF6DBA">
        <w:rPr>
          <w:sz w:val="24"/>
          <w:szCs w:val="24"/>
        </w:rPr>
        <w:t xml:space="preserve">Medieval Writing: History, heritage, and data set, </w:t>
      </w:r>
      <w:hyperlink r:id="rId17" w:history="1">
        <w:r w:rsidRPr="00BF6DBA">
          <w:rPr>
            <w:rStyle w:val="Hyperlink"/>
            <w:sz w:val="24"/>
            <w:szCs w:val="24"/>
          </w:rPr>
          <w:t>https://medievalwritings.atillo.com.au/writing.htm</w:t>
        </w:r>
      </w:hyperlink>
      <w:r w:rsidRPr="00BF6DBA">
        <w:rPr>
          <w:sz w:val="24"/>
          <w:szCs w:val="24"/>
        </w:rPr>
        <w:t xml:space="preserve"> [Accessed 18th February 2026].</w:t>
      </w:r>
    </w:p>
    <w:p w14:paraId="5383A6C5" w14:textId="77777777" w:rsidR="004979AB" w:rsidRPr="00BF6DBA" w:rsidRDefault="004979AB" w:rsidP="004979AB">
      <w:pPr>
        <w:pStyle w:val="FootnoteText"/>
        <w:ind w:firstLine="720"/>
        <w:rPr>
          <w:sz w:val="24"/>
          <w:szCs w:val="24"/>
        </w:rPr>
      </w:pPr>
    </w:p>
    <w:p w14:paraId="7CA1BDE3" w14:textId="77777777" w:rsidR="004979AB" w:rsidRDefault="004979AB" w:rsidP="004979AB">
      <w:pPr>
        <w:pStyle w:val="FootnoteText"/>
        <w:ind w:firstLine="720"/>
        <w:rPr>
          <w:sz w:val="24"/>
          <w:szCs w:val="24"/>
        </w:rPr>
      </w:pPr>
      <w:r w:rsidRPr="00BF6DBA">
        <w:rPr>
          <w:sz w:val="24"/>
          <w:szCs w:val="24"/>
        </w:rPr>
        <w:t xml:space="preserve">Medieval Writing: History, heritage, and data set,  </w:t>
      </w:r>
      <w:r w:rsidRPr="00BF6DBA">
        <w:rPr>
          <w:i/>
          <w:iCs/>
          <w:sz w:val="24"/>
          <w:szCs w:val="24"/>
        </w:rPr>
        <w:t xml:space="preserve">English </w:t>
      </w:r>
      <w:proofErr w:type="spellStart"/>
      <w:r w:rsidRPr="00BF6DBA">
        <w:rPr>
          <w:i/>
          <w:iCs/>
          <w:sz w:val="24"/>
          <w:szCs w:val="24"/>
        </w:rPr>
        <w:t>Protogothic</w:t>
      </w:r>
      <w:proofErr w:type="spellEnd"/>
      <w:r w:rsidRPr="00BF6DBA">
        <w:rPr>
          <w:i/>
          <w:iCs/>
          <w:sz w:val="24"/>
          <w:szCs w:val="24"/>
        </w:rPr>
        <w:t>, charter hand</w:t>
      </w:r>
      <w:r w:rsidRPr="00BF6DBA">
        <w:rPr>
          <w:sz w:val="24"/>
          <w:szCs w:val="24"/>
        </w:rPr>
        <w:t xml:space="preserve">, </w:t>
      </w:r>
      <w:hyperlink r:id="rId18" w:history="1">
        <w:r w:rsidRPr="00BF6DBA">
          <w:rPr>
            <w:rStyle w:val="Hyperlink"/>
            <w:sz w:val="24"/>
            <w:szCs w:val="24"/>
          </w:rPr>
          <w:t>https://medievalwritings.atillo.com.au/writing.htm</w:t>
        </w:r>
      </w:hyperlink>
      <w:r w:rsidRPr="00BF6DBA">
        <w:rPr>
          <w:sz w:val="24"/>
          <w:szCs w:val="24"/>
        </w:rPr>
        <w:t xml:space="preserve"> [Accessed 18th February 2026].  </w:t>
      </w:r>
    </w:p>
    <w:p w14:paraId="63FEA400" w14:textId="77777777" w:rsidR="004979AB" w:rsidRDefault="004979AB" w:rsidP="004979AB">
      <w:pPr>
        <w:pStyle w:val="FootnoteText"/>
        <w:ind w:firstLine="720"/>
        <w:rPr>
          <w:sz w:val="24"/>
          <w:szCs w:val="24"/>
        </w:rPr>
      </w:pPr>
    </w:p>
    <w:p w14:paraId="3AE67B7A" w14:textId="77777777" w:rsidR="004979AB" w:rsidRPr="00276C42" w:rsidRDefault="004979AB" w:rsidP="004979AB">
      <w:pPr>
        <w:pStyle w:val="FootnoteText"/>
        <w:ind w:firstLine="720"/>
        <w:rPr>
          <w:sz w:val="36"/>
          <w:szCs w:val="36"/>
        </w:rPr>
      </w:pPr>
      <w:r w:rsidRPr="00276C42">
        <w:rPr>
          <w:sz w:val="24"/>
          <w:szCs w:val="24"/>
        </w:rPr>
        <w:t xml:space="preserve">My Heritage, </w:t>
      </w:r>
      <w:r w:rsidRPr="00276C42">
        <w:rPr>
          <w:i/>
          <w:iCs/>
          <w:sz w:val="24"/>
          <w:szCs w:val="24"/>
        </w:rPr>
        <w:t>Last Names: Wendt</w:t>
      </w:r>
      <w:r w:rsidRPr="00276C42">
        <w:rPr>
          <w:sz w:val="24"/>
          <w:szCs w:val="24"/>
        </w:rPr>
        <w:t xml:space="preserve">, </w:t>
      </w:r>
      <w:hyperlink r:id="rId19" w:history="1">
        <w:r w:rsidRPr="00276C42">
          <w:rPr>
            <w:rStyle w:val="Hyperlink"/>
            <w:sz w:val="24"/>
            <w:szCs w:val="24"/>
          </w:rPr>
          <w:t>https://lastnames.myheritage.com/last-name/wendt</w:t>
        </w:r>
      </w:hyperlink>
      <w:r w:rsidRPr="00276C42">
        <w:rPr>
          <w:sz w:val="24"/>
          <w:szCs w:val="24"/>
        </w:rPr>
        <w:t xml:space="preserve"> [Accessed 17th February 2026]</w:t>
      </w:r>
    </w:p>
    <w:p w14:paraId="371BCB3E" w14:textId="77777777" w:rsidR="004979AB" w:rsidRDefault="004979AB" w:rsidP="004979AB">
      <w:pPr>
        <w:pStyle w:val="FootnoteText"/>
        <w:ind w:firstLine="720"/>
        <w:rPr>
          <w:sz w:val="24"/>
          <w:szCs w:val="24"/>
        </w:rPr>
      </w:pPr>
    </w:p>
    <w:p w14:paraId="4050CDC9" w14:textId="77777777" w:rsidR="004979AB" w:rsidRDefault="004979AB" w:rsidP="004979AB">
      <w:pPr>
        <w:pStyle w:val="FootnoteText"/>
        <w:ind w:firstLine="720"/>
        <w:rPr>
          <w:sz w:val="24"/>
          <w:szCs w:val="24"/>
        </w:rPr>
      </w:pPr>
      <w:r w:rsidRPr="00FD78FC">
        <w:rPr>
          <w:sz w:val="24"/>
          <w:szCs w:val="24"/>
        </w:rPr>
        <w:t xml:space="preserve">National Churches Trust, </w:t>
      </w:r>
      <w:r w:rsidRPr="00FD78FC">
        <w:rPr>
          <w:i/>
          <w:iCs/>
          <w:sz w:val="24"/>
          <w:szCs w:val="24"/>
        </w:rPr>
        <w:t>St Mary, Marshfield</w:t>
      </w:r>
      <w:r w:rsidRPr="00FD78FC">
        <w:rPr>
          <w:sz w:val="24"/>
          <w:szCs w:val="24"/>
        </w:rPr>
        <w:t xml:space="preserve">, </w:t>
      </w:r>
      <w:hyperlink r:id="rId20" w:history="1">
        <w:r w:rsidRPr="00FD78FC">
          <w:rPr>
            <w:rStyle w:val="Hyperlink"/>
            <w:sz w:val="24"/>
            <w:szCs w:val="24"/>
          </w:rPr>
          <w:t>https://www.nationalchurchestrust.org/church/st-mary-marshfield</w:t>
        </w:r>
      </w:hyperlink>
      <w:r w:rsidRPr="00FD78FC">
        <w:rPr>
          <w:sz w:val="24"/>
          <w:szCs w:val="24"/>
        </w:rPr>
        <w:t xml:space="preserve"> [Accessed 2nd March 2026]</w:t>
      </w:r>
    </w:p>
    <w:p w14:paraId="76F35DB3" w14:textId="77777777" w:rsidR="004979AB" w:rsidRDefault="004979AB" w:rsidP="004979AB">
      <w:pPr>
        <w:pStyle w:val="FootnoteText"/>
        <w:ind w:firstLine="720"/>
        <w:rPr>
          <w:sz w:val="24"/>
          <w:szCs w:val="24"/>
        </w:rPr>
      </w:pPr>
    </w:p>
    <w:p w14:paraId="715E9961" w14:textId="77777777" w:rsidR="004979AB" w:rsidRDefault="004979AB" w:rsidP="004979AB">
      <w:pPr>
        <w:pStyle w:val="FootnoteText"/>
        <w:ind w:firstLine="720"/>
        <w:rPr>
          <w:sz w:val="24"/>
          <w:szCs w:val="24"/>
        </w:rPr>
      </w:pPr>
      <w:r w:rsidRPr="0088261E">
        <w:rPr>
          <w:sz w:val="24"/>
          <w:szCs w:val="24"/>
        </w:rPr>
        <w:t xml:space="preserve">The Corpus of Romanesque Sculptures in Britain and Ireland, </w:t>
      </w:r>
      <w:r w:rsidRPr="0088261E">
        <w:rPr>
          <w:i/>
          <w:iCs/>
          <w:sz w:val="24"/>
          <w:szCs w:val="24"/>
        </w:rPr>
        <w:t xml:space="preserve">St Mary the Virgin, Tewkesbury Abbey, Gloucestershire, </w:t>
      </w:r>
      <w:hyperlink r:id="rId21" w:history="1">
        <w:r w:rsidRPr="0088261E">
          <w:rPr>
            <w:rStyle w:val="Hyperlink"/>
            <w:sz w:val="24"/>
            <w:szCs w:val="24"/>
          </w:rPr>
          <w:t>https://www.crsbi.ac.uk/view-item?i=2301</w:t>
        </w:r>
      </w:hyperlink>
      <w:r w:rsidRPr="0088261E">
        <w:rPr>
          <w:i/>
          <w:iCs/>
          <w:sz w:val="24"/>
          <w:szCs w:val="24"/>
        </w:rPr>
        <w:t xml:space="preserve"> </w:t>
      </w:r>
      <w:r w:rsidRPr="0088261E">
        <w:rPr>
          <w:sz w:val="24"/>
          <w:szCs w:val="24"/>
        </w:rPr>
        <w:t>[Accessed 16</w:t>
      </w:r>
      <w:r w:rsidRPr="0088261E">
        <w:rPr>
          <w:sz w:val="24"/>
          <w:szCs w:val="24"/>
          <w:vertAlign w:val="superscript"/>
        </w:rPr>
        <w:t>th</w:t>
      </w:r>
      <w:r w:rsidRPr="0088261E">
        <w:rPr>
          <w:sz w:val="24"/>
          <w:szCs w:val="24"/>
        </w:rPr>
        <w:t xml:space="preserve"> </w:t>
      </w:r>
      <w:proofErr w:type="gramStart"/>
      <w:r w:rsidRPr="0088261E">
        <w:rPr>
          <w:sz w:val="24"/>
          <w:szCs w:val="24"/>
        </w:rPr>
        <w:t>March,</w:t>
      </w:r>
      <w:proofErr w:type="gramEnd"/>
      <w:r w:rsidRPr="0088261E">
        <w:rPr>
          <w:sz w:val="24"/>
          <w:szCs w:val="24"/>
        </w:rPr>
        <w:t xml:space="preserve"> 2026]</w:t>
      </w:r>
    </w:p>
    <w:p w14:paraId="552F1A18" w14:textId="77777777" w:rsidR="004979AB" w:rsidRPr="00AE5A13" w:rsidRDefault="004979AB" w:rsidP="004979AB">
      <w:pPr>
        <w:pStyle w:val="FootnoteText"/>
        <w:ind w:firstLine="720"/>
        <w:rPr>
          <w:sz w:val="24"/>
          <w:szCs w:val="24"/>
        </w:rPr>
      </w:pPr>
    </w:p>
    <w:p w14:paraId="0B08EE4D" w14:textId="77777777" w:rsidR="004979AB" w:rsidRPr="00AE5A13" w:rsidRDefault="004979AB" w:rsidP="004979AB">
      <w:pPr>
        <w:pStyle w:val="FootnoteText"/>
        <w:ind w:firstLine="720"/>
        <w:rPr>
          <w:sz w:val="24"/>
          <w:szCs w:val="24"/>
        </w:rPr>
      </w:pPr>
      <w:proofErr w:type="spellStart"/>
      <w:r w:rsidRPr="00AE5A13">
        <w:rPr>
          <w:sz w:val="24"/>
          <w:szCs w:val="24"/>
        </w:rPr>
        <w:t>Wikishire</w:t>
      </w:r>
      <w:proofErr w:type="spellEnd"/>
      <w:r w:rsidRPr="00AE5A13">
        <w:rPr>
          <w:sz w:val="24"/>
          <w:szCs w:val="24"/>
        </w:rPr>
        <w:t xml:space="preserve">, </w:t>
      </w:r>
      <w:r w:rsidRPr="00AE5A13">
        <w:rPr>
          <w:i/>
          <w:iCs/>
          <w:sz w:val="24"/>
          <w:szCs w:val="24"/>
        </w:rPr>
        <w:t>Gwent</w:t>
      </w:r>
      <w:r w:rsidRPr="00AE5A13">
        <w:rPr>
          <w:sz w:val="24"/>
          <w:szCs w:val="24"/>
        </w:rPr>
        <w:t xml:space="preserve">, </w:t>
      </w:r>
      <w:hyperlink r:id="rId22" w:history="1">
        <w:r w:rsidRPr="00AE5A13">
          <w:rPr>
            <w:rStyle w:val="Hyperlink"/>
            <w:sz w:val="24"/>
            <w:szCs w:val="24"/>
          </w:rPr>
          <w:t>https://wikishire.co.uk/wiki/Gwent</w:t>
        </w:r>
      </w:hyperlink>
      <w:r w:rsidRPr="00AE5A13">
        <w:rPr>
          <w:sz w:val="24"/>
          <w:szCs w:val="24"/>
        </w:rPr>
        <w:t xml:space="preserve"> [Accessed on 26th February 2026] </w:t>
      </w:r>
    </w:p>
    <w:p w14:paraId="70AAC2CE" w14:textId="77777777" w:rsidR="004979AB" w:rsidRDefault="004979AB" w:rsidP="004979AB">
      <w:pPr>
        <w:rPr>
          <w:u w:val="single"/>
        </w:rPr>
      </w:pPr>
    </w:p>
    <w:p w14:paraId="620059F0" w14:textId="77777777" w:rsidR="004979AB" w:rsidRPr="0061294A" w:rsidRDefault="004979AB" w:rsidP="004979AB">
      <w:pPr>
        <w:pStyle w:val="FootnoteText"/>
      </w:pPr>
    </w:p>
    <w:p w14:paraId="428724D4" w14:textId="77777777" w:rsidR="004979AB" w:rsidRPr="00861F1F" w:rsidRDefault="004979AB" w:rsidP="004979AB">
      <w:pPr>
        <w:rPr>
          <w:u w:val="single"/>
        </w:rPr>
      </w:pPr>
    </w:p>
    <w:p w14:paraId="5968F04E" w14:textId="77777777" w:rsidR="004979AB" w:rsidRDefault="004979AB"/>
    <w:sectPr w:rsidR="004979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E714DC" w14:textId="77777777" w:rsidR="00057562" w:rsidRDefault="00057562" w:rsidP="004979AB">
      <w:pPr>
        <w:spacing w:after="0" w:line="240" w:lineRule="auto"/>
      </w:pPr>
      <w:r>
        <w:separator/>
      </w:r>
    </w:p>
  </w:endnote>
  <w:endnote w:type="continuationSeparator" w:id="0">
    <w:p w14:paraId="78BFCEBE" w14:textId="77777777" w:rsidR="00057562" w:rsidRDefault="00057562" w:rsidP="00497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Latin">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CFF48" w14:textId="77777777" w:rsidR="00057562" w:rsidRDefault="00057562" w:rsidP="004979AB">
      <w:pPr>
        <w:spacing w:after="0" w:line="240" w:lineRule="auto"/>
      </w:pPr>
      <w:r>
        <w:separator/>
      </w:r>
    </w:p>
  </w:footnote>
  <w:footnote w:type="continuationSeparator" w:id="0">
    <w:p w14:paraId="1D446C27" w14:textId="77777777" w:rsidR="00057562" w:rsidRDefault="00057562" w:rsidP="004979AB">
      <w:pPr>
        <w:spacing w:after="0" w:line="240" w:lineRule="auto"/>
      </w:pPr>
      <w:r>
        <w:continuationSeparator/>
      </w:r>
    </w:p>
  </w:footnote>
  <w:footnote w:id="1">
    <w:p w14:paraId="6180468F" w14:textId="77777777" w:rsidR="004979AB" w:rsidRDefault="004979AB" w:rsidP="004979AB">
      <w:pPr>
        <w:pStyle w:val="FootnoteText"/>
      </w:pPr>
      <w:r>
        <w:rPr>
          <w:rStyle w:val="FootnoteReference"/>
        </w:rPr>
        <w:footnoteRef/>
      </w:r>
      <w:r>
        <w:t xml:space="preserve"> Medieval Writing: History, heritage, and data set, </w:t>
      </w:r>
      <w:hyperlink r:id="rId1" w:history="1">
        <w:r w:rsidRPr="00D9333C">
          <w:rPr>
            <w:rStyle w:val="Hyperlink"/>
          </w:rPr>
          <w:t>https://medievalwritings.atillo.com.au/writing.htm</w:t>
        </w:r>
      </w:hyperlink>
      <w:r>
        <w:t xml:space="preserve"> [Accessed 18th February 2026].</w:t>
      </w:r>
    </w:p>
  </w:footnote>
  <w:footnote w:id="2">
    <w:p w14:paraId="111FD87C" w14:textId="77777777" w:rsidR="004979AB" w:rsidRDefault="004979AB" w:rsidP="004979AB">
      <w:pPr>
        <w:pStyle w:val="FootnoteText"/>
      </w:pPr>
      <w:r>
        <w:rPr>
          <w:rStyle w:val="FootnoteReference"/>
        </w:rPr>
        <w:footnoteRef/>
      </w:r>
      <w:r>
        <w:t xml:space="preserve"> Ibid., English Protogothic, charter hand, </w:t>
      </w:r>
      <w:hyperlink r:id="rId2" w:history="1">
        <w:r w:rsidRPr="00D9333C">
          <w:rPr>
            <w:rStyle w:val="Hyperlink"/>
          </w:rPr>
          <w:t>https://medievalwritings.atillo.com.au/writing.htm</w:t>
        </w:r>
      </w:hyperlink>
      <w:r>
        <w:t xml:space="preserve"> [Accessed 18th February 2026].  </w:t>
      </w:r>
    </w:p>
  </w:footnote>
  <w:footnote w:id="3">
    <w:p w14:paraId="0DC0BC2E" w14:textId="77777777" w:rsidR="004979AB" w:rsidRDefault="004979AB" w:rsidP="004979AB">
      <w:pPr>
        <w:pStyle w:val="FootnoteText"/>
      </w:pPr>
      <w:r>
        <w:rPr>
          <w:rStyle w:val="FootnoteReference"/>
        </w:rPr>
        <w:footnoteRef/>
      </w:r>
      <w:r>
        <w:t xml:space="preserve"> Transcription of the original manuscript found digitally on Moodle [Accessed 18</w:t>
      </w:r>
      <w:r w:rsidRPr="000E67D8">
        <w:rPr>
          <w:vertAlign w:val="superscript"/>
        </w:rPr>
        <w:t>th</w:t>
      </w:r>
      <w:r>
        <w:t xml:space="preserve"> February 2026] </w:t>
      </w:r>
    </w:p>
  </w:footnote>
  <w:footnote w:id="4">
    <w:p w14:paraId="35FFEDDA" w14:textId="77777777" w:rsidR="004979AB" w:rsidRPr="00F231CB" w:rsidRDefault="004979AB" w:rsidP="004979AB">
      <w:pPr>
        <w:pStyle w:val="FootnoteText"/>
      </w:pPr>
      <w:r>
        <w:rPr>
          <w:rStyle w:val="FootnoteReference"/>
        </w:rPr>
        <w:footnoteRef/>
      </w:r>
      <w:r>
        <w:t xml:space="preserve"> T.M.C. Edwards, </w:t>
      </w:r>
      <w:r>
        <w:rPr>
          <w:i/>
          <w:iCs/>
        </w:rPr>
        <w:t xml:space="preserve">Wales and the Britons, 350-1064, </w:t>
      </w:r>
      <w:r w:rsidRPr="00F231CB">
        <w:t>Latin Learning in Wales</w:t>
      </w:r>
      <w:r>
        <w:t>, c. 400-1100 (Oxford University Press, 2012), p. 625</w:t>
      </w:r>
    </w:p>
  </w:footnote>
  <w:footnote w:id="5">
    <w:p w14:paraId="3654A66D" w14:textId="77777777" w:rsidR="004979AB" w:rsidRDefault="004979AB" w:rsidP="004979AB">
      <w:pPr>
        <w:pStyle w:val="FootnoteText"/>
      </w:pPr>
      <w:r>
        <w:rPr>
          <w:rStyle w:val="FootnoteReference"/>
        </w:rPr>
        <w:footnoteRef/>
      </w:r>
      <w:r>
        <w:t xml:space="preserve"> Ibid., p. 626</w:t>
      </w:r>
    </w:p>
  </w:footnote>
  <w:footnote w:id="6">
    <w:p w14:paraId="68818274" w14:textId="77777777" w:rsidR="004979AB" w:rsidRDefault="004979AB" w:rsidP="004979AB">
      <w:pPr>
        <w:pStyle w:val="FootnoteText"/>
      </w:pPr>
      <w:r>
        <w:rPr>
          <w:rStyle w:val="FootnoteReference"/>
        </w:rPr>
        <w:footnoteRef/>
      </w:r>
      <w:r>
        <w:t xml:space="preserve"> Ibid., p. 632</w:t>
      </w:r>
    </w:p>
  </w:footnote>
  <w:footnote w:id="7">
    <w:p w14:paraId="4B769AB2" w14:textId="77777777" w:rsidR="004979AB" w:rsidRDefault="004979AB" w:rsidP="004979AB">
      <w:pPr>
        <w:pStyle w:val="FootnoteText"/>
      </w:pPr>
      <w:r>
        <w:rPr>
          <w:rStyle w:val="FootnoteReference"/>
        </w:rPr>
        <w:footnoteRef/>
      </w:r>
      <w:r>
        <w:t xml:space="preserve"> Ibid., p. 631</w:t>
      </w:r>
    </w:p>
  </w:footnote>
  <w:footnote w:id="8">
    <w:p w14:paraId="2019707D" w14:textId="77777777" w:rsidR="004979AB" w:rsidRDefault="004979AB" w:rsidP="004979AB">
      <w:pPr>
        <w:pStyle w:val="FootnoteText"/>
      </w:pPr>
      <w:r>
        <w:rPr>
          <w:rStyle w:val="FootnoteReference"/>
        </w:rPr>
        <w:footnoteRef/>
      </w:r>
      <w:r>
        <w:t xml:space="preserve"> Ibid. pp. 631-632</w:t>
      </w:r>
    </w:p>
  </w:footnote>
  <w:footnote w:id="9">
    <w:p w14:paraId="0AFD2C60" w14:textId="77777777" w:rsidR="004979AB" w:rsidRPr="00546CBD" w:rsidRDefault="004979AB" w:rsidP="004979AB">
      <w:pPr>
        <w:pStyle w:val="FootnoteText"/>
      </w:pPr>
      <w:r>
        <w:rPr>
          <w:rStyle w:val="FootnoteReference"/>
        </w:rPr>
        <w:footnoteRef/>
      </w:r>
      <w:r>
        <w:t xml:space="preserve"> See </w:t>
      </w:r>
      <w:r>
        <w:rPr>
          <w:i/>
          <w:iCs/>
        </w:rPr>
        <w:t>Transcription</w:t>
      </w:r>
      <w:r>
        <w:t>, Line 1&amp;2</w:t>
      </w:r>
    </w:p>
  </w:footnote>
  <w:footnote w:id="10">
    <w:p w14:paraId="2D9C24DC" w14:textId="77777777" w:rsidR="004979AB" w:rsidRDefault="004979AB" w:rsidP="004979AB">
      <w:pPr>
        <w:pStyle w:val="FootnoteText"/>
      </w:pPr>
      <w:r>
        <w:rPr>
          <w:rStyle w:val="FootnoteReference"/>
        </w:rPr>
        <w:footnoteRef/>
      </w:r>
      <w:r>
        <w:t xml:space="preserve"> ed.R. Crowcroft, J. Cannon, </w:t>
      </w:r>
      <w:r>
        <w:rPr>
          <w:i/>
          <w:iCs/>
        </w:rPr>
        <w:t>The Oxford Companion to British History, Gwent, Kingdom of,</w:t>
      </w:r>
      <w:r>
        <w:t xml:space="preserve"> 2, (Oxford University Press, 2015), </w:t>
      </w:r>
      <w:hyperlink r:id="rId3" w:history="1">
        <w:r w:rsidRPr="00ED569D">
          <w:rPr>
            <w:rStyle w:val="Hyperlink"/>
          </w:rPr>
          <w:t>https://librarysearch.uwtsd.ac.uk/permalink/44WHELF_UWTSD/1ir6fgh/cdi_askewsholts_vlebooks_9780191044816</w:t>
        </w:r>
      </w:hyperlink>
      <w:r>
        <w:t xml:space="preserve"> [Accessed 13th February 2026]</w:t>
      </w:r>
    </w:p>
  </w:footnote>
  <w:footnote w:id="11">
    <w:p w14:paraId="5A3ED86C" w14:textId="77777777" w:rsidR="004979AB" w:rsidRPr="008B662A" w:rsidRDefault="004979AB" w:rsidP="004979AB">
      <w:pPr>
        <w:pStyle w:val="FootnoteText"/>
      </w:pPr>
      <w:r>
        <w:rPr>
          <w:rStyle w:val="FootnoteReference"/>
        </w:rPr>
        <w:footnoteRef/>
      </w:r>
      <w:r>
        <w:t xml:space="preserve"> Geuriadur Bangor, </w:t>
      </w:r>
      <w:r>
        <w:rPr>
          <w:i/>
          <w:iCs/>
        </w:rPr>
        <w:t>Caer</w:t>
      </w:r>
      <w:r>
        <w:t xml:space="preserve">, </w:t>
      </w:r>
      <w:hyperlink r:id="rId4" w:anchor="Caer" w:history="1">
        <w:r w:rsidRPr="00936209">
          <w:rPr>
            <w:rStyle w:val="Hyperlink"/>
          </w:rPr>
          <w:t>https://geiriadur.bangor.ac.uk/#Caer</w:t>
        </w:r>
      </w:hyperlink>
      <w:r>
        <w:t xml:space="preserve"> [Accessed 26</w:t>
      </w:r>
      <w:r w:rsidRPr="008B662A">
        <w:rPr>
          <w:vertAlign w:val="superscript"/>
        </w:rPr>
        <w:t>th</w:t>
      </w:r>
      <w:r>
        <w:t xml:space="preserve"> February, 2026]</w:t>
      </w:r>
    </w:p>
  </w:footnote>
  <w:footnote w:id="12">
    <w:p w14:paraId="38019288" w14:textId="77777777" w:rsidR="004979AB" w:rsidRPr="00E15448" w:rsidRDefault="004979AB" w:rsidP="004979AB">
      <w:pPr>
        <w:pStyle w:val="FootnoteText"/>
      </w:pPr>
      <w:r>
        <w:rPr>
          <w:rStyle w:val="FootnoteReference"/>
        </w:rPr>
        <w:footnoteRef/>
      </w:r>
      <w:r>
        <w:t xml:space="preserve">Wikishire, </w:t>
      </w:r>
      <w:r>
        <w:rPr>
          <w:i/>
          <w:iCs/>
        </w:rPr>
        <w:t>Gwent</w:t>
      </w:r>
      <w:r>
        <w:t xml:space="preserve">, </w:t>
      </w:r>
      <w:hyperlink r:id="rId5" w:history="1">
        <w:r w:rsidRPr="00A24397">
          <w:rPr>
            <w:rStyle w:val="Hyperlink"/>
          </w:rPr>
          <w:t>https://wikishire.co.uk/wiki/Gwent</w:t>
        </w:r>
      </w:hyperlink>
      <w:r>
        <w:t xml:space="preserve"> [Accessed on 26th February 2026] </w:t>
      </w:r>
    </w:p>
  </w:footnote>
  <w:footnote w:id="13">
    <w:p w14:paraId="2F5F4971" w14:textId="77777777" w:rsidR="004979AB" w:rsidRPr="009017C5" w:rsidRDefault="004979AB" w:rsidP="004979AB">
      <w:pPr>
        <w:pStyle w:val="FootnoteText"/>
      </w:pPr>
      <w:r>
        <w:rPr>
          <w:rStyle w:val="FootnoteReference"/>
        </w:rPr>
        <w:footnoteRef/>
      </w:r>
      <w:r>
        <w:t xml:space="preserve"> J. Morwood, </w:t>
      </w:r>
      <w:r>
        <w:rPr>
          <w:i/>
          <w:iCs/>
        </w:rPr>
        <w:t>Pocket Oxford Latin Dictionary: Latin- English,</w:t>
      </w:r>
      <w:r>
        <w:t xml:space="preserve"> 3, (Oxford University Press, 2012), de, </w:t>
      </w:r>
      <w:hyperlink r:id="rId6" w:history="1">
        <w:r>
          <w:rPr>
            <w:rStyle w:val="Hyperlink"/>
          </w:rPr>
          <w:t>https://www-oxfordreference-com.uwtsd.idm.oclc.org</w:t>
        </w:r>
      </w:hyperlink>
      <w:r>
        <w:t xml:space="preserve"> [Accessed 16</w:t>
      </w:r>
      <w:r w:rsidRPr="00D16D90">
        <w:rPr>
          <w:vertAlign w:val="superscript"/>
        </w:rPr>
        <w:t>th</w:t>
      </w:r>
      <w:r>
        <w:t xml:space="preserve"> February 2026]</w:t>
      </w:r>
    </w:p>
  </w:footnote>
  <w:footnote w:id="14">
    <w:p w14:paraId="75914C50" w14:textId="77777777" w:rsidR="004979AB" w:rsidRPr="00350FE2" w:rsidRDefault="004979AB" w:rsidP="004979AB">
      <w:pPr>
        <w:pStyle w:val="FootnoteText"/>
      </w:pPr>
      <w:r>
        <w:rPr>
          <w:rStyle w:val="FootnoteReference"/>
        </w:rPr>
        <w:footnoteRef/>
      </w:r>
      <w:r>
        <w:t xml:space="preserve"> My Heritage, </w:t>
      </w:r>
      <w:r>
        <w:rPr>
          <w:i/>
          <w:iCs/>
        </w:rPr>
        <w:t>Last Names: Wendt</w:t>
      </w:r>
      <w:r>
        <w:t xml:space="preserve">, </w:t>
      </w:r>
      <w:hyperlink r:id="rId7" w:history="1">
        <w:r w:rsidRPr="00281D61">
          <w:rPr>
            <w:rStyle w:val="Hyperlink"/>
          </w:rPr>
          <w:t>https://lastnames.myheritage.com/last-name/wendt</w:t>
        </w:r>
      </w:hyperlink>
      <w:r>
        <w:t xml:space="preserve"> [Accessed 17th February 2026]</w:t>
      </w:r>
    </w:p>
  </w:footnote>
  <w:footnote w:id="15">
    <w:p w14:paraId="62299837" w14:textId="77777777" w:rsidR="004979AB" w:rsidRPr="00115240" w:rsidRDefault="004979AB" w:rsidP="004979AB">
      <w:pPr>
        <w:pStyle w:val="FootnoteText"/>
      </w:pPr>
      <w:r>
        <w:rPr>
          <w:rStyle w:val="FootnoteReference"/>
        </w:rPr>
        <w:footnoteRef/>
      </w:r>
      <w:r>
        <w:t xml:space="preserve"> M. Pacheco- Franco, The pursuit of “true spelling” in English: Perspectivism, standardisation and orthographic variation, </w:t>
      </w:r>
      <w:r>
        <w:rPr>
          <w:i/>
          <w:iCs/>
        </w:rPr>
        <w:t xml:space="preserve">Studia Neophilogica, </w:t>
      </w:r>
      <w:r>
        <w:t>(University of Malaga, Spain, Routledge, 2024), p. 784</w:t>
      </w:r>
    </w:p>
  </w:footnote>
  <w:footnote w:id="16">
    <w:p w14:paraId="70C15942" w14:textId="77777777" w:rsidR="004979AB" w:rsidRDefault="004979AB" w:rsidP="004979AB">
      <w:pPr>
        <w:pStyle w:val="FootnoteText"/>
      </w:pPr>
      <w:r>
        <w:rPr>
          <w:rStyle w:val="FootnoteReference"/>
        </w:rPr>
        <w:footnoteRef/>
      </w:r>
      <w:r>
        <w:t xml:space="preserve"> Ed. M.J. Ball, N. Muller, </w:t>
      </w:r>
      <w:r>
        <w:rPr>
          <w:i/>
          <w:iCs/>
        </w:rPr>
        <w:t>The Celtic  Languages</w:t>
      </w:r>
      <w:r>
        <w:t>, 2, (London, Routledge, Taylor &amp; Francis Group, 2015), pp. 1996-1997.</w:t>
      </w:r>
    </w:p>
  </w:footnote>
  <w:footnote w:id="17">
    <w:p w14:paraId="448A2CAA" w14:textId="77777777" w:rsidR="004979AB" w:rsidRPr="001742EE" w:rsidRDefault="004979AB" w:rsidP="004979AB">
      <w:pPr>
        <w:pStyle w:val="FootnoteText"/>
      </w:pPr>
      <w:r>
        <w:rPr>
          <w:rStyle w:val="FootnoteReference"/>
        </w:rPr>
        <w:footnoteRef/>
      </w:r>
      <w:r>
        <w:t xml:space="preserve"> M.S. Lampitt, </w:t>
      </w:r>
      <w:r>
        <w:rPr>
          <w:i/>
          <w:iCs/>
        </w:rPr>
        <w:t xml:space="preserve">Literary Culture in the Medieval Welsh Marches: Networks, Places, Politics, </w:t>
      </w:r>
      <w:r>
        <w:t>(Oxford University Press, 2025), p. 146)</w:t>
      </w:r>
    </w:p>
  </w:footnote>
  <w:footnote w:id="18">
    <w:p w14:paraId="03E060FC" w14:textId="77777777" w:rsidR="004979AB" w:rsidRDefault="004979AB" w:rsidP="004979AB">
      <w:pPr>
        <w:pStyle w:val="FootnoteText"/>
      </w:pPr>
      <w:r>
        <w:rPr>
          <w:rStyle w:val="FootnoteReference"/>
        </w:rPr>
        <w:footnoteRef/>
      </w:r>
      <w:r>
        <w:t xml:space="preserve"> Ibid., p. 38</w:t>
      </w:r>
    </w:p>
  </w:footnote>
  <w:footnote w:id="19">
    <w:p w14:paraId="51F55440" w14:textId="77777777" w:rsidR="004979AB" w:rsidRDefault="004979AB" w:rsidP="004979AB">
      <w:pPr>
        <w:pStyle w:val="FootnoteText"/>
      </w:pPr>
      <w:r>
        <w:rPr>
          <w:rStyle w:val="FootnoteReference"/>
        </w:rPr>
        <w:footnoteRef/>
      </w:r>
      <w:r>
        <w:t xml:space="preserve"> Ibid., pp. 144- 148</w:t>
      </w:r>
    </w:p>
  </w:footnote>
  <w:footnote w:id="20">
    <w:p w14:paraId="4BADF7A3" w14:textId="77777777" w:rsidR="004979AB" w:rsidRDefault="004979AB" w:rsidP="004979AB">
      <w:pPr>
        <w:pStyle w:val="FootnoteText"/>
      </w:pPr>
      <w:r>
        <w:rPr>
          <w:rStyle w:val="FootnoteReference"/>
        </w:rPr>
        <w:footnoteRef/>
      </w:r>
      <w:r>
        <w:t xml:space="preserve"> Ibid., pp.146- 147</w:t>
      </w:r>
    </w:p>
  </w:footnote>
  <w:footnote w:id="21">
    <w:p w14:paraId="6C0200A1" w14:textId="77777777" w:rsidR="004979AB" w:rsidRDefault="004979AB" w:rsidP="004979AB">
      <w:pPr>
        <w:pStyle w:val="FootnoteText"/>
      </w:pPr>
      <w:r>
        <w:rPr>
          <w:rStyle w:val="FootnoteReference"/>
        </w:rPr>
        <w:footnoteRef/>
      </w:r>
      <w:r>
        <w:t xml:space="preserve"> Ibid., p. 38</w:t>
      </w:r>
    </w:p>
  </w:footnote>
  <w:footnote w:id="22">
    <w:p w14:paraId="23DF0738" w14:textId="77777777" w:rsidR="004979AB" w:rsidRPr="00520DFA" w:rsidRDefault="004979AB" w:rsidP="004979AB">
      <w:pPr>
        <w:pStyle w:val="FootnoteText"/>
      </w:pPr>
      <w:r>
        <w:rPr>
          <w:rStyle w:val="FootnoteReference"/>
        </w:rPr>
        <w:footnoteRef/>
      </w:r>
      <w:r>
        <w:t xml:space="preserve"> See </w:t>
      </w:r>
      <w:r>
        <w:rPr>
          <w:i/>
          <w:iCs/>
        </w:rPr>
        <w:t>Transcription</w:t>
      </w:r>
      <w:r>
        <w:t>, Lines 1&amp;2</w:t>
      </w:r>
    </w:p>
  </w:footnote>
  <w:footnote w:id="23">
    <w:p w14:paraId="3E24A405" w14:textId="77777777" w:rsidR="004979AB" w:rsidRDefault="004979AB" w:rsidP="004979AB">
      <w:pPr>
        <w:pStyle w:val="FootnoteText"/>
      </w:pPr>
      <w:r>
        <w:rPr>
          <w:rStyle w:val="FootnoteReference"/>
        </w:rPr>
        <w:footnoteRef/>
      </w:r>
      <w:r>
        <w:t xml:space="preserve"> National Churches Trust, </w:t>
      </w:r>
      <w:r>
        <w:rPr>
          <w:i/>
          <w:iCs/>
        </w:rPr>
        <w:t>St Mary, Marshfield</w:t>
      </w:r>
      <w:r>
        <w:t xml:space="preserve">, </w:t>
      </w:r>
      <w:hyperlink r:id="rId8" w:history="1">
        <w:r w:rsidRPr="00D9333C">
          <w:rPr>
            <w:rStyle w:val="Hyperlink"/>
          </w:rPr>
          <w:t>https://www.nationalchurchestrust.org/church/st-mary-marshfield</w:t>
        </w:r>
      </w:hyperlink>
      <w:r>
        <w:t xml:space="preserve"> [Accessed 2nd March 2026]</w:t>
      </w:r>
    </w:p>
  </w:footnote>
  <w:footnote w:id="24">
    <w:p w14:paraId="1EB521E5" w14:textId="77777777" w:rsidR="004979AB" w:rsidRPr="007A271D" w:rsidRDefault="004979AB" w:rsidP="004979AB">
      <w:pPr>
        <w:pStyle w:val="FootnoteText"/>
      </w:pPr>
      <w:r>
        <w:rPr>
          <w:rStyle w:val="FootnoteReference"/>
        </w:rPr>
        <w:footnoteRef/>
      </w:r>
      <w:r>
        <w:t xml:space="preserve"> English Heritage, </w:t>
      </w:r>
      <w:r>
        <w:rPr>
          <w:i/>
          <w:iCs/>
        </w:rPr>
        <w:t>Origins of English Place Names: Anglo- Saxons and Old English</w:t>
      </w:r>
      <w:r>
        <w:t xml:space="preserve">, </w:t>
      </w:r>
      <w:hyperlink r:id="rId9" w:history="1">
        <w:r w:rsidRPr="00BB082C">
          <w:rPr>
            <w:rStyle w:val="Hyperlink"/>
          </w:rPr>
          <w:t>https://www.english-heritage.org.uk/visit/inspire-me/origins-of-english-place-names/</w:t>
        </w:r>
      </w:hyperlink>
      <w:r>
        <w:t xml:space="preserve"> [Accessed:16</w:t>
      </w:r>
      <w:r w:rsidRPr="00F809B5">
        <w:rPr>
          <w:vertAlign w:val="superscript"/>
        </w:rPr>
        <w:t>th</w:t>
      </w:r>
      <w:r>
        <w:t xml:space="preserve"> February 2026]</w:t>
      </w:r>
    </w:p>
  </w:footnote>
  <w:footnote w:id="25">
    <w:p w14:paraId="25E20C02" w14:textId="77777777" w:rsidR="004979AB" w:rsidRPr="0061294A" w:rsidRDefault="004979AB" w:rsidP="004979AB">
      <w:pPr>
        <w:pStyle w:val="FootnoteText"/>
      </w:pPr>
      <w:r>
        <w:rPr>
          <w:rStyle w:val="FootnoteReference"/>
        </w:rPr>
        <w:footnoteRef/>
      </w:r>
      <w:r>
        <w:t xml:space="preserve"> Glosbe, </w:t>
      </w:r>
      <w:r>
        <w:rPr>
          <w:i/>
          <w:iCs/>
        </w:rPr>
        <w:t>Marshfield</w:t>
      </w:r>
      <w:r>
        <w:t xml:space="preserve">, </w:t>
      </w:r>
      <w:hyperlink r:id="rId10" w:history="1">
        <w:r w:rsidRPr="00BB082C">
          <w:rPr>
            <w:rStyle w:val="Hyperlink"/>
          </w:rPr>
          <w:t>https://glosbe.com/en/cy/Marshfield</w:t>
        </w:r>
      </w:hyperlink>
      <w:r>
        <w:t xml:space="preserve"> [Accessed: 16</w:t>
      </w:r>
      <w:r w:rsidRPr="0061294A">
        <w:rPr>
          <w:vertAlign w:val="superscript"/>
        </w:rPr>
        <w:t>th</w:t>
      </w:r>
      <w:r>
        <w:t xml:space="preserve"> February 2026]</w:t>
      </w:r>
    </w:p>
  </w:footnote>
  <w:footnote w:id="26">
    <w:p w14:paraId="6BF37CF2" w14:textId="77777777" w:rsidR="004979AB" w:rsidRPr="009D572E" w:rsidRDefault="004979AB" w:rsidP="004979AB">
      <w:pPr>
        <w:pStyle w:val="FootnoteText"/>
      </w:pPr>
      <w:r>
        <w:rPr>
          <w:rStyle w:val="FootnoteReference"/>
        </w:rPr>
        <w:footnoteRef/>
      </w:r>
      <w:r>
        <w:t xml:space="preserve"> P. Hanks, K. Hardcastle, F. Hodges, </w:t>
      </w:r>
      <w:r>
        <w:rPr>
          <w:i/>
          <w:iCs/>
        </w:rPr>
        <w:t>Oxford Dictionary of First Names,</w:t>
      </w:r>
      <w:r>
        <w:t xml:space="preserve"> 2, (Oxford University Press, 2006), </w:t>
      </w:r>
      <w:hyperlink r:id="rId11" w:history="1">
        <w:r w:rsidRPr="00D9333C">
          <w:rPr>
            <w:rStyle w:val="Hyperlink"/>
          </w:rPr>
          <w:t>https://www-oxfordreference-com.uwtsd.idm.oclc.org/display/10.1093/acref/9780198610601.001.0001/acref-9780198610601-e-7688</w:t>
        </w:r>
      </w:hyperlink>
      <w:r>
        <w:t xml:space="preserve"> [Accessed 26th February 2026].</w:t>
      </w:r>
    </w:p>
  </w:footnote>
  <w:footnote w:id="27">
    <w:p w14:paraId="770D300B" w14:textId="77777777" w:rsidR="004979AB" w:rsidRPr="002E7859" w:rsidRDefault="004979AB" w:rsidP="004979AB">
      <w:pPr>
        <w:pStyle w:val="FootnoteText"/>
      </w:pPr>
      <w:r>
        <w:rPr>
          <w:rStyle w:val="FootnoteReference"/>
        </w:rPr>
        <w:footnoteRef/>
      </w:r>
      <w:r>
        <w:t xml:space="preserve"> National Churches Trust, </w:t>
      </w:r>
      <w:r>
        <w:rPr>
          <w:i/>
          <w:iCs/>
        </w:rPr>
        <w:t>St Mary, Marshfield</w:t>
      </w:r>
      <w:r>
        <w:t>.</w:t>
      </w:r>
    </w:p>
  </w:footnote>
  <w:footnote w:id="28">
    <w:p w14:paraId="4FF917FF" w14:textId="77777777" w:rsidR="004979AB" w:rsidRPr="00481795" w:rsidRDefault="004979AB" w:rsidP="004979AB">
      <w:pPr>
        <w:pStyle w:val="FootnoteText"/>
      </w:pPr>
      <w:r>
        <w:rPr>
          <w:rStyle w:val="FootnoteReference"/>
        </w:rPr>
        <w:footnoteRef/>
      </w:r>
      <w:r>
        <w:t xml:space="preserve"> A.D. Mills., </w:t>
      </w:r>
      <w:r>
        <w:rPr>
          <w:i/>
          <w:iCs/>
        </w:rPr>
        <w:t>A Dictionary of British Place Names</w:t>
      </w:r>
      <w:r>
        <w:t xml:space="preserve">, (Oxford University Press, 2011), Marshfield, </w:t>
      </w:r>
      <w:hyperlink r:id="rId12" w:history="1">
        <w:r w:rsidRPr="00D9333C">
          <w:rPr>
            <w:rStyle w:val="Hyperlink"/>
          </w:rPr>
          <w:t>https://www-oxfordreference.com.uwtsd.idm.oclc.org/display/10.1093/acref/9780199609086.001.0001/acref-9780199609086</w:t>
        </w:r>
      </w:hyperlink>
      <w:r>
        <w:t xml:space="preserve"> [Accessed 16th February 2026]. </w:t>
      </w:r>
    </w:p>
  </w:footnote>
  <w:footnote w:id="29">
    <w:p w14:paraId="221A712C" w14:textId="77777777" w:rsidR="004979AB" w:rsidRDefault="004979AB" w:rsidP="004979AB">
      <w:pPr>
        <w:pStyle w:val="FootnoteText"/>
      </w:pPr>
      <w:r>
        <w:rPr>
          <w:rStyle w:val="FootnoteReference"/>
        </w:rPr>
        <w:footnoteRef/>
      </w:r>
      <w:r>
        <w:t xml:space="preserve">Living Levels, </w:t>
      </w:r>
      <w:r>
        <w:rPr>
          <w:i/>
          <w:iCs/>
        </w:rPr>
        <w:t>Churches on the Levels</w:t>
      </w:r>
      <w:r>
        <w:t xml:space="preserve">, </w:t>
      </w:r>
      <w:hyperlink r:id="rId13" w:history="1">
        <w:r w:rsidRPr="00D9333C">
          <w:rPr>
            <w:rStyle w:val="Hyperlink"/>
          </w:rPr>
          <w:t>https://www.livinglevels.</w:t>
        </w:r>
        <w:r w:rsidRPr="00D9333C">
          <w:rPr>
            <w:rStyle w:val="Hyperlink"/>
          </w:rPr>
          <w:t>o</w:t>
        </w:r>
        <w:r w:rsidRPr="00D9333C">
          <w:rPr>
            <w:rStyle w:val="Hyperlink"/>
          </w:rPr>
          <w:t>rg.uk/stories/2021/7/26/churches-on-the-levels</w:t>
        </w:r>
      </w:hyperlink>
      <w:r>
        <w:t xml:space="preserve"> [Accessed 3rd March 2026]</w:t>
      </w:r>
    </w:p>
  </w:footnote>
  <w:footnote w:id="30">
    <w:p w14:paraId="6B746F29" w14:textId="77777777" w:rsidR="004979AB" w:rsidRPr="007A1DE3" w:rsidRDefault="004979AB" w:rsidP="004979AB">
      <w:pPr>
        <w:pStyle w:val="FootnoteText"/>
      </w:pPr>
      <w:r>
        <w:rPr>
          <w:rStyle w:val="FootnoteReference"/>
        </w:rPr>
        <w:footnoteRef/>
      </w:r>
      <w:r>
        <w:t xml:space="preserve"> See </w:t>
      </w:r>
      <w:r>
        <w:rPr>
          <w:i/>
          <w:iCs/>
        </w:rPr>
        <w:t>Transcription</w:t>
      </w:r>
      <w:r>
        <w:t>, Lines 1&amp;2.</w:t>
      </w:r>
    </w:p>
  </w:footnote>
  <w:footnote w:id="31">
    <w:p w14:paraId="6CD9715A" w14:textId="77777777" w:rsidR="004979AB" w:rsidRPr="00D642D0" w:rsidRDefault="004979AB" w:rsidP="004979AB">
      <w:pPr>
        <w:pStyle w:val="FootnoteText"/>
      </w:pPr>
      <w:r>
        <w:rPr>
          <w:rStyle w:val="FootnoteReference"/>
        </w:rPr>
        <w:footnoteRef/>
      </w:r>
      <w:r>
        <w:t xml:space="preserve"> The Corpus of Romanesque Sculptures in Britain and Ireland, </w:t>
      </w:r>
      <w:r>
        <w:rPr>
          <w:i/>
          <w:iCs/>
        </w:rPr>
        <w:t xml:space="preserve">St Mary the Virgin, Tewkesbury Abbey, Gloucestershire, </w:t>
      </w:r>
      <w:hyperlink r:id="rId14" w:history="1">
        <w:r w:rsidRPr="00D642D0">
          <w:rPr>
            <w:rStyle w:val="Hyperlink"/>
          </w:rPr>
          <w:t>https://www.crsbi.ac.uk/view-item?i=2301</w:t>
        </w:r>
      </w:hyperlink>
      <w:r>
        <w:rPr>
          <w:i/>
          <w:iCs/>
        </w:rPr>
        <w:t xml:space="preserve"> </w:t>
      </w:r>
      <w:r>
        <w:t>[Accessed 16</w:t>
      </w:r>
      <w:r w:rsidRPr="00533266">
        <w:rPr>
          <w:vertAlign w:val="superscript"/>
        </w:rPr>
        <w:t>th</w:t>
      </w:r>
      <w:r>
        <w:t xml:space="preserve"> March, 2026]</w:t>
      </w:r>
    </w:p>
  </w:footnote>
  <w:footnote w:id="32">
    <w:p w14:paraId="6CDE7477" w14:textId="77777777" w:rsidR="004979AB" w:rsidRDefault="004979AB" w:rsidP="004979AB">
      <w:pPr>
        <w:pStyle w:val="FootnoteText"/>
      </w:pPr>
      <w:r>
        <w:rPr>
          <w:rStyle w:val="FootnoteReference"/>
        </w:rPr>
        <w:footnoteRef/>
      </w:r>
      <w:r>
        <w:t xml:space="preserve"> Ibid., Tewkesbury Abbey</w:t>
      </w:r>
    </w:p>
  </w:footnote>
  <w:footnote w:id="33">
    <w:p w14:paraId="2D26F34A" w14:textId="77777777" w:rsidR="004979AB" w:rsidRPr="00EE206C" w:rsidRDefault="004979AB" w:rsidP="004979AB">
      <w:pPr>
        <w:pStyle w:val="FootnoteText"/>
      </w:pPr>
      <w:r>
        <w:rPr>
          <w:rStyle w:val="FootnoteReference"/>
        </w:rPr>
        <w:footnoteRef/>
      </w:r>
      <w:r>
        <w:t xml:space="preserve"> Ibid., St. Mary the Virgin.</w:t>
      </w:r>
    </w:p>
  </w:footnote>
  <w:footnote w:id="34">
    <w:p w14:paraId="4A5033AD" w14:textId="77777777" w:rsidR="004979AB" w:rsidRPr="003866F6" w:rsidRDefault="004979AB" w:rsidP="004979AB">
      <w:pPr>
        <w:pStyle w:val="FootnoteText"/>
      </w:pPr>
      <w:r>
        <w:rPr>
          <w:rStyle w:val="FootnoteReference"/>
        </w:rPr>
        <w:footnoteRef/>
      </w:r>
      <w:r>
        <w:t xml:space="preserve"> See </w:t>
      </w:r>
      <w:r>
        <w:rPr>
          <w:i/>
          <w:iCs/>
        </w:rPr>
        <w:t>Transcription</w:t>
      </w:r>
      <w:r>
        <w:t>, Lines 1&amp;2.</w:t>
      </w:r>
    </w:p>
  </w:footnote>
  <w:footnote w:id="35">
    <w:p w14:paraId="01DB4CDE" w14:textId="77777777" w:rsidR="004979AB" w:rsidRDefault="004979AB" w:rsidP="004979AB">
      <w:pPr>
        <w:pStyle w:val="FootnoteText"/>
      </w:pPr>
      <w:r>
        <w:rPr>
          <w:rStyle w:val="FootnoteReference"/>
        </w:rPr>
        <w:footnoteRef/>
      </w:r>
      <w:r>
        <w:t xml:space="preserve"> Ibid., Lines 2&amp;3</w:t>
      </w:r>
    </w:p>
  </w:footnote>
  <w:footnote w:id="36">
    <w:p w14:paraId="55208C08" w14:textId="77777777" w:rsidR="004979AB" w:rsidRPr="00C62383" w:rsidRDefault="004979AB" w:rsidP="004979AB">
      <w:pPr>
        <w:pStyle w:val="FootnoteText"/>
      </w:pPr>
      <w:r>
        <w:rPr>
          <w:rStyle w:val="FootnoteReference"/>
        </w:rPr>
        <w:footnoteRef/>
      </w:r>
      <w:r>
        <w:t xml:space="preserve"> Ed. J. Morwood, </w:t>
      </w:r>
      <w:r>
        <w:rPr>
          <w:i/>
          <w:iCs/>
        </w:rPr>
        <w:t>Pocket Oxford</w:t>
      </w:r>
      <w:r>
        <w:t xml:space="preserve"> </w:t>
      </w:r>
      <w:r>
        <w:rPr>
          <w:i/>
          <w:iCs/>
        </w:rPr>
        <w:t>Latin Dictionary: Latin- English: Concess</w:t>
      </w:r>
      <w:r w:rsidRPr="00C63C3C">
        <w:t>i</w:t>
      </w:r>
      <w:r w:rsidRPr="005E67A0">
        <w:rPr>
          <w:rFonts w:eastAsia="Times New Roman" w:cs="Arial"/>
          <w:color w:val="231F20"/>
          <w:kern w:val="36"/>
          <w14:ligatures w14:val="none"/>
        </w:rPr>
        <w:t>ō</w:t>
      </w:r>
      <w:r>
        <w:t xml:space="preserve">, 3, (Oxford University Press, 2005), </w:t>
      </w:r>
      <w:hyperlink r:id="rId15" w:history="1">
        <w:r w:rsidRPr="00D9333C">
          <w:rPr>
            <w:rStyle w:val="Hyperlink"/>
          </w:rPr>
          <w:t>https://www-oxfordreference-com.uwtsd.idm.oclc.org/display/10.1093/acref/9780191739583.001.0001/b-la-en-00001-0002115?rske</w:t>
        </w:r>
        <w:r w:rsidRPr="00D9333C">
          <w:rPr>
            <w:rStyle w:val="Hyperlink"/>
          </w:rPr>
          <w:t>y</w:t>
        </w:r>
        <w:r w:rsidRPr="00D9333C">
          <w:rPr>
            <w:rStyle w:val="Hyperlink"/>
          </w:rPr>
          <w:t>=imvMiU&amp;result=2101</w:t>
        </w:r>
      </w:hyperlink>
      <w:r>
        <w:t xml:space="preserve"> [Accessed 22</w:t>
      </w:r>
      <w:r w:rsidRPr="00B06479">
        <w:rPr>
          <w:vertAlign w:val="superscript"/>
        </w:rPr>
        <w:t>nd</w:t>
      </w:r>
      <w:r>
        <w:t xml:space="preserve"> March 2026].</w:t>
      </w:r>
    </w:p>
  </w:footnote>
  <w:footnote w:id="37">
    <w:p w14:paraId="5CA8EF44" w14:textId="77777777" w:rsidR="004979AB" w:rsidRPr="00916A63" w:rsidRDefault="004979AB" w:rsidP="004979AB">
      <w:pPr>
        <w:pStyle w:val="Heading1"/>
        <w:shd w:val="clear" w:color="auto" w:fill="FFFFFF"/>
        <w:spacing w:before="192" w:after="225" w:line="240" w:lineRule="auto"/>
        <w:rPr>
          <w:rFonts w:asciiTheme="minorHAnsi" w:eastAsia="Times New Roman" w:hAnsiTheme="minorHAnsi" w:cs="Arial"/>
          <w:color w:val="auto"/>
          <w:kern w:val="36"/>
          <w:sz w:val="20"/>
          <w:szCs w:val="20"/>
          <w14:ligatures w14:val="none"/>
        </w:rPr>
      </w:pPr>
      <w:r w:rsidRPr="00381F57">
        <w:rPr>
          <w:rStyle w:val="FootnoteReference"/>
          <w:rFonts w:asciiTheme="minorHAnsi" w:hAnsiTheme="minorHAnsi"/>
          <w:color w:val="auto"/>
          <w:sz w:val="20"/>
          <w:szCs w:val="20"/>
        </w:rPr>
        <w:footnoteRef/>
      </w:r>
      <w:r w:rsidRPr="00381F57">
        <w:rPr>
          <w:rFonts w:asciiTheme="minorHAnsi" w:hAnsiTheme="minorHAnsi"/>
          <w:color w:val="auto"/>
          <w:sz w:val="20"/>
          <w:szCs w:val="20"/>
        </w:rPr>
        <w:t xml:space="preserve"> Ibid., </w:t>
      </w:r>
      <w:r w:rsidRPr="00381F57">
        <w:rPr>
          <w:rFonts w:asciiTheme="minorHAnsi" w:eastAsia="Times New Roman" w:hAnsiTheme="minorHAnsi" w:cs="Arial"/>
          <w:color w:val="auto"/>
          <w:kern w:val="36"/>
          <w:sz w:val="20"/>
          <w:szCs w:val="20"/>
          <w14:ligatures w14:val="none"/>
        </w:rPr>
        <w:t>hērēditās</w:t>
      </w:r>
    </w:p>
  </w:footnote>
  <w:footnote w:id="38">
    <w:p w14:paraId="57EFE4CF" w14:textId="77777777" w:rsidR="004979AB" w:rsidRPr="00C35F17" w:rsidRDefault="004979AB" w:rsidP="004979AB">
      <w:pPr>
        <w:pStyle w:val="FootnoteText"/>
      </w:pPr>
      <w:r>
        <w:rPr>
          <w:rStyle w:val="FootnoteReference"/>
        </w:rPr>
        <w:footnoteRef/>
      </w:r>
      <w:r>
        <w:t xml:space="preserve"> See </w:t>
      </w:r>
      <w:r>
        <w:rPr>
          <w:i/>
          <w:iCs/>
        </w:rPr>
        <w:t>Transcription</w:t>
      </w:r>
      <w:r>
        <w:t>, Lines2&amp;3.</w:t>
      </w:r>
    </w:p>
  </w:footnote>
  <w:footnote w:id="39">
    <w:p w14:paraId="2929C2A0" w14:textId="77777777" w:rsidR="004979AB" w:rsidRDefault="004979AB" w:rsidP="004979AB">
      <w:pPr>
        <w:pStyle w:val="FootnoteText"/>
      </w:pPr>
      <w:r>
        <w:rPr>
          <w:rStyle w:val="FootnoteReference"/>
        </w:rPr>
        <w:footnoteRef/>
      </w:r>
      <w:r>
        <w:t xml:space="preserve"> Ibid., Lines 4&amp;5.</w:t>
      </w:r>
    </w:p>
  </w:footnote>
  <w:footnote w:id="40">
    <w:p w14:paraId="421C3D68" w14:textId="77777777" w:rsidR="004979AB" w:rsidRPr="00CE1284" w:rsidRDefault="004979AB" w:rsidP="004979AB">
      <w:pPr>
        <w:pStyle w:val="FootnoteText"/>
        <w:rPr>
          <w:i/>
          <w:iCs/>
        </w:rPr>
      </w:pPr>
      <w:r>
        <w:rPr>
          <w:rStyle w:val="FootnoteReference"/>
        </w:rPr>
        <w:footnoteRef/>
      </w:r>
      <w:r>
        <w:t xml:space="preserve"> Pocket Oxford Latin Dictionary, </w:t>
      </w:r>
      <w:r>
        <w:rPr>
          <w:i/>
          <w:iCs/>
        </w:rPr>
        <w:t>Dies</w:t>
      </w:r>
    </w:p>
  </w:footnote>
  <w:footnote w:id="41">
    <w:p w14:paraId="506C8AFC" w14:textId="77777777" w:rsidR="004979AB" w:rsidRPr="008025CC" w:rsidRDefault="004979AB" w:rsidP="004979AB">
      <w:pPr>
        <w:pStyle w:val="FootnoteText"/>
        <w:rPr>
          <w:i/>
          <w:iCs/>
        </w:rPr>
      </w:pPr>
      <w:r>
        <w:rPr>
          <w:rStyle w:val="FootnoteReference"/>
        </w:rPr>
        <w:footnoteRef/>
      </w:r>
      <w:r>
        <w:t xml:space="preserve"> Ibid., </w:t>
      </w:r>
      <w:r>
        <w:rPr>
          <w:i/>
          <w:iCs/>
        </w:rPr>
        <w:t xml:space="preserve">Census. </w:t>
      </w:r>
    </w:p>
  </w:footnote>
  <w:footnote w:id="42">
    <w:p w14:paraId="6F1CB4F8" w14:textId="77777777" w:rsidR="004979AB" w:rsidRPr="001831E4" w:rsidRDefault="004979AB" w:rsidP="004979AB">
      <w:pPr>
        <w:pStyle w:val="FootnoteText"/>
      </w:pPr>
      <w:r>
        <w:rPr>
          <w:rStyle w:val="FootnoteReference"/>
        </w:rPr>
        <w:footnoteRef/>
      </w:r>
      <w:r>
        <w:t xml:space="preserve"> Ibid., </w:t>
      </w:r>
      <w:r>
        <w:rPr>
          <w:i/>
          <w:iCs/>
        </w:rPr>
        <w:t>Bene</w:t>
      </w:r>
      <w:r>
        <w:t>.</w:t>
      </w:r>
    </w:p>
  </w:footnote>
  <w:footnote w:id="43">
    <w:p w14:paraId="3B577C9D" w14:textId="77777777" w:rsidR="004979AB" w:rsidRPr="005F43E6" w:rsidRDefault="004979AB" w:rsidP="004979AB">
      <w:pPr>
        <w:pStyle w:val="FootnoteText"/>
        <w:rPr>
          <w:i/>
          <w:iCs/>
        </w:rPr>
      </w:pPr>
      <w:r>
        <w:rPr>
          <w:rStyle w:val="FootnoteReference"/>
        </w:rPr>
        <w:footnoteRef/>
      </w:r>
      <w:r>
        <w:t xml:space="preserve"> Ibid.,</w:t>
      </w:r>
      <w:r w:rsidRPr="005F43E6">
        <w:t xml:space="preserve"> </w:t>
      </w:r>
      <w:r w:rsidRPr="005F43E6">
        <w:rPr>
          <w:i/>
          <w:iCs/>
        </w:rPr>
        <w:t>H</w:t>
      </w:r>
      <w:r w:rsidRPr="00C537A1">
        <w:rPr>
          <w:rFonts w:eastAsia="Times New Roman" w:cs="Arial"/>
          <w:i/>
          <w:iCs/>
          <w:color w:val="231F20"/>
          <w:kern w:val="36"/>
          <w14:ligatures w14:val="none"/>
        </w:rPr>
        <w:t>ī</w:t>
      </w:r>
      <w:r w:rsidRPr="005F43E6">
        <w:rPr>
          <w:i/>
          <w:iCs/>
        </w:rPr>
        <w:t>c</w:t>
      </w:r>
      <w:r>
        <w:rPr>
          <w:i/>
          <w:iCs/>
        </w:rPr>
        <w:t>.</w:t>
      </w:r>
    </w:p>
  </w:footnote>
  <w:footnote w:id="44">
    <w:p w14:paraId="265469E1" w14:textId="77777777" w:rsidR="004979AB" w:rsidRPr="00CF45FD" w:rsidRDefault="004979AB" w:rsidP="004979AB">
      <w:pPr>
        <w:pStyle w:val="FootnoteText"/>
        <w:rPr>
          <w:i/>
          <w:iCs/>
        </w:rPr>
      </w:pPr>
      <w:r>
        <w:rPr>
          <w:rStyle w:val="FootnoteReference"/>
        </w:rPr>
        <w:footnoteRef/>
      </w:r>
      <w:r>
        <w:t xml:space="preserve"> Ibid., </w:t>
      </w:r>
      <w:r>
        <w:rPr>
          <w:i/>
          <w:iCs/>
        </w:rPr>
        <w:t>Hic.</w:t>
      </w:r>
    </w:p>
  </w:footnote>
  <w:footnote w:id="45">
    <w:p w14:paraId="0F6EA439" w14:textId="77777777" w:rsidR="004979AB" w:rsidRPr="00A3201C" w:rsidRDefault="004979AB" w:rsidP="004979AB">
      <w:pPr>
        <w:pStyle w:val="FootnoteText"/>
      </w:pPr>
      <w:r>
        <w:rPr>
          <w:rStyle w:val="FootnoteReference"/>
        </w:rPr>
        <w:footnoteRef/>
      </w:r>
      <w:r>
        <w:t xml:space="preserve"> C. De Stefano, M. Maniaci, F. Fontanella, A. Scotto di Freca, Reliable writer identification in medieval manuscripts through page layout features: The ‘Avila’ Bible Case, </w:t>
      </w:r>
      <w:r>
        <w:rPr>
          <w:i/>
          <w:iCs/>
        </w:rPr>
        <w:t xml:space="preserve">Engineering Applications of Artificial Intelligence, </w:t>
      </w:r>
      <w:r>
        <w:t>72, (2018), p. 99.</w:t>
      </w:r>
    </w:p>
  </w:footnote>
  <w:footnote w:id="46">
    <w:p w14:paraId="229EDD20" w14:textId="77777777" w:rsidR="004979AB" w:rsidRPr="009260E4" w:rsidRDefault="004979AB" w:rsidP="004979AB">
      <w:pPr>
        <w:pStyle w:val="FootnoteText"/>
      </w:pPr>
      <w:r>
        <w:rPr>
          <w:rStyle w:val="FootnoteReference"/>
        </w:rPr>
        <w:footnoteRef/>
      </w:r>
      <w:r>
        <w:t xml:space="preserve"> E.O. Omayo, S. Indu, J. Panda., Historical manuscript dating: traditional and current trends, </w:t>
      </w:r>
      <w:r>
        <w:rPr>
          <w:i/>
          <w:iCs/>
        </w:rPr>
        <w:t>Multimedia Tools and Applications</w:t>
      </w:r>
      <w:r>
        <w:t>, 81:22, (New York: Springs US, 2022), pp.31573-31576.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B1E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01210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9AB"/>
    <w:rsid w:val="00057562"/>
    <w:rsid w:val="004979AB"/>
    <w:rsid w:val="00946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6B977E"/>
  <w15:chartTrackingRefBased/>
  <w15:docId w15:val="{6B051A37-3EBB-1141-BD87-6E9F6D44F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9AB"/>
    <w:rPr>
      <w:rFonts w:eastAsiaTheme="minorEastAsia"/>
      <w:lang w:eastAsia="en-GB"/>
    </w:rPr>
  </w:style>
  <w:style w:type="paragraph" w:styleId="Heading1">
    <w:name w:val="heading 1"/>
    <w:basedOn w:val="Normal"/>
    <w:next w:val="Normal"/>
    <w:link w:val="Heading1Char"/>
    <w:uiPriority w:val="9"/>
    <w:qFormat/>
    <w:rsid w:val="004979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79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79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79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79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9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9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9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9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9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79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79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79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79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79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9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9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9AB"/>
    <w:rPr>
      <w:rFonts w:eastAsiaTheme="majorEastAsia" w:cstheme="majorBidi"/>
      <w:color w:val="272727" w:themeColor="text1" w:themeTint="D8"/>
    </w:rPr>
  </w:style>
  <w:style w:type="paragraph" w:styleId="Title">
    <w:name w:val="Title"/>
    <w:basedOn w:val="Normal"/>
    <w:next w:val="Normal"/>
    <w:link w:val="TitleChar"/>
    <w:uiPriority w:val="10"/>
    <w:qFormat/>
    <w:rsid w:val="004979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9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9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9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9AB"/>
    <w:pPr>
      <w:spacing w:before="160"/>
      <w:jc w:val="center"/>
    </w:pPr>
    <w:rPr>
      <w:i/>
      <w:iCs/>
      <w:color w:val="404040" w:themeColor="text1" w:themeTint="BF"/>
    </w:rPr>
  </w:style>
  <w:style w:type="character" w:customStyle="1" w:styleId="QuoteChar">
    <w:name w:val="Quote Char"/>
    <w:basedOn w:val="DefaultParagraphFont"/>
    <w:link w:val="Quote"/>
    <w:uiPriority w:val="29"/>
    <w:rsid w:val="004979AB"/>
    <w:rPr>
      <w:i/>
      <w:iCs/>
      <w:color w:val="404040" w:themeColor="text1" w:themeTint="BF"/>
    </w:rPr>
  </w:style>
  <w:style w:type="paragraph" w:styleId="ListParagraph">
    <w:name w:val="List Paragraph"/>
    <w:basedOn w:val="Normal"/>
    <w:uiPriority w:val="34"/>
    <w:qFormat/>
    <w:rsid w:val="004979AB"/>
    <w:pPr>
      <w:ind w:left="720"/>
      <w:contextualSpacing/>
    </w:pPr>
  </w:style>
  <w:style w:type="character" w:styleId="IntenseEmphasis">
    <w:name w:val="Intense Emphasis"/>
    <w:basedOn w:val="DefaultParagraphFont"/>
    <w:uiPriority w:val="21"/>
    <w:qFormat/>
    <w:rsid w:val="004979AB"/>
    <w:rPr>
      <w:i/>
      <w:iCs/>
      <w:color w:val="0F4761" w:themeColor="accent1" w:themeShade="BF"/>
    </w:rPr>
  </w:style>
  <w:style w:type="paragraph" w:styleId="IntenseQuote">
    <w:name w:val="Intense Quote"/>
    <w:basedOn w:val="Normal"/>
    <w:next w:val="Normal"/>
    <w:link w:val="IntenseQuoteChar"/>
    <w:uiPriority w:val="30"/>
    <w:qFormat/>
    <w:rsid w:val="004979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79AB"/>
    <w:rPr>
      <w:i/>
      <w:iCs/>
      <w:color w:val="0F4761" w:themeColor="accent1" w:themeShade="BF"/>
    </w:rPr>
  </w:style>
  <w:style w:type="character" w:styleId="IntenseReference">
    <w:name w:val="Intense Reference"/>
    <w:basedOn w:val="DefaultParagraphFont"/>
    <w:uiPriority w:val="32"/>
    <w:qFormat/>
    <w:rsid w:val="004979AB"/>
    <w:rPr>
      <w:b/>
      <w:bCs/>
      <w:smallCaps/>
      <w:color w:val="0F4761" w:themeColor="accent1" w:themeShade="BF"/>
      <w:spacing w:val="5"/>
    </w:rPr>
  </w:style>
  <w:style w:type="paragraph" w:customStyle="1" w:styleId="p1">
    <w:name w:val="p1"/>
    <w:basedOn w:val="Normal"/>
    <w:rsid w:val="004979AB"/>
    <w:pPr>
      <w:spacing w:after="120" w:line="240" w:lineRule="auto"/>
    </w:pPr>
    <w:rPr>
      <w:rFonts w:ascii="Helvetica" w:hAnsi="Helvetica" w:cs="Times New Roman"/>
      <w:color w:val="000000"/>
      <w:kern w:val="0"/>
      <w:sz w:val="18"/>
      <w:szCs w:val="18"/>
      <w14:ligatures w14:val="none"/>
    </w:rPr>
  </w:style>
  <w:style w:type="character" w:customStyle="1" w:styleId="s1">
    <w:name w:val="s1"/>
    <w:basedOn w:val="DefaultParagraphFont"/>
    <w:rsid w:val="004979AB"/>
    <w:rPr>
      <w:rFonts w:ascii="Helvetica" w:hAnsi="Helvetica" w:hint="default"/>
      <w:b w:val="0"/>
      <w:bCs w:val="0"/>
      <w:i w:val="0"/>
      <w:iCs w:val="0"/>
      <w:sz w:val="18"/>
      <w:szCs w:val="18"/>
    </w:rPr>
  </w:style>
  <w:style w:type="character" w:customStyle="1" w:styleId="s2">
    <w:name w:val="s2"/>
    <w:basedOn w:val="DefaultParagraphFont"/>
    <w:rsid w:val="004979AB"/>
    <w:rPr>
      <w:rFonts w:ascii="Helvetica" w:hAnsi="Helvetica" w:hint="default"/>
      <w:b/>
      <w:bCs/>
      <w:i w:val="0"/>
      <w:iCs w:val="0"/>
      <w:sz w:val="18"/>
      <w:szCs w:val="18"/>
    </w:rPr>
  </w:style>
  <w:style w:type="paragraph" w:customStyle="1" w:styleId="li1">
    <w:name w:val="li1"/>
    <w:basedOn w:val="Normal"/>
    <w:rsid w:val="004979AB"/>
    <w:pPr>
      <w:spacing w:after="120" w:line="240" w:lineRule="auto"/>
    </w:pPr>
    <w:rPr>
      <w:rFonts w:ascii="Helvetica" w:hAnsi="Helvetica" w:cs="Times New Roman"/>
      <w:color w:val="000000"/>
      <w:kern w:val="0"/>
      <w:sz w:val="18"/>
      <w:szCs w:val="18"/>
      <w14:ligatures w14:val="none"/>
    </w:rPr>
  </w:style>
  <w:style w:type="paragraph" w:styleId="FootnoteText">
    <w:name w:val="footnote text"/>
    <w:basedOn w:val="Normal"/>
    <w:link w:val="FootnoteTextChar"/>
    <w:uiPriority w:val="99"/>
    <w:unhideWhenUsed/>
    <w:rsid w:val="004979AB"/>
    <w:pPr>
      <w:spacing w:after="0" w:line="240" w:lineRule="auto"/>
    </w:pPr>
    <w:rPr>
      <w:sz w:val="20"/>
      <w:szCs w:val="20"/>
    </w:rPr>
  </w:style>
  <w:style w:type="character" w:customStyle="1" w:styleId="FootnoteTextChar">
    <w:name w:val="Footnote Text Char"/>
    <w:basedOn w:val="DefaultParagraphFont"/>
    <w:link w:val="FootnoteText"/>
    <w:uiPriority w:val="99"/>
    <w:rsid w:val="004979AB"/>
    <w:rPr>
      <w:rFonts w:eastAsiaTheme="minorEastAsia"/>
      <w:sz w:val="20"/>
      <w:szCs w:val="20"/>
      <w:lang w:eastAsia="en-GB"/>
    </w:rPr>
  </w:style>
  <w:style w:type="character" w:styleId="FootnoteReference">
    <w:name w:val="footnote reference"/>
    <w:basedOn w:val="DefaultParagraphFont"/>
    <w:uiPriority w:val="99"/>
    <w:semiHidden/>
    <w:unhideWhenUsed/>
    <w:rsid w:val="004979AB"/>
    <w:rPr>
      <w:vertAlign w:val="superscript"/>
    </w:rPr>
  </w:style>
  <w:style w:type="character" w:styleId="Hyperlink">
    <w:name w:val="Hyperlink"/>
    <w:basedOn w:val="DefaultParagraphFont"/>
    <w:uiPriority w:val="99"/>
    <w:unhideWhenUsed/>
    <w:rsid w:val="004979AB"/>
    <w:rPr>
      <w:color w:val="467886" w:themeColor="hyperlink"/>
      <w:u w:val="single"/>
    </w:rPr>
  </w:style>
  <w:style w:type="character" w:styleId="UnresolvedMention">
    <w:name w:val="Unresolved Mention"/>
    <w:basedOn w:val="DefaultParagraphFont"/>
    <w:uiPriority w:val="99"/>
    <w:semiHidden/>
    <w:unhideWhenUsed/>
    <w:rsid w:val="004979AB"/>
    <w:rPr>
      <w:color w:val="605E5C"/>
      <w:shd w:val="clear" w:color="auto" w:fill="E1DFDD"/>
    </w:rPr>
  </w:style>
  <w:style w:type="character" w:styleId="FollowedHyperlink">
    <w:name w:val="FollowedHyperlink"/>
    <w:basedOn w:val="DefaultParagraphFont"/>
    <w:uiPriority w:val="99"/>
    <w:semiHidden/>
    <w:unhideWhenUsed/>
    <w:rsid w:val="004979AB"/>
    <w:rPr>
      <w:color w:val="96607D" w:themeColor="followedHyperlink"/>
      <w:u w:val="single"/>
    </w:rPr>
  </w:style>
  <w:style w:type="paragraph" w:styleId="Header">
    <w:name w:val="header"/>
    <w:basedOn w:val="Normal"/>
    <w:link w:val="HeaderChar"/>
    <w:uiPriority w:val="99"/>
    <w:semiHidden/>
    <w:unhideWhenUsed/>
    <w:rsid w:val="004979A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979AB"/>
    <w:rPr>
      <w:rFonts w:eastAsiaTheme="minorEastAsia"/>
      <w:lang w:eastAsia="en-GB"/>
    </w:rPr>
  </w:style>
  <w:style w:type="paragraph" w:styleId="Footer">
    <w:name w:val="footer"/>
    <w:basedOn w:val="Normal"/>
    <w:link w:val="FooterChar"/>
    <w:uiPriority w:val="99"/>
    <w:semiHidden/>
    <w:unhideWhenUsed/>
    <w:rsid w:val="004979A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979AB"/>
    <w:rPr>
      <w:rFonts w:eastAsiaTheme="minorEastAsia"/>
      <w:lang w:eastAsia="en-GB"/>
    </w:rPr>
  </w:style>
  <w:style w:type="paragraph" w:styleId="NormalWeb">
    <w:name w:val="Normal (Web)"/>
    <w:basedOn w:val="Normal"/>
    <w:uiPriority w:val="99"/>
    <w:unhideWhenUsed/>
    <w:rsid w:val="004979AB"/>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nglish-heritage.org.uk/visit/inspire-me/origins-of-english-place-names/" TargetMode="External"/><Relationship Id="rId18" Type="http://schemas.openxmlformats.org/officeDocument/2006/relationships/hyperlink" Target="https://medievalwritings.atillo.com.au/writing.htm" TargetMode="External"/><Relationship Id="rId3" Type="http://schemas.openxmlformats.org/officeDocument/2006/relationships/settings" Target="settings.xml"/><Relationship Id="rId21" Type="http://schemas.openxmlformats.org/officeDocument/2006/relationships/hyperlink" Target="https://www.crsbi.ac.uk/view-item?i=2301" TargetMode="External"/><Relationship Id="rId7" Type="http://schemas.openxmlformats.org/officeDocument/2006/relationships/image" Target="media/image1.jpeg"/><Relationship Id="rId12" Type="http://schemas.openxmlformats.org/officeDocument/2006/relationships/hyperlink" Target="https://www-oxfordreference-com.uwtsd.idm.oclc.org" TargetMode="External"/><Relationship Id="rId17" Type="http://schemas.openxmlformats.org/officeDocument/2006/relationships/hyperlink" Target="https://medievalwritings.atillo.com.au/writing.htm" TargetMode="External"/><Relationship Id="rId2" Type="http://schemas.openxmlformats.org/officeDocument/2006/relationships/styles" Target="styles.xml"/><Relationship Id="rId16" Type="http://schemas.openxmlformats.org/officeDocument/2006/relationships/hyperlink" Target="https://www.livinglevels.org.uk/stories/2021/7/26/churches-on-the-levels" TargetMode="External"/><Relationship Id="rId20" Type="http://schemas.openxmlformats.org/officeDocument/2006/relationships/hyperlink" Target="https://www.nationalchurchestrust.org/church/st-mary-marshfiel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ordreference.com.uwtsd.idm.oclc.org/display/10.1093/acref/9780199609086.001.0001/acref-978019960908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losbe.com/en/cy/Marshfield" TargetMode="External"/><Relationship Id="rId23" Type="http://schemas.openxmlformats.org/officeDocument/2006/relationships/fontTable" Target="fontTable.xml"/><Relationship Id="rId10" Type="http://schemas.openxmlformats.org/officeDocument/2006/relationships/hyperlink" Target="https://www-oxfordreference-com.uwtsd.idm.oclc.org/display/10.1093/acref/9780198610601.001.0001/acref-9780198610601-e-7688" TargetMode="External"/><Relationship Id="rId19" Type="http://schemas.openxmlformats.org/officeDocument/2006/relationships/hyperlink" Target="https://lastnames.myheritage.com/last-name/wendt"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1ir6fgh/cdi_askewsholts_vlebooks_9780191044816" TargetMode="External"/><Relationship Id="rId14" Type="http://schemas.openxmlformats.org/officeDocument/2006/relationships/hyperlink" Target="https://geiriadur.bangor.ac.uk/" TargetMode="External"/><Relationship Id="rId22" Type="http://schemas.openxmlformats.org/officeDocument/2006/relationships/hyperlink" Target="https://wikishire.co.uk/wiki/Gwent"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nationalchurchestrust.org/church/st-mary-marshfield" TargetMode="External"/><Relationship Id="rId13" Type="http://schemas.openxmlformats.org/officeDocument/2006/relationships/hyperlink" Target="https://www.livinglevels.org.uk/stories/2021/7/26/churches-on-the-levels" TargetMode="External"/><Relationship Id="rId3" Type="http://schemas.openxmlformats.org/officeDocument/2006/relationships/hyperlink" Target="https://librarysearch.uwtsd.ac.uk/permalink/44WHELF_UWTSD/1ir6fgh/cdi_askewsholts_vlebooks_9780191044816" TargetMode="External"/><Relationship Id="rId7" Type="http://schemas.openxmlformats.org/officeDocument/2006/relationships/hyperlink" Target="https://lastnames.myheritage.com/last-name/wendt" TargetMode="External"/><Relationship Id="rId12" Type="http://schemas.openxmlformats.org/officeDocument/2006/relationships/hyperlink" Target="https://www-oxfordreference.com.uwtsd.idm.oclc.org/display/10.1093/acref/9780199609086.001.0001/acref-9780199609086" TargetMode="External"/><Relationship Id="rId2" Type="http://schemas.openxmlformats.org/officeDocument/2006/relationships/hyperlink" Target="https://medievalwritings.atillo.com.au/writing.htm" TargetMode="External"/><Relationship Id="rId1" Type="http://schemas.openxmlformats.org/officeDocument/2006/relationships/hyperlink" Target="https://medievalwritings.atillo.com.au/writing.htm" TargetMode="External"/><Relationship Id="rId6" Type="http://schemas.openxmlformats.org/officeDocument/2006/relationships/hyperlink" Target="https://www-oxfordreference-com.uwtsd.idm.oclc.org" TargetMode="External"/><Relationship Id="rId11" Type="http://schemas.openxmlformats.org/officeDocument/2006/relationships/hyperlink" Target="https://www-oxfordreference-com.uwtsd.idm.oclc.org/display/10.1093/acref/9780198610601.001.0001/acref-9780198610601-e-7688" TargetMode="External"/><Relationship Id="rId5" Type="http://schemas.openxmlformats.org/officeDocument/2006/relationships/hyperlink" Target="https://wikishire.co.uk/wiki/Gwent" TargetMode="External"/><Relationship Id="rId15" Type="http://schemas.openxmlformats.org/officeDocument/2006/relationships/hyperlink" Target="https://www-oxfordreference-com.uwtsd.idm.oclc.org/display/10.1093/acref/9780191739583.001.0001/b-la-en-00001-0002115?rskey=imvMiU&amp;result=2101" TargetMode="External"/><Relationship Id="rId10" Type="http://schemas.openxmlformats.org/officeDocument/2006/relationships/hyperlink" Target="https://glosbe.com/en/cy/Marshfield" TargetMode="External"/><Relationship Id="rId4" Type="http://schemas.openxmlformats.org/officeDocument/2006/relationships/hyperlink" Target="https://geiriadur.bangor.ac.uk/" TargetMode="External"/><Relationship Id="rId9" Type="http://schemas.openxmlformats.org/officeDocument/2006/relationships/hyperlink" Target="https://www.english-heritage.org.uk/visit/inspire-me/origins-of-english-place-names/" TargetMode="External"/><Relationship Id="rId14" Type="http://schemas.openxmlformats.org/officeDocument/2006/relationships/hyperlink" Target="https://www.crsbi.ac.uk/view-item?i=23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3393</Words>
  <Characters>19342</Characters>
  <Application>Microsoft Office Word</Application>
  <DocSecurity>0</DocSecurity>
  <Lines>161</Lines>
  <Paragraphs>45</Paragraphs>
  <ScaleCrop>false</ScaleCrop>
  <Company/>
  <LinksUpToDate>false</LinksUpToDate>
  <CharactersWithSpaces>22690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Tamsin Meadows (2412598)</dc:creator>
  <cp:keywords/>
  <dc:description/>
  <cp:lastModifiedBy>Tamsin Meadows (2412598)</cp:lastModifiedBy>
  <cp:revision>1</cp:revision>
  <dcterms:created xsi:type="dcterms:W3CDTF">2026-04-08T23:21:00Z</dcterms:created>
  <dcterms:modified xsi:type="dcterms:W3CDTF">2026-04-08T23:23:00Z</dcterms:modified>
</cp:coreProperties>
</file>