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209925" cy="142875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rPr>
      </w:pPr>
      <w:r w:rsidDel="00000000" w:rsidR="00000000" w:rsidRPr="00000000">
        <w:rPr>
          <w:rtl w:val="0"/>
        </w:rPr>
      </w:r>
    </w:p>
    <w:p w:rsidR="00000000" w:rsidDel="00000000" w:rsidP="00000000" w:rsidRDefault="00000000" w:rsidRPr="00000000" w14:paraId="00000003">
      <w:pPr>
        <w:jc w:val="center"/>
        <w:rPr>
          <w:rFonts w:ascii="Arial" w:cs="Arial" w:eastAsia="Arial" w:hAnsi="Arial"/>
          <w:sz w:val="72"/>
          <w:szCs w:val="72"/>
        </w:rPr>
      </w:pPr>
      <w:r w:rsidDel="00000000" w:rsidR="00000000" w:rsidRPr="00000000">
        <w:rPr>
          <w:rFonts w:ascii="Arial" w:cs="Arial" w:eastAsia="Arial" w:hAnsi="Arial"/>
          <w:sz w:val="72"/>
          <w:szCs w:val="72"/>
          <w:rtl w:val="0"/>
        </w:rPr>
        <w:t xml:space="preserve">Cover Page</w:t>
      </w:r>
    </w:p>
    <w:p w:rsidR="00000000" w:rsidDel="00000000" w:rsidP="00000000" w:rsidRDefault="00000000" w:rsidRPr="00000000" w14:paraId="00000004">
      <w:pPr>
        <w:jc w:val="center"/>
        <w:rPr>
          <w:rFonts w:ascii="Arial" w:cs="Arial" w:eastAsia="Arial" w:hAnsi="Arial"/>
          <w:sz w:val="72"/>
          <w:szCs w:val="72"/>
        </w:rPr>
      </w:pPr>
      <w:hyperlink r:id="rId7">
        <w:r w:rsidDel="00000000" w:rsidR="00000000" w:rsidRPr="00000000">
          <w:rPr>
            <w:rFonts w:ascii="Arial" w:cs="Arial" w:eastAsia="Arial" w:hAnsi="Arial"/>
            <w:color w:val="1155cc"/>
            <w:sz w:val="72"/>
            <w:szCs w:val="72"/>
            <w:u w:val="single"/>
            <w:rtl w:val="0"/>
          </w:rPr>
          <w:t xml:space="preserve">click here to hear audio</w:t>
        </w:r>
      </w:hyperlink>
      <w:r w:rsidDel="00000000" w:rsidR="00000000" w:rsidRPr="00000000">
        <w:rPr>
          <w:rtl w:val="0"/>
        </w:rPr>
      </w:r>
    </w:p>
    <w:p w:rsidR="00000000" w:rsidDel="00000000" w:rsidP="00000000" w:rsidRDefault="00000000" w:rsidRPr="00000000" w14:paraId="00000005">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8">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9">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B">
      <w:pP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C">
      <w:pPr>
        <w:rPr>
          <w:rFonts w:ascii="Arial" w:cs="Arial" w:eastAsia="Arial" w:hAnsi="Arial"/>
          <w:sz w:val="44"/>
          <w:szCs w:val="44"/>
        </w:rPr>
      </w:pPr>
      <w:r w:rsidDel="00000000" w:rsidR="00000000" w:rsidRPr="00000000">
        <w:rPr>
          <w:rtl w:val="0"/>
        </w:rPr>
      </w:r>
    </w:p>
    <w:p w:rsidR="00000000" w:rsidDel="00000000" w:rsidP="00000000" w:rsidRDefault="00000000" w:rsidRPr="00000000" w14:paraId="0000000D">
      <w:pPr>
        <w:rPr>
          <w:rFonts w:ascii="Arial" w:cs="Arial" w:eastAsia="Arial" w:hAnsi="Arial"/>
          <w:sz w:val="72"/>
          <w:szCs w:val="72"/>
        </w:rPr>
      </w:pPr>
      <w:r w:rsidDel="00000000" w:rsidR="00000000" w:rsidRPr="00000000">
        <w:rPr>
          <w:rFonts w:ascii="Arial" w:cs="Arial" w:eastAsia="Arial" w:hAnsi="Arial"/>
          <w:sz w:val="44"/>
          <w:szCs w:val="44"/>
          <w:rtl w:val="0"/>
        </w:rPr>
        <w:t xml:space="preserve">Task 1 – Concept Map</w:t>
      </w:r>
      <w:r w:rsidDel="00000000" w:rsidR="00000000" w:rsidRPr="00000000">
        <w:rPr>
          <w:rtl w:val="0"/>
        </w:rPr>
      </w:r>
    </w:p>
    <w:p w:rsidR="00000000" w:rsidDel="00000000" w:rsidP="00000000" w:rsidRDefault="00000000" w:rsidRPr="00000000" w14:paraId="0000000E">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Create a concept map that outlines the relationship between creativity, value creation, and health and social care improvement. Within the concept map explain how these concepts interact in a health and social care context (250 words).</w:t>
      </w:r>
    </w:p>
    <w:p w:rsidR="00000000" w:rsidDel="00000000" w:rsidP="00000000" w:rsidRDefault="00000000" w:rsidRPr="00000000" w14:paraId="0000000F">
      <w:pPr>
        <w:rPr>
          <w:rFonts w:ascii="Arial" w:cs="Arial" w:eastAsia="Arial" w:hAnsi="Arial"/>
          <w:i w:val="1"/>
          <w:iCs w:val="1"/>
          <w:color w:val="ff0000"/>
        </w:rPr>
      </w:pPr>
      <w:r w:rsidDel="00000000" w:rsidR="00000000" w:rsidRPr="00000000">
        <w:rPr>
          <w:rtl w:val="0"/>
        </w:rPr>
      </w:r>
    </w:p>
    <w:p w:rsidR="00000000" w:rsidDel="00000000" w:rsidP="00000000" w:rsidRDefault="00000000" w:rsidRPr="00000000" w14:paraId="00000010">
      <w:pPr>
        <w:rPr>
          <w:rFonts w:ascii="Arial" w:cs="Arial" w:eastAsia="Arial" w:hAnsi="Arial"/>
          <w:i w:val="1"/>
          <w:iCs w:val="1"/>
          <w:color w:val="000000"/>
        </w:rPr>
      </w:pPr>
      <w:r w:rsidDel="00000000" w:rsidR="00000000" w:rsidRPr="00000000">
        <w:rPr>
          <w:rFonts w:ascii="Arial" w:cs="Arial" w:eastAsia="Arial" w:hAnsi="Arial"/>
          <w:i w:val="1"/>
          <w:iCs w:val="1"/>
          <w:color w:val="000000"/>
        </w:rPr>
        <mc:AlternateContent>
          <mc:Choice Requires="wpg">
            <w:drawing>
              <wp:inline distB="0" distT="0" distL="0" distR="0">
                <wp:extent cx="6210300" cy="6591300"/>
                <wp:effectExtent b="0" l="0" r="0" t="0"/>
                <wp:docPr id="1" name=""/>
                <a:graphic>
                  <a:graphicData uri="http://schemas.microsoft.com/office/word/2010/wordprocessingGroup">
                    <wpg:wgp>
                      <wpg:cNvGrpSpPr/>
                      <wpg:grpSpPr>
                        <a:xfrm>
                          <a:off x="0" y="0"/>
                          <a:ext cx="6210300" cy="6591300"/>
                          <a:chOff x="0" y="0"/>
                          <a:chExt cx="6210300" cy="6597100"/>
                        </a:xfrm>
                      </wpg:grpSpPr>
                      <wpg:grpSp>
                        <wpg:cNvGrpSpPr/>
                        <wpg:grpSpPr>
                          <a:xfrm>
                            <a:off x="0" y="0"/>
                            <a:ext cx="6210300" cy="6591300"/>
                            <a:chOff x="0" y="0"/>
                            <a:chExt cx="6210300" cy="6591300"/>
                          </a:xfrm>
                        </wpg:grpSpPr>
                        <wps:wsp>
                          <wps:cNvSpPr/>
                          <wps:cNvPr id="3" name="Shape 3"/>
                          <wps:spPr>
                            <a:xfrm>
                              <a:off x="0" y="0"/>
                              <a:ext cx="6210300" cy="6591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649987" y="297260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668910" y="299152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Health and Social Care Innovation</w:t>
                                </w:r>
                              </w:p>
                            </w:txbxContent>
                          </wps:txbx>
                          <wps:bodyPr anchorCtr="0" anchor="ctr" bIns="8875" lIns="8875" spcFirstLastPara="1" rIns="8875" wrap="square" tIns="8875">
                            <a:noAutofit/>
                          </wps:bodyPr>
                        </wps:wsp>
                        <wps:wsp>
                          <wps:cNvSpPr/>
                          <wps:cNvPr id="6" name="Shape 6"/>
                          <wps:spPr>
                            <a:xfrm rot="-4616685">
                              <a:off x="1056530" y="2172313"/>
                              <a:ext cx="2288172" cy="17644"/>
                            </a:xfrm>
                            <a:custGeom>
                              <a:rect b="b" l="l" r="r" t="t"/>
                              <a:pathLst>
                                <a:path extrusionOk="0" h="120000" w="120000">
                                  <a:moveTo>
                                    <a:pt x="0" y="60000"/>
                                  </a:moveTo>
                                  <a:lnTo>
                                    <a:pt x="120000" y="60000"/>
                                  </a:lnTo>
                                </a:path>
                              </a:pathLst>
                            </a:custGeom>
                            <a:noFill/>
                            <a:ln cap="flat" cmpd="sng" w="12700">
                              <a:solidFill>
                                <a:srgbClr val="0D4C67"/>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rot="-4616685">
                              <a:off x="2143412" y="2123931"/>
                              <a:ext cx="114408" cy="1144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8" name="Shape 8"/>
                          <wps:spPr>
                            <a:xfrm>
                              <a:off x="2459054" y="74357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2477977" y="76249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Creativity</w:t>
                                </w:r>
                              </w:p>
                            </w:txbxContent>
                          </wps:txbx>
                          <wps:bodyPr anchorCtr="0" anchor="ctr" bIns="8875" lIns="8875" spcFirstLastPara="1" rIns="8875" wrap="square" tIns="8875">
                            <a:noAutofit/>
                          </wps:bodyPr>
                        </wps:wsp>
                        <wps:wsp>
                          <wps:cNvSpPr/>
                          <wps:cNvPr id="10" name="Shape 10"/>
                          <wps:spPr>
                            <a:xfrm rot="-3310531">
                              <a:off x="3557128" y="686293"/>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rot="-3310531">
                              <a:off x="3987055" y="672488"/>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12" name="Shape 12"/>
                          <wps:spPr>
                            <a:xfrm>
                              <a:off x="4268121" y="563"/>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4287044" y="19486"/>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Idea Generation</w:t>
                                </w:r>
                              </w:p>
                            </w:txbxContent>
                          </wps:txbx>
                          <wps:bodyPr anchorCtr="0" anchor="ctr" bIns="8875" lIns="8875" spcFirstLastPara="1" rIns="8875" wrap="square" tIns="8875">
                            <a:noAutofit/>
                          </wps:bodyPr>
                        </wps:wsp>
                        <wps:wsp>
                          <wps:cNvSpPr/>
                          <wps:cNvPr id="14" name="Shape 14"/>
                          <wps:spPr>
                            <a:xfrm>
                              <a:off x="3751245" y="1057798"/>
                              <a:ext cx="516876"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3996761" y="1053698"/>
                              <a:ext cx="25843" cy="2584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16" name="Shape 16"/>
                          <wps:spPr>
                            <a:xfrm>
                              <a:off x="4268121" y="74357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4287044" y="76249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Problem Reframing</w:t>
                                </w:r>
                              </w:p>
                            </w:txbxContent>
                          </wps:txbx>
                          <wps:bodyPr anchorCtr="0" anchor="ctr" bIns="8875" lIns="8875" spcFirstLastPara="1" rIns="8875" wrap="square" tIns="8875">
                            <a:noAutofit/>
                          </wps:bodyPr>
                        </wps:wsp>
                        <wps:wsp>
                          <wps:cNvSpPr/>
                          <wps:cNvPr id="18" name="Shape 18"/>
                          <wps:spPr>
                            <a:xfrm rot="3310531">
                              <a:off x="3557128" y="1429303"/>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rot="3310531">
                              <a:off x="3987055" y="1415497"/>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20" name="Shape 20"/>
                          <wps:spPr>
                            <a:xfrm>
                              <a:off x="4268121" y="148658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4287044" y="150550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Co-design with service users</w:t>
                                </w:r>
                              </w:p>
                            </w:txbxContent>
                          </wps:txbx>
                          <wps:bodyPr anchorCtr="0" anchor="ctr" bIns="8875" lIns="8875" spcFirstLastPara="1" rIns="8875" wrap="square" tIns="8875">
                            <a:noAutofit/>
                          </wps:bodyPr>
                        </wps:wsp>
                        <wps:wsp>
                          <wps:cNvSpPr/>
                          <wps:cNvPr id="22" name="Shape 22"/>
                          <wps:spPr>
                            <a:xfrm>
                              <a:off x="1942178" y="3286827"/>
                              <a:ext cx="516876" cy="17644"/>
                            </a:xfrm>
                            <a:custGeom>
                              <a:rect b="b" l="l" r="r" t="t"/>
                              <a:pathLst>
                                <a:path extrusionOk="0" h="120000" w="120000">
                                  <a:moveTo>
                                    <a:pt x="0" y="60000"/>
                                  </a:moveTo>
                                  <a:lnTo>
                                    <a:pt x="120000" y="60000"/>
                                  </a:lnTo>
                                </a:path>
                              </a:pathLst>
                            </a:custGeom>
                            <a:noFill/>
                            <a:ln cap="flat" cmpd="sng" w="12700">
                              <a:solidFill>
                                <a:srgbClr val="0D4C67"/>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3" name="Shape 23"/>
                          <wps:spPr>
                            <a:xfrm>
                              <a:off x="2187694" y="3282728"/>
                              <a:ext cx="25843" cy="2584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24" name="Shape 24"/>
                          <wps:spPr>
                            <a:xfrm>
                              <a:off x="2459054" y="297260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5" name="Shape 25"/>
                          <wps:spPr>
                            <a:xfrm>
                              <a:off x="2477977" y="299152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Value Creation</w:t>
                                </w:r>
                              </w:p>
                            </w:txbxContent>
                          </wps:txbx>
                          <wps:bodyPr anchorCtr="0" anchor="ctr" bIns="8875" lIns="8875" spcFirstLastPara="1" rIns="8875" wrap="square" tIns="8875">
                            <a:noAutofit/>
                          </wps:bodyPr>
                        </wps:wsp>
                        <wps:wsp>
                          <wps:cNvSpPr/>
                          <wps:cNvPr id="26" name="Shape 26"/>
                          <wps:spPr>
                            <a:xfrm rot="-3310531">
                              <a:off x="3557128" y="2915323"/>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7" name="Shape 27"/>
                          <wps:spPr>
                            <a:xfrm rot="-3310531">
                              <a:off x="3987055" y="2901517"/>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28" name="Shape 28"/>
                          <wps:spPr>
                            <a:xfrm>
                              <a:off x="4268121" y="222959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9" name="Shape 29"/>
                          <wps:spPr>
                            <a:xfrm>
                              <a:off x="4287044" y="224851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Better outcomes</w:t>
                                </w:r>
                              </w:p>
                            </w:txbxContent>
                          </wps:txbx>
                          <wps:bodyPr anchorCtr="0" anchor="ctr" bIns="8875" lIns="8875" spcFirstLastPara="1" rIns="8875" wrap="square" tIns="8875">
                            <a:noAutofit/>
                          </wps:bodyPr>
                        </wps:wsp>
                        <wps:wsp>
                          <wps:cNvSpPr/>
                          <wps:cNvPr id="30" name="Shape 30"/>
                          <wps:spPr>
                            <a:xfrm>
                              <a:off x="3751245" y="3286827"/>
                              <a:ext cx="516876"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1" name="Shape 31"/>
                          <wps:spPr>
                            <a:xfrm>
                              <a:off x="3996761" y="3282728"/>
                              <a:ext cx="25843" cy="2584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32" name="Shape 32"/>
                          <wps:spPr>
                            <a:xfrm>
                              <a:off x="4268121" y="297260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3" name="Shape 33"/>
                          <wps:spPr>
                            <a:xfrm>
                              <a:off x="4287044" y="299152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Patient Experience</w:t>
                                </w:r>
                              </w:p>
                            </w:txbxContent>
                          </wps:txbx>
                          <wps:bodyPr anchorCtr="0" anchor="ctr" bIns="8875" lIns="8875" spcFirstLastPara="1" rIns="8875" wrap="square" tIns="8875">
                            <a:noAutofit/>
                          </wps:bodyPr>
                        </wps:wsp>
                        <wps:wsp>
                          <wps:cNvSpPr/>
                          <wps:cNvPr id="34" name="Shape 34"/>
                          <wps:spPr>
                            <a:xfrm rot="3310531">
                              <a:off x="3557128" y="3658332"/>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5" name="Shape 35"/>
                          <wps:spPr>
                            <a:xfrm rot="3310531">
                              <a:off x="3987055" y="3644527"/>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36" name="Shape 36"/>
                          <wps:spPr>
                            <a:xfrm>
                              <a:off x="4268121" y="3715612"/>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7" name="Shape 37"/>
                          <wps:spPr>
                            <a:xfrm>
                              <a:off x="4287044" y="3734535"/>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Cost-effectiveness</w:t>
                                </w:r>
                              </w:p>
                            </w:txbxContent>
                          </wps:txbx>
                          <wps:bodyPr anchorCtr="0" anchor="ctr" bIns="8875" lIns="8875" spcFirstLastPara="1" rIns="8875" wrap="square" tIns="8875">
                            <a:noAutofit/>
                          </wps:bodyPr>
                        </wps:wsp>
                        <wps:wsp>
                          <wps:cNvSpPr/>
                          <wps:cNvPr id="38" name="Shape 38"/>
                          <wps:spPr>
                            <a:xfrm rot="4616685">
                              <a:off x="1056530" y="4401342"/>
                              <a:ext cx="2288172" cy="17644"/>
                            </a:xfrm>
                            <a:custGeom>
                              <a:rect b="b" l="l" r="r" t="t"/>
                              <a:pathLst>
                                <a:path extrusionOk="0" h="120000" w="120000">
                                  <a:moveTo>
                                    <a:pt x="0" y="60000"/>
                                  </a:moveTo>
                                  <a:lnTo>
                                    <a:pt x="120000" y="60000"/>
                                  </a:lnTo>
                                </a:path>
                              </a:pathLst>
                            </a:custGeom>
                            <a:noFill/>
                            <a:ln cap="flat" cmpd="sng" w="12700">
                              <a:solidFill>
                                <a:srgbClr val="0D4C67"/>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9" name="Shape 39"/>
                          <wps:spPr>
                            <a:xfrm rot="4616685">
                              <a:off x="2143412" y="4352960"/>
                              <a:ext cx="114408" cy="1144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40" name="Shape 40"/>
                          <wps:spPr>
                            <a:xfrm>
                              <a:off x="2459054" y="5201631"/>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1" name="Shape 41"/>
                          <wps:spPr>
                            <a:xfrm>
                              <a:off x="2477977" y="5220554"/>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Health and social care improvement</w:t>
                                </w:r>
                              </w:p>
                            </w:txbxContent>
                          </wps:txbx>
                          <wps:bodyPr anchorCtr="0" anchor="ctr" bIns="8875" lIns="8875" spcFirstLastPara="1" rIns="8875" wrap="square" tIns="8875">
                            <a:noAutofit/>
                          </wps:bodyPr>
                        </wps:wsp>
                        <wps:wsp>
                          <wps:cNvSpPr/>
                          <wps:cNvPr id="42" name="Shape 42"/>
                          <wps:spPr>
                            <a:xfrm rot="-3310531">
                              <a:off x="3557128" y="5144352"/>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3" name="Shape 43"/>
                          <wps:spPr>
                            <a:xfrm rot="-3310531">
                              <a:off x="3987055" y="5130546"/>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44" name="Shape 44"/>
                          <wps:spPr>
                            <a:xfrm>
                              <a:off x="4268121" y="4458621"/>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5" name="Shape 45"/>
                          <wps:spPr>
                            <a:xfrm>
                              <a:off x="4287044" y="4477544"/>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Safer care</w:t>
                                </w:r>
                              </w:p>
                            </w:txbxContent>
                          </wps:txbx>
                          <wps:bodyPr anchorCtr="0" anchor="ctr" bIns="8875" lIns="8875" spcFirstLastPara="1" rIns="8875" wrap="square" tIns="8875">
                            <a:noAutofit/>
                          </wps:bodyPr>
                        </wps:wsp>
                        <wps:wsp>
                          <wps:cNvSpPr/>
                          <wps:cNvPr id="46" name="Shape 46"/>
                          <wps:spPr>
                            <a:xfrm>
                              <a:off x="3751245" y="5515857"/>
                              <a:ext cx="516876"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7" name="Shape 47"/>
                          <wps:spPr>
                            <a:xfrm>
                              <a:off x="3996761" y="5511757"/>
                              <a:ext cx="25843" cy="2584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48" name="Shape 48"/>
                          <wps:spPr>
                            <a:xfrm>
                              <a:off x="4268121" y="5201631"/>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9" name="Shape 49"/>
                          <wps:spPr>
                            <a:xfrm>
                              <a:off x="4287044" y="5220554"/>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Fair/Equitable access</w:t>
                                </w:r>
                              </w:p>
                            </w:txbxContent>
                          </wps:txbx>
                          <wps:bodyPr anchorCtr="0" anchor="ctr" bIns="8875" lIns="8875" spcFirstLastPara="1" rIns="8875" wrap="square" tIns="8875">
                            <a:noAutofit/>
                          </wps:bodyPr>
                        </wps:wsp>
                        <wps:wsp>
                          <wps:cNvSpPr/>
                          <wps:cNvPr id="50" name="Shape 50"/>
                          <wps:spPr>
                            <a:xfrm rot="3310531">
                              <a:off x="3557128" y="5887362"/>
                              <a:ext cx="905110" cy="17644"/>
                            </a:xfrm>
                            <a:custGeom>
                              <a:rect b="b" l="l" r="r" t="t"/>
                              <a:pathLst>
                                <a:path extrusionOk="0" h="120000" w="120000">
                                  <a:moveTo>
                                    <a:pt x="0" y="60000"/>
                                  </a:moveTo>
                                  <a:lnTo>
                                    <a:pt x="120000" y="60000"/>
                                  </a:lnTo>
                                </a:path>
                              </a:pathLst>
                            </a:custGeom>
                            <a:noFill/>
                            <a:ln cap="flat" cmpd="sng" w="12700">
                              <a:solidFill>
                                <a:srgbClr val="105675"/>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1" name="Shape 51"/>
                          <wps:spPr>
                            <a:xfrm rot="3310531">
                              <a:off x="3987055" y="5873556"/>
                              <a:ext cx="45255" cy="4525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52" name="Shape 52"/>
                          <wps:spPr>
                            <a:xfrm>
                              <a:off x="4268121" y="5944641"/>
                              <a:ext cx="1292190" cy="646095"/>
                            </a:xfrm>
                            <a:prstGeom prst="roundRect">
                              <a:avLst>
                                <a:gd fmla="val 10000" name="adj"/>
                              </a:avLst>
                            </a:prstGeom>
                            <a:solidFill>
                              <a:srgbClr val="12608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3" name="Shape 53"/>
                          <wps:spPr>
                            <a:xfrm>
                              <a:off x="4287044" y="5963564"/>
                              <a:ext cx="1254344" cy="60824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Joined-up/Integrated care</w:t>
                                </w:r>
                              </w:p>
                            </w:txbxContent>
                          </wps:txbx>
                          <wps:bodyPr anchorCtr="0" anchor="ctr" bIns="8875" lIns="8875" spcFirstLastPara="1" rIns="8875" wrap="square" tIns="8875">
                            <a:noAutofit/>
                          </wps:bodyPr>
                        </wps:wsp>
                      </wpg:grpSp>
                    </wpg:wgp>
                  </a:graphicData>
                </a:graphic>
              </wp:inline>
            </w:drawing>
          </mc:Choice>
          <mc:Fallback>
            <w:drawing>
              <wp:inline distB="0" distT="0" distL="0" distR="0">
                <wp:extent cx="6210300" cy="6591300"/>
                <wp:effectExtent b="0" l="0" r="0" t="0"/>
                <wp:docPr id="1"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6210300" cy="65913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1">
      <w:pPr>
        <w:rPr>
          <w:rFonts w:ascii="Arial" w:cs="Arial" w:eastAsia="Arial" w:hAnsi="Arial"/>
          <w:color w:val="000000"/>
        </w:rPr>
      </w:pPr>
      <w:r w:rsidDel="00000000" w:rsidR="00000000" w:rsidRPr="00000000">
        <w:rPr>
          <w:rFonts w:ascii="Arial" w:cs="Arial" w:eastAsia="Arial" w:hAnsi="Arial"/>
          <w:color w:val="000000"/>
          <w:rtl w:val="0"/>
        </w:rPr>
        <w:t xml:space="preserve">All the ideas that lead to the main concept of Health and Social Care Innovation including creativity, value creation, and health and social care improvement are connected in the mind map. It is based on the innovation, which means that some new ideas drive a great change in health and social care and that the process moves through the systems, which add value and result in the improvement. On the one hand, creativity attracts the point of innovation initiation in which idea generation, reframing of problems and co-designing with service users facilitates professionals to think differently in problems. These innovative methods assist in revealing gaps, redesigning services and creating more people-centred services. On the other hand, value creation shows how innovation should be converted into actual benefits, better outcomes, better patient experience and cost-effective care. Such components make sure that the creative thoughts are not just random or fanciful, but viable, sustainable and oriented towards patient and organisational requirements. The last branch is an improvement of health and social care, which shows the general intention of the innovation process. Nevertheless, the aspects of safer care, equitable access, and more integrated services are examples of improvement that combine creativity and value creation to improve quality and effectiveness of care. Overall, the mind map demonstrates that there is a seamless relationship in which innovation is powered by creativity, impact is supported by value and the health and social care system is supported by improvements.</w:t>
      </w:r>
    </w:p>
    <w:p w:rsidR="00000000" w:rsidDel="00000000" w:rsidP="00000000" w:rsidRDefault="00000000" w:rsidRPr="00000000" w14:paraId="00000012">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3">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4">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5">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6">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7">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8">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9">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A">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B">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D">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E">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F">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2 - Self-Reflection of Group Activity</w:t>
      </w:r>
    </w:p>
    <w:p w:rsidR="00000000" w:rsidDel="00000000" w:rsidP="00000000" w:rsidRDefault="00000000" w:rsidRPr="00000000" w14:paraId="00000020">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Complete a self-Reflection on the Convergent/Divergent thinking class activity using a reflective model (250 words, 1 source)</w:t>
      </w:r>
    </w:p>
    <w:p w:rsidR="00000000" w:rsidDel="00000000" w:rsidP="00000000" w:rsidRDefault="00000000" w:rsidRPr="00000000" w14:paraId="00000021">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22">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Kolb’s Experiential Learning Cycle (1984) – Reflection</w:t>
      </w:r>
    </w:p>
    <w:p w:rsidR="00000000" w:rsidDel="00000000" w:rsidP="00000000" w:rsidRDefault="00000000" w:rsidRPr="00000000" w14:paraId="00000023">
      <w:pPr>
        <w:rPr>
          <w:rFonts w:ascii="Arial" w:cs="Arial" w:eastAsia="Arial" w:hAnsi="Arial"/>
          <w:color w:val="000000"/>
        </w:rPr>
      </w:pPr>
      <w:r w:rsidDel="00000000" w:rsidR="00000000" w:rsidRPr="00000000">
        <w:rPr>
          <w:rFonts w:ascii="Arial" w:cs="Arial" w:eastAsia="Arial" w:hAnsi="Arial"/>
          <w:color w:val="000000"/>
          <w:rtl w:val="0"/>
        </w:rPr>
        <w:t xml:space="preserve">Experience According to Kolb, Experience Learning Cycle describes learning as an ongoing process that takes four stages, namely, Concrete Experience, Reflective Observation, Abstract Conceptualisation, and Active Experimentation (Kolb, 1984).</w:t>
      </w:r>
    </w:p>
    <w:p w:rsidR="00000000" w:rsidDel="00000000" w:rsidP="00000000" w:rsidRDefault="00000000" w:rsidRPr="00000000" w14:paraId="00000024">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1. Concrete Experience</w:t>
      </w:r>
    </w:p>
    <w:p w:rsidR="00000000" w:rsidDel="00000000" w:rsidP="00000000" w:rsidRDefault="00000000" w:rsidRPr="00000000" w14:paraId="00000025">
      <w:pPr>
        <w:rPr>
          <w:rFonts w:ascii="Arial" w:cs="Arial" w:eastAsia="Arial" w:hAnsi="Arial"/>
          <w:color w:val="000000"/>
        </w:rPr>
      </w:pPr>
      <w:r w:rsidDel="00000000" w:rsidR="00000000" w:rsidRPr="00000000">
        <w:rPr>
          <w:rFonts w:ascii="Arial" w:cs="Arial" w:eastAsia="Arial" w:hAnsi="Arial"/>
          <w:color w:val="000000"/>
          <w:rtl w:val="0"/>
        </w:rPr>
        <w:t xml:space="preserve">The tutor gave us a piece of paper and a piece of paper clip in the classroom and requested us to name as many uses of the paper clip as we could. The students proposed such ideas as joining papers, opening a slot in the mobile SIM card, bending it to a mini hook, and utilizing it as a bookmark. Following the generation of ideas, the tutor inquired whether they all were practical and we affirmed that they were not.</w:t>
      </w:r>
    </w:p>
    <w:p w:rsidR="00000000" w:rsidDel="00000000" w:rsidP="00000000" w:rsidRDefault="00000000" w:rsidRPr="00000000" w14:paraId="00000026">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2. Reflective Observation</w:t>
      </w:r>
    </w:p>
    <w:p w:rsidR="00000000" w:rsidDel="00000000" w:rsidP="00000000" w:rsidRDefault="00000000" w:rsidRPr="00000000" w14:paraId="00000027">
      <w:pPr>
        <w:rPr>
          <w:rFonts w:ascii="Arial" w:cs="Arial" w:eastAsia="Arial" w:hAnsi="Arial"/>
          <w:color w:val="000000"/>
        </w:rPr>
      </w:pPr>
      <w:r w:rsidDel="00000000" w:rsidR="00000000" w:rsidRPr="00000000">
        <w:rPr>
          <w:rFonts w:ascii="Arial" w:cs="Arial" w:eastAsia="Arial" w:hAnsi="Arial"/>
          <w:color w:val="000000"/>
          <w:rtl w:val="0"/>
        </w:rPr>
        <w:t xml:space="preserve">I observed how soon the class changed the mode of thought to critical judgment. It opened my eyes to the fact that creativity and pragmatics do not go well together.</w:t>
      </w:r>
    </w:p>
    <w:p w:rsidR="00000000" w:rsidDel="00000000" w:rsidP="00000000" w:rsidRDefault="00000000" w:rsidRPr="00000000" w14:paraId="00000028">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3. Abstract Conceptualisation</w:t>
      </w:r>
    </w:p>
    <w:p w:rsidR="00000000" w:rsidDel="00000000" w:rsidP="00000000" w:rsidRDefault="00000000" w:rsidRPr="00000000" w14:paraId="00000029">
      <w:pPr>
        <w:rPr>
          <w:rFonts w:ascii="Arial" w:cs="Arial" w:eastAsia="Arial" w:hAnsi="Arial"/>
          <w:color w:val="000000"/>
        </w:rPr>
      </w:pPr>
      <w:r w:rsidDel="00000000" w:rsidR="00000000" w:rsidRPr="00000000">
        <w:rPr>
          <w:rFonts w:ascii="Arial" w:cs="Arial" w:eastAsia="Arial" w:hAnsi="Arial"/>
          <w:color w:val="000000"/>
          <w:rtl w:val="0"/>
        </w:rPr>
        <w:t xml:space="preserve">This made me realize that people need to know the difference between divergent (coming up with several ideas) and convergent thinking (selecting what works). I learned that the two processes are critical in solving problems in real life situations.</w:t>
      </w:r>
    </w:p>
    <w:p w:rsidR="00000000" w:rsidDel="00000000" w:rsidP="00000000" w:rsidRDefault="00000000" w:rsidRPr="00000000" w14:paraId="0000002A">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4. Active Experimentation</w:t>
      </w:r>
    </w:p>
    <w:p w:rsidR="00000000" w:rsidDel="00000000" w:rsidP="00000000" w:rsidRDefault="00000000" w:rsidRPr="00000000" w14:paraId="0000002B">
      <w:pPr>
        <w:rPr>
          <w:rFonts w:ascii="Arial" w:cs="Arial" w:eastAsia="Arial" w:hAnsi="Arial"/>
          <w:color w:val="000000"/>
        </w:rPr>
      </w:pPr>
      <w:r w:rsidDel="00000000" w:rsidR="00000000" w:rsidRPr="00000000">
        <w:rPr>
          <w:rFonts w:ascii="Arial" w:cs="Arial" w:eastAsia="Arial" w:hAnsi="Arial"/>
          <w:color w:val="000000"/>
          <w:rtl w:val="0"/>
        </w:rPr>
        <w:t xml:space="preserve">In the future, I will make it a point to separate the generation of ideas and evaluation in order to enhance my creativity and the decision-making process.</w:t>
      </w:r>
    </w:p>
    <w:p w:rsidR="00000000" w:rsidDel="00000000" w:rsidP="00000000" w:rsidRDefault="00000000" w:rsidRPr="00000000" w14:paraId="0000002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2D">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2E">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2F">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30">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3 - Case Study of a UK innovation</w:t>
      </w:r>
    </w:p>
    <w:p w:rsidR="00000000" w:rsidDel="00000000" w:rsidP="00000000" w:rsidRDefault="00000000" w:rsidRPr="00000000" w14:paraId="00000031">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Write a concise case study analysis of an innovative project or initiative within the NHS or UK social care. Focus on how creativity was used to drive change and the value it created for patients or service users (400 words, 2 sources).</w:t>
      </w:r>
    </w:p>
    <w:p w:rsidR="00000000" w:rsidDel="00000000" w:rsidP="00000000" w:rsidRDefault="00000000" w:rsidRPr="00000000" w14:paraId="00000032">
      <w:pPr>
        <w:rPr>
          <w:rFonts w:ascii="Arial" w:cs="Arial" w:eastAsia="Arial" w:hAnsi="Arial"/>
          <w:color w:val="000000"/>
        </w:rPr>
      </w:pPr>
      <w:r w:rsidDel="00000000" w:rsidR="00000000" w:rsidRPr="00000000">
        <w:rPr>
          <w:rtl w:val="0"/>
        </w:rPr>
      </w:r>
    </w:p>
    <w:p w:rsidR="00000000" w:rsidDel="00000000" w:rsidP="00000000" w:rsidRDefault="00000000" w:rsidRPr="00000000" w14:paraId="00000033">
      <w:pPr>
        <w:rPr>
          <w:rFonts w:ascii="Arial" w:cs="Arial" w:eastAsia="Arial" w:hAnsi="Arial"/>
          <w:color w:val="000000"/>
        </w:rPr>
      </w:pPr>
      <w:r w:rsidDel="00000000" w:rsidR="00000000" w:rsidRPr="00000000">
        <w:rPr>
          <w:rFonts w:ascii="Arial" w:cs="Arial" w:eastAsia="Arial" w:hAnsi="Arial"/>
          <w:color w:val="000000"/>
          <w:rtl w:val="0"/>
        </w:rPr>
        <w:t xml:space="preserve">Shared Lives is a creative adult social care model in the UK that offers a different way of supporting people. Instead of living in a traditional care home or receiving short care visits, adults who need support are matched with trained carers who welcome them into their own home and daily routines (Purcell, 2024). This idea is creative because it uses ordinary family life, shared activities and community involvement as the main form of support, rather than relying on formal care settings or fixed schedules.</w:t>
      </w:r>
    </w:p>
    <w:p w:rsidR="00000000" w:rsidDel="00000000" w:rsidP="00000000" w:rsidRDefault="00000000" w:rsidRPr="00000000" w14:paraId="00000034">
      <w:pPr>
        <w:rPr>
          <w:rFonts w:ascii="Arial" w:cs="Arial" w:eastAsia="Arial" w:hAnsi="Arial"/>
          <w:color w:val="000000"/>
        </w:rPr>
      </w:pPr>
      <w:r w:rsidDel="00000000" w:rsidR="00000000" w:rsidRPr="00000000">
        <w:rPr>
          <w:rFonts w:ascii="Arial" w:cs="Arial" w:eastAsia="Arial" w:hAnsi="Arial"/>
          <w:color w:val="000000"/>
          <w:rtl w:val="0"/>
        </w:rPr>
        <w:t xml:space="preserve">The corresponding process is also imaginative. Shared Lives in conjunction with Carers and the individual requiring support make joint decisions on how the day-to-day life is going to appear including the support needs, levels of independence, social interest and personal boundaries. The co-designed strategy is based on the process of achieving a good personal fit, thus making people feel more relaxed and established (Purcell, 2024).</w:t>
      </w:r>
    </w:p>
    <w:p w:rsidR="00000000" w:rsidDel="00000000" w:rsidP="00000000" w:rsidRDefault="00000000" w:rsidRPr="00000000" w14:paraId="00000035">
      <w:pPr>
        <w:rPr>
          <w:rFonts w:ascii="Arial" w:cs="Arial" w:eastAsia="Arial" w:hAnsi="Arial"/>
          <w:color w:val="000000"/>
        </w:rPr>
      </w:pPr>
      <w:r w:rsidDel="00000000" w:rsidR="00000000" w:rsidRPr="00000000">
        <w:rPr>
          <w:rFonts w:ascii="Arial" w:cs="Arial" w:eastAsia="Arial" w:hAnsi="Arial"/>
          <w:color w:val="000000"/>
          <w:rtl w:val="0"/>
        </w:rPr>
        <w:t xml:space="preserve">It has been found that Shared Lives builds a lot of value among persons who utilize the service. A recent study discovered that adults who were supported by Shared Lives had good wellbeing levels, better relationships, more confident and enhanced engagement in daily activities (Brookes et al., 2024). Many people described feeling less lonely and more included, which are important outcomes in social care.</w:t>
      </w:r>
    </w:p>
    <w:p w:rsidR="00000000" w:rsidDel="00000000" w:rsidP="00000000" w:rsidRDefault="00000000" w:rsidRPr="00000000" w14:paraId="00000036">
      <w:pPr>
        <w:rPr>
          <w:rFonts w:ascii="Arial" w:cs="Arial" w:eastAsia="Arial" w:hAnsi="Arial"/>
          <w:color w:val="000000"/>
        </w:rPr>
      </w:pPr>
      <w:r w:rsidDel="00000000" w:rsidR="00000000" w:rsidRPr="00000000">
        <w:rPr>
          <w:rFonts w:ascii="Arial" w:cs="Arial" w:eastAsia="Arial" w:hAnsi="Arial"/>
          <w:color w:val="000000"/>
          <w:rtl w:val="0"/>
        </w:rPr>
        <w:t xml:space="preserve">The model also benefits the wider system. Evidence shows it can be a cost-effective alternative to residential care while still supporting people with complex needs (Purcell, 2024). Although recruiting enough carers can be challenging, the model still demonstrates how a simple, home-based idea can lead to meaningful improvements in people’s lives.</w:t>
      </w:r>
    </w:p>
    <w:p w:rsidR="00000000" w:rsidDel="00000000" w:rsidP="00000000" w:rsidRDefault="00000000" w:rsidRPr="00000000" w14:paraId="00000037">
      <w:pPr>
        <w:rPr>
          <w:rFonts w:ascii="Arial" w:cs="Arial" w:eastAsia="Arial" w:hAnsi="Arial"/>
          <w:color w:val="000000"/>
        </w:rPr>
      </w:pPr>
      <w:r w:rsidDel="00000000" w:rsidR="00000000" w:rsidRPr="00000000">
        <w:rPr>
          <w:rFonts w:ascii="Arial" w:cs="Arial" w:eastAsia="Arial" w:hAnsi="Arial"/>
          <w:color w:val="000000"/>
          <w:rtl w:val="0"/>
        </w:rPr>
        <w:t xml:space="preserve">Overall, Shared Lives shows how creativity in rethinking home, relationships and support can lead to real value for both individuals and local authorities. It is a clear example of how innovation in UK social care can improve wellbeing, independence and community inclusion (Brookes et al., 2024).</w:t>
      </w:r>
    </w:p>
    <w:p w:rsidR="00000000" w:rsidDel="00000000" w:rsidP="00000000" w:rsidRDefault="00000000" w:rsidRPr="00000000" w14:paraId="00000038">
      <w:pPr>
        <w:rPr>
          <w:rFonts w:ascii="Arial" w:cs="Arial" w:eastAsia="Arial" w:hAnsi="Arial"/>
          <w:color w:val="000000"/>
        </w:rPr>
      </w:pPr>
      <w:r w:rsidDel="00000000" w:rsidR="00000000" w:rsidRPr="00000000">
        <w:rPr>
          <w:rtl w:val="0"/>
        </w:rPr>
      </w:r>
    </w:p>
    <w:p w:rsidR="00000000" w:rsidDel="00000000" w:rsidP="00000000" w:rsidRDefault="00000000" w:rsidRPr="00000000" w14:paraId="00000039">
      <w:pPr>
        <w:rPr>
          <w:rFonts w:ascii="Arial" w:cs="Arial" w:eastAsia="Arial" w:hAnsi="Arial"/>
          <w:color w:val="000000"/>
        </w:rPr>
      </w:pPr>
      <w:r w:rsidDel="00000000" w:rsidR="00000000" w:rsidRPr="00000000">
        <w:rPr>
          <w:rtl w:val="0"/>
        </w:rPr>
      </w:r>
    </w:p>
    <w:p w:rsidR="00000000" w:rsidDel="00000000" w:rsidP="00000000" w:rsidRDefault="00000000" w:rsidRPr="00000000" w14:paraId="0000003A">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4 - Research Task</w:t>
      </w:r>
    </w:p>
    <w:p w:rsidR="00000000" w:rsidDel="00000000" w:rsidP="00000000" w:rsidRDefault="00000000" w:rsidRPr="00000000" w14:paraId="0000003B">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Identify a current issue in health and social care (e.g. e.g., mental health stigma, access to care for vulnerable populations). Find two pieces of academic research (journal articles) that explain the reason for this problem. Paraphrase the findings of each article (300 words, 2 sources).</w:t>
      </w:r>
    </w:p>
    <w:p w:rsidR="00000000" w:rsidDel="00000000" w:rsidP="00000000" w:rsidRDefault="00000000" w:rsidRPr="00000000" w14:paraId="0000003C">
      <w:pPr>
        <w:rPr>
          <w:rFonts w:ascii="Arial" w:cs="Arial" w:eastAsia="Arial" w:hAnsi="Arial"/>
          <w:b w:val="1"/>
          <w:bCs w:val="1"/>
          <w:i w:val="1"/>
          <w:iCs w:val="1"/>
          <w:color w:val="000000"/>
        </w:rPr>
      </w:pPr>
      <w:r w:rsidDel="00000000" w:rsidR="00000000" w:rsidRPr="00000000">
        <w:rPr>
          <w:rtl w:val="0"/>
        </w:rPr>
      </w:r>
    </w:p>
    <w:p w:rsidR="00000000" w:rsidDel="00000000" w:rsidP="00000000" w:rsidRDefault="00000000" w:rsidRPr="00000000" w14:paraId="0000003D">
      <w:pPr>
        <w:rPr>
          <w:rFonts w:ascii="Arial" w:cs="Arial" w:eastAsia="Arial" w:hAnsi="Arial"/>
          <w:color w:val="000000"/>
        </w:rPr>
      </w:pPr>
      <w:r w:rsidDel="00000000" w:rsidR="00000000" w:rsidRPr="00000000">
        <w:rPr>
          <w:rFonts w:ascii="Arial" w:cs="Arial" w:eastAsia="Arial" w:hAnsi="Arial"/>
          <w:b w:val="1"/>
          <w:bCs w:val="1"/>
          <w:color w:val="000000"/>
          <w:rtl w:val="0"/>
        </w:rPr>
        <w:t xml:space="preserve">Current Issue:</w:t>
      </w:r>
      <w:r w:rsidDel="00000000" w:rsidR="00000000" w:rsidRPr="00000000">
        <w:rPr>
          <w:rFonts w:ascii="Arial" w:cs="Arial" w:eastAsia="Arial" w:hAnsi="Arial"/>
          <w:color w:val="000000"/>
          <w:rtl w:val="0"/>
        </w:rPr>
        <w:t xml:space="preserve"> Limited Access to Primary Health Care for People Experiencing Homelessness in the UK</w:t>
      </w:r>
    </w:p>
    <w:p w:rsidR="00000000" w:rsidDel="00000000" w:rsidP="00000000" w:rsidRDefault="00000000" w:rsidRPr="00000000" w14:paraId="0000003E">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Article 1: Crane et al. (2024)</w:t>
      </w:r>
    </w:p>
    <w:p w:rsidR="00000000" w:rsidDel="00000000" w:rsidP="00000000" w:rsidRDefault="00000000" w:rsidRPr="00000000" w14:paraId="0000003F">
      <w:pPr>
        <w:rPr>
          <w:rFonts w:ascii="Arial" w:cs="Arial" w:eastAsia="Arial" w:hAnsi="Arial"/>
          <w:color w:val="000000"/>
        </w:rPr>
      </w:pPr>
      <w:r w:rsidDel="00000000" w:rsidR="00000000" w:rsidRPr="00000000">
        <w:rPr>
          <w:rFonts w:ascii="Arial" w:cs="Arial" w:eastAsia="Arial" w:hAnsi="Arial"/>
          <w:color w:val="000000"/>
          <w:rtl w:val="0"/>
        </w:rPr>
        <w:t xml:space="preserve">Crane et al. (2024) compare different primary care models for people experiencing homelessness and show that how services are designed strongly affects access. Specialist homeless health centres and mainstream GP practices with extra, targeted support offer more flexible options such as drop-in appointments, longer consultations, on-site mental health and substance-use clinics and outreach in hostels and day centres. These features make it easier for people to register, attend and receive joined-up care. In contrast, ordinary GP practices without additional support tend to have short appointments, standard booking systems and limited time for proactive follow-up. Staff in these services report that lack of resources prevents them from tailoring care to people with unstable housing. Mobile outreach teams are popular with patients but, because they usually lack a GP and must coordinate with multiple practices, screening and continuity are weaker. Overall, the study suggests that service design and resourcing are key reasons why access remains unequal (Crane et al., 2024). </w:t>
      </w:r>
    </w:p>
    <w:p w:rsidR="00000000" w:rsidDel="00000000" w:rsidP="00000000" w:rsidRDefault="00000000" w:rsidRPr="00000000" w14:paraId="00000040">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Article 2: Howard (2024)</w:t>
      </w:r>
    </w:p>
    <w:p w:rsidR="00000000" w:rsidDel="00000000" w:rsidP="00000000" w:rsidRDefault="00000000" w:rsidRPr="00000000" w14:paraId="00000041">
      <w:pPr>
        <w:rPr>
          <w:rFonts w:ascii="Arial" w:cs="Arial" w:eastAsia="Arial" w:hAnsi="Arial"/>
          <w:color w:val="000000"/>
        </w:rPr>
      </w:pPr>
      <w:r w:rsidDel="00000000" w:rsidR="00000000" w:rsidRPr="00000000">
        <w:rPr>
          <w:rFonts w:ascii="Arial" w:cs="Arial" w:eastAsia="Arial" w:hAnsi="Arial"/>
          <w:color w:val="000000"/>
          <w:rtl w:val="0"/>
        </w:rPr>
        <w:t xml:space="preserve">Howard (2024) examines the experience of people using a specialised service of Homeless Healthcare in Manchester. The study provides five key problems limiting access through interviews and observation in homeless day centres. To begin with, most participants were fearful of speaking with staff and feared being misconstrued, which demonstrates how fears of communication can prevent individuals from seeking help. Second, they found the health system confusing, with unclear steps on how to register, book appointments or get follow-up care. Third, GP signposting was often weak, so people did not always know which services were available. Travel distance and cost also made attending appointments difficult, especially when people moved frequently. Finally, outreach clinics were described as very important because they reduced these barriers by bringing care closer to where people already were. Howard (2024) concludes that administrative, communication and practical obstacles all combine to restrict access. </w:t>
      </w:r>
    </w:p>
    <w:p w:rsidR="00000000" w:rsidDel="00000000" w:rsidP="00000000" w:rsidRDefault="00000000" w:rsidRPr="00000000" w14:paraId="00000042">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Conclusion</w:t>
      </w:r>
    </w:p>
    <w:p w:rsidR="00000000" w:rsidDel="00000000" w:rsidP="00000000" w:rsidRDefault="00000000" w:rsidRPr="00000000" w14:paraId="00000043">
      <w:pPr>
        <w:rPr>
          <w:rFonts w:ascii="Arial" w:cs="Arial" w:eastAsia="Arial" w:hAnsi="Arial"/>
          <w:color w:val="000000"/>
        </w:rPr>
      </w:pPr>
      <w:r w:rsidDel="00000000" w:rsidR="00000000" w:rsidRPr="00000000">
        <w:rPr>
          <w:rFonts w:ascii="Arial" w:cs="Arial" w:eastAsia="Arial" w:hAnsi="Arial"/>
          <w:color w:val="000000"/>
          <w:rtl w:val="0"/>
        </w:rPr>
        <w:t xml:space="preserve">Together, these articles show that poor access to primary care for people experiencing homelessness is mainly driven by service-level barriers, not a lack of willingness to seek help. Flexible, well-resourced specialist models and clear, outreach-based communication are essential to make primary care genuinely accessible for this vulnerable group.</w:t>
      </w:r>
    </w:p>
    <w:p w:rsidR="00000000" w:rsidDel="00000000" w:rsidP="00000000" w:rsidRDefault="00000000" w:rsidRPr="00000000" w14:paraId="00000044">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45">
      <w:pPr>
        <w:rPr>
          <w:rFonts w:ascii="Arial" w:cs="Arial" w:eastAsia="Arial" w:hAnsi="Arial"/>
          <w:color w:val="000000"/>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46">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5 - Podcast</w:t>
      </w:r>
    </w:p>
    <w:p w:rsidR="00000000" w:rsidDel="00000000" w:rsidP="00000000" w:rsidRDefault="00000000" w:rsidRPr="00000000" w14:paraId="00000047">
      <w:pPr>
        <w:rPr>
          <w:rFonts w:ascii="Arial" w:cs="Arial" w:eastAsia="Arial" w:hAnsi="Arial"/>
          <w:i w:val="1"/>
          <w:iCs w:val="1"/>
        </w:rPr>
      </w:pPr>
      <w:r w:rsidDel="00000000" w:rsidR="00000000" w:rsidRPr="00000000">
        <w:rPr>
          <w:rFonts w:ascii="Arial" w:cs="Arial" w:eastAsia="Arial" w:hAnsi="Arial"/>
          <w:i w:val="1"/>
          <w:iCs w:val="1"/>
          <w:color w:val="000000"/>
          <w:rtl w:val="0"/>
        </w:rPr>
        <w:t xml:space="preserve">Record a two-minute Podcast introducing your idea for component 2 using </w:t>
      </w:r>
      <w:hyperlink r:id="rId9">
        <w:r w:rsidDel="00000000" w:rsidR="00000000" w:rsidRPr="00000000">
          <w:rPr>
            <w:rFonts w:ascii="Arial" w:cs="Arial" w:eastAsia="Arial" w:hAnsi="Arial"/>
            <w:i w:val="1"/>
            <w:iCs w:val="1"/>
            <w:color w:val="467886"/>
            <w:u w:val="single"/>
            <w:rtl w:val="0"/>
          </w:rPr>
          <w:t xml:space="preserve">https://www.rev.com/onlinevoicerecorder</w:t>
        </w:r>
      </w:hyperlink>
      <w:r w:rsidDel="00000000" w:rsidR="00000000" w:rsidRPr="00000000">
        <w:rPr>
          <w:rFonts w:ascii="Arial" w:cs="Arial" w:eastAsia="Arial" w:hAnsi="Arial"/>
          <w:i w:val="1"/>
          <w:iCs w:val="1"/>
          <w:rtl w:val="0"/>
        </w:rPr>
        <w:t xml:space="preserve"> The MP3 audio must be downloaded and embedded as a file (see guidance video on how to do this here: https://www.youtube.com/watch?v=D21isId0agw) or an accessible OneDrive link if using a chromebook (make accessibility – anybody) before inserting into your portfolio. Check the accessibility of the link before submitting.</w:t>
      </w:r>
    </w:p>
    <w:p w:rsidR="00000000" w:rsidDel="00000000" w:rsidP="00000000" w:rsidRDefault="00000000" w:rsidRPr="00000000" w14:paraId="00000048">
      <w:pPr>
        <w:rPr>
          <w:rFonts w:ascii="Arial" w:cs="Arial" w:eastAsia="Arial" w:hAnsi="Arial"/>
          <w:i w:val="1"/>
          <w:iCs w:val="1"/>
          <w:color w:val="ff0000"/>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I am here to introduce myself briefly to my Component 2 idea. Now I am going to discuss one innovation that aims at addressing the problem of obesity in one particular group of people: children in low-income urban areas in the UK. The prevalence of obesity among this population is ever-increasing and a lack of access to nutritious food items, the unavailability of safe outdoor activities, and the ignorance of feasible eating habits continue to be the major obstacles to this group. My concept will help to deal with these issues in a realistic and innovative manner.</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The innovation that I am suggesting is a digital and physical community-based programme named Healthy Futures for Kids. It is an integration of a basic mobile application between parents and children with weekly sessions of activities which are held in form of in-person sessions and coordinated by local schools and community centres. The application offers simple and affordable meal planning, brief educational content and goal tracking to families. The physical activities during the face-to-face meetings are fun, and cooking demonstrations and parent-child sessions are aimed at instilling confidence and keeping the motivation.</w:t>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It is aimed at approaching healthy living as a non-expensive culture-sensitive and attainable goal without considering the level of income. The fusion of technology and actual community assistance will enhance the wellbeing of children, minimize health disparities and reinforce long-term practices of families by this initiative. This is the innovation that I am going to discuss in my poster and pitch.</w:t>
      </w:r>
    </w:p>
    <w:p w:rsidR="00000000" w:rsidDel="00000000" w:rsidP="00000000" w:rsidRDefault="00000000" w:rsidRPr="00000000" w14:paraId="0000004C">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4D">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4E">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4F">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6 - NHS Leadership Framework Analysis</w:t>
      </w:r>
    </w:p>
    <w:p w:rsidR="00000000" w:rsidDel="00000000" w:rsidP="00000000" w:rsidRDefault="00000000" w:rsidRPr="00000000" w14:paraId="00000050">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Write a short summary (200 words) explaining the key components of the NHS Leadership Framework. Then, choose one component and describe (150 words) how a leader might use it to encourage creativity and improve care in the NHS (2 sources).</w:t>
      </w:r>
    </w:p>
    <w:p w:rsidR="00000000" w:rsidDel="00000000" w:rsidP="00000000" w:rsidRDefault="00000000" w:rsidRPr="00000000" w14:paraId="00000051">
      <w:pPr>
        <w:rPr>
          <w:rFonts w:ascii="Arial" w:cs="Arial" w:eastAsia="Arial" w:hAnsi="Arial"/>
          <w:i w:val="1"/>
          <w:iCs w:val="1"/>
          <w:color w:val="ff0000"/>
        </w:rPr>
      </w:pPr>
      <w:r w:rsidDel="00000000" w:rsidR="00000000" w:rsidRPr="00000000">
        <w:rPr>
          <w:rtl w:val="0"/>
        </w:rPr>
      </w:r>
    </w:p>
    <w:p w:rsidR="00000000" w:rsidDel="00000000" w:rsidP="00000000" w:rsidRDefault="00000000" w:rsidRPr="00000000" w14:paraId="00000052">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NHS Leadership Framework – Key Components </w:t>
      </w:r>
    </w:p>
    <w:p w:rsidR="00000000" w:rsidDel="00000000" w:rsidP="00000000" w:rsidRDefault="00000000" w:rsidRPr="00000000" w14:paraId="00000053">
      <w:pPr>
        <w:rPr>
          <w:rFonts w:ascii="Arial" w:cs="Arial" w:eastAsia="Arial" w:hAnsi="Arial"/>
          <w:color w:val="000000"/>
        </w:rPr>
      </w:pPr>
      <w:r w:rsidDel="00000000" w:rsidR="00000000" w:rsidRPr="00000000">
        <w:rPr>
          <w:rFonts w:ascii="Arial" w:cs="Arial" w:eastAsia="Arial" w:hAnsi="Arial"/>
          <w:color w:val="000000"/>
          <w:rtl w:val="0"/>
        </w:rPr>
        <w:t xml:space="preserve">The NHS Leadership Framework explains what good leadership should look like for everyone working in health and social care, not only managers (NHS Leadership Academy, 2011). It has seven main parts. Five apply to all staff: Demonstrating personal qualities (understanding yourself, managing your behaviour and acting with honesty), Working with others (building good relationships and teams), Managing services (planning work, using resources well and supporting staff), Improving services (making care safer and better, and supporting new ideas) and Setting direction (using evidence and making informed decisions). Two others Creating the vision and Delivering the strategy deal with senior leaders who establish long term objectives and steer the entire organisation.</w:t>
      </w:r>
    </w:p>
    <w:p w:rsidR="00000000" w:rsidDel="00000000" w:rsidP="00000000" w:rsidRDefault="00000000" w:rsidRPr="00000000" w14:paraId="00000054">
      <w:pPr>
        <w:rPr>
          <w:rFonts w:ascii="Arial" w:cs="Arial" w:eastAsia="Arial" w:hAnsi="Arial"/>
          <w:color w:val="000000"/>
        </w:rPr>
      </w:pPr>
      <w:r w:rsidDel="00000000" w:rsidR="00000000" w:rsidRPr="00000000">
        <w:rPr>
          <w:rFonts w:ascii="Arial" w:cs="Arial" w:eastAsia="Arial" w:hAnsi="Arial"/>
          <w:color w:val="000000"/>
          <w:rtl w:val="0"/>
        </w:rPr>
        <w:t xml:space="preserve">The Clinical Leadership Competency Framework serves the same five broad areas and indicates how they apply to doctors, nurses and other clinicians, reminding staff that a leader is a part of everyone and not a senior manager (NHS Leadership Academy, 2012). Collectively, these frameworks provide the NHS with a clear and common perspective of how the staff can lead, communicate, plan and improve care.</w:t>
      </w:r>
    </w:p>
    <w:p w:rsidR="00000000" w:rsidDel="00000000" w:rsidP="00000000" w:rsidRDefault="00000000" w:rsidRPr="00000000" w14:paraId="00000055">
      <w:pPr>
        <w:rPr>
          <w:rFonts w:ascii="Arial" w:cs="Arial" w:eastAsia="Arial" w:hAnsi="Arial"/>
          <w:color w:val="000000"/>
        </w:rPr>
      </w:pPr>
      <w:r w:rsidDel="00000000" w:rsidR="00000000" w:rsidRPr="00000000">
        <w:rPr>
          <w:rtl w:val="0"/>
        </w:rPr>
      </w:r>
    </w:p>
    <w:p w:rsidR="00000000" w:rsidDel="00000000" w:rsidP="00000000" w:rsidRDefault="00000000" w:rsidRPr="00000000" w14:paraId="00000056">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Using “Working with Others” to Encourage Creativity and Improve Care </w:t>
      </w:r>
    </w:p>
    <w:p w:rsidR="00000000" w:rsidDel="00000000" w:rsidP="00000000" w:rsidRDefault="00000000" w:rsidRPr="00000000" w14:paraId="00000057">
      <w:pPr>
        <w:rPr>
          <w:rFonts w:ascii="Arial" w:cs="Arial" w:eastAsia="Arial" w:hAnsi="Arial"/>
          <w:color w:val="000000"/>
        </w:rPr>
      </w:pPr>
      <w:r w:rsidDel="00000000" w:rsidR="00000000" w:rsidRPr="00000000">
        <w:rPr>
          <w:rFonts w:ascii="Arial" w:cs="Arial" w:eastAsia="Arial" w:hAnsi="Arial"/>
          <w:color w:val="000000"/>
          <w:rtl w:val="0"/>
        </w:rPr>
        <w:t xml:space="preserve">The Working with others component focuses on teamworking, communication and building positive relationships (NHS Leadership Academy, 2011). An NHS leader can use this to support creativity by making sure everyone feels safe to share ideas. This could include short team huddles, regular meetings with different professionals, or co-design sessions with patients and families. When leaders listen actively and encourage everyone to contribute, staff feel more confident suggesting creative solutions.</w:t>
      </w:r>
    </w:p>
    <w:p w:rsidR="00000000" w:rsidDel="00000000" w:rsidP="00000000" w:rsidRDefault="00000000" w:rsidRPr="00000000" w14:paraId="00000058">
      <w:pPr>
        <w:rPr>
          <w:rFonts w:ascii="Arial" w:cs="Arial" w:eastAsia="Arial" w:hAnsi="Arial"/>
          <w:color w:val="000000"/>
        </w:rPr>
      </w:pPr>
      <w:r w:rsidDel="00000000" w:rsidR="00000000" w:rsidRPr="00000000">
        <w:rPr>
          <w:rFonts w:ascii="Arial" w:cs="Arial" w:eastAsia="Arial" w:hAnsi="Arial"/>
          <w:color w:val="000000"/>
          <w:rtl w:val="0"/>
        </w:rPr>
        <w:t xml:space="preserve">Good collaboration also helps teams understand problems from different angles – for example, nurses, doctors, admin staff and patients may all notice different gaps in care. By bringing these views together, the team can create better and more practical improvements. The Clinical Leadership Competency Framework also encourages leaders to share information, involve others in decisions and manage disagreements in a positive way, helping teams turn ideas into real improvements for patients (NHS Leadership Academy, 2012).</w:t>
      </w:r>
    </w:p>
    <w:p w:rsidR="00000000" w:rsidDel="00000000" w:rsidP="00000000" w:rsidRDefault="00000000" w:rsidRPr="00000000" w14:paraId="00000059">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A">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B">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D">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E">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F">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0">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1">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2">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3">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4">
      <w:pPr>
        <w:rPr>
          <w:rFonts w:ascii="Arial" w:cs="Arial" w:eastAsia="Arial" w:hAnsi="Arial"/>
          <w:color w:val="000000"/>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65">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7 - Self-Reflection Journal Entry</w:t>
      </w:r>
    </w:p>
    <w:p w:rsidR="00000000" w:rsidDel="00000000" w:rsidP="00000000" w:rsidRDefault="00000000" w:rsidRPr="00000000" w14:paraId="00000066">
      <w:pP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Write a short journal entry about what you learned in this module. Focus on how your understanding of creativity and value creation withing H&amp;SC has changed and how it has informed your professional practice (200 words).</w:t>
      </w:r>
    </w:p>
    <w:p w:rsidR="00000000" w:rsidDel="00000000" w:rsidP="00000000" w:rsidRDefault="00000000" w:rsidRPr="00000000" w14:paraId="00000067">
      <w:pPr>
        <w:rPr>
          <w:rFonts w:ascii="Arial" w:cs="Arial" w:eastAsia="Arial" w:hAnsi="Arial"/>
          <w:i w:val="1"/>
          <w:iCs w:val="1"/>
          <w:color w:val="ff0000"/>
        </w:rPr>
      </w:pPr>
      <w:r w:rsidDel="00000000" w:rsidR="00000000" w:rsidRPr="00000000">
        <w:rPr>
          <w:rtl w:val="0"/>
        </w:rPr>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Over the course of this module, my concept of creativity and the creation of value in health and social care has been expanded in a variety of ways. The paper clip exercise was one of the earliest exercises that helped me think differently. It has demonstrated to me that divergent thinking enables us to come up with numerous ideas and convergent thinking enables us to filter out the ideas that are not useful. This has made me understand that creativity in health and social care is neither limited to huge inventions, but also to viewing ordinary things in a different way.</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The process of designing my poster about my innovation idea also made me learn that visual design can be used to convey significant information easily. Getting to know how to deconstruct the issue, target audience, impact and implementation helped me be more cognizant about the way the projects are planned and presented.</w:t>
      </w:r>
    </w:p>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The literature review of current projects and initiatives particularly those in the NHS made me understand how a creative thought process can help enhance patient experiences, inequalities and make the services more efficient. Reflective cycles such as the ones developed by Kolb assisted me in contemplating more about what I had learned and how I can use it in practice.</w:t>
      </w:r>
    </w:p>
    <w:p w:rsidR="00000000" w:rsidDel="00000000" w:rsidP="00000000" w:rsidRDefault="00000000" w:rsidRPr="00000000" w14:paraId="0000006B">
      <w:pPr>
        <w:rPr>
          <w:rFonts w:ascii="Arial" w:cs="Arial" w:eastAsia="Arial" w:hAnsi="Arial"/>
          <w:i w:val="1"/>
          <w:iCs w:val="1"/>
          <w:color w:val="000000"/>
        </w:rPr>
      </w:pPr>
      <w:r w:rsidDel="00000000" w:rsidR="00000000" w:rsidRPr="00000000">
        <w:rPr>
          <w:rFonts w:ascii="Arial" w:cs="Arial" w:eastAsia="Arial" w:hAnsi="Arial"/>
          <w:rtl w:val="0"/>
        </w:rPr>
        <w:t xml:space="preserve">Lastly, the learning process of planning and recording a short podcast provided me with the knowledge of how to deliver ideas in a friendly and involving manner. In general, this module has sharpened my creative thinking and enabled me to look at the possibilities of how value can be created to service users as a result of practical and considered innovation.</w:t>
      </w:r>
      <w:r w:rsidDel="00000000" w:rsidR="00000000" w:rsidRPr="00000000">
        <w:rPr>
          <w:rtl w:val="0"/>
        </w:rPr>
      </w:r>
    </w:p>
    <w:p w:rsidR="00000000" w:rsidDel="00000000" w:rsidP="00000000" w:rsidRDefault="00000000" w:rsidRPr="00000000" w14:paraId="0000006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D">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E">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6F">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70">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71">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72">
      <w:pPr>
        <w:rPr>
          <w:rFonts w:ascii="Arial" w:cs="Arial" w:eastAsia="Arial" w:hAnsi="Arial"/>
          <w:color w:val="000000"/>
          <w:sz w:val="48"/>
          <w:szCs w:val="48"/>
        </w:rPr>
      </w:pPr>
      <w:r w:rsidDel="00000000" w:rsidR="00000000" w:rsidRPr="00000000">
        <w:rPr>
          <w:rFonts w:ascii="Arial" w:cs="Arial" w:eastAsia="Arial" w:hAnsi="Arial"/>
          <w:color w:val="000000"/>
          <w:sz w:val="48"/>
          <w:szCs w:val="48"/>
          <w:rtl w:val="0"/>
        </w:rPr>
        <w:t xml:space="preserve">Reference List</w:t>
      </w:r>
    </w:p>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Brookes, N., Palmer, S., Collins, G., &amp; Callaghan, L. (2024). Supporting people to live well: A multimethod study of Shared Lives (adult placement). British Journal of Learning Disabilities, 52(1), 131–139. </w:t>
      </w:r>
      <w:hyperlink r:id="rId10">
        <w:r w:rsidDel="00000000" w:rsidR="00000000" w:rsidRPr="00000000">
          <w:rPr>
            <w:rFonts w:ascii="Arial" w:cs="Arial" w:eastAsia="Arial" w:hAnsi="Arial"/>
            <w:color w:val="467886"/>
            <w:u w:val="single"/>
            <w:rtl w:val="0"/>
          </w:rPr>
          <w:t xml:space="preserve">https://doi.org/10.1111/bld.12556</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Crane, M., Joly, L., Daly, B. J. M., Gage, H., Manthorpe, J., Cetrano, G., Ford, C., &amp; Williams, P. (2024). Primary health care for people experiencing homelessness: The effectiveness of specialist and mainstream health service provision. British Journal of General Practice, 74(749), 568–572. https://doi.org/10.3399/bjgp24X740217  </w:t>
      </w:r>
    </w:p>
    <w:p w:rsidR="00000000" w:rsidDel="00000000" w:rsidP="00000000" w:rsidRDefault="00000000" w:rsidRPr="00000000" w14:paraId="00000075">
      <w:pPr>
        <w:rPr>
          <w:rFonts w:ascii="Arial" w:cs="Arial" w:eastAsia="Arial" w:hAnsi="Arial"/>
        </w:rPr>
      </w:pPr>
      <w:r w:rsidDel="00000000" w:rsidR="00000000" w:rsidRPr="00000000">
        <w:rPr>
          <w:rFonts w:ascii="Arial" w:cs="Arial" w:eastAsia="Arial" w:hAnsi="Arial"/>
          <w:rtl w:val="0"/>
        </w:rPr>
        <w:t xml:space="preserve">Howard, A. (2024). Access to health services for people experiencing homelessness in Manchester, UK: A qualitative study. British Journal of General Practice, 74(Suppl 1), bjgp24X737757. </w:t>
      </w:r>
      <w:hyperlink r:id="rId11">
        <w:r w:rsidDel="00000000" w:rsidR="00000000" w:rsidRPr="00000000">
          <w:rPr>
            <w:rFonts w:ascii="Arial" w:cs="Arial" w:eastAsia="Arial" w:hAnsi="Arial"/>
            <w:color w:val="467886"/>
            <w:u w:val="single"/>
            <w:rtl w:val="0"/>
          </w:rPr>
          <w:t xml:space="preserve">https://doi.org/10.3399/bjgp24X737757</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6">
      <w:pPr>
        <w:rPr>
          <w:rFonts w:ascii="Arial" w:cs="Arial" w:eastAsia="Arial" w:hAnsi="Arial"/>
        </w:rPr>
      </w:pPr>
      <w:r w:rsidDel="00000000" w:rsidR="00000000" w:rsidRPr="00000000">
        <w:rPr>
          <w:rFonts w:ascii="Arial" w:cs="Arial" w:eastAsia="Arial" w:hAnsi="Arial"/>
          <w:rtl w:val="0"/>
        </w:rPr>
        <w:t xml:space="preserve">Kolb, D. A. (1984). Experiential learning: Experience as the source of learning and development. Prentice Hall.</w:t>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NHS Leadership Academy. (2011). Leadership Framework. NHS Institute for Innovation and Improvement. </w:t>
      </w:r>
      <w:hyperlink r:id="rId12">
        <w:r w:rsidDel="00000000" w:rsidR="00000000" w:rsidRPr="00000000">
          <w:rPr>
            <w:rtl w:val="0"/>
          </w:rPr>
          <w:t xml:space="preserve">https://www.leadershipacademy.nhs.uk/wp-content/uploads/2012/11/NHSLeadership-Framework-LeadershipFramework.pdf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NHS Leadership Academy. (2012). Clinical Leadership Competency Framework: Self assessment tool.</w:t>
        <w:br w:type="textWrapping"/>
      </w:r>
      <w:hyperlink r:id="rId13">
        <w:r w:rsidDel="00000000" w:rsidR="00000000" w:rsidRPr="00000000">
          <w:rPr>
            <w:rtl w:val="0"/>
          </w:rPr>
          <w:t xml:space="preserve">https://warwick.ac.uk/fac/sci/med/about/global/etatmba/training/malawi/module2/clcf_self_assessment_tool.pdf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Purcell, C. (2024). Shared Lives: Innovation case study briefing 2. Supporting Adult Social Care Innovation (SASCI), London School of Economics and Political Science. </w:t>
      </w:r>
      <w:hyperlink r:id="rId14">
        <w:r w:rsidDel="00000000" w:rsidR="00000000" w:rsidRPr="00000000">
          <w:rPr>
            <w:rFonts w:ascii="Arial" w:cs="Arial" w:eastAsia="Arial" w:hAnsi="Arial"/>
            <w:color w:val="467886"/>
            <w:u w:val="single"/>
            <w:rtl w:val="0"/>
          </w:rPr>
          <w:t xml:space="preserve">https://eprints.lse.ac.uk/126621</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A">
      <w:pPr>
        <w:rPr>
          <w:rFonts w:ascii="Aptos" w:cs="Aptos" w:eastAsia="Aptos" w:hAnsi="Aptos"/>
          <w:color w:val="000000"/>
          <w:sz w:val="44"/>
          <w:szCs w:val="44"/>
        </w:rPr>
      </w:pPr>
      <w:r w:rsidDel="00000000" w:rsidR="00000000" w:rsidRPr="00000000">
        <w:rPr>
          <w:rtl w:val="0"/>
        </w:rPr>
      </w:r>
    </w:p>
    <w:p w:rsidR="00000000" w:rsidDel="00000000" w:rsidP="00000000" w:rsidRDefault="00000000" w:rsidRPr="00000000" w14:paraId="0000007B">
      <w:pPr>
        <w:rPr>
          <w:rFonts w:ascii="Aptos" w:cs="Aptos" w:eastAsia="Aptos" w:hAnsi="Aptos"/>
          <w:color w:val="000000"/>
        </w:rPr>
      </w:pPr>
      <w:r w:rsidDel="00000000" w:rsidR="00000000" w:rsidRPr="00000000">
        <w:rPr>
          <w:rtl w:val="0"/>
        </w:rPr>
      </w:r>
    </w:p>
    <w:p w:rsidR="00000000" w:rsidDel="00000000" w:rsidP="00000000" w:rsidRDefault="00000000" w:rsidRPr="00000000" w14:paraId="0000007C">
      <w:pPr>
        <w:rPr>
          <w:rFonts w:ascii="Aptos" w:cs="Aptos" w:eastAsia="Aptos" w:hAnsi="Aptos"/>
          <w:color w:val="000000"/>
        </w:rPr>
      </w:pPr>
      <w:r w:rsidDel="00000000" w:rsidR="00000000" w:rsidRPr="00000000">
        <w:rPr>
          <w:rtl w:val="0"/>
        </w:rPr>
      </w:r>
    </w:p>
    <w:p w:rsidR="00000000" w:rsidDel="00000000" w:rsidP="00000000" w:rsidRDefault="00000000" w:rsidRPr="00000000" w14:paraId="0000007D">
      <w:pPr>
        <w:rPr>
          <w:rFonts w:ascii="Aptos" w:cs="Aptos" w:eastAsia="Aptos" w:hAnsi="Aptos"/>
          <w:color w:val="000000"/>
        </w:rPr>
      </w:pPr>
      <w:r w:rsidDel="00000000" w:rsidR="00000000" w:rsidRPr="00000000">
        <w:rPr>
          <w:rtl w:val="0"/>
        </w:rPr>
      </w:r>
    </w:p>
    <w:p w:rsidR="00000000" w:rsidDel="00000000" w:rsidP="00000000" w:rsidRDefault="00000000" w:rsidRPr="00000000" w14:paraId="0000007E">
      <w:pPr>
        <w:rPr>
          <w:rFonts w:ascii="Aptos" w:cs="Aptos" w:eastAsia="Aptos" w:hAnsi="Aptos"/>
          <w:color w:val="000000"/>
        </w:rPr>
      </w:pPr>
      <w:r w:rsidDel="00000000" w:rsidR="00000000" w:rsidRPr="00000000">
        <w:rPr>
          <w:rtl w:val="0"/>
        </w:rPr>
      </w:r>
    </w:p>
    <w:p w:rsidR="00000000" w:rsidDel="00000000" w:rsidP="00000000" w:rsidRDefault="00000000" w:rsidRPr="00000000" w14:paraId="0000007F">
      <w:pPr>
        <w:rPr>
          <w:sz w:val="44"/>
          <w:szCs w:val="44"/>
        </w:rPr>
      </w:pPr>
      <w:r w:rsidDel="00000000" w:rsidR="00000000" w:rsidRPr="00000000">
        <w:rPr>
          <w:rtl w:val="0"/>
        </w:rPr>
      </w:r>
    </w:p>
    <w:sectPr>
      <w:headerReference r:id="rId1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rPr/>
    </w:pPr>
    <w:r w:rsidDel="00000000" w:rsidR="00000000" w:rsidRPr="00000000">
      <w:rPr>
        <w:rtl w:val="0"/>
      </w:rPr>
      <w:t xml:space="preserve">Robena khan</w:t>
    </w:r>
  </w:p>
  <w:p w:rsidR="00000000" w:rsidDel="00000000" w:rsidP="00000000" w:rsidRDefault="00000000" w:rsidRPr="00000000" w14:paraId="00000081">
    <w:pPr>
      <w:rPr/>
    </w:pPr>
    <w:r w:rsidDel="00000000" w:rsidR="00000000" w:rsidRPr="00000000">
      <w:rPr>
        <w:rtl w:val="0"/>
      </w:rPr>
      <w:t xml:space="preserve">2331471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3399/bjgp24X737757" TargetMode="External"/><Relationship Id="rId10" Type="http://schemas.openxmlformats.org/officeDocument/2006/relationships/hyperlink" Target="https://doi.org/10.1111/bld.12556" TargetMode="External"/><Relationship Id="rId13" Type="http://schemas.openxmlformats.org/officeDocument/2006/relationships/hyperlink" Target="https://warwick.ac.uk/fac/sci/med/about/global/etatmba/training/malawi/module2/clcf_self_assessment_tool.pdf?utm_source=chatgpt.com" TargetMode="External"/><Relationship Id="rId12" Type="http://schemas.openxmlformats.org/officeDocument/2006/relationships/hyperlink" Target="https://www.leadershipacademy.nhs.uk/wp-content/uploads/2012/11/NHSLeadership-Framework-LeadershipFramework.pdf?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v.com/onlinevoicerecorder" TargetMode="External"/><Relationship Id="rId15" Type="http://schemas.openxmlformats.org/officeDocument/2006/relationships/header" Target="header1.xml"/><Relationship Id="rId14" Type="http://schemas.openxmlformats.org/officeDocument/2006/relationships/hyperlink" Target="https://eprints.lse.ac.uk/12662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rev.com/app/file/NjkxYjEzODA4MWExYmQxMDQ2OTVkNDA5ZUNxemphOVlLWVM0"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