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Human Resource Management</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A Critical Analysis of Employee Engagement at Tencent</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Keyun Chen</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2229979</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0"/>
          <w:szCs w:val="30"/>
          <w:lang w:val="en-US" w:eastAsia="zh-CN"/>
        </w:rPr>
      </w:pPr>
      <w:r>
        <w:rPr>
          <w:rFonts w:hint="default" w:ascii="Times New Roman" w:hAnsi="Times New Roman" w:cs="Times New Roman"/>
          <w:b/>
          <w:bCs/>
          <w:sz w:val="30"/>
          <w:szCs w:val="30"/>
          <w:lang w:val="en-US" w:eastAsia="zh-CN"/>
        </w:rPr>
        <w:t>24 March 2023</w:t>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30"/>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0" w:name="_Toc13879"/>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sz w:val="22"/>
          <w:szCs w:val="22"/>
          <w:lang w:val="en-US" w:eastAsia="zh-CN"/>
        </w:rPr>
      </w:pPr>
      <w:bookmarkStart w:id="1" w:name="_Toc31286"/>
      <w:r>
        <w:rPr>
          <w:rFonts w:hint="default" w:ascii="Times New Roman" w:hAnsi="Times New Roman" w:cs="Times New Roman"/>
          <w:b/>
          <w:bCs/>
          <w:sz w:val="22"/>
          <w:szCs w:val="22"/>
          <w:lang w:val="en-US" w:eastAsia="zh-CN"/>
        </w:rPr>
        <w:t>Abstract</w:t>
      </w:r>
      <w:bookmarkEnd w:id="0"/>
      <w:bookmarkEnd w:id="1"/>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 Tencent has demonstrated strengths in its human resource management practices, such as offering competitive salaries and benefits packages, investing heavily in employee training and development programs, and providing opportunities for career growth and development. However, there are also some weaknesses and challenges facing Tencent's HRM, such as potential issues with employee engagement, motivation, recognition, and development opportunities(xiao ,2020). The company may also need to address concerns regarding communication and transparency practices, as well as employee well-being and work-life balance(jiang,2017). By considering models such as BlessingWhite's Model, Maslow's Hierarchy of Needs Model, and the SHRM model, Tencent can continue to improve its human resource management practices and ensure that its employees are fully engaged, motivated, and committed to the company's mission and values.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b/>
          <w:bCs/>
          <w:sz w:val="22"/>
          <w:szCs w:val="22"/>
          <w:lang w:val="en-US" w:eastAsia="zh-CN"/>
        </w:rPr>
        <w:t>Key words</w:t>
      </w:r>
      <w:r>
        <w:rPr>
          <w:rFonts w:hint="eastAsia" w:ascii="Times New Roman" w:hAnsi="Times New Roman" w:cs="Times New Roman"/>
          <w:b/>
          <w:bCs/>
          <w:sz w:val="22"/>
          <w:szCs w:val="22"/>
          <w:lang w:val="en-US" w:eastAsia="zh-CN"/>
        </w:rPr>
        <w:t>：</w:t>
      </w:r>
      <w:r>
        <w:rPr>
          <w:rFonts w:hint="eastAsia" w:ascii="Times New Roman" w:hAnsi="Times New Roman" w:cs="Times New Roman"/>
          <w:sz w:val="22"/>
          <w:szCs w:val="22"/>
          <w:lang w:val="en-US" w:eastAsia="zh-CN"/>
        </w:rPr>
        <w:t>Employee engagement、communication、competitiveness improvement</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pStyle w:val="4"/>
        <w:tabs>
          <w:tab w:val="right" w:leader="dot" w:pos="8306"/>
        </w:tabs>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Contents</w:t>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TOC \o "1-3" \h \u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_Toc31286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Abstract</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_Toc31286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2</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_Toc17212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Introduction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_Toc17212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_Toc18843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Strengths and weaknesses in Tencent 's HRM</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_Toc18843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5</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_Toc21723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1、BlessingWhite's Model :</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_Toc21723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5</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_Toc20468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eastAsiaTheme="minorEastAsia"/>
          <w:bCs/>
          <w:kern w:val="2"/>
          <w:sz w:val="22"/>
          <w:szCs w:val="22"/>
          <w:lang w:val="en-US" w:eastAsia="zh-CN" w:bidi="ar-SA"/>
        </w:rPr>
        <w:t>2、Maslow Model</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_Toc20468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6</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_Toc24657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kern w:val="2"/>
          <w:sz w:val="22"/>
          <w:szCs w:val="22"/>
          <w:lang w:val="en-US" w:eastAsia="zh-CN" w:bidi="ar-SA"/>
        </w:rPr>
        <w:t>3、the SHRM model</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_Toc24657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9</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_Toc25012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kern w:val="2"/>
          <w:sz w:val="22"/>
          <w:szCs w:val="22"/>
          <w:lang w:val="en-US" w:eastAsia="zh-CN" w:bidi="ar-SA"/>
        </w:rPr>
        <w:t>Recommendation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_Toc25012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10</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_Toc24522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kern w:val="2"/>
          <w:sz w:val="22"/>
          <w:szCs w:val="22"/>
          <w:lang w:val="en-US" w:eastAsia="zh-CN" w:bidi="ar-SA"/>
        </w:rPr>
        <w:t>Recommendation 1</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_Toc24522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_Toc20919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kern w:val="2"/>
          <w:sz w:val="22"/>
          <w:szCs w:val="22"/>
          <w:lang w:val="en-US" w:eastAsia="zh-CN" w:bidi="ar-SA"/>
        </w:rPr>
        <w:t>Recommendation 2</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_Toc20919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12</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_Toc7824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Conclusion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_Toc7824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12</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_Toc23190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References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_Toc23190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12</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_Toc24450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Appendix</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_Toc24450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15</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lang w:val="en-US" w:eastAsia="zh-CN"/>
        </w:rPr>
        <w:fldChar w:fldCharType="begin"/>
      </w:r>
      <w:r>
        <w:rPr>
          <w:rFonts w:hint="default" w:ascii="Times New Roman" w:hAnsi="Times New Roman" w:cs="Times New Roman"/>
          <w:sz w:val="22"/>
          <w:szCs w:val="22"/>
          <w:lang w:val="en-US" w:eastAsia="zh-CN"/>
        </w:rPr>
        <w:instrText xml:space="preserve"> HYPERLINK \l _Toc947 </w:instrText>
      </w:r>
      <w:r>
        <w:rPr>
          <w:rFonts w:hint="default" w:ascii="Times New Roman" w:hAnsi="Times New Roman" w:cs="Times New Roman"/>
          <w:sz w:val="22"/>
          <w:szCs w:val="22"/>
          <w:lang w:val="en-US" w:eastAsia="zh-CN"/>
        </w:rPr>
        <w:fldChar w:fldCharType="separate"/>
      </w:r>
      <w:r>
        <w:rPr>
          <w:rFonts w:hint="default" w:ascii="Times New Roman" w:hAnsi="Times New Roman" w:cs="Times New Roman"/>
          <w:bCs/>
          <w:sz w:val="22"/>
          <w:szCs w:val="22"/>
          <w:lang w:val="en-US" w:eastAsia="zh-CN"/>
        </w:rPr>
        <w:t>Interview outline</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_Toc947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15</w:t>
      </w:r>
      <w:r>
        <w:rPr>
          <w:rFonts w:hint="default" w:ascii="Times New Roman" w:hAnsi="Times New Roman" w:cs="Times New Roman"/>
          <w:sz w:val="22"/>
          <w:szCs w:val="22"/>
        </w:rPr>
        <w:fldChar w:fldCharType="end"/>
      </w:r>
      <w:r>
        <w:rPr>
          <w:rFonts w:hint="default" w:ascii="Times New Roman" w:hAnsi="Times New Roman" w:cs="Times New Roman"/>
          <w:sz w:val="22"/>
          <w:szCs w:val="22"/>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fldChar w:fldCharType="end"/>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2" w:name="_Toc6722"/>
      <w:bookmarkStart w:id="3" w:name="_Toc17212"/>
      <w:r>
        <w:rPr>
          <w:rFonts w:hint="default" w:ascii="Times New Roman" w:hAnsi="Times New Roman" w:cs="Times New Roman"/>
          <w:b/>
          <w:bCs/>
          <w:sz w:val="22"/>
          <w:szCs w:val="22"/>
          <w:lang w:val="en-US" w:eastAsia="zh-CN"/>
        </w:rPr>
        <w:t>Introduction</w:t>
      </w:r>
      <w:bookmarkEnd w:id="2"/>
      <w:bookmarkEnd w:id="3"/>
    </w:p>
    <w:p>
      <w:pPr>
        <w:keepNext w:val="0"/>
        <w:keepLines w:val="0"/>
        <w:pageBreakBefore w:val="0"/>
        <w:widowControl w:val="0"/>
        <w:kinsoku/>
        <w:wordWrap/>
        <w:overflowPunct/>
        <w:topLinePunct w:val="0"/>
        <w:autoSpaceDE/>
        <w:autoSpaceDN/>
        <w:bidi w:val="0"/>
        <w:adjustRightInd/>
        <w:snapToGrid/>
        <w:spacing w:line="360" w:lineRule="auto"/>
        <w:ind w:firstLine="448" w:firstLineChars="204"/>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Tencent Holdings Limited, commonly known as Tencent, is a Chinese multinational technology conglomerate founded in 1998. The company is one of the largest internet and AI companies in the world, providing a range of services including social media, gaming, music, e-commerce, and more. Tencent's most popular product is the instant messaging software WeChat, which has over 1 billion monthly active users worldwide. The company is headquartered in Shenzhen, China, and has offices and operations in numerous countri</w:t>
      </w:r>
      <w:r>
        <w:rPr>
          <w:rFonts w:hint="default" w:ascii="Times New Roman" w:hAnsi="Times New Roman" w:cs="Times New Roman"/>
          <w:sz w:val="22"/>
          <w:szCs w:val="22"/>
          <w:lang w:val="en-US" w:eastAsia="zh-CN"/>
        </w:rPr>
        <w:t>es.(Tencent Inc., 202</w:t>
      </w:r>
      <w:r>
        <w:rPr>
          <w:rFonts w:hint="eastAsia" w:ascii="Times New Roman" w:hAnsi="Times New Roman" w:cs="Times New Roman"/>
          <w:sz w:val="22"/>
          <w:szCs w:val="22"/>
          <w:lang w:val="en-US" w:eastAsia="zh-CN"/>
        </w:rPr>
        <w:t>3</w:t>
      </w:r>
      <w:r>
        <w:rPr>
          <w:rFonts w:hint="default" w:ascii="Times New Roman" w:hAnsi="Times New Roman" w:cs="Times New Roman"/>
          <w:sz w:val="22"/>
          <w:szCs w:val="22"/>
          <w:lang w:val="en-US" w:eastAsia="zh-CN"/>
        </w:rPr>
        <w:t>)</w:t>
      </w:r>
      <w:bookmarkStart w:id="26" w:name="_GoBack"/>
      <w:bookmarkEnd w:id="26"/>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As one of the largest tech companies in the world, Tencent places great emphasis on its human resource management practices. The company is known for offering competitive salaries and benefits packages, as well as opportunities for career growth and development. Tencent's HR department uses a data-driven approach to identify and recruit top talent, and also invests heavily in employee training and development programs. The company also has a strong focus on employee engagement, with regular feedback mechanisms and channels for employees to voice their opinions and concerns.</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Despite Tencent's strong focus on employee engagement, there have been some concerns about employee participation and involvement in decision-making processes(Bai,2018). Some employees have expressed dissatisfaction with the company's communication and transparency practices, and have called for more opportunities to provide feedback and contribute to the company's direction (Melewar,2005) . In response to these concerns, Tencent has launched initiatives such as regular town hall meetings, employee surveys, and online platforms for feedback and communication. The company has also increased its efforts to involve employees in social responsibility and community engagement projects, in order to enhance employee morale and sense of purpose(McCown,,2023）.</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4" w:name="_Toc27814"/>
      <w:bookmarkStart w:id="5" w:name="_Toc18843"/>
      <w:r>
        <w:rPr>
          <w:rFonts w:hint="default" w:ascii="Times New Roman" w:hAnsi="Times New Roman" w:cs="Times New Roman"/>
          <w:b/>
          <w:bCs/>
          <w:sz w:val="22"/>
          <w:szCs w:val="22"/>
          <w:lang w:val="en-US" w:eastAsia="zh-CN"/>
        </w:rPr>
        <w:t xml:space="preserve">Strengths and weaknesses in </w:t>
      </w:r>
      <w:r>
        <w:rPr>
          <w:rFonts w:hint="default" w:ascii="Times New Roman" w:hAnsi="Times New Roman" w:cs="Times New Roman"/>
          <w:b/>
          <w:bCs/>
          <w:sz w:val="22"/>
          <w:szCs w:val="22"/>
          <w:lang w:val="en-US" w:eastAsia="zh-CN"/>
        </w:rPr>
        <w:t xml:space="preserve">Tencent </w:t>
      </w:r>
      <w:r>
        <w:rPr>
          <w:rFonts w:hint="default" w:ascii="Times New Roman" w:hAnsi="Times New Roman" w:cs="Times New Roman"/>
          <w:b/>
          <w:bCs/>
          <w:sz w:val="22"/>
          <w:szCs w:val="22"/>
          <w:lang w:val="en-US" w:eastAsia="zh-CN"/>
        </w:rPr>
        <w:t>'s HRM</w:t>
      </w:r>
      <w:bookmarkEnd w:id="4"/>
      <w:bookmarkEnd w:id="5"/>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Employee engagement is the level of emotional and intellectual commitment an employee has towards their organization and its goals. Engaged employees are motivated, dedicated, and committed to their work and the success of their organization(Bedarkar,2014). Research has shown that employee engagement has a positive impact on organizational performance, productivity, customer satisfaction, and employee well-being.Employee engagement has several benefits for organizations, including increased productivity, reduced turnover rates, improved customer satisfaction, and enhanced innovation. Engaged employees are more likely to stay with their organization, resulting in reduced recruitment and training costs. Moreover, engaged employees are more innovative and willing to take risks, leading to increased creativity and innovation within the organization.</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kern w:val="2"/>
          <w:sz w:val="22"/>
          <w:szCs w:val="22"/>
          <w:lang w:val="en-US" w:eastAsia="zh-CN" w:bidi="ar-SA"/>
        </w:rPr>
        <w:t>Despite the emphasis on employee engagement at Tencent, there are several weaknesses that need to be addressed. One of the significant weaknesses is the lack of effective communication between managers and employees(Suen , 2022). Employees often feel that their ideas and feedback are not valued or taken seriously, leading to disengagement and decreased productivity. Additionally, Tencent's rigid organizational structure limits employees' opportunities for growth and development, resulting in lower job satisfaction and decreased engagement(Kane, 2017).</w:t>
      </w:r>
    </w:p>
    <w:p>
      <w:pPr>
        <w:keepNext w:val="0"/>
        <w:keepLines w:val="0"/>
        <w:pageBreakBefore w:val="0"/>
        <w:kinsoku/>
        <w:wordWrap/>
        <w:overflowPunct/>
        <w:topLinePunct w:val="0"/>
        <w:autoSpaceDE/>
        <w:autoSpaceDN/>
        <w:bidi w:val="0"/>
        <w:adjustRightInd/>
        <w:snapToGrid/>
        <w:spacing w:line="360" w:lineRule="auto"/>
        <w:ind w:firstLine="442" w:firstLineChars="200"/>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ind w:firstLine="442" w:firstLineChars="200"/>
        <w:jc w:val="both"/>
        <w:textAlignment w:val="auto"/>
        <w:outlineLvl w:val="1"/>
        <w:rPr>
          <w:rFonts w:hint="default" w:ascii="Times New Roman" w:hAnsi="Times New Roman" w:cs="Times New Roman"/>
          <w:sz w:val="22"/>
          <w:szCs w:val="22"/>
          <w:lang w:val="en-US" w:eastAsia="zh-CN"/>
        </w:rPr>
      </w:pPr>
      <w:bookmarkStart w:id="6" w:name="_Toc28830"/>
      <w:bookmarkStart w:id="7" w:name="_Toc21723"/>
      <w:r>
        <w:rPr>
          <w:rFonts w:hint="default" w:ascii="Times New Roman" w:hAnsi="Times New Roman" w:cs="Times New Roman"/>
          <w:b/>
          <w:bCs/>
          <w:sz w:val="22"/>
          <w:szCs w:val="22"/>
          <w:lang w:val="en-US" w:eastAsia="zh-CN"/>
        </w:rPr>
        <w:t>1、</w:t>
      </w:r>
      <w:r>
        <w:rPr>
          <w:rFonts w:hint="default" w:ascii="Times New Roman" w:hAnsi="Times New Roman" w:cs="Times New Roman"/>
          <w:b/>
          <w:bCs/>
          <w:sz w:val="22"/>
          <w:szCs w:val="22"/>
          <w:lang w:val="en-US" w:eastAsia="zh-CN"/>
        </w:rPr>
        <w:t>BlessingWhite's Model :</w:t>
      </w:r>
      <w:bookmarkEnd w:id="6"/>
      <w:bookmarkEnd w:id="7"/>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Engagement: This stage is about employees' commitment to the organization and their work. Engaged employees feel connected to the company's mission and values.</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Contribution: This stage is about employees' willingness to go above and beyond their job requirements. Contributing employees are motivated to do their best work and make a difference in the organization.</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Growth: This stage is about employees' desire to develop their skills and knowledge. Growing employees are interested in learning and taking on new challenges.</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Satisfaction: This stage is about employees' overall happiness and well-being. Satisfied employees feel valued and supported by the organization(Markos &amp; Sridevi, 2010).</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sz w:val="22"/>
          <w:szCs w:val="22"/>
          <w:lang w:val="en-US" w:eastAsia="zh-CN"/>
        </w:rPr>
        <w:t>In terms of employee engagement, Tencent may have an issue with the engagement stage, as some employees may not feel fully committed to the company's mission and values. In terms of contribution, Tencent may have an issue with employees feeling not motivated to go above and beyond their job requirements. This may impact the company's ability to innovate and stay competitive. In terms of growth, Tencent may have an issue with  not providing sufficient opportunities for employees to develop their skills and knowledge, which could impact employee retention and satisfaction. Finally, in terms of satisfaction, Tencent may have an issue with employee well-being, as some employees may experience high levels of stress or burnout due to the demanding nature of the tech industry. These issues could all impact employee participation and their willingness to be fully engaged in their work.</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1"/>
        <w:rPr>
          <w:rFonts w:hint="default" w:ascii="Times New Roman" w:hAnsi="Times New Roman" w:cs="Times New Roman" w:eastAsiaTheme="minorEastAsia"/>
          <w:kern w:val="2"/>
          <w:sz w:val="22"/>
          <w:szCs w:val="22"/>
          <w:lang w:val="en-US" w:eastAsia="zh-CN" w:bidi="ar-SA"/>
        </w:rPr>
      </w:pPr>
      <w:bookmarkStart w:id="8" w:name="_Toc30267"/>
      <w:bookmarkStart w:id="9" w:name="_Toc20468"/>
      <w:r>
        <w:rPr>
          <w:rFonts w:hint="default" w:ascii="Times New Roman" w:hAnsi="Times New Roman" w:cs="Times New Roman" w:eastAsiaTheme="minorEastAsia"/>
          <w:b/>
          <w:bCs/>
          <w:kern w:val="2"/>
          <w:sz w:val="22"/>
          <w:szCs w:val="22"/>
          <w:lang w:val="en-US" w:eastAsia="zh-CN" w:bidi="ar-SA"/>
        </w:rPr>
        <w:t>2、</w:t>
      </w:r>
      <w:r>
        <w:rPr>
          <w:rFonts w:hint="default" w:ascii="Times New Roman" w:hAnsi="Times New Roman" w:cs="Times New Roman" w:eastAsiaTheme="minorEastAsia"/>
          <w:b/>
          <w:bCs/>
          <w:kern w:val="2"/>
          <w:sz w:val="22"/>
          <w:szCs w:val="22"/>
          <w:lang w:val="en-US" w:eastAsia="zh-CN" w:bidi="ar-SA"/>
        </w:rPr>
        <w:t>Maslow Model</w:t>
      </w:r>
      <w:bookmarkEnd w:id="8"/>
      <w:bookmarkEnd w:id="9"/>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Maslow's Hierarchy of Needs Model is a theory of human motivation and is based on a five-tier pyramid of needs:Physiological Needs、Safety Needs、Love and Belonging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kern w:val="2"/>
          <w:sz w:val="22"/>
          <w:szCs w:val="22"/>
          <w:lang w:val="en-US" w:eastAsia="zh-CN" w:bidi="ar-SA"/>
        </w:rPr>
        <w:t xml:space="preserve">Esteem Needs and Self-Actualization Needs(McCall, 2017).    </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sz w:val="22"/>
          <w:szCs w:val="22"/>
          <w:lang w:val="en-US" w:eastAsia="zh-CN"/>
        </w:rPr>
        <w:drawing>
          <wp:inline distT="0" distB="0" distL="114300" distR="114300">
            <wp:extent cx="3235960" cy="2109470"/>
            <wp:effectExtent l="0" t="0" r="2540" b="5080"/>
            <wp:docPr id="1" name="图片 1" descr="0ac42949a3a94c5d564d5577626d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0ac42949a3a94c5d564d5577626d438"/>
                    <pic:cNvPicPr>
                      <a:picLocks noChangeAspect="1"/>
                    </pic:cNvPicPr>
                  </pic:nvPicPr>
                  <pic:blipFill>
                    <a:blip r:embed="rId5"/>
                    <a:stretch>
                      <a:fillRect/>
                    </a:stretch>
                  </pic:blipFill>
                  <pic:spPr>
                    <a:xfrm>
                      <a:off x="0" y="0"/>
                      <a:ext cx="3235960" cy="2109470"/>
                    </a:xfrm>
                    <a:prstGeom prst="rect">
                      <a:avLst/>
                    </a:prstGeom>
                  </pic:spPr>
                </pic:pic>
              </a:graphicData>
            </a:graphic>
          </wp:inline>
        </w:drawing>
      </w:r>
      <w:r>
        <w:rPr>
          <w:rFonts w:hint="default" w:ascii="Times New Roman" w:hAnsi="Times New Roman" w:cs="Times New Roman"/>
          <w:sz w:val="22"/>
          <w:szCs w:val="22"/>
          <w:lang w:val="en-US" w:eastAsia="zh-CN"/>
        </w:rPr>
        <w:tab/>
      </w:r>
      <w:r>
        <w:rPr>
          <w:rFonts w:hint="default" w:ascii="Times New Roman" w:hAnsi="Times New Roman" w:eastAsia="宋体" w:cs="Times New Roman"/>
          <w:color w:val="000000"/>
          <w:kern w:val="0"/>
          <w:sz w:val="22"/>
          <w:szCs w:val="22"/>
          <w:lang w:val="en-US" w:eastAsia="zh-CN" w:bidi="ar"/>
        </w:rPr>
        <w:t xml:space="preserve"> </w:t>
      </w:r>
      <w:r>
        <w:rPr>
          <w:rFonts w:hint="default" w:ascii="Times New Roman" w:hAnsi="Times New Roman" w:eastAsia="宋体" w:cs="Times New Roman"/>
          <w:color w:val="000000"/>
          <w:kern w:val="0"/>
          <w:sz w:val="22"/>
          <w:szCs w:val="22"/>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eastAsia="宋体" w:cs="Times New Roman"/>
          <w:color w:val="000000"/>
          <w:kern w:val="0"/>
          <w:sz w:val="22"/>
          <w:szCs w:val="22"/>
          <w:lang w:val="en-US" w:eastAsia="zh-CN" w:bidi="ar"/>
        </w:rPr>
        <w:t>Maslow's hierarchy of needs</w:t>
      </w:r>
      <w:r>
        <w:rPr>
          <w:rFonts w:hint="default" w:ascii="Times New Roman" w:hAnsi="Times New Roman" w:cs="Times New Roman"/>
          <w:kern w:val="2"/>
          <w:sz w:val="22"/>
          <w:szCs w:val="22"/>
          <w:lang w:val="en-US" w:eastAsia="zh-CN" w:bidi="ar-SA"/>
        </w:rPr>
        <w:t>(McLeod, 2007)</w:t>
      </w:r>
    </w:p>
    <w:p>
      <w:pPr>
        <w:bidi w:val="0"/>
        <w:rPr>
          <w:rFonts w:hint="default" w:asciiTheme="minorHAnsi" w:hAnsiTheme="minorHAnsi" w:eastAsiaTheme="minorEastAsia" w:cstheme="minorBidi"/>
          <w:kern w:val="2"/>
          <w:sz w:val="21"/>
          <w:szCs w:val="24"/>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tbl>
      <w:tblPr>
        <w:tblStyle w:val="8"/>
        <w:tblpPr w:leftFromText="180" w:rightFromText="180" w:vertAnchor="text" w:horzAnchor="page" w:tblpX="2133" w:tblpY="-9330"/>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70"/>
        <w:gridCol w:w="63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Physiological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Tencent may have an issue with providing a comfortable and safe work environment for its employees, especially for those who work long hours in front of a computer. The lack of ergonomic workstations and insufficient breaks could lead to health issues such as eye strain, back pain, and stress.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Safety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Tencent may have an issue with providing job security and stability for its employees, particularly for those in the tech industry where the competition is fierce. This could lead to a sense of insecurity and fear of losing their job, which could impact their performance and engagement.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Love</w:t>
            </w:r>
            <w:r>
              <w:rPr>
                <w:rFonts w:hint="eastAsia" w:ascii="Times New Roman" w:hAnsi="Times New Roman" w:cs="Times New Roman"/>
                <w:b/>
                <w:bCs/>
                <w:kern w:val="2"/>
                <w:sz w:val="22"/>
                <w:szCs w:val="22"/>
                <w:lang w:val="en-US" w:eastAsia="zh-CN" w:bidi="ar-SA"/>
              </w:rPr>
              <w:t xml:space="preserve"> </w:t>
            </w:r>
            <w:r>
              <w:rPr>
                <w:rFonts w:hint="default" w:ascii="Times New Roman" w:hAnsi="Times New Roman" w:cs="Times New Roman" w:eastAsiaTheme="minorEastAsia"/>
                <w:b/>
                <w:bCs/>
                <w:kern w:val="2"/>
                <w:sz w:val="22"/>
                <w:szCs w:val="22"/>
                <w:lang w:val="en-US" w:eastAsia="zh-CN" w:bidi="ar-SA"/>
              </w:rPr>
              <w:t>and Belonging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 xml:space="preserve"> Tencent may have an issue with fostering a sense of community and social interaction among its employees. The company culture may be focused solely on work and productivity, and may not provide enough opportunities for employees to connect with one another, build relationships, and create a sense of belonging.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Esteem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Tencent may have an issue with recognizing and rewarding employees' achievements and contributions. A lack of recognition and appreciation could lead to a decrease in employee morale, engagement, and motivation(Moro, 2021).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70" w:type="dxa"/>
          </w:tcPr>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Self-Actualization Needs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vertAlign w:val="baseline"/>
                <w:lang w:val="en-US" w:eastAsia="zh-CN" w:bidi="ar-SA"/>
              </w:rPr>
            </w:pPr>
          </w:p>
        </w:tc>
        <w:tc>
          <w:tcPr>
            <w:tcW w:w="6352" w:type="dxa"/>
          </w:tcPr>
          <w:p>
            <w:pPr>
              <w:keepNext w:val="0"/>
              <w:keepLines w:val="0"/>
              <w:pageBreakBefore w:val="0"/>
              <w:tabs>
                <w:tab w:val="left" w:pos="1679"/>
              </w:tabs>
              <w:kinsoku/>
              <w:wordWrap/>
              <w:overflowPunct/>
              <w:topLinePunct w:val="0"/>
              <w:autoSpaceDE/>
              <w:autoSpaceDN/>
              <w:bidi w:val="0"/>
              <w:adjustRightInd/>
              <w:snapToGrid/>
              <w:spacing w:line="360" w:lineRule="auto"/>
              <w:ind w:firstLine="660" w:firstLineChars="300"/>
              <w:jc w:val="both"/>
              <w:textAlignment w:val="auto"/>
              <w:rPr>
                <w:rFonts w:hint="default" w:ascii="Times New Roman" w:hAnsi="Times New Roman" w:cs="Times New Roman" w:eastAsiaTheme="minorEastAsia"/>
                <w:kern w:val="2"/>
                <w:sz w:val="22"/>
                <w:szCs w:val="22"/>
                <w:vertAlign w:val="baseline"/>
                <w:lang w:val="en-US" w:eastAsia="zh-CN" w:bidi="ar-SA"/>
              </w:rPr>
            </w:pPr>
            <w:r>
              <w:rPr>
                <w:rFonts w:hint="default" w:ascii="Times New Roman" w:hAnsi="Times New Roman" w:cs="Times New Roman"/>
                <w:kern w:val="2"/>
                <w:sz w:val="22"/>
                <w:szCs w:val="22"/>
                <w:lang w:val="en-US" w:eastAsia="zh-CN" w:bidi="ar-SA"/>
              </w:rPr>
              <w:t>Tencent may have an issue with providing opportunities for personal growth and development for its employees. The company may not prioritize employee training and development programs, which could lead to a lack of skills, knowledge, and advancement opportunities for employees.</w:t>
            </w:r>
          </w:p>
        </w:tc>
      </w:tr>
    </w:tbl>
    <w:p>
      <w:pPr>
        <w:bidi w:val="0"/>
        <w:jc w:val="left"/>
        <w:rPr>
          <w:rFonts w:hint="default"/>
          <w:lang w:val="en-US" w:eastAsia="zh-CN"/>
        </w:rPr>
      </w:pP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kern w:val="2"/>
          <w:sz w:val="22"/>
          <w:szCs w:val="22"/>
          <w:lang w:val="en-US" w:eastAsia="zh-CN" w:bidi="ar-SA"/>
        </w:rPr>
        <w:t>In conclusion, by considering Maslow's Hierarchy of Needs Model, Tencent's human resource management may have issues in providing a safe and comfortable work environment, job security, social interaction, recognition, and development opportunities for its employees. These issues could impact employee participation and their willingness to be fully engaged in their work.</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outlineLvl w:val="1"/>
        <w:rPr>
          <w:rFonts w:hint="default" w:ascii="Times New Roman" w:hAnsi="Times New Roman" w:cs="Times New Roman"/>
          <w:b/>
          <w:bCs/>
          <w:kern w:val="2"/>
          <w:sz w:val="22"/>
          <w:szCs w:val="22"/>
          <w:lang w:val="en-US" w:eastAsia="zh-CN" w:bidi="ar-SA"/>
        </w:rPr>
      </w:pPr>
      <w:bookmarkStart w:id="10" w:name="_Toc26631"/>
      <w:bookmarkStart w:id="11" w:name="_Toc24657"/>
      <w:r>
        <w:rPr>
          <w:rFonts w:hint="default" w:ascii="Times New Roman" w:hAnsi="Times New Roman" w:cs="Times New Roman"/>
          <w:b/>
          <w:bCs/>
          <w:kern w:val="2"/>
          <w:sz w:val="22"/>
          <w:szCs w:val="22"/>
          <w:lang w:val="en-US" w:eastAsia="zh-CN" w:bidi="ar-SA"/>
        </w:rPr>
        <w:t>3、the SHRM model</w:t>
      </w:r>
      <w:bookmarkEnd w:id="10"/>
      <w:bookmarkEnd w:id="11"/>
      <w:r>
        <w:rPr>
          <w:rFonts w:hint="default" w:ascii="Times New Roman" w:hAnsi="Times New Roman" w:cs="Times New Roman"/>
          <w:b/>
          <w:bCs/>
          <w:kern w:val="2"/>
          <w:sz w:val="22"/>
          <w:szCs w:val="22"/>
          <w:lang w:val="en-US" w:eastAsia="zh-CN" w:bidi="ar-SA"/>
        </w:rPr>
        <w:t xml:space="preserve"> </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The SHRM (Strategic Human Resource Management) model is a framework that emphasizes the strategic importance of human resource management in an organization. It argues that the effective management of people is critical to achieving organizational goals and gaining a competitive advantage in the market(Waiganjo, 2012). According to the SHRM model, organizations must align their human resource strategies with their overall business strategies to achieve success. This involves identifying the key competencies required for success, developing strategies to attract and retain employees with these competencies, and creating a supportive work environment that enables employees to perform at their best.The SHRM model also emphasizes the importance of ongoing evaluation and improvement. Organizations must continually assess their human resource strategies and adjust them as needed to remain competitive(Waiganjo,2012).</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However, there are some current situations of low participation of Tencent employees, and the analysis of the reasons may be：High employee turnover: If employees are not engaged or satisfied with their work, they are more likely to leave the company. High employee turnover can be a sign of low engagement levels；Lack of employee input: If employees are not given opportunities to provide feedback or participate in decision-making processes, they may feel disconnected from the company's mission and goals. This can lead to decreased motivation and engagement levels；Poor communication: If communication between management and employees is unclear or ineffective, it can lead to misunderstandings and a lack of clarity about roles, responsibilities, and expectations. This can negatively impact employee engagement；Limited career growth opportunities: If employees do not see opportunities for career advancement or development within the company, they may become disengaged and seek opportunities elsewhere.（</w:t>
      </w:r>
      <w:r>
        <w:rPr>
          <w:rFonts w:hint="default" w:ascii="Times New Roman" w:hAnsi="Times New Roman" w:cs="Times New Roman"/>
          <w:kern w:val="2"/>
          <w:sz w:val="22"/>
          <w:szCs w:val="22"/>
          <w:lang w:val="en-US" w:eastAsia="zh-CN" w:bidi="ar-SA"/>
        </w:rPr>
        <w:t>This study adopts semi structured and unstructured in-depth interview methods with strong theoretical guidance and good flexibility. The main interviewees are Tencent senior human resource managers, senior employees in business departments, etc. In this study, two interviews were conducted with Tencent, including employees from the human resources management department, middle and senior managementManagers, business teams, etc. 10 people/time. Most of the interviewees are employees who have worked at Tencent for more than 5 years and have experienced changes in the organizational structure of Tencent's human resources management.</w:t>
      </w:r>
      <w:r>
        <w:rPr>
          <w:rFonts w:hint="default" w:ascii="Times New Roman" w:hAnsi="Times New Roman" w:cs="Times New Roman"/>
          <w:kern w:val="2"/>
          <w:sz w:val="22"/>
          <w:szCs w:val="22"/>
          <w:lang w:val="en-US" w:eastAsia="zh-CN" w:bidi="ar-SA"/>
        </w:rPr>
        <w:t>）</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According to the previous question, the main issue facing Tencent's human resource management is related to the low level of employee engagement. Using the SHRM (Strategic Human Resource Management) model, we can analyze the problem and suggest potential solutions.</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The SHRM model is based on four components: environmental scanning, strategy formulation, strategy implementation, and evaluation and control. We will focus on the strategy implementation component, as this is where the employee engagement issue is most relevant</w:t>
      </w:r>
      <w:r>
        <w:rPr>
          <w:rFonts w:hint="default" w:ascii="Times New Roman" w:hAnsi="Times New Roman" w:cs="Times New Roman"/>
          <w:kern w:val="2"/>
          <w:sz w:val="22"/>
          <w:szCs w:val="22"/>
          <w:lang w:val="en-US" w:eastAsia="zh-CN" w:bidi="ar-SA"/>
        </w:rPr>
        <w:t>(Boxall, 1996)</w:t>
      </w:r>
      <w:r>
        <w:rPr>
          <w:rFonts w:hint="default" w:ascii="Times New Roman" w:hAnsi="Times New Roman" w:cs="Times New Roman"/>
          <w:kern w:val="2"/>
          <w:sz w:val="22"/>
          <w:szCs w:val="22"/>
          <w:lang w:val="en-US" w:eastAsia="zh-CN" w:bidi="ar-SA"/>
        </w:rPr>
        <w:t>.</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r>
        <w:rPr>
          <w:rFonts w:hint="default" w:ascii="Times New Roman" w:hAnsi="Times New Roman" w:cs="Times New Roman"/>
          <w:kern w:val="2"/>
          <w:sz w:val="22"/>
          <w:szCs w:val="22"/>
          <w:lang w:val="en-US" w:eastAsia="zh-CN" w:bidi="ar-SA"/>
        </w:rPr>
        <w:t>One potential reason for the low level of employee engagement at Tencent could be a lack of effective communication and feedback mechanisms. To address this issue, Tencent could implement more regular and structured feedback processes, such as performance reviews, employee surveys, and suggestion boxes. By actively seeking and responding to employee feedback, Tencent can demonstrate that it values and respects its employees, which could help to boost engagement.Another potential solution is to invest in employee training and development. By providing opportunities for employees to learn new skills and advance in their careers, Tencent can increase employee satisfaction and engagement. Additionally, Tencent could consider implementing a rewards and recognition program to incentivize and recognize high-performing employees.Overall, by implementing these strategies, Tencent can increase employee engagement and improve its human resource management practices(Bamberger, 2014).</w:t>
      </w:r>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sz w:val="22"/>
          <w:szCs w:val="22"/>
          <w:lang w:val="en-US" w:eastAsia="zh-CN"/>
        </w:rPr>
      </w:pPr>
      <w:bookmarkStart w:id="12" w:name="_Toc9511"/>
      <w:bookmarkStart w:id="13" w:name="_Toc25012"/>
      <w:r>
        <w:rPr>
          <w:rFonts w:hint="default" w:ascii="Times New Roman" w:hAnsi="Times New Roman" w:cs="Times New Roman"/>
          <w:b/>
          <w:bCs/>
          <w:kern w:val="2"/>
          <w:sz w:val="22"/>
          <w:szCs w:val="22"/>
          <w:lang w:val="en-US" w:eastAsia="zh-CN" w:bidi="ar-SA"/>
        </w:rPr>
        <w:t>Recommendation</w:t>
      </w:r>
      <w:bookmarkEnd w:id="12"/>
      <w:bookmarkEnd w:id="13"/>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kern w:val="2"/>
          <w:sz w:val="22"/>
          <w:szCs w:val="22"/>
          <w:lang w:val="en-US" w:eastAsia="zh-CN" w:bidi="ar-SA"/>
        </w:rPr>
        <w:t>Weak employee engagement at Tencent has several negative outcomes, including decreased productivity, increased turnover rates, and reduced innovation. Disengaged employees are more likely to leave their organization, leading to higher recruitment and training costs. Additionally, low employee engagement can lead to reduced productivity and lower quality work, resulting in decreased customer satisfaction and ultimately impacting Tencent's bottom line.</w:t>
      </w:r>
      <w:r>
        <w:rPr>
          <w:rFonts w:hint="default" w:ascii="Times New Roman" w:hAnsi="Times New Roman" w:cs="Times New Roman" w:eastAsiaTheme="minorEastAsia"/>
          <w:kern w:val="2"/>
          <w:sz w:val="22"/>
          <w:szCs w:val="22"/>
          <w:lang w:val="en-US" w:eastAsia="zh-CN" w:bidi="ar-SA"/>
        </w:rPr>
        <w:t>Feasible Recommendations for Improving Employee Engagement at Tencent:To improve employee engagement at Tencent, the organization must focus on improving communication channels between managers and employees. This can be achieved through regular feedback sessions, town hall meetings, and employee engagement surveys. Additionally, Tencent should consider implementing a more flexible organizational structure that encourages employees' growth and development. This can include providing opportunities for job rotation, cross-functional training, and mentorship programs</w:t>
      </w:r>
      <w:r>
        <w:rPr>
          <w:rFonts w:hint="default" w:ascii="Times New Roman" w:hAnsi="Times New Roman" w:cs="Times New Roman" w:eastAsiaTheme="minorEastAsia"/>
          <w:kern w:val="2"/>
          <w:sz w:val="22"/>
          <w:szCs w:val="22"/>
          <w:lang w:val="en-US" w:eastAsia="zh-CN" w:bidi="ar-SA"/>
        </w:rPr>
        <w:t>(</w:t>
      </w:r>
      <w:r>
        <w:rPr>
          <w:rFonts w:hint="default" w:ascii="Times New Roman" w:hAnsi="Times New Roman" w:cs="Times New Roman" w:eastAsiaTheme="minorEastAsia"/>
          <w:kern w:val="2"/>
          <w:sz w:val="22"/>
          <w:szCs w:val="22"/>
          <w:lang w:val="en-US" w:eastAsia="zh-CN" w:bidi="ar-SA"/>
        </w:rPr>
        <w:t>Peter</w:t>
      </w:r>
      <w:r>
        <w:rPr>
          <w:rFonts w:hint="default" w:ascii="Times New Roman" w:hAnsi="Times New Roman" w:cs="Times New Roman" w:eastAsiaTheme="minorEastAsia"/>
          <w:kern w:val="2"/>
          <w:sz w:val="22"/>
          <w:szCs w:val="22"/>
          <w:lang w:val="en-US" w:eastAsia="zh-CN" w:bidi="ar-SA"/>
        </w:rPr>
        <w:t>,2019)</w:t>
      </w:r>
      <w:r>
        <w:rPr>
          <w:rFonts w:hint="default" w:ascii="Times New Roman" w:hAnsi="Times New Roman" w:cs="Times New Roman" w:eastAsiaTheme="minorEastAsia"/>
          <w:kern w:val="2"/>
          <w:sz w:val="22"/>
          <w:szCs w:val="22"/>
          <w:lang w:val="en-US" w:eastAsia="zh-CN" w:bidi="ar-SA"/>
        </w:rPr>
        <w:t>.</w:t>
      </w:r>
    </w:p>
    <w:p>
      <w:pPr>
        <w:keepNext w:val="0"/>
        <w:keepLines w:val="0"/>
        <w:pageBreakBefore w:val="0"/>
        <w:kinsoku/>
        <w:wordWrap/>
        <w:overflowPunct/>
        <w:topLinePunct w:val="0"/>
        <w:autoSpaceDE/>
        <w:autoSpaceDN/>
        <w:bidi w:val="0"/>
        <w:adjustRightInd/>
        <w:snapToGrid/>
        <w:spacing w:line="360" w:lineRule="auto"/>
        <w:jc w:val="both"/>
        <w:textAlignment w:val="auto"/>
        <w:outlineLvl w:val="1"/>
        <w:rPr>
          <w:rFonts w:hint="default" w:ascii="Times New Roman" w:hAnsi="Times New Roman" w:cs="Times New Roman" w:eastAsiaTheme="minorEastAsia"/>
          <w:kern w:val="2"/>
          <w:sz w:val="22"/>
          <w:szCs w:val="22"/>
          <w:lang w:val="en-US" w:eastAsia="zh-CN" w:bidi="ar-SA"/>
        </w:rPr>
      </w:pPr>
      <w:bookmarkStart w:id="14" w:name="_Toc9962"/>
      <w:bookmarkStart w:id="15" w:name="_Toc24522"/>
      <w:r>
        <w:rPr>
          <w:rFonts w:hint="default" w:ascii="Times New Roman" w:hAnsi="Times New Roman" w:cs="Times New Roman"/>
          <w:b/>
          <w:bCs/>
          <w:kern w:val="2"/>
          <w:sz w:val="22"/>
          <w:szCs w:val="22"/>
          <w:lang w:val="en-US" w:eastAsia="zh-CN" w:bidi="ar-SA"/>
        </w:rPr>
        <w:t>Recommendation 1:</w:t>
      </w:r>
      <w:bookmarkEnd w:id="14"/>
      <w:bookmarkEnd w:id="15"/>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Improving communication channels: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Regular feedback meetings:</w:t>
      </w:r>
      <w:r>
        <w:rPr>
          <w:rFonts w:hint="default" w:ascii="Times New Roman" w:hAnsi="Times New Roman" w:cs="Times New Roman" w:eastAsiaTheme="minorEastAsia"/>
          <w:kern w:val="2"/>
          <w:sz w:val="22"/>
          <w:szCs w:val="22"/>
          <w:lang w:val="en-US" w:eastAsia="zh-CN" w:bidi="ar-SA"/>
        </w:rPr>
        <w:t xml:space="preserve"> Regular individual feedback and performance evaluation meetings with employees to discuss their strengths and areas for improvement, and to provide guidance and support to help them achieve their career goals.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Town Hall Meetings:</w:t>
      </w:r>
      <w:r>
        <w:rPr>
          <w:rFonts w:hint="default" w:ascii="Times New Roman" w:hAnsi="Times New Roman" w:cs="Times New Roman" w:eastAsiaTheme="minorEastAsia"/>
          <w:kern w:val="2"/>
          <w:sz w:val="22"/>
          <w:szCs w:val="22"/>
          <w:lang w:val="en-US" w:eastAsia="zh-CN" w:bidi="ar-SA"/>
        </w:rPr>
        <w:t xml:space="preserve"> Quarterly or semi-annual large meetings are held for employees to communicate and share with executives the latest company strategies and achievements. This not only improves employees' understanding of the company, but also provides opportunities for employees to perform while enhancing the connection between employees and the company(Morgan, 2014).</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 xml:space="preserve">Employee engagement surveys: </w:t>
      </w:r>
      <w:r>
        <w:rPr>
          <w:rFonts w:hint="default" w:ascii="Times New Roman" w:hAnsi="Times New Roman" w:cs="Times New Roman" w:eastAsiaTheme="minorEastAsia"/>
          <w:kern w:val="2"/>
          <w:sz w:val="22"/>
          <w:szCs w:val="22"/>
          <w:lang w:val="en-US" w:eastAsia="zh-CN" w:bidi="ar-SA"/>
        </w:rPr>
        <w:t>Conduct regular employee engagement surveys to assess employee satisfaction with their jobs and loyalty to the company, and collect employee feedback so the company can respond and improve in a timely manner.</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kern w:val="2"/>
          <w:sz w:val="22"/>
          <w:szCs w:val="22"/>
          <w:lang w:val="en-US" w:eastAsia="zh-CN" w:bidi="ar-SA"/>
        </w:rPr>
        <w:t>Provide opportunities: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 xml:space="preserve">Job Rotation: </w:t>
      </w:r>
      <w:r>
        <w:rPr>
          <w:rFonts w:hint="default" w:ascii="Times New Roman" w:hAnsi="Times New Roman" w:cs="Times New Roman" w:eastAsiaTheme="minorEastAsia"/>
          <w:kern w:val="2"/>
          <w:sz w:val="22"/>
          <w:szCs w:val="22"/>
          <w:lang w:val="en-US" w:eastAsia="zh-CN" w:bidi="ar-SA"/>
        </w:rPr>
        <w:t>Provide employees with the opportunity to rotate jobs between different teams and business units to expand their skills and knowledge and enhance their adaptability and leadership skills(Campion, 1994).</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Cross-functional training:</w:t>
      </w:r>
      <w:r>
        <w:rPr>
          <w:rFonts w:hint="default" w:ascii="Times New Roman" w:hAnsi="Times New Roman" w:cs="Times New Roman" w:eastAsiaTheme="minorEastAsia"/>
          <w:kern w:val="2"/>
          <w:sz w:val="22"/>
          <w:szCs w:val="22"/>
          <w:lang w:val="en-US" w:eastAsia="zh-CN" w:bidi="ar-SA"/>
        </w:rPr>
        <w:t xml:space="preserve"> Provide cross-functional training programs to expose employees to the operations and business of other parts of the company, as well as to expand their skills and knowledge to help them better respond to the needs and challenges of the company.</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Mentorship program:</w:t>
      </w:r>
      <w:r>
        <w:rPr>
          <w:rFonts w:hint="default" w:ascii="Times New Roman" w:hAnsi="Times New Roman" w:cs="Times New Roman" w:eastAsiaTheme="minorEastAsia"/>
          <w:kern w:val="2"/>
          <w:sz w:val="22"/>
          <w:szCs w:val="22"/>
          <w:lang w:val="en-US" w:eastAsia="zh-CN" w:bidi="ar-SA"/>
        </w:rPr>
        <w:t xml:space="preserve"> Establish a mentorship program for employees to work with experienced mentors from which they can receive guidance and advice to accelerate their career development and enhance their sense of belonging and loyalty.</w:t>
      </w:r>
    </w:p>
    <w:p>
      <w:pPr>
        <w:keepNext w:val="0"/>
        <w:keepLines w:val="0"/>
        <w:pageBreakBefore w:val="0"/>
        <w:kinsoku/>
        <w:wordWrap/>
        <w:overflowPunct/>
        <w:topLinePunct w:val="0"/>
        <w:autoSpaceDE/>
        <w:autoSpaceDN/>
        <w:bidi w:val="0"/>
        <w:adjustRightInd/>
        <w:snapToGrid/>
        <w:spacing w:line="360" w:lineRule="auto"/>
        <w:jc w:val="both"/>
        <w:textAlignment w:val="auto"/>
        <w:outlineLvl w:val="1"/>
        <w:rPr>
          <w:rFonts w:hint="default" w:ascii="Times New Roman" w:hAnsi="Times New Roman" w:cs="Times New Roman" w:eastAsiaTheme="minorEastAsia"/>
          <w:kern w:val="2"/>
          <w:sz w:val="22"/>
          <w:szCs w:val="22"/>
          <w:lang w:val="en-US" w:eastAsia="zh-CN" w:bidi="ar-SA"/>
        </w:rPr>
      </w:pPr>
      <w:bookmarkStart w:id="16" w:name="_Toc25642"/>
      <w:bookmarkStart w:id="17" w:name="_Toc20919"/>
      <w:r>
        <w:rPr>
          <w:rFonts w:hint="default" w:ascii="Times New Roman" w:hAnsi="Times New Roman" w:cs="Times New Roman"/>
          <w:b/>
          <w:bCs/>
          <w:kern w:val="2"/>
          <w:sz w:val="22"/>
          <w:szCs w:val="22"/>
          <w:lang w:val="en-US" w:eastAsia="zh-CN" w:bidi="ar-SA"/>
        </w:rPr>
        <w:t>Recommendation 2:</w:t>
      </w:r>
      <w:bookmarkEnd w:id="16"/>
      <w:bookmarkEnd w:id="17"/>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kern w:val="2"/>
          <w:sz w:val="22"/>
          <w:szCs w:val="22"/>
          <w:lang w:val="en-US" w:eastAsia="zh-CN" w:bidi="ar-SA"/>
        </w:rPr>
        <w:t>Tencent also has the problem of career crisis and career anxiety at the age of 35, which is one of the main reasons causing low employee engagement and no sense of belonging. To solve the above problems there are the following suggestions: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 xml:space="preserve">Provide career planning and training opportunities for employees: </w:t>
      </w:r>
      <w:r>
        <w:rPr>
          <w:rFonts w:hint="default" w:ascii="Times New Roman" w:hAnsi="Times New Roman" w:cs="Times New Roman" w:eastAsiaTheme="minorEastAsia"/>
          <w:kern w:val="2"/>
          <w:sz w:val="22"/>
          <w:szCs w:val="22"/>
          <w:lang w:val="en-US" w:eastAsia="zh-CN" w:bidi="ar-SA"/>
        </w:rPr>
        <w:t>The company can develop career planning and training programs based on employees' personal interests and career development needs to help employees improve their skills and knowledge, and enhance their competitiveness and career development prospects.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Provide diversified promotion opportunities:</w:t>
      </w:r>
      <w:r>
        <w:rPr>
          <w:rFonts w:hint="default" w:ascii="Times New Roman" w:hAnsi="Times New Roman" w:cs="Times New Roman" w:eastAsiaTheme="minorEastAsia"/>
          <w:kern w:val="2"/>
          <w:sz w:val="22"/>
          <w:szCs w:val="22"/>
          <w:lang w:val="en-US" w:eastAsia="zh-CN" w:bidi="ar-SA"/>
        </w:rPr>
        <w:t xml:space="preserve"> The company can provide different promotion channels and positions so that employees can have more choices and opportunities and feel that their dedication and efforts can be recognized and rewarded</w:t>
      </w:r>
      <w:r>
        <w:rPr>
          <w:rFonts w:hint="default" w:ascii="Times New Roman" w:hAnsi="Times New Roman" w:cs="Times New Roman"/>
          <w:kern w:val="2"/>
          <w:sz w:val="22"/>
          <w:szCs w:val="22"/>
          <w:lang w:val="en-US" w:eastAsia="zh-CN" w:bidi="ar-SA"/>
        </w:rPr>
        <w:t>(</w:t>
      </w:r>
      <w:r>
        <w:rPr>
          <w:rFonts w:hint="default" w:ascii="Times New Roman" w:hAnsi="Times New Roman" w:cs="Times New Roman" w:eastAsiaTheme="minorEastAsia"/>
          <w:kern w:val="2"/>
          <w:sz w:val="22"/>
          <w:szCs w:val="22"/>
          <w:lang w:val="en-US" w:eastAsia="zh-CN" w:bidi="ar-SA"/>
        </w:rPr>
        <w:t>Mainiero&amp;Sullivan</w:t>
      </w:r>
      <w:r>
        <w:rPr>
          <w:rFonts w:hint="default" w:ascii="Times New Roman" w:hAnsi="Times New Roman" w:cs="Times New Roman"/>
          <w:kern w:val="2"/>
          <w:sz w:val="22"/>
          <w:szCs w:val="22"/>
          <w:lang w:val="en-US" w:eastAsia="zh-CN" w:bidi="ar-SA"/>
        </w:rPr>
        <w:t>,</w:t>
      </w:r>
      <w:r>
        <w:rPr>
          <w:rFonts w:hint="default" w:ascii="Times New Roman" w:hAnsi="Times New Roman" w:cs="Times New Roman" w:eastAsiaTheme="minorEastAsia"/>
          <w:kern w:val="2"/>
          <w:sz w:val="22"/>
          <w:szCs w:val="22"/>
          <w:lang w:val="en-US" w:eastAsia="zh-CN" w:bidi="ar-SA"/>
        </w:rPr>
        <w:t>2006).</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 xml:space="preserve">Introduce flexible working methods: </w:t>
      </w:r>
      <w:r>
        <w:rPr>
          <w:rFonts w:hint="default" w:ascii="Times New Roman" w:hAnsi="Times New Roman" w:cs="Times New Roman" w:eastAsiaTheme="minorEastAsia"/>
          <w:kern w:val="2"/>
          <w:sz w:val="22"/>
          <w:szCs w:val="22"/>
          <w:lang w:val="en-US" w:eastAsia="zh-CN" w:bidi="ar-SA"/>
        </w:rPr>
        <w:t>Companies can adopt flexible working methods, such as flexible working hours and remote work, to allow employees to better balance work and life and reduce occupational stress and anxiety(Kelliher &amp; Anderson, 2010).</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r>
        <w:rPr>
          <w:rFonts w:hint="default" w:ascii="Times New Roman" w:hAnsi="Times New Roman" w:cs="Times New Roman" w:eastAsiaTheme="minorEastAsia"/>
          <w:b/>
          <w:bCs/>
          <w:kern w:val="2"/>
          <w:sz w:val="22"/>
          <w:szCs w:val="22"/>
          <w:lang w:val="en-US" w:eastAsia="zh-CN" w:bidi="ar-SA"/>
        </w:rPr>
        <w:t>Establish a sound welfare system:</w:t>
      </w:r>
      <w:r>
        <w:rPr>
          <w:rFonts w:hint="default" w:ascii="Times New Roman" w:hAnsi="Times New Roman" w:cs="Times New Roman" w:eastAsiaTheme="minorEastAsia"/>
          <w:kern w:val="2"/>
          <w:sz w:val="22"/>
          <w:szCs w:val="22"/>
          <w:lang w:val="en-US" w:eastAsia="zh-CN" w:bidi="ar-SA"/>
        </w:rPr>
        <w:t xml:space="preserve"> The company can establish a sound welfare system, including medical insurance, pension insurance, children's education, etc., so that employees can feel the company's care and support.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18" w:name="_Toc23298"/>
      <w:bookmarkStart w:id="19" w:name="_Toc7824"/>
      <w:r>
        <w:rPr>
          <w:rFonts w:hint="default" w:ascii="Times New Roman" w:hAnsi="Times New Roman" w:cs="Times New Roman"/>
          <w:b/>
          <w:bCs/>
          <w:sz w:val="22"/>
          <w:szCs w:val="22"/>
          <w:lang w:val="en-US" w:eastAsia="zh-CN"/>
        </w:rPr>
        <w:t>Conclusion:</w:t>
      </w:r>
      <w:bookmarkEnd w:id="18"/>
      <w:bookmarkEnd w:id="19"/>
    </w:p>
    <w:p>
      <w:pPr>
        <w:keepNext w:val="0"/>
        <w:keepLines w:val="0"/>
        <w:pageBreakBefore w:val="0"/>
        <w:kinsoku/>
        <w:wordWrap/>
        <w:overflowPunct/>
        <w:topLinePunct w:val="0"/>
        <w:autoSpaceDE/>
        <w:autoSpaceDN/>
        <w:bidi w:val="0"/>
        <w:adjustRightInd/>
        <w:snapToGrid/>
        <w:spacing w:line="360" w:lineRule="auto"/>
        <w:ind w:firstLine="440" w:firstLineChars="20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Based on the analysis of Tencent's human resource management practices, it can be concluded that the company has several strengths, including a data-driven approach to recruitment, investment in employee training and development. However, there are also several weaknesses that need to be addressed, including a lack of effective communication, limited opportunities for growth and development, and potential issues with employee well-bein</w:t>
      </w:r>
      <w:r>
        <w:rPr>
          <w:rFonts w:hint="default" w:ascii="Times New Roman" w:hAnsi="Times New Roman" w:cs="Times New Roman"/>
          <w:sz w:val="22"/>
          <w:szCs w:val="22"/>
          <w:lang w:val="en-US" w:eastAsia="zh-CN"/>
        </w:rPr>
        <w:t>g</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Grant</w:t>
      </w:r>
      <w:r>
        <w:rPr>
          <w:rFonts w:hint="eastAsia" w:ascii="Times New Roman" w:hAnsi="Times New Roman" w:cs="Times New Roman"/>
          <w:sz w:val="22"/>
          <w:szCs w:val="22"/>
          <w:lang w:val="en-US" w:eastAsia="zh-CN"/>
        </w:rPr>
        <w:t>,2013)</w:t>
      </w:r>
      <w:r>
        <w:rPr>
          <w:rFonts w:hint="default" w:ascii="Times New Roman" w:hAnsi="Times New Roman" w:cs="Times New Roman"/>
          <w:sz w:val="22"/>
          <w:szCs w:val="22"/>
          <w:lang w:val="en-US" w:eastAsia="zh-CN"/>
        </w:rPr>
        <w:t xml:space="preserve">.Using </w:t>
      </w:r>
      <w:r>
        <w:rPr>
          <w:rFonts w:hint="default" w:ascii="Times New Roman" w:hAnsi="Times New Roman" w:cs="Times New Roman"/>
          <w:sz w:val="22"/>
          <w:szCs w:val="22"/>
          <w:lang w:val="en-US" w:eastAsia="zh-CN"/>
        </w:rPr>
        <w:t>the BlessingWhite Model of employee engagement, it was found that Tencent may have issues with the engagement stage, as some employees may not feel fully committed to the company's mission and values. Additionally, the company may have issues with contribution and growth stages, where employees may not be motivated to go above and beyond their job requirements and may not have sufficient opportunities to develop their skills and knowledge.Using Maslow's Hierarchy of Needs Model, it was found that Tencent may have issues with providing a comfortable and safe work environment, job security and stability, fostering a sense of community and social interaction, and recognizing and rewarding employees' achievements and contributions.To address these weaknesses, Tencent should consider improving communication channels between managers and employees, providing more opportunities for growth and development, promoting a positive and supportive company culture that fosters a sense of community, and recognizing and rewarding employees' contributions and achieveme</w:t>
      </w:r>
      <w:r>
        <w:rPr>
          <w:rFonts w:hint="default" w:ascii="Times New Roman" w:hAnsi="Times New Roman" w:cs="Times New Roman"/>
          <w:sz w:val="22"/>
          <w:szCs w:val="22"/>
          <w:lang w:val="en-US" w:eastAsia="zh-CN"/>
        </w:rPr>
        <w:t>nts</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Steve</w:t>
      </w:r>
      <w:r>
        <w:rPr>
          <w:rFonts w:hint="eastAsia" w:ascii="Times New Roman" w:hAnsi="Times New Roman" w:cs="Times New Roman"/>
          <w:sz w:val="22"/>
          <w:szCs w:val="22"/>
          <w:lang w:val="en-US" w:eastAsia="zh-CN"/>
        </w:rPr>
        <w:t>,2011)</w:t>
      </w:r>
      <w:r>
        <w:rPr>
          <w:rFonts w:hint="default" w:ascii="Times New Roman" w:hAnsi="Times New Roman" w:cs="Times New Roman"/>
          <w:sz w:val="22"/>
          <w:szCs w:val="22"/>
          <w:lang w:val="en-US" w:eastAsia="zh-CN"/>
        </w:rPr>
        <w: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eastAsia="宋体" w:cs="Times New Roman"/>
          <w:i w:val="0"/>
          <w:iCs w:val="0"/>
          <w:caps w:val="0"/>
          <w:color w:val="222222"/>
          <w:spacing w:val="0"/>
          <w:sz w:val="22"/>
          <w:szCs w:val="22"/>
          <w:shd w:val="clear" w:fill="FFFFFF"/>
        </w:rPr>
      </w:pPr>
      <w:bookmarkStart w:id="20" w:name="_Toc18464"/>
      <w:bookmarkStart w:id="21" w:name="_Toc23190"/>
      <w:r>
        <w:rPr>
          <w:rFonts w:hint="default" w:ascii="Times New Roman" w:hAnsi="Times New Roman" w:cs="Times New Roman"/>
          <w:b/>
          <w:bCs/>
          <w:sz w:val="22"/>
          <w:szCs w:val="22"/>
          <w:lang w:val="en-US" w:eastAsia="zh-CN"/>
        </w:rPr>
        <w:t>References</w:t>
      </w:r>
      <w:bookmarkEnd w:id="20"/>
      <w:bookmarkEnd w:id="21"/>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highlight w:val="none"/>
          <w:shd w:val="clear" w:fill="FFFFFF"/>
        </w:rPr>
      </w:pPr>
      <w:r>
        <w:rPr>
          <w:rFonts w:hint="default" w:ascii="Times New Roman" w:hAnsi="Times New Roman" w:eastAsia="宋体" w:cs="Times New Roman"/>
          <w:i w:val="0"/>
          <w:iCs w:val="0"/>
          <w:caps w:val="0"/>
          <w:color w:val="222222"/>
          <w:spacing w:val="0"/>
          <w:sz w:val="22"/>
          <w:szCs w:val="22"/>
          <w:highlight w:val="none"/>
          <w:shd w:val="clear" w:fill="FFFFFF"/>
        </w:rPr>
        <w:t>Attridge, M. (2009). Measuring and managing employee work engagement: A review of the research and business literature. Journal of workplace behavioral health, 24(4), 383-398.</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Bai, J., &amp; Liu, J. (2018). A study on the influence of career growth on work engagement among new generation employees. Open Journal of Business and Management, 6(02), 300.</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Bamberger, P. A., Biron, M., &amp; Boon, C. (2014). Human resource strategy: Formulation, implementation, and impact. Routledge.</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Bedarkar, M., &amp; Pandita, D. (2014). A study on the drivers of employee engagement impacting employee performance. Procedia-Social and Behavioral Sciences, 133, 106-115.</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Boxall, P. (1996). The strategic HRM debate and the resource‐based view of the firm.</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Human resource management journal</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6</w:t>
      </w:r>
      <w:r>
        <w:rPr>
          <w:rFonts w:hint="default" w:ascii="Times New Roman" w:hAnsi="Times New Roman" w:eastAsia="宋体" w:cs="Times New Roman"/>
          <w:i w:val="0"/>
          <w:iCs w:val="0"/>
          <w:caps w:val="0"/>
          <w:color w:val="222222"/>
          <w:spacing w:val="0"/>
          <w:sz w:val="22"/>
          <w:szCs w:val="22"/>
          <w:shd w:val="clear" w:fill="FFFFFF"/>
        </w:rPr>
        <w:t>(3), 59-75.</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Campion, M. A., Cheraskin, L., &amp; Stevens, M. J. (1994). Career-related antecedents and outcomes of job rotation. Academy of management journal, 37(6), 1518-1542.</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Ericksen, J., &amp; Dyer, L. (2005). Toward a strategic human resource management model of high reliability organization performance. The international journal of human resource management, 16(6), 907-928.</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Henry, A. (2021). Understanding strategic management. Oxford University Press.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Hitt, M. A., Ireland, R. D., &amp; Hoskisson, R. E. (2016). Strategic management: Concepts and cases: Competitiveness and globalization. Cengage Learning.</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Jiang, H., &amp; Men, R. L. (2017). Creating an engaged workforce: The impact of authentic leadership, transparent organizational communication, and work-life enrichment.</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Communication research</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44</w:t>
      </w:r>
      <w:r>
        <w:rPr>
          <w:rFonts w:hint="default" w:ascii="Times New Roman" w:hAnsi="Times New Roman" w:eastAsia="宋体" w:cs="Times New Roman"/>
          <w:i w:val="0"/>
          <w:iCs w:val="0"/>
          <w:caps w:val="0"/>
          <w:color w:val="222222"/>
          <w:spacing w:val="0"/>
          <w:sz w:val="22"/>
          <w:szCs w:val="22"/>
          <w:shd w:val="clear" w:fill="FFFFFF"/>
        </w:rPr>
        <w:t>(2), 225-243.</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Kane, G. C. (2017). The evolutionary implications of social media for organizational knowledge management. Information and organization, 27(1), 37-46.</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Kelliher, C., &amp; Anderson, D. (2010). Doing more with less? Flexible working practices and the intensification of work. Human relations, 63(1), 83-106.</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Lengnick-Hall, M. L., Lengnick-Hall, C. A., Andrade, L. S., &amp; Drake, B. (2009). Strategic human resource management: The evolution of the field. Human resource management review, 19(2), 64-85.</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Mainiero, L. A., &amp; Sullivan, S. E. (2006). The opt out revolt: Whe people are leaving companies to create kaleidoscope careers. Davies-Black Publishing.</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Markos, S., &amp; Sridevi, M. S. (2010). Employee engagement: The key to improving performance. International journal of business and management, 5(12), 89.</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McCall, D. (2017). An Exploration of the Experiences of African American Male Teachers Who Left the Profession: Framed with Maslow's Hierarchy of Needs. Lamar University-Beaumont.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McCown, N., Men, L. R., Jiang, H., &amp; Shen, H. (Eds.). (2023). Internal Communication and Employee Engagement: A Case Study Approach. Taylor &amp; Francis.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Melewar, T. C., Karaosmanoglu, E., &amp; Paterson, D. (2005). Corporate identity: concept, components and contribution.</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Journal of General Management</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31</w:t>
      </w:r>
      <w:r>
        <w:rPr>
          <w:rFonts w:hint="default" w:ascii="Times New Roman" w:hAnsi="Times New Roman" w:eastAsia="宋体" w:cs="Times New Roman"/>
          <w:i w:val="0"/>
          <w:iCs w:val="0"/>
          <w:caps w:val="0"/>
          <w:color w:val="222222"/>
          <w:spacing w:val="0"/>
          <w:sz w:val="22"/>
          <w:szCs w:val="22"/>
          <w:shd w:val="clear" w:fill="FFFFFF"/>
        </w:rPr>
        <w:t>(1), 59-81.</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Morgan, J. (2014). The future of work: Attract new talent, build better leaders, and create a competitive organization. John Wiley &amp; Sons.</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Moro, S., Ramos, R. F., &amp; Rita, P. (2021). What drives job satisfaction in IT companies?. International Journal of Productivity and Performance Management, 70(2), 391-407.</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Napitupulu, B. E. P. (2020). What Makes Tencent Becomes A Successful Business? A Case Study</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Peter, L., Back, A., &amp; Werro, T. (2019). Collaboration Between Corporations and Startups: The Startup-Collaboration-Model.</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Waiganjo, E. W., Mukulu, E., &amp; Kahiri, J. (2012). Relationship between strategic human resource management and firm performance of Kenya’s corporate organizations.</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International Journal of Humanities and Social Science</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2</w:t>
      </w:r>
      <w:r>
        <w:rPr>
          <w:rFonts w:hint="default" w:ascii="Times New Roman" w:hAnsi="Times New Roman" w:eastAsia="宋体" w:cs="Times New Roman"/>
          <w:i w:val="0"/>
          <w:iCs w:val="0"/>
          <w:caps w:val="0"/>
          <w:color w:val="222222"/>
          <w:spacing w:val="0"/>
          <w:sz w:val="22"/>
          <w:szCs w:val="22"/>
          <w:shd w:val="clear" w:fill="FFFFFF"/>
        </w:rPr>
        <w:t>(10), 62-70.</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i w:val="0"/>
          <w:iCs w:val="0"/>
          <w:caps w:val="0"/>
          <w:color w:val="222222"/>
          <w:spacing w:val="0"/>
          <w:sz w:val="22"/>
          <w:szCs w:val="22"/>
          <w:shd w:val="clear" w:fill="FFFFFF"/>
        </w:rPr>
      </w:pPr>
      <w:r>
        <w:rPr>
          <w:rFonts w:hint="default" w:ascii="Times New Roman" w:hAnsi="Times New Roman" w:eastAsia="宋体" w:cs="Times New Roman"/>
          <w:i w:val="0"/>
          <w:iCs w:val="0"/>
          <w:caps w:val="0"/>
          <w:color w:val="222222"/>
          <w:spacing w:val="0"/>
          <w:sz w:val="22"/>
          <w:szCs w:val="22"/>
          <w:shd w:val="clear" w:fill="FFFFFF"/>
        </w:rPr>
        <w:t>Suen, T. Y., Cheung, S. K., Wang, F. L., &amp; Hui, J. Y. (2022). Effects of intrinsic and extrinsic motivational factors on employee participation in internal crowdsourcing initiatives in China.</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Sustainability</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14</w:t>
      </w:r>
      <w:r>
        <w:rPr>
          <w:rFonts w:hint="default" w:ascii="Times New Roman" w:hAnsi="Times New Roman" w:eastAsia="宋体" w:cs="Times New Roman"/>
          <w:i w:val="0"/>
          <w:iCs w:val="0"/>
          <w:caps w:val="0"/>
          <w:color w:val="222222"/>
          <w:spacing w:val="0"/>
          <w:sz w:val="22"/>
          <w:szCs w:val="22"/>
          <w:shd w:val="clear" w:fill="FFFFFF"/>
        </w:rPr>
        <w:t>(14), 8878.</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r>
        <w:rPr>
          <w:rFonts w:hint="default" w:ascii="Times New Roman" w:hAnsi="Times New Roman" w:eastAsia="宋体" w:cs="Times New Roman"/>
          <w:i w:val="0"/>
          <w:iCs w:val="0"/>
          <w:caps w:val="0"/>
          <w:color w:val="222222"/>
          <w:spacing w:val="0"/>
          <w:sz w:val="22"/>
          <w:szCs w:val="22"/>
          <w:shd w:val="clear" w:fill="FFFFFF"/>
        </w:rPr>
        <w:t>Xiao, M., Cooke, F. L., Xu, J., &amp; Bian, H. (2020). To what extent is corporate social responsibility part of human resource management in the Chinese context? A review of literature and future research directions.</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Human Resource Management Review</w:t>
      </w:r>
      <w:r>
        <w:rPr>
          <w:rFonts w:hint="default" w:ascii="Times New Roman" w:hAnsi="Times New Roman" w:eastAsia="宋体" w:cs="Times New Roman"/>
          <w:i w:val="0"/>
          <w:iCs w:val="0"/>
          <w:caps w:val="0"/>
          <w:color w:val="222222"/>
          <w:spacing w:val="0"/>
          <w:sz w:val="22"/>
          <w:szCs w:val="22"/>
          <w:shd w:val="clear" w:fill="FFFFFF"/>
        </w:rPr>
        <w:t>, </w:t>
      </w:r>
      <w:r>
        <w:rPr>
          <w:rFonts w:hint="default" w:ascii="Times New Roman" w:hAnsi="Times New Roman" w:eastAsia="宋体" w:cs="Times New Roman"/>
          <w:i/>
          <w:iCs/>
          <w:caps w:val="0"/>
          <w:color w:val="222222"/>
          <w:spacing w:val="0"/>
          <w:sz w:val="22"/>
          <w:szCs w:val="22"/>
          <w:shd w:val="clear" w:fill="FFFFFF"/>
        </w:rPr>
        <w:t>30</w:t>
      </w:r>
      <w:r>
        <w:rPr>
          <w:rFonts w:hint="default" w:ascii="Times New Roman" w:hAnsi="Times New Roman" w:eastAsia="宋体" w:cs="Times New Roman"/>
          <w:i w:val="0"/>
          <w:iCs w:val="0"/>
          <w:caps w:val="0"/>
          <w:color w:val="222222"/>
          <w:spacing w:val="0"/>
          <w:sz w:val="22"/>
          <w:szCs w:val="22"/>
          <w:shd w:val="clear" w:fill="FFFFFF"/>
        </w:rPr>
        <w:t>(4), 100726.</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22" w:name="_Toc13187"/>
      <w:bookmarkStart w:id="23" w:name="_Toc24450"/>
      <w:r>
        <w:rPr>
          <w:rFonts w:hint="default" w:ascii="Times New Roman" w:hAnsi="Times New Roman" w:cs="Times New Roman"/>
          <w:b/>
          <w:bCs/>
          <w:sz w:val="22"/>
          <w:szCs w:val="22"/>
          <w:lang w:val="en-US" w:eastAsia="zh-CN"/>
        </w:rPr>
        <w:t>Appendix</w:t>
      </w:r>
      <w:bookmarkEnd w:id="22"/>
      <w:bookmarkEnd w:id="23"/>
      <w:r>
        <w:rPr>
          <w:rFonts w:hint="default" w:ascii="Times New Roman" w:hAnsi="Times New Roman" w:cs="Times New Roman"/>
          <w:b/>
          <w:bCs/>
          <w:sz w:val="22"/>
          <w:szCs w:val="22"/>
          <w:lang w:val="en-US" w:eastAsia="zh-CN"/>
        </w:rPr>
        <w:t xml:space="preserve"> </w:t>
      </w:r>
    </w:p>
    <w:p>
      <w:pPr>
        <w:keepNext w:val="0"/>
        <w:keepLines w:val="0"/>
        <w:pageBreakBefore w:val="0"/>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sz w:val="22"/>
          <w:szCs w:val="22"/>
          <w:lang w:val="en-US" w:eastAsia="zh-CN"/>
        </w:rPr>
      </w:pPr>
      <w:bookmarkStart w:id="24" w:name="_Toc8722"/>
      <w:bookmarkStart w:id="25" w:name="_Toc947"/>
      <w:r>
        <w:rPr>
          <w:rFonts w:hint="default" w:ascii="Times New Roman" w:hAnsi="Times New Roman" w:cs="Times New Roman"/>
          <w:b/>
          <w:bCs/>
          <w:sz w:val="22"/>
          <w:szCs w:val="22"/>
          <w:lang w:val="en-US" w:eastAsia="zh-CN"/>
        </w:rPr>
        <w:t>Interview outline</w:t>
      </w:r>
      <w:bookmarkEnd w:id="24"/>
      <w:bookmarkEnd w:id="25"/>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 xml:space="preserve">Interview Topic: Employees' views on Tencent's existing HR system and the level ofparticipation  Interview content: </w:t>
      </w:r>
    </w:p>
    <w:p>
      <w:pPr>
        <w:keepNext w:val="0"/>
        <w:keepLines w:val="0"/>
        <w:pageBreakBefore w:val="0"/>
        <w:numPr>
          <w:ilvl w:val="0"/>
          <w:numId w:val="1"/>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Please tell us your general understanding of Tencent's human resources management? </w:t>
      </w:r>
    </w:p>
    <w:p>
      <w:pPr>
        <w:keepNext w:val="0"/>
        <w:keepLines w:val="0"/>
        <w:pageBreakBefore w:val="0"/>
        <w:numPr>
          <w:ilvl w:val="0"/>
          <w:numId w:val="1"/>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What kind of training do you think Tencent has for the development and growth of its employees? </w:t>
      </w:r>
    </w:p>
    <w:p>
      <w:pPr>
        <w:keepNext w:val="0"/>
        <w:keepLines w:val="0"/>
        <w:pageBreakBefore w:val="0"/>
        <w:numPr>
          <w:ilvl w:val="0"/>
          <w:numId w:val="1"/>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What qualities do you think Tencent values most in its requirements for talents? Are they the same for different businesses?  </w:t>
      </w:r>
    </w:p>
    <w:p>
      <w:pPr>
        <w:keepNext w:val="0"/>
        <w:keepLines w:val="0"/>
        <w:pageBreakBefore w:val="0"/>
        <w:numPr>
          <w:ilvl w:val="0"/>
          <w:numId w:val="1"/>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How do you think you participate and contribute in your work? </w:t>
      </w:r>
    </w:p>
    <w:p>
      <w:pPr>
        <w:keepNext w:val="0"/>
        <w:keepLines w:val="0"/>
        <w:pageBreakBefore w:val="0"/>
        <w:numPr>
          <w:ilvl w:val="0"/>
          <w:numId w:val="1"/>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What communication methods do you think Tencent has and how much does it affect your daily work?  </w:t>
      </w:r>
    </w:p>
    <w:p>
      <w:pPr>
        <w:keepNext w:val="0"/>
        <w:keepLines w:val="0"/>
        <w:pageBreakBefore w:val="0"/>
        <w:numPr>
          <w:ilvl w:val="0"/>
          <w:numId w:val="1"/>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What do you think are the main reasons that make you less involved at work? </w:t>
      </w:r>
    </w:p>
    <w:p>
      <w:pPr>
        <w:keepNext w:val="0"/>
        <w:keepLines w:val="0"/>
        <w:pageBreakBefore w:val="0"/>
        <w:numPr>
          <w:ilvl w:val="0"/>
          <w:numId w:val="1"/>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When the business has demand for HR, how does HR provide help? </w:t>
      </w:r>
    </w:p>
    <w:p>
      <w:pPr>
        <w:keepNext w:val="0"/>
        <w:keepLines w:val="0"/>
        <w:pageBreakBefore w:val="0"/>
        <w:numPr>
          <w:ilvl w:val="0"/>
          <w:numId w:val="1"/>
        </w:numPr>
        <w:kinsoku/>
        <w:wordWrap/>
        <w:overflowPunct/>
        <w:topLinePunct w:val="0"/>
        <w:autoSpaceDE/>
        <w:autoSpaceDN/>
        <w:bidi w:val="0"/>
        <w:adjustRightInd/>
        <w:snapToGrid/>
        <w:spacing w:line="360" w:lineRule="auto"/>
        <w:ind w:left="105" w:leftChars="0" w:firstLine="0" w:firstLineChars="0"/>
        <w:jc w:val="both"/>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What other opinions or suggestions do you have for the company's HR management?</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2"/>
          <w:szCs w:val="22"/>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kern w:val="2"/>
          <w:sz w:val="22"/>
          <w:szCs w:val="22"/>
          <w:lang w:val="en-US" w:eastAsia="zh-CN" w:bidi="ar-SA"/>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仿宋">
    <w:panose1 w:val="02010609060101010101"/>
    <w:charset w:val="86"/>
    <w:family w:val="auto"/>
    <w:pitch w:val="default"/>
    <w:sig w:usb0="800002BF" w:usb1="38CF7CFA" w:usb2="00000016" w:usb3="00000000" w:csb0="00040001" w:csb1="00000000"/>
  </w:font>
  <w:font w:name="MingLiU-ExtB">
    <w:panose1 w:val="02020500000000000000"/>
    <w:charset w:val="88"/>
    <w:family w:val="auto"/>
    <w:pitch w:val="default"/>
    <w:sig w:usb0="8000002F" w:usb1="02000008" w:usb2="00000000" w:usb3="00000000" w:csb0="00100001" w:csb1="00000000"/>
  </w:font>
  <w:font w:name="Bahnschrift Light">
    <w:panose1 w:val="020B0502040204020203"/>
    <w:charset w:val="00"/>
    <w:family w:val="auto"/>
    <w:pitch w:val="default"/>
    <w:sig w:usb0="A00002C7" w:usb1="00000002" w:usb2="00000000" w:usb3="00000000" w:csb0="2000019F" w:csb1="00000000"/>
  </w:font>
  <w:font w:name="Franklin Gothic Medium">
    <w:panose1 w:val="020B0603020102020204"/>
    <w:charset w:val="00"/>
    <w:family w:val="auto"/>
    <w:pitch w:val="default"/>
    <w:sig w:usb0="00000287" w:usb1="00000000" w:usb2="00000000" w:usb3="00000000" w:csb0="2000009F" w:csb1="DFD70000"/>
  </w:font>
  <w:font w:name="Impact">
    <w:panose1 w:val="020B0806030902050204"/>
    <w:charset w:val="00"/>
    <w:family w:val="auto"/>
    <w:pitch w:val="default"/>
    <w:sig w:usb0="00000287" w:usb1="00000000" w:usb2="00000000" w:usb3="00000000" w:csb0="2000009F" w:csb1="DFD70000"/>
  </w:font>
  <w:font w:name="Old English Text MT">
    <w:panose1 w:val="03040902040508030806"/>
    <w:charset w:val="00"/>
    <w:family w:val="auto"/>
    <w:pitch w:val="default"/>
    <w:sig w:usb0="00000003" w:usb1="00000000" w:usb2="00000000" w:usb3="00000000" w:csb0="20000001" w:csb1="00000000"/>
  </w:font>
  <w:font w:name="Sitka Subheading">
    <w:panose1 w:val="02000505000000020004"/>
    <w:charset w:val="00"/>
    <w:family w:val="auto"/>
    <w:pitch w:val="default"/>
    <w:sig w:usb0="A00002EF" w:usb1="4000204B" w:usb2="00000000" w:usb3="00000000" w:csb0="2000019F" w:csb1="00000000"/>
  </w:font>
  <w:font w:name="汉仪雅酷黑 65W">
    <w:panose1 w:val="020B0604020202020204"/>
    <w:charset w:val="86"/>
    <w:family w:val="auto"/>
    <w:pitch w:val="default"/>
    <w:sig w:usb0="A00002FF" w:usb1="28C17CFA" w:usb2="00000016" w:usb3="00000000" w:csb0="2004000F" w:csb1="00000000"/>
  </w:font>
  <w:font w:name="Tahoma">
    <w:panose1 w:val="020B0604030504040204"/>
    <w:charset w:val="00"/>
    <w:family w:val="auto"/>
    <w:pitch w:val="default"/>
    <w:sig w:usb0="E1002EFF" w:usb1="C000605B" w:usb2="00000029" w:usb3="00000000" w:csb0="200101FF" w:csb1="20280000"/>
  </w:font>
  <w:font w:name="微软雅黑">
    <w:panose1 w:val="020B0503020204020204"/>
    <w:charset w:val="86"/>
    <w:family w:val="auto"/>
    <w:pitch w:val="default"/>
    <w:sig w:usb0="80000287" w:usb1="2ACF3C50" w:usb2="00000016" w:usb3="00000000" w:csb0="0004001F" w:csb1="00000000"/>
  </w:font>
  <w:font w:name="Yu Gothic UI">
    <w:panose1 w:val="020B0500000000000000"/>
    <w:charset w:val="80"/>
    <w:family w:val="auto"/>
    <w:pitch w:val="default"/>
    <w:sig w:usb0="E00002FF" w:usb1="2AC7FDFF" w:usb2="00000016" w:usb3="00000000" w:csb0="2002009F" w:csb1="00000000"/>
  </w:font>
  <w:font w:name="Bahnschrift SemiBold Condensed">
    <w:panose1 w:val="020B0502040204020203"/>
    <w:charset w:val="00"/>
    <w:family w:val="auto"/>
    <w:pitch w:val="default"/>
    <w:sig w:usb0="A00002C7" w:usb1="00000002" w:usb2="00000000" w:usb3="00000000" w:csb0="2000019F" w:csb1="00000000"/>
  </w:font>
  <w:font w:name="Trebuchet MS">
    <w:panose1 w:val="020B0603020202020204"/>
    <w:charset w:val="00"/>
    <w:family w:val="auto"/>
    <w:pitch w:val="default"/>
    <w:sig w:usb0="00000687" w:usb1="00000000" w:usb2="00000000" w:usb3="00000000" w:csb0="2000009F" w:csb1="00000000"/>
  </w:font>
  <w:font w:name="Sylfaen">
    <w:panose1 w:val="010A0502050306030303"/>
    <w:charset w:val="00"/>
    <w:family w:val="auto"/>
    <w:pitch w:val="default"/>
    <w:sig w:usb0="04000687" w:usb1="00000000" w:usb2="00000000" w:usb3="00000000" w:csb0="2000009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fyKa93AIAACQGAAAOAAAAAAAAAAEAIAAAAB8BAABkcnMvZTJvRG9jLnhtbFBLBQYA&#10;AAAABgAGAFkBAABtBg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058471D"/>
    <w:multiLevelType w:val="singleLevel"/>
    <w:tmpl w:val="9058471D"/>
    <w:lvl w:ilvl="0" w:tentative="0">
      <w:start w:val="1"/>
      <w:numFmt w:val="decimal"/>
      <w:suff w:val="space"/>
      <w:lvlText w:val="%1."/>
      <w:lvlJc w:val="left"/>
      <w:pPr>
        <w:ind w:left="105" w:leftChars="0" w:firstLine="0" w:firstLineChars="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JkODQ5MTdiZGYyY2Q3ZTE4MzEzOTk3MjE4OTY5YTcifQ=="/>
  </w:docVars>
  <w:rsids>
    <w:rsidRoot w:val="00000000"/>
    <w:rsid w:val="00292767"/>
    <w:rsid w:val="002E512F"/>
    <w:rsid w:val="007E567F"/>
    <w:rsid w:val="00A879DA"/>
    <w:rsid w:val="00E57BE0"/>
    <w:rsid w:val="015A44F0"/>
    <w:rsid w:val="015E4AD6"/>
    <w:rsid w:val="017701AF"/>
    <w:rsid w:val="01960264"/>
    <w:rsid w:val="01B73CF6"/>
    <w:rsid w:val="01EC537E"/>
    <w:rsid w:val="023254F5"/>
    <w:rsid w:val="02CC0A05"/>
    <w:rsid w:val="02DF281B"/>
    <w:rsid w:val="03181C9A"/>
    <w:rsid w:val="0325169B"/>
    <w:rsid w:val="03724E42"/>
    <w:rsid w:val="041F2E1B"/>
    <w:rsid w:val="042350E1"/>
    <w:rsid w:val="04856039"/>
    <w:rsid w:val="04B40AC2"/>
    <w:rsid w:val="052D229B"/>
    <w:rsid w:val="053D7C71"/>
    <w:rsid w:val="054D69D3"/>
    <w:rsid w:val="07F67821"/>
    <w:rsid w:val="08656662"/>
    <w:rsid w:val="08EB2893"/>
    <w:rsid w:val="09015098"/>
    <w:rsid w:val="09681660"/>
    <w:rsid w:val="09757460"/>
    <w:rsid w:val="097D4CD3"/>
    <w:rsid w:val="099A4D6D"/>
    <w:rsid w:val="0A2C23B4"/>
    <w:rsid w:val="0A71219B"/>
    <w:rsid w:val="0A900998"/>
    <w:rsid w:val="0AC57A3F"/>
    <w:rsid w:val="0AEC7B1C"/>
    <w:rsid w:val="0B7F088C"/>
    <w:rsid w:val="0BF73B5D"/>
    <w:rsid w:val="0C27534D"/>
    <w:rsid w:val="0C4A6B41"/>
    <w:rsid w:val="0CAD07EE"/>
    <w:rsid w:val="0D2D374E"/>
    <w:rsid w:val="0D9164D0"/>
    <w:rsid w:val="0DB42CE2"/>
    <w:rsid w:val="0DCF6A20"/>
    <w:rsid w:val="0E247C0F"/>
    <w:rsid w:val="0E3B277A"/>
    <w:rsid w:val="0E5471E3"/>
    <w:rsid w:val="0E632035"/>
    <w:rsid w:val="0E8C3A5F"/>
    <w:rsid w:val="0F3155D8"/>
    <w:rsid w:val="0F8B4CE8"/>
    <w:rsid w:val="0FA17166"/>
    <w:rsid w:val="101B6E73"/>
    <w:rsid w:val="101C3B92"/>
    <w:rsid w:val="107616CB"/>
    <w:rsid w:val="11052156"/>
    <w:rsid w:val="118D7048"/>
    <w:rsid w:val="11902A8A"/>
    <w:rsid w:val="11C64C74"/>
    <w:rsid w:val="123A29F6"/>
    <w:rsid w:val="12530553"/>
    <w:rsid w:val="12863F52"/>
    <w:rsid w:val="12E806A4"/>
    <w:rsid w:val="12F4294B"/>
    <w:rsid w:val="12F50D4A"/>
    <w:rsid w:val="131A64FE"/>
    <w:rsid w:val="1343009C"/>
    <w:rsid w:val="1409038E"/>
    <w:rsid w:val="14874BA2"/>
    <w:rsid w:val="14E14F7C"/>
    <w:rsid w:val="15197F4F"/>
    <w:rsid w:val="159A18FC"/>
    <w:rsid w:val="15A25B9D"/>
    <w:rsid w:val="15FE08AB"/>
    <w:rsid w:val="16490ED6"/>
    <w:rsid w:val="17581AEC"/>
    <w:rsid w:val="17A53A5E"/>
    <w:rsid w:val="17B96AD8"/>
    <w:rsid w:val="1861143C"/>
    <w:rsid w:val="18F521AF"/>
    <w:rsid w:val="191076B1"/>
    <w:rsid w:val="1925024E"/>
    <w:rsid w:val="19283A9C"/>
    <w:rsid w:val="193B7916"/>
    <w:rsid w:val="19AB618B"/>
    <w:rsid w:val="19CC0F60"/>
    <w:rsid w:val="19D72D50"/>
    <w:rsid w:val="19E204C7"/>
    <w:rsid w:val="1A057D8D"/>
    <w:rsid w:val="1A8567D8"/>
    <w:rsid w:val="1B0B13D3"/>
    <w:rsid w:val="1B6C5721"/>
    <w:rsid w:val="1B6E1D7B"/>
    <w:rsid w:val="1BF63E31"/>
    <w:rsid w:val="1C411353"/>
    <w:rsid w:val="1C65122C"/>
    <w:rsid w:val="1C8828B3"/>
    <w:rsid w:val="1D151F38"/>
    <w:rsid w:val="1D2B3667"/>
    <w:rsid w:val="1D3D2E59"/>
    <w:rsid w:val="1DA0069D"/>
    <w:rsid w:val="1E917E41"/>
    <w:rsid w:val="1EBA56AD"/>
    <w:rsid w:val="1EDE49BF"/>
    <w:rsid w:val="1F7F7DCC"/>
    <w:rsid w:val="1FEA3B82"/>
    <w:rsid w:val="1FF348E3"/>
    <w:rsid w:val="20084521"/>
    <w:rsid w:val="2059439C"/>
    <w:rsid w:val="209D2ACD"/>
    <w:rsid w:val="211F46B2"/>
    <w:rsid w:val="21C14629"/>
    <w:rsid w:val="21CF0FEE"/>
    <w:rsid w:val="220459B9"/>
    <w:rsid w:val="220C76C7"/>
    <w:rsid w:val="221A1EFC"/>
    <w:rsid w:val="2222415F"/>
    <w:rsid w:val="224D283B"/>
    <w:rsid w:val="234E729A"/>
    <w:rsid w:val="2361109A"/>
    <w:rsid w:val="241412F8"/>
    <w:rsid w:val="244B1947"/>
    <w:rsid w:val="248F4E23"/>
    <w:rsid w:val="24A06BF0"/>
    <w:rsid w:val="24A26114"/>
    <w:rsid w:val="24C32F6E"/>
    <w:rsid w:val="24D71C58"/>
    <w:rsid w:val="25011583"/>
    <w:rsid w:val="25B974F6"/>
    <w:rsid w:val="25D25173"/>
    <w:rsid w:val="2633464D"/>
    <w:rsid w:val="26734C14"/>
    <w:rsid w:val="2682413B"/>
    <w:rsid w:val="2691725A"/>
    <w:rsid w:val="26C3141B"/>
    <w:rsid w:val="27396123"/>
    <w:rsid w:val="27454D70"/>
    <w:rsid w:val="27504D7B"/>
    <w:rsid w:val="279041CB"/>
    <w:rsid w:val="27A96254"/>
    <w:rsid w:val="27CA3DE8"/>
    <w:rsid w:val="2806221B"/>
    <w:rsid w:val="280F17D3"/>
    <w:rsid w:val="288F26C5"/>
    <w:rsid w:val="28C02C4A"/>
    <w:rsid w:val="29114058"/>
    <w:rsid w:val="2930421E"/>
    <w:rsid w:val="293F2A9A"/>
    <w:rsid w:val="29882EF8"/>
    <w:rsid w:val="29993857"/>
    <w:rsid w:val="29FA689B"/>
    <w:rsid w:val="2A517FB3"/>
    <w:rsid w:val="2A7A2C26"/>
    <w:rsid w:val="2A7D2326"/>
    <w:rsid w:val="2AAD03A2"/>
    <w:rsid w:val="2B9609D4"/>
    <w:rsid w:val="2BAF3B19"/>
    <w:rsid w:val="2BB24F51"/>
    <w:rsid w:val="2BE60F5B"/>
    <w:rsid w:val="2C72720D"/>
    <w:rsid w:val="2C8046D6"/>
    <w:rsid w:val="2C82086A"/>
    <w:rsid w:val="2C901738"/>
    <w:rsid w:val="2C9215CF"/>
    <w:rsid w:val="2D2B4EB1"/>
    <w:rsid w:val="2D2C7125"/>
    <w:rsid w:val="2D511872"/>
    <w:rsid w:val="2D92328E"/>
    <w:rsid w:val="2DB80DA5"/>
    <w:rsid w:val="2DBD2C5A"/>
    <w:rsid w:val="2DF7665A"/>
    <w:rsid w:val="2DF93D25"/>
    <w:rsid w:val="2E5158E4"/>
    <w:rsid w:val="2E6972FC"/>
    <w:rsid w:val="2E9E347E"/>
    <w:rsid w:val="2F033D63"/>
    <w:rsid w:val="2F340AA1"/>
    <w:rsid w:val="2F3473D4"/>
    <w:rsid w:val="2F7B222C"/>
    <w:rsid w:val="30222901"/>
    <w:rsid w:val="303A6AB7"/>
    <w:rsid w:val="30865446"/>
    <w:rsid w:val="30A6777C"/>
    <w:rsid w:val="30F93F38"/>
    <w:rsid w:val="31826B09"/>
    <w:rsid w:val="31C75C99"/>
    <w:rsid w:val="32743175"/>
    <w:rsid w:val="328C47A1"/>
    <w:rsid w:val="3302255B"/>
    <w:rsid w:val="332D3AB9"/>
    <w:rsid w:val="335F00B6"/>
    <w:rsid w:val="33641F23"/>
    <w:rsid w:val="345E2BF2"/>
    <w:rsid w:val="34AF746B"/>
    <w:rsid w:val="34B8747E"/>
    <w:rsid w:val="34F85C61"/>
    <w:rsid w:val="3502656A"/>
    <w:rsid w:val="35690D78"/>
    <w:rsid w:val="35840AB9"/>
    <w:rsid w:val="35D13367"/>
    <w:rsid w:val="363472A7"/>
    <w:rsid w:val="3641554E"/>
    <w:rsid w:val="364156A8"/>
    <w:rsid w:val="369405FC"/>
    <w:rsid w:val="36BE1376"/>
    <w:rsid w:val="372C6329"/>
    <w:rsid w:val="37677539"/>
    <w:rsid w:val="378842E6"/>
    <w:rsid w:val="379D5E78"/>
    <w:rsid w:val="38F14DC4"/>
    <w:rsid w:val="38F85D0F"/>
    <w:rsid w:val="39300EC5"/>
    <w:rsid w:val="39704B22"/>
    <w:rsid w:val="397F7028"/>
    <w:rsid w:val="39DE08F2"/>
    <w:rsid w:val="3A7206CF"/>
    <w:rsid w:val="3A882316"/>
    <w:rsid w:val="3A90665A"/>
    <w:rsid w:val="3B6B4562"/>
    <w:rsid w:val="3BC444EA"/>
    <w:rsid w:val="3C896075"/>
    <w:rsid w:val="3D22462E"/>
    <w:rsid w:val="3DA26A97"/>
    <w:rsid w:val="3DE5463A"/>
    <w:rsid w:val="3DF20324"/>
    <w:rsid w:val="3E5A667E"/>
    <w:rsid w:val="3E8C5BDD"/>
    <w:rsid w:val="3F177A97"/>
    <w:rsid w:val="3F2C68BE"/>
    <w:rsid w:val="3FBE4F64"/>
    <w:rsid w:val="3FFB0BEF"/>
    <w:rsid w:val="40C60231"/>
    <w:rsid w:val="41101133"/>
    <w:rsid w:val="41D60DAD"/>
    <w:rsid w:val="427D2CBF"/>
    <w:rsid w:val="42921D61"/>
    <w:rsid w:val="42D00828"/>
    <w:rsid w:val="42E303BC"/>
    <w:rsid w:val="43323263"/>
    <w:rsid w:val="43BA3657"/>
    <w:rsid w:val="444B03BD"/>
    <w:rsid w:val="44A16E73"/>
    <w:rsid w:val="457A3B09"/>
    <w:rsid w:val="45972853"/>
    <w:rsid w:val="45C21C6B"/>
    <w:rsid w:val="461D2149"/>
    <w:rsid w:val="465166DD"/>
    <w:rsid w:val="46647A66"/>
    <w:rsid w:val="46CA0FCA"/>
    <w:rsid w:val="46F97D6A"/>
    <w:rsid w:val="47283B21"/>
    <w:rsid w:val="474632B2"/>
    <w:rsid w:val="47646A3F"/>
    <w:rsid w:val="48AE4FC8"/>
    <w:rsid w:val="48B06F92"/>
    <w:rsid w:val="48F74973"/>
    <w:rsid w:val="496F02B6"/>
    <w:rsid w:val="49E76427"/>
    <w:rsid w:val="4A192915"/>
    <w:rsid w:val="4A2A2330"/>
    <w:rsid w:val="4AB3555F"/>
    <w:rsid w:val="4B0912CD"/>
    <w:rsid w:val="4B916B24"/>
    <w:rsid w:val="4B9506C1"/>
    <w:rsid w:val="4BC02CAB"/>
    <w:rsid w:val="4C06511B"/>
    <w:rsid w:val="4C4865CF"/>
    <w:rsid w:val="4C586A84"/>
    <w:rsid w:val="4C620180"/>
    <w:rsid w:val="4CAA1A0D"/>
    <w:rsid w:val="4CE0596C"/>
    <w:rsid w:val="4CEF5BAF"/>
    <w:rsid w:val="4D512F11"/>
    <w:rsid w:val="4F1B031F"/>
    <w:rsid w:val="4F343D4D"/>
    <w:rsid w:val="4F540874"/>
    <w:rsid w:val="4FC52472"/>
    <w:rsid w:val="4FCF3630"/>
    <w:rsid w:val="4FD71AC6"/>
    <w:rsid w:val="500F184D"/>
    <w:rsid w:val="503433BF"/>
    <w:rsid w:val="5052092F"/>
    <w:rsid w:val="51157E67"/>
    <w:rsid w:val="515F5F9C"/>
    <w:rsid w:val="51894824"/>
    <w:rsid w:val="51B20719"/>
    <w:rsid w:val="51BB7C44"/>
    <w:rsid w:val="521F4740"/>
    <w:rsid w:val="52A54971"/>
    <w:rsid w:val="53AC21BD"/>
    <w:rsid w:val="53BE4E22"/>
    <w:rsid w:val="53EE58FB"/>
    <w:rsid w:val="548F1C1A"/>
    <w:rsid w:val="54957705"/>
    <w:rsid w:val="54B1092A"/>
    <w:rsid w:val="54E24523"/>
    <w:rsid w:val="550A4741"/>
    <w:rsid w:val="56D563C5"/>
    <w:rsid w:val="58016707"/>
    <w:rsid w:val="58393C95"/>
    <w:rsid w:val="584E16BE"/>
    <w:rsid w:val="588D356A"/>
    <w:rsid w:val="58B74903"/>
    <w:rsid w:val="58BA7D8A"/>
    <w:rsid w:val="59FA45B4"/>
    <w:rsid w:val="5A2D5E25"/>
    <w:rsid w:val="5B1155F5"/>
    <w:rsid w:val="5B960E71"/>
    <w:rsid w:val="5C6735EF"/>
    <w:rsid w:val="5C7F2AAC"/>
    <w:rsid w:val="5CC001D9"/>
    <w:rsid w:val="5CFB1FC5"/>
    <w:rsid w:val="5D3A3F9A"/>
    <w:rsid w:val="5DE81553"/>
    <w:rsid w:val="5E0A45F7"/>
    <w:rsid w:val="5E3E6F89"/>
    <w:rsid w:val="5EB073E3"/>
    <w:rsid w:val="5EB74058"/>
    <w:rsid w:val="5ECE136B"/>
    <w:rsid w:val="5FD815EA"/>
    <w:rsid w:val="5FF4555F"/>
    <w:rsid w:val="60092372"/>
    <w:rsid w:val="60885CA7"/>
    <w:rsid w:val="60A32AE1"/>
    <w:rsid w:val="61613EC7"/>
    <w:rsid w:val="61C85FA4"/>
    <w:rsid w:val="61D50A26"/>
    <w:rsid w:val="61FC5A18"/>
    <w:rsid w:val="62546789"/>
    <w:rsid w:val="62C5306D"/>
    <w:rsid w:val="62CF45B5"/>
    <w:rsid w:val="62D34D28"/>
    <w:rsid w:val="631A7DDA"/>
    <w:rsid w:val="63365E8E"/>
    <w:rsid w:val="635F0938"/>
    <w:rsid w:val="6382453B"/>
    <w:rsid w:val="642330A7"/>
    <w:rsid w:val="645C36D2"/>
    <w:rsid w:val="648B38BE"/>
    <w:rsid w:val="64E370D3"/>
    <w:rsid w:val="65992475"/>
    <w:rsid w:val="65F577BE"/>
    <w:rsid w:val="66AE3716"/>
    <w:rsid w:val="66EB28C1"/>
    <w:rsid w:val="66F534D1"/>
    <w:rsid w:val="670A68A7"/>
    <w:rsid w:val="671F4304"/>
    <w:rsid w:val="675E0A14"/>
    <w:rsid w:val="67717A51"/>
    <w:rsid w:val="67AB66A9"/>
    <w:rsid w:val="68320923"/>
    <w:rsid w:val="68374063"/>
    <w:rsid w:val="68C47CE2"/>
    <w:rsid w:val="68CF4DBB"/>
    <w:rsid w:val="68E46A69"/>
    <w:rsid w:val="69865489"/>
    <w:rsid w:val="69965B9C"/>
    <w:rsid w:val="69C669BB"/>
    <w:rsid w:val="69F96393"/>
    <w:rsid w:val="69FE47E4"/>
    <w:rsid w:val="6A6E544E"/>
    <w:rsid w:val="6ADB1710"/>
    <w:rsid w:val="6AFE57D1"/>
    <w:rsid w:val="6B2F1B41"/>
    <w:rsid w:val="6B685053"/>
    <w:rsid w:val="6B8B410F"/>
    <w:rsid w:val="6BA90B88"/>
    <w:rsid w:val="6BC71D79"/>
    <w:rsid w:val="6BF76C60"/>
    <w:rsid w:val="6C3C2733"/>
    <w:rsid w:val="6C902F58"/>
    <w:rsid w:val="6CA9685B"/>
    <w:rsid w:val="6CB71DEE"/>
    <w:rsid w:val="6DC31959"/>
    <w:rsid w:val="6E2A7758"/>
    <w:rsid w:val="6E2B1CF6"/>
    <w:rsid w:val="6E4A6D96"/>
    <w:rsid w:val="6E6F0955"/>
    <w:rsid w:val="6E843B83"/>
    <w:rsid w:val="6E921CDD"/>
    <w:rsid w:val="6F154AB9"/>
    <w:rsid w:val="6F5E4058"/>
    <w:rsid w:val="70275539"/>
    <w:rsid w:val="706B5DEC"/>
    <w:rsid w:val="707149AA"/>
    <w:rsid w:val="70C52E18"/>
    <w:rsid w:val="71A63482"/>
    <w:rsid w:val="71AC153F"/>
    <w:rsid w:val="71C150B8"/>
    <w:rsid w:val="71E35433"/>
    <w:rsid w:val="720803EC"/>
    <w:rsid w:val="722143C6"/>
    <w:rsid w:val="72634B29"/>
    <w:rsid w:val="726B172D"/>
    <w:rsid w:val="726D4E54"/>
    <w:rsid w:val="72A72CE0"/>
    <w:rsid w:val="72C02631"/>
    <w:rsid w:val="73547DB1"/>
    <w:rsid w:val="735A34D3"/>
    <w:rsid w:val="73C61E7F"/>
    <w:rsid w:val="746A1E3C"/>
    <w:rsid w:val="74BC0363"/>
    <w:rsid w:val="74C95CDE"/>
    <w:rsid w:val="756C77F7"/>
    <w:rsid w:val="757D5F8D"/>
    <w:rsid w:val="75DE6508"/>
    <w:rsid w:val="75DF2FED"/>
    <w:rsid w:val="76C21ADD"/>
    <w:rsid w:val="770927C2"/>
    <w:rsid w:val="7735129F"/>
    <w:rsid w:val="77CA22B5"/>
    <w:rsid w:val="78DD498A"/>
    <w:rsid w:val="79216E36"/>
    <w:rsid w:val="792C4040"/>
    <w:rsid w:val="79B0209F"/>
    <w:rsid w:val="79B82596"/>
    <w:rsid w:val="79C00962"/>
    <w:rsid w:val="7A76260D"/>
    <w:rsid w:val="7A7D6BCC"/>
    <w:rsid w:val="7A8C4EE4"/>
    <w:rsid w:val="7AA8721A"/>
    <w:rsid w:val="7B455324"/>
    <w:rsid w:val="7B5774D2"/>
    <w:rsid w:val="7B933764"/>
    <w:rsid w:val="7B9652C4"/>
    <w:rsid w:val="7B9A4DB4"/>
    <w:rsid w:val="7BE0170B"/>
    <w:rsid w:val="7BE20509"/>
    <w:rsid w:val="7BEC2911"/>
    <w:rsid w:val="7C0D1A2A"/>
    <w:rsid w:val="7C170394"/>
    <w:rsid w:val="7DA30EEF"/>
    <w:rsid w:val="7DDB602A"/>
    <w:rsid w:val="7E354ADD"/>
    <w:rsid w:val="7E662627"/>
    <w:rsid w:val="7E957AB5"/>
    <w:rsid w:val="7F213FA3"/>
    <w:rsid w:val="7F21759B"/>
    <w:rsid w:val="7F515B34"/>
    <w:rsid w:val="7FC91A8D"/>
    <w:rsid w:val="7FD42200"/>
    <w:rsid w:val="7FD540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table" w:styleId="8">
    <w:name w:val="Table Grid"/>
    <w:basedOn w:val="7"/>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0">
    <w:name w:val="_Style 4"/>
    <w:basedOn w:val="1"/>
    <w:next w:val="1"/>
    <w:qFormat/>
    <w:uiPriority w:val="0"/>
    <w:pPr>
      <w:pBdr>
        <w:bottom w:val="single" w:color="auto" w:sz="6" w:space="1"/>
      </w:pBdr>
      <w:jc w:val="center"/>
    </w:pPr>
    <w:rPr>
      <w:rFonts w:ascii="Arial" w:eastAsia="宋体"/>
      <w:vanish/>
      <w:sz w:val="16"/>
    </w:rPr>
  </w:style>
  <w:style w:type="paragraph" w:customStyle="1" w:styleId="11">
    <w:name w:val="_Style 5"/>
    <w:basedOn w:val="1"/>
    <w:next w:val="1"/>
    <w:uiPriority w:val="0"/>
    <w:pPr>
      <w:pBdr>
        <w:top w:val="single" w:color="auto" w:sz="6" w:space="1"/>
      </w:pBdr>
      <w:jc w:val="center"/>
    </w:pPr>
    <w:rPr>
      <w:rFonts w:ascii="Arial" w:eastAsia="宋体"/>
      <w:vanish/>
      <w:sz w:val="16"/>
    </w:rPr>
  </w:style>
  <w:style w:type="paragraph" w:styleId="12">
    <w:name w:val="No Spacing"/>
    <w:qFormat/>
    <w:uiPriority w:val="1"/>
    <w:rPr>
      <w:rFonts w:ascii="Arial" w:hAnsi="Arial" w:eastAsia="Times New Roman" w:cs="Times New Roman"/>
      <w:sz w:val="24"/>
      <w:lang w:val="en-GB" w:eastAsia="en-GB"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3283</Words>
  <Characters>19868</Characters>
  <Lines>0</Lines>
  <Paragraphs>0</Paragraphs>
  <TotalTime>0</TotalTime>
  <ScaleCrop>false</ScaleCrop>
  <LinksUpToDate>false</LinksUpToDate>
  <CharactersWithSpaces>25330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2023-01-27T02:16:00Z</dcterms:created>
  <dc:creator>Administrator</dc:creator>
  <cp:lastModifiedBy>Ꮩ࿆Ꭵ࿆Ꮲ࿆-joe</cp:lastModifiedBy>
  <dcterms:modified xsi:type="dcterms:W3CDTF">2023-03-25T04:01:24Z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CF3A8BD64E9347F99D71EE2E4D1AA764</vt:lpwstr>
  </property>
</Properties>
</file>