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88857F" w14:textId="3EA099A3" w:rsidR="007C6788" w:rsidRDefault="3929763C" w:rsidP="43662558">
      <w:pPr>
        <w:rPr>
          <w:i/>
          <w:iCs/>
        </w:rPr>
      </w:pPr>
      <w:r>
        <w:t>Apocalyptic literature is a topic expressed within many religions</w:t>
      </w:r>
      <w:r w:rsidR="001379AB">
        <w:t>,</w:t>
      </w:r>
      <w:r>
        <w:t xml:space="preserve"> often exhibited as part of the sacred text for example the </w:t>
      </w:r>
      <w:r w:rsidR="001379AB">
        <w:t>Christian</w:t>
      </w:r>
      <w:r>
        <w:t xml:space="preserve"> writings of the apocalyptic era can be found within the </w:t>
      </w:r>
      <w:r w:rsidR="3D0954DF">
        <w:t xml:space="preserve">Book of Revelation. </w:t>
      </w:r>
      <w:r w:rsidR="1A383E44">
        <w:t xml:space="preserve">Eschatology is the term </w:t>
      </w:r>
      <w:r w:rsidR="4FB9D230">
        <w:t xml:space="preserve">most </w:t>
      </w:r>
      <w:r w:rsidR="1A383E44">
        <w:t>associated with these writings as it</w:t>
      </w:r>
      <w:r w:rsidR="0F6F858F">
        <w:t xml:space="preserve"> focuses upon the ideology of death and the day of judgment which is the main thesis in the apocalyptic writings</w:t>
      </w:r>
      <w:r w:rsidR="0F6F858F" w:rsidRPr="00904610">
        <w:rPr>
          <w:i/>
          <w:iCs/>
        </w:rPr>
        <w:t>.</w:t>
      </w:r>
      <w:r w:rsidR="00AA0797" w:rsidRPr="00904610">
        <w:rPr>
          <w:rStyle w:val="FootnoteReference"/>
          <w:i/>
          <w:iCs/>
        </w:rPr>
        <w:footnoteReference w:id="1"/>
      </w:r>
      <w:r w:rsidR="2D3DB4EA" w:rsidRPr="00904610">
        <w:rPr>
          <w:i/>
          <w:iCs/>
        </w:rPr>
        <w:t xml:space="preserve"> The Oxford </w:t>
      </w:r>
      <w:r w:rsidR="001379AB" w:rsidRPr="00904610">
        <w:rPr>
          <w:i/>
          <w:iCs/>
        </w:rPr>
        <w:t>H</w:t>
      </w:r>
      <w:r w:rsidR="2D3DB4EA" w:rsidRPr="00904610">
        <w:rPr>
          <w:i/>
          <w:iCs/>
        </w:rPr>
        <w:t xml:space="preserve">andbook of </w:t>
      </w:r>
      <w:r w:rsidR="001379AB" w:rsidRPr="00904610">
        <w:rPr>
          <w:i/>
          <w:iCs/>
        </w:rPr>
        <w:t>A</w:t>
      </w:r>
      <w:r w:rsidR="2D3DB4EA" w:rsidRPr="00904610">
        <w:rPr>
          <w:i/>
          <w:iCs/>
        </w:rPr>
        <w:t xml:space="preserve">pocalyptic </w:t>
      </w:r>
      <w:r w:rsidR="001379AB" w:rsidRPr="00904610">
        <w:rPr>
          <w:i/>
          <w:iCs/>
        </w:rPr>
        <w:t>L</w:t>
      </w:r>
      <w:r w:rsidR="2D3DB4EA" w:rsidRPr="00904610">
        <w:rPr>
          <w:i/>
          <w:iCs/>
        </w:rPr>
        <w:t xml:space="preserve">iterature </w:t>
      </w:r>
      <w:r w:rsidR="2D3DB4EA">
        <w:t xml:space="preserve">contains many writings concerning the </w:t>
      </w:r>
      <w:r w:rsidR="001379AB">
        <w:t>D</w:t>
      </w:r>
      <w:r w:rsidR="565FBF89">
        <w:t xml:space="preserve">ay of </w:t>
      </w:r>
      <w:r w:rsidR="001379AB">
        <w:t>J</w:t>
      </w:r>
      <w:r w:rsidR="565FBF89">
        <w:t>udgment</w:t>
      </w:r>
      <w:r w:rsidR="001379AB">
        <w:t>,</w:t>
      </w:r>
      <w:r w:rsidR="565FBF89">
        <w:t xml:space="preserve"> one of which </w:t>
      </w:r>
      <w:r w:rsidR="001379AB">
        <w:t xml:space="preserve">is </w:t>
      </w:r>
      <w:r w:rsidR="565FBF89">
        <w:t xml:space="preserve">written by Anathea Portier- </w:t>
      </w:r>
      <w:r w:rsidR="001379AB">
        <w:t>Y</w:t>
      </w:r>
      <w:r w:rsidR="565FBF89">
        <w:t xml:space="preserve">oung. </w:t>
      </w:r>
      <w:r w:rsidR="00904610">
        <w:t>Young is</w:t>
      </w:r>
      <w:r w:rsidR="5A4BF85F">
        <w:t xml:space="preserve"> particularly known for her research into ancient apocalyptic </w:t>
      </w:r>
      <w:r w:rsidR="0716744E">
        <w:t xml:space="preserve">literature and second temple </w:t>
      </w:r>
      <w:r w:rsidR="001379AB">
        <w:t>J</w:t>
      </w:r>
      <w:r w:rsidR="0716744E">
        <w:t xml:space="preserve">udaism. </w:t>
      </w:r>
      <w:r w:rsidR="6538C1DC">
        <w:t xml:space="preserve">Her main work includes her book </w:t>
      </w:r>
      <w:r w:rsidR="6538C1DC" w:rsidRPr="43662558">
        <w:rPr>
          <w:i/>
          <w:iCs/>
        </w:rPr>
        <w:t>Apocalypse against Empire: theologies of resistance in early Judaism</w:t>
      </w:r>
      <w:r w:rsidR="1B9FED41" w:rsidRPr="43662558">
        <w:rPr>
          <w:i/>
          <w:iCs/>
        </w:rPr>
        <w:t xml:space="preserve">, </w:t>
      </w:r>
      <w:r w:rsidR="1B9FED41" w:rsidRPr="43662558">
        <w:t xml:space="preserve">which primarily focuses upon the resistance literature during the </w:t>
      </w:r>
      <w:r w:rsidR="67567E0F" w:rsidRPr="43662558">
        <w:t>Hellenistic</w:t>
      </w:r>
      <w:r w:rsidR="1B9FED41" w:rsidRPr="43662558">
        <w:t xml:space="preserve"> period of </w:t>
      </w:r>
      <w:r w:rsidR="5FE45C4D" w:rsidRPr="43662558">
        <w:t>early apocalyptic Judaism.</w:t>
      </w:r>
      <w:r w:rsidR="00AA0797" w:rsidRPr="43662558">
        <w:rPr>
          <w:rStyle w:val="FootnoteReference"/>
        </w:rPr>
        <w:footnoteReference w:id="2"/>
      </w:r>
      <w:r w:rsidR="671F25B4" w:rsidRPr="43662558">
        <w:t xml:space="preserve"> </w:t>
      </w:r>
    </w:p>
    <w:p w14:paraId="2C078E63" w14:textId="04042BFA" w:rsidR="007C6788" w:rsidRDefault="0C8D5956" w:rsidP="43662558">
      <w:r w:rsidRPr="43662558">
        <w:t>I</w:t>
      </w:r>
      <w:r w:rsidR="48D79492" w:rsidRPr="43662558">
        <w:t xml:space="preserve">ncluded in the </w:t>
      </w:r>
      <w:r w:rsidR="48D79492" w:rsidRPr="00904610">
        <w:rPr>
          <w:i/>
          <w:iCs/>
        </w:rPr>
        <w:t xml:space="preserve">Oxford </w:t>
      </w:r>
      <w:r w:rsidR="001379AB" w:rsidRPr="00904610">
        <w:rPr>
          <w:i/>
          <w:iCs/>
        </w:rPr>
        <w:t>H</w:t>
      </w:r>
      <w:r w:rsidR="48D79492" w:rsidRPr="00904610">
        <w:rPr>
          <w:i/>
          <w:iCs/>
        </w:rPr>
        <w:t xml:space="preserve">andbook of Apocalyptic </w:t>
      </w:r>
      <w:r w:rsidR="001379AB" w:rsidRPr="00904610">
        <w:rPr>
          <w:i/>
          <w:iCs/>
        </w:rPr>
        <w:t>W</w:t>
      </w:r>
      <w:r w:rsidR="48D79492" w:rsidRPr="00904610">
        <w:rPr>
          <w:i/>
          <w:iCs/>
        </w:rPr>
        <w:t>ritings</w:t>
      </w:r>
      <w:r w:rsidR="48D79492" w:rsidRPr="43662558">
        <w:t>, Young’s</w:t>
      </w:r>
      <w:r w:rsidR="6AD57FE7" w:rsidRPr="43662558">
        <w:t xml:space="preserve"> chapter </w:t>
      </w:r>
      <w:r w:rsidR="6AD57FE7" w:rsidRPr="43662558">
        <w:rPr>
          <w:i/>
          <w:iCs/>
        </w:rPr>
        <w:t>Jewish apocalyptic literature as</w:t>
      </w:r>
      <w:r w:rsidR="00904610">
        <w:rPr>
          <w:i/>
          <w:iCs/>
        </w:rPr>
        <w:t xml:space="preserve"> resistance </w:t>
      </w:r>
      <w:commentRangeStart w:id="0"/>
      <w:commentRangeEnd w:id="0"/>
      <w:r w:rsidR="001379AB">
        <w:rPr>
          <w:rStyle w:val="CommentReference"/>
        </w:rPr>
        <w:commentReference w:id="0"/>
      </w:r>
      <w:r w:rsidR="6AD57FE7" w:rsidRPr="43662558">
        <w:rPr>
          <w:i/>
          <w:iCs/>
        </w:rPr>
        <w:t xml:space="preserve"> </w:t>
      </w:r>
      <w:r w:rsidR="5B3039A9" w:rsidRPr="43662558">
        <w:rPr>
          <w:i/>
          <w:iCs/>
        </w:rPr>
        <w:t>literature</w:t>
      </w:r>
      <w:r w:rsidR="168C6144" w:rsidRPr="43662558">
        <w:t xml:space="preserve"> centers upon the thesis that the apocalyptic literature </w:t>
      </w:r>
      <w:r w:rsidR="47CEEC80" w:rsidRPr="43662558">
        <w:t>shapes</w:t>
      </w:r>
      <w:r w:rsidR="7A98087A" w:rsidRPr="43662558">
        <w:t xml:space="preserve"> and can possibly inspire</w:t>
      </w:r>
      <w:r w:rsidR="52243264" w:rsidRPr="43662558">
        <w:t xml:space="preserve"> </w:t>
      </w:r>
      <w:r w:rsidR="45118E8F" w:rsidRPr="43662558">
        <w:t>further resistance</w:t>
      </w:r>
      <w:r w:rsidR="7CC70E68" w:rsidRPr="43662558">
        <w:t xml:space="preserve">s. In the introduction of her chapter she </w:t>
      </w:r>
      <w:r w:rsidR="6178C28E" w:rsidRPr="43662558">
        <w:t xml:space="preserve">explains how the correlation between how </w:t>
      </w:r>
      <w:r w:rsidR="31F701C2" w:rsidRPr="43662558">
        <w:t xml:space="preserve">those in the ancient apocalyptic writings </w:t>
      </w:r>
      <w:r w:rsidR="6131609A" w:rsidRPr="43662558">
        <w:t>can influence those in resistance</w:t>
      </w:r>
      <w:r w:rsidR="001379AB">
        <w:t>,</w:t>
      </w:r>
      <w:r w:rsidR="6131609A" w:rsidRPr="43662558">
        <w:t xml:space="preserve"> either during the </w:t>
      </w:r>
      <w:r w:rsidR="00904610" w:rsidRPr="43662558">
        <w:t>Hellenistic</w:t>
      </w:r>
      <w:r w:rsidR="6131609A" w:rsidRPr="43662558">
        <w:t xml:space="preserve"> period or even in modern society. Young </w:t>
      </w:r>
      <w:r w:rsidR="0E8DB505" w:rsidRPr="43662558">
        <w:t>exclaims:</w:t>
      </w:r>
      <w:r w:rsidR="6131609A" w:rsidRPr="43662558">
        <w:t xml:space="preserve"> </w:t>
      </w:r>
    </w:p>
    <w:p w14:paraId="16D8AA03" w14:textId="6A5A8FB9" w:rsidR="025EFD3D" w:rsidRDefault="025EFD3D" w:rsidP="43662558">
      <w:pPr>
        <w:ind w:left="720"/>
        <w:rPr>
          <w:rFonts w:eastAsiaTheme="minorEastAsia"/>
        </w:rPr>
      </w:pPr>
      <w:r w:rsidRPr="43662558">
        <w:rPr>
          <w:rFonts w:eastAsiaTheme="minorEastAsia"/>
        </w:rPr>
        <w:t>In each case an apocalyptic vision portrays those whom the visionary and writer(s) consider to be faithful Jews engaging in active resistance during the time of crisis. In the narrative frames that surround the visions, the heroes Enoch, Daniel, Hananiah, Azariah, and Mishael model further forms of resistance for the audience to emulate.</w:t>
      </w:r>
      <w:r w:rsidRPr="43662558">
        <w:rPr>
          <w:rStyle w:val="FootnoteReference"/>
          <w:rFonts w:eastAsiaTheme="minorEastAsia"/>
        </w:rPr>
        <w:footnoteReference w:id="3"/>
      </w:r>
    </w:p>
    <w:p w14:paraId="73D7CF41" w14:textId="161130BF" w:rsidR="6B4436BE" w:rsidRDefault="6B4436BE" w:rsidP="43662558">
      <w:pPr>
        <w:rPr>
          <w:rFonts w:eastAsiaTheme="minorEastAsia"/>
        </w:rPr>
      </w:pPr>
      <w:r w:rsidRPr="43662558">
        <w:rPr>
          <w:rFonts w:eastAsiaTheme="minorEastAsia"/>
        </w:rPr>
        <w:t xml:space="preserve">From this it is apparent that the main theme throughout Young’s chapter delves into the idea that themes within the apocalyptic writings influence those </w:t>
      </w:r>
      <w:r w:rsidR="78F1A5EE" w:rsidRPr="43662558">
        <w:rPr>
          <w:rFonts w:eastAsiaTheme="minorEastAsia"/>
        </w:rPr>
        <w:t xml:space="preserve">in resistance literature. </w:t>
      </w:r>
      <w:r w:rsidR="544B8D06" w:rsidRPr="43662558">
        <w:rPr>
          <w:rFonts w:eastAsiaTheme="minorEastAsia"/>
        </w:rPr>
        <w:t xml:space="preserve">Also exhibited in the conclusion of the chapter, Young further sets the example of how in fact the Apocalyptic literature has influence </w:t>
      </w:r>
      <w:r w:rsidR="497CA3D4" w:rsidRPr="43662558">
        <w:rPr>
          <w:rFonts w:eastAsiaTheme="minorEastAsia"/>
        </w:rPr>
        <w:t>over the resistance literatures</w:t>
      </w:r>
      <w:r w:rsidR="001379AB">
        <w:rPr>
          <w:rFonts w:eastAsiaTheme="minorEastAsia"/>
        </w:rPr>
        <w:t>,</w:t>
      </w:r>
      <w:r w:rsidR="6C37EC54" w:rsidRPr="43662558">
        <w:rPr>
          <w:rFonts w:eastAsiaTheme="minorEastAsia"/>
        </w:rPr>
        <w:t xml:space="preserve"> for example Young states:</w:t>
      </w:r>
    </w:p>
    <w:p w14:paraId="73F7B3DF" w14:textId="38A32B19" w:rsidR="6C37EC54" w:rsidRDefault="6C37EC54" w:rsidP="43662558">
      <w:pPr>
        <w:ind w:left="720"/>
        <w:rPr>
          <w:rFonts w:eastAsiaTheme="minorEastAsia"/>
        </w:rPr>
      </w:pPr>
      <w:r w:rsidRPr="43662558">
        <w:rPr>
          <w:rFonts w:eastAsiaTheme="minorEastAsia"/>
        </w:rPr>
        <w:t>Daniel advocated nonviolent resistance that would lead to martyrdom, but also to resurrection. The Apocalypse of Weeks envisioned a time when the righteous would overturn social structures of domination. The Book of Dreams supported armed revolt against the occupying armies that had terrorized Judea.</w:t>
      </w:r>
      <w:r w:rsidRPr="43662558">
        <w:rPr>
          <w:rStyle w:val="FootnoteReference"/>
          <w:rFonts w:eastAsiaTheme="minorEastAsia"/>
        </w:rPr>
        <w:footnoteReference w:id="4"/>
      </w:r>
    </w:p>
    <w:p w14:paraId="05CBE42E" w14:textId="73D1FEF0" w:rsidR="4BE890B3" w:rsidRDefault="4BE890B3" w:rsidP="43662558">
      <w:r w:rsidRPr="00B27358">
        <w:t xml:space="preserve">Within the conclusion Young </w:t>
      </w:r>
      <w:r w:rsidR="7AD760D7" w:rsidRPr="00B27358">
        <w:t xml:space="preserve">identifies in such ways how the apocalyptic writings exhibit similarities </w:t>
      </w:r>
      <w:r w:rsidR="00B27358" w:rsidRPr="00B27358">
        <w:t>with</w:t>
      </w:r>
      <w:r w:rsidR="7AD760D7" w:rsidRPr="00B27358">
        <w:t xml:space="preserve"> </w:t>
      </w:r>
      <w:r w:rsidR="00DC2FD3">
        <w:t xml:space="preserve">resistance writings. The </w:t>
      </w:r>
      <w:r w:rsidR="67174435" w:rsidRPr="00B27358">
        <w:t xml:space="preserve">way in which Young has used the </w:t>
      </w:r>
      <w:r w:rsidR="0A9C9AF6" w:rsidRPr="00B27358">
        <w:t xml:space="preserve">apocalyptic writings provides support to the theory that they influenced the resistance </w:t>
      </w:r>
      <w:r w:rsidR="00164566">
        <w:t xml:space="preserve">literature. </w:t>
      </w:r>
      <w:r w:rsidR="00EF0C5C">
        <w:t xml:space="preserve">With her use </w:t>
      </w:r>
      <w:r w:rsidR="00017524">
        <w:t xml:space="preserve">of primary resource and </w:t>
      </w:r>
      <w:r w:rsidR="009A23FF">
        <w:t xml:space="preserve">comparison to extenuating research such as the </w:t>
      </w:r>
      <w:r w:rsidR="00FA4162">
        <w:t>argument she includes about the similar research into the Christian early writings and the Book of Revelation it is clear</w:t>
      </w:r>
      <w:r w:rsidR="0080692E">
        <w:t xml:space="preserve"> to see how strong her argument is in convincing the reader. </w:t>
      </w:r>
    </w:p>
    <w:p w14:paraId="53AEE88A" w14:textId="282DD2C4" w:rsidR="1DEB08FD" w:rsidRPr="00B27358" w:rsidRDefault="2D8C6FC9" w:rsidP="43662558">
      <w:pPr>
        <w:rPr>
          <w:rFonts w:eastAsiaTheme="minorEastAsia"/>
        </w:rPr>
      </w:pPr>
      <w:r>
        <w:t>Young begins her chapter with a description of how she is going to interpret the term resistance literature and what is meant by it.</w:t>
      </w:r>
      <w:r w:rsidR="002F46F1">
        <w:t xml:space="preserve"> I</w:t>
      </w:r>
      <w:r>
        <w:t>n this sectio</w:t>
      </w:r>
      <w:r w:rsidR="38580967">
        <w:t xml:space="preserve">n she provides the following </w:t>
      </w:r>
      <w:r w:rsidR="10A704DB">
        <w:t>definition:</w:t>
      </w:r>
      <w:r w:rsidR="38580967">
        <w:t xml:space="preserve"> “</w:t>
      </w:r>
      <w:r w:rsidR="38580967" w:rsidRPr="43662558">
        <w:rPr>
          <w:rFonts w:eastAsiaTheme="minorEastAsia"/>
        </w:rPr>
        <w:t xml:space="preserve">Literature that </w:t>
      </w:r>
      <w:r w:rsidR="38580967" w:rsidRPr="43662558">
        <w:rPr>
          <w:rFonts w:eastAsiaTheme="minorEastAsia"/>
        </w:rPr>
        <w:lastRenderedPageBreak/>
        <w:t>aims to limit, oppose, or reject hegemonic institutions and cosmologies and systems, strategies, and acts of domination can be called resistance literature.”</w:t>
      </w:r>
      <w:r w:rsidRPr="43662558">
        <w:rPr>
          <w:rStyle w:val="FootnoteReference"/>
          <w:rFonts w:eastAsiaTheme="minorEastAsia"/>
        </w:rPr>
        <w:footnoteReference w:id="5"/>
      </w:r>
      <w:r w:rsidR="0F84BC5F" w:rsidRPr="43662558">
        <w:rPr>
          <w:rFonts w:eastAsiaTheme="minorEastAsia"/>
        </w:rPr>
        <w:t xml:space="preserve"> </w:t>
      </w:r>
      <w:r w:rsidR="001379AB">
        <w:rPr>
          <w:rFonts w:eastAsiaTheme="minorEastAsia"/>
        </w:rPr>
        <w:t>T</w:t>
      </w:r>
      <w:r w:rsidR="0F84BC5F" w:rsidRPr="43662558">
        <w:rPr>
          <w:rFonts w:eastAsiaTheme="minorEastAsia"/>
        </w:rPr>
        <w:t>his definition is very clear and understandable and sets the tone for the rest of the chapter. In this section Young also includes the work of various other authors to support her def</w:t>
      </w:r>
      <w:r w:rsidR="2569CC9C" w:rsidRPr="43662558">
        <w:rPr>
          <w:rFonts w:eastAsiaTheme="minorEastAsia"/>
        </w:rPr>
        <w:t>initions of resistance literature</w:t>
      </w:r>
      <w:r w:rsidR="0080692E">
        <w:rPr>
          <w:rFonts w:eastAsiaTheme="minorEastAsia"/>
        </w:rPr>
        <w:t xml:space="preserve">, which </w:t>
      </w:r>
      <w:r w:rsidR="00290E24">
        <w:rPr>
          <w:rFonts w:eastAsiaTheme="minorEastAsia"/>
        </w:rPr>
        <w:t xml:space="preserve">also aids in pursaduing the reader as she includes the </w:t>
      </w:r>
      <w:r w:rsidR="2569CC9C" w:rsidRPr="43662558">
        <w:rPr>
          <w:rFonts w:eastAsiaTheme="minorEastAsia"/>
        </w:rPr>
        <w:t>ideology of political scientist James C.Scott as well as Barbara Harlow</w:t>
      </w:r>
      <w:r w:rsidR="028C0E9A" w:rsidRPr="43662558">
        <w:rPr>
          <w:rFonts w:eastAsiaTheme="minorEastAsia"/>
        </w:rPr>
        <w:t xml:space="preserve"> and J. M Baralet and includes their definitions of resistance to </w:t>
      </w:r>
      <w:r w:rsidR="001379AB" w:rsidRPr="43662558">
        <w:rPr>
          <w:rFonts w:eastAsiaTheme="minorEastAsia"/>
        </w:rPr>
        <w:t>c</w:t>
      </w:r>
      <w:r w:rsidR="001379AB">
        <w:rPr>
          <w:rFonts w:eastAsiaTheme="minorEastAsia"/>
        </w:rPr>
        <w:t>orrespond</w:t>
      </w:r>
      <w:r w:rsidR="001379AB" w:rsidRPr="43662558">
        <w:rPr>
          <w:rFonts w:eastAsiaTheme="minorEastAsia"/>
        </w:rPr>
        <w:t xml:space="preserve"> </w:t>
      </w:r>
      <w:r w:rsidR="028C0E9A" w:rsidRPr="43662558">
        <w:rPr>
          <w:rFonts w:eastAsiaTheme="minorEastAsia"/>
        </w:rPr>
        <w:t xml:space="preserve">to her own. </w:t>
      </w:r>
      <w:r w:rsidR="459C0ABC" w:rsidRPr="43662558">
        <w:rPr>
          <w:rFonts w:eastAsiaTheme="minorEastAsia"/>
        </w:rPr>
        <w:t>I</w:t>
      </w:r>
      <w:r w:rsidR="2166166C" w:rsidRPr="43662558">
        <w:rPr>
          <w:rFonts w:eastAsiaTheme="minorEastAsia"/>
        </w:rPr>
        <w:t xml:space="preserve">n the second section </w:t>
      </w:r>
      <w:r w:rsidR="13C07335" w:rsidRPr="43662558">
        <w:rPr>
          <w:rFonts w:eastAsiaTheme="minorEastAsia"/>
        </w:rPr>
        <w:t xml:space="preserve">she explains the beginning of apocalyptic literature and its relation to resistance literature, referring to Samuel Eddy as being </w:t>
      </w:r>
      <w:r w:rsidR="4929B21D" w:rsidRPr="43662558">
        <w:rPr>
          <w:rFonts w:eastAsiaTheme="minorEastAsia"/>
        </w:rPr>
        <w:t>the pioneer of such works. Young states “Eddy’s work helpfully places Jewish resistance within a wider cultural context”</w:t>
      </w:r>
      <w:r w:rsidRPr="43662558">
        <w:rPr>
          <w:rStyle w:val="FootnoteReference"/>
          <w:rFonts w:eastAsiaTheme="minorEastAsia"/>
        </w:rPr>
        <w:footnoteReference w:id="6"/>
      </w:r>
      <w:r w:rsidR="47E266EB" w:rsidRPr="43662558">
        <w:rPr>
          <w:rFonts w:eastAsiaTheme="minorEastAsia"/>
        </w:rPr>
        <w:t xml:space="preserve"> also referring to the </w:t>
      </w:r>
      <w:r w:rsidR="57C6DE44" w:rsidRPr="43662558">
        <w:rPr>
          <w:rFonts w:eastAsiaTheme="minorEastAsia"/>
        </w:rPr>
        <w:t>narrative</w:t>
      </w:r>
      <w:r w:rsidR="0F4CD170" w:rsidRPr="43662558">
        <w:rPr>
          <w:rFonts w:eastAsiaTheme="minorEastAsia"/>
        </w:rPr>
        <w:t xml:space="preserve"> of Uncle Tom’s cabin and references to the works of </w:t>
      </w:r>
      <w:r w:rsidR="7923FEF0" w:rsidRPr="43662558">
        <w:rPr>
          <w:rFonts w:eastAsiaTheme="minorEastAsia"/>
        </w:rPr>
        <w:t xml:space="preserve">Tompkins and </w:t>
      </w:r>
      <w:r w:rsidR="57764A2B" w:rsidRPr="43662558">
        <w:rPr>
          <w:rFonts w:eastAsiaTheme="minorEastAsia"/>
        </w:rPr>
        <w:t>the</w:t>
      </w:r>
      <w:r w:rsidR="7923FEF0" w:rsidRPr="43662558">
        <w:rPr>
          <w:rFonts w:eastAsiaTheme="minorEastAsia"/>
        </w:rPr>
        <w:t xml:space="preserve"> work of Horsley </w:t>
      </w:r>
      <w:r w:rsidR="0F4CD170" w:rsidRPr="43662558">
        <w:rPr>
          <w:rFonts w:eastAsiaTheme="minorEastAsia"/>
        </w:rPr>
        <w:t xml:space="preserve">Young </w:t>
      </w:r>
      <w:r w:rsidR="001379AB">
        <w:rPr>
          <w:rFonts w:eastAsiaTheme="minorEastAsia"/>
        </w:rPr>
        <w:t xml:space="preserve">she </w:t>
      </w:r>
      <w:r w:rsidR="0F4CD170" w:rsidRPr="43662558">
        <w:rPr>
          <w:rFonts w:eastAsiaTheme="minorEastAsia"/>
        </w:rPr>
        <w:t>argues in this section how t</w:t>
      </w:r>
      <w:r w:rsidR="3600AA01" w:rsidRPr="43662558">
        <w:rPr>
          <w:rFonts w:eastAsiaTheme="minorEastAsia"/>
        </w:rPr>
        <w:t xml:space="preserve">he genre of resistance literature cannot be easily </w:t>
      </w:r>
      <w:r w:rsidR="56954F3D" w:rsidRPr="43662558">
        <w:rPr>
          <w:rFonts w:eastAsiaTheme="minorEastAsia"/>
        </w:rPr>
        <w:t>shaped</w:t>
      </w:r>
      <w:r w:rsidR="3600AA01" w:rsidRPr="43662558">
        <w:rPr>
          <w:rFonts w:eastAsiaTheme="minorEastAsia"/>
        </w:rPr>
        <w:t xml:space="preserve"> into one specific category</w:t>
      </w:r>
      <w:r w:rsidR="77696F5B" w:rsidRPr="43662558">
        <w:rPr>
          <w:rFonts w:eastAsiaTheme="minorEastAsia"/>
        </w:rPr>
        <w:t xml:space="preserve"> </w:t>
      </w:r>
      <w:r w:rsidR="1F2A1452" w:rsidRPr="43662558">
        <w:rPr>
          <w:rFonts w:eastAsiaTheme="minorEastAsia"/>
        </w:rPr>
        <w:t xml:space="preserve">but rather the ideology of resistance </w:t>
      </w:r>
      <w:r w:rsidR="028BBD12" w:rsidRPr="43662558">
        <w:rPr>
          <w:rFonts w:eastAsiaTheme="minorEastAsia"/>
        </w:rPr>
        <w:t>literature</w:t>
      </w:r>
      <w:r w:rsidR="1F2A1452" w:rsidRPr="43662558">
        <w:rPr>
          <w:rFonts w:eastAsiaTheme="minorEastAsia"/>
        </w:rPr>
        <w:t xml:space="preserve"> and its link to apocalyptic literature are what she argues is “fundamental to the </w:t>
      </w:r>
      <w:r w:rsidR="634832B2" w:rsidRPr="43662558">
        <w:rPr>
          <w:rFonts w:eastAsiaTheme="minorEastAsia"/>
        </w:rPr>
        <w:t>origins</w:t>
      </w:r>
      <w:r w:rsidR="1F2A1452" w:rsidRPr="43662558">
        <w:rPr>
          <w:rFonts w:eastAsiaTheme="minorEastAsia"/>
        </w:rPr>
        <w:t xml:space="preserve"> or the genre”</w:t>
      </w:r>
      <w:r w:rsidR="40C08B4E" w:rsidRPr="43662558">
        <w:rPr>
          <w:rFonts w:eastAsiaTheme="minorEastAsia"/>
        </w:rPr>
        <w:t>.</w:t>
      </w:r>
      <w:r w:rsidRPr="43662558">
        <w:rPr>
          <w:rStyle w:val="FootnoteReference"/>
          <w:rFonts w:eastAsiaTheme="minorEastAsia"/>
        </w:rPr>
        <w:footnoteReference w:id="7"/>
      </w:r>
      <w:r w:rsidR="340C2141" w:rsidRPr="43662558">
        <w:rPr>
          <w:rFonts w:eastAsiaTheme="minorEastAsia"/>
        </w:rPr>
        <w:t xml:space="preserve"> </w:t>
      </w:r>
      <w:r w:rsidR="4FE5779E" w:rsidRPr="43662558">
        <w:rPr>
          <w:rFonts w:eastAsiaTheme="minorEastAsia"/>
        </w:rPr>
        <w:t xml:space="preserve"> </w:t>
      </w:r>
      <w:r w:rsidR="001379AB">
        <w:rPr>
          <w:rFonts w:eastAsiaTheme="minorEastAsia"/>
        </w:rPr>
        <w:t>I</w:t>
      </w:r>
      <w:r w:rsidR="4FE5779E" w:rsidRPr="43662558">
        <w:rPr>
          <w:rFonts w:eastAsiaTheme="minorEastAsia"/>
        </w:rPr>
        <w:t xml:space="preserve">n the third section </w:t>
      </w:r>
      <w:r w:rsidR="001379AB">
        <w:rPr>
          <w:rFonts w:eastAsiaTheme="minorEastAsia"/>
        </w:rPr>
        <w:t>Y</w:t>
      </w:r>
      <w:r w:rsidR="4FE5779E" w:rsidRPr="43662558">
        <w:rPr>
          <w:rFonts w:eastAsiaTheme="minorEastAsia"/>
        </w:rPr>
        <w:t xml:space="preserve">oung addresses the three early apocalyptic </w:t>
      </w:r>
      <w:r w:rsidR="6A59B43C" w:rsidRPr="43662558">
        <w:rPr>
          <w:rFonts w:eastAsiaTheme="minorEastAsia"/>
        </w:rPr>
        <w:t>literature</w:t>
      </w:r>
      <w:r w:rsidR="001379AB">
        <w:rPr>
          <w:rFonts w:eastAsiaTheme="minorEastAsia"/>
        </w:rPr>
        <w:t>s:</w:t>
      </w:r>
      <w:r w:rsidR="4FE5779E" w:rsidRPr="43662558">
        <w:rPr>
          <w:rFonts w:eastAsiaTheme="minorEastAsia"/>
        </w:rPr>
        <w:t xml:space="preserve"> the book of Daniel, the </w:t>
      </w:r>
      <w:r w:rsidR="001379AB">
        <w:rPr>
          <w:rFonts w:eastAsiaTheme="minorEastAsia"/>
        </w:rPr>
        <w:t>A</w:t>
      </w:r>
      <w:r w:rsidR="4FE5779E" w:rsidRPr="43662558">
        <w:rPr>
          <w:rFonts w:eastAsiaTheme="minorEastAsia"/>
        </w:rPr>
        <w:t xml:space="preserve">pocalypse of the Weeks and the </w:t>
      </w:r>
      <w:r w:rsidR="001379AB">
        <w:rPr>
          <w:rFonts w:eastAsiaTheme="minorEastAsia"/>
        </w:rPr>
        <w:t>B</w:t>
      </w:r>
      <w:r w:rsidR="4FE5779E" w:rsidRPr="43662558">
        <w:rPr>
          <w:rFonts w:eastAsiaTheme="minorEastAsia"/>
        </w:rPr>
        <w:t>oo</w:t>
      </w:r>
      <w:r w:rsidR="6F5AB6CA" w:rsidRPr="43662558">
        <w:rPr>
          <w:rFonts w:eastAsiaTheme="minorEastAsia"/>
        </w:rPr>
        <w:t>k</w:t>
      </w:r>
      <w:r w:rsidR="6C0AD2CC" w:rsidRPr="43662558">
        <w:rPr>
          <w:rFonts w:eastAsiaTheme="minorEastAsia"/>
        </w:rPr>
        <w:t xml:space="preserve"> of </w:t>
      </w:r>
      <w:r w:rsidR="001379AB">
        <w:rPr>
          <w:rFonts w:eastAsiaTheme="minorEastAsia"/>
        </w:rPr>
        <w:t>D</w:t>
      </w:r>
      <w:r w:rsidR="6C0AD2CC" w:rsidRPr="43662558">
        <w:rPr>
          <w:rFonts w:eastAsiaTheme="minorEastAsia"/>
        </w:rPr>
        <w:t>reams. Rather than arguing against this topic, her section is more descriptive and informative providing clear knowledge surrounding the three literatures and their context. In</w:t>
      </w:r>
      <w:r w:rsidR="0AD56F73" w:rsidRPr="43662558">
        <w:rPr>
          <w:rFonts w:eastAsiaTheme="minorEastAsia"/>
        </w:rPr>
        <w:t xml:space="preserve">cluding such a section is well planned for her readers who may not understand the origins and context of these writings. </w:t>
      </w:r>
      <w:r w:rsidR="3EDC89BF" w:rsidRPr="43662558">
        <w:rPr>
          <w:rFonts w:eastAsiaTheme="minorEastAsia"/>
        </w:rPr>
        <w:t xml:space="preserve">In the fourth section of her chapter Young’s focus turns to the idea of the book of </w:t>
      </w:r>
      <w:r w:rsidR="49E2CF49" w:rsidRPr="43662558">
        <w:rPr>
          <w:rFonts w:eastAsiaTheme="minorEastAsia"/>
        </w:rPr>
        <w:t xml:space="preserve">revelation </w:t>
      </w:r>
      <w:r w:rsidR="3EDC89BF" w:rsidRPr="43662558">
        <w:rPr>
          <w:rFonts w:eastAsiaTheme="minorEastAsia"/>
        </w:rPr>
        <w:t xml:space="preserve">as having similarities to resistance literature. With the </w:t>
      </w:r>
      <w:r w:rsidR="7FBC2652" w:rsidRPr="43662558">
        <w:rPr>
          <w:rFonts w:eastAsiaTheme="minorEastAsia"/>
        </w:rPr>
        <w:t xml:space="preserve">input of Greg Carey and the counter argument of Stephen D. Moore </w:t>
      </w:r>
      <w:r w:rsidR="008B56CA" w:rsidRPr="43662558">
        <w:rPr>
          <w:rFonts w:eastAsiaTheme="minorEastAsia"/>
        </w:rPr>
        <w:t>Yo</w:t>
      </w:r>
      <w:r w:rsidR="008B56CA">
        <w:rPr>
          <w:rFonts w:eastAsiaTheme="minorEastAsia"/>
        </w:rPr>
        <w:t>ung</w:t>
      </w:r>
      <w:r w:rsidR="008B56CA" w:rsidRPr="43662558">
        <w:rPr>
          <w:rFonts w:eastAsiaTheme="minorEastAsia"/>
        </w:rPr>
        <w:t xml:space="preserve"> </w:t>
      </w:r>
      <w:r w:rsidR="7FBC2652" w:rsidRPr="43662558">
        <w:rPr>
          <w:rFonts w:eastAsiaTheme="minorEastAsia"/>
        </w:rPr>
        <w:t>conclude</w:t>
      </w:r>
      <w:r w:rsidR="008B56CA">
        <w:rPr>
          <w:rFonts w:eastAsiaTheme="minorEastAsia"/>
        </w:rPr>
        <w:t>s</w:t>
      </w:r>
      <w:r w:rsidR="7FBC2652" w:rsidRPr="43662558">
        <w:rPr>
          <w:rFonts w:eastAsiaTheme="minorEastAsia"/>
        </w:rPr>
        <w:t xml:space="preserve"> a different theory that </w:t>
      </w:r>
      <w:r w:rsidR="71BCB5F3" w:rsidRPr="43662558">
        <w:rPr>
          <w:rFonts w:eastAsiaTheme="minorEastAsia"/>
        </w:rPr>
        <w:t>“Despite its call to nonviolent resistance, its discursive and theological assault on imperial hegemony, and its total rejection of collaboration with empire, Revelation’s resistance is also, in part, replication.”</w:t>
      </w:r>
      <w:r w:rsidRPr="43662558">
        <w:rPr>
          <w:rStyle w:val="FootnoteReference"/>
          <w:rFonts w:eastAsiaTheme="minorEastAsia"/>
        </w:rPr>
        <w:footnoteReference w:id="8"/>
      </w:r>
      <w:r w:rsidR="479E761A" w:rsidRPr="43662558">
        <w:rPr>
          <w:rFonts w:eastAsiaTheme="minorEastAsia"/>
        </w:rPr>
        <w:t xml:space="preserve"> </w:t>
      </w:r>
      <w:commentRangeStart w:id="1"/>
      <w:r w:rsidR="008B56CA">
        <w:rPr>
          <w:rFonts w:eastAsiaTheme="minorEastAsia"/>
        </w:rPr>
        <w:t>H</w:t>
      </w:r>
      <w:r w:rsidR="479E761A" w:rsidRPr="43662558">
        <w:rPr>
          <w:rFonts w:eastAsiaTheme="minorEastAsia"/>
        </w:rPr>
        <w:t>er work</w:t>
      </w:r>
      <w:r w:rsidR="00B27358">
        <w:rPr>
          <w:rFonts w:eastAsiaTheme="minorEastAsia"/>
        </w:rPr>
        <w:t>,</w:t>
      </w:r>
      <w:r w:rsidR="479E761A" w:rsidRPr="43662558">
        <w:rPr>
          <w:rFonts w:eastAsiaTheme="minorEastAsia"/>
        </w:rPr>
        <w:t xml:space="preserve"> primarily focusing upon the apocalyptic literatures as resistance literatures</w:t>
      </w:r>
      <w:r w:rsidR="00B27358">
        <w:rPr>
          <w:rFonts w:eastAsiaTheme="minorEastAsia"/>
        </w:rPr>
        <w:t>,</w:t>
      </w:r>
      <w:r w:rsidR="3ACF7AB0" w:rsidRPr="43662558">
        <w:rPr>
          <w:rFonts w:eastAsiaTheme="minorEastAsia"/>
        </w:rPr>
        <w:t xml:space="preserve"> provides sufficient support to include the similarities of this research in comparison </w:t>
      </w:r>
      <w:r w:rsidR="00B27358">
        <w:rPr>
          <w:rFonts w:eastAsiaTheme="minorEastAsia"/>
        </w:rPr>
        <w:t xml:space="preserve">to that of </w:t>
      </w:r>
      <w:r w:rsidR="3ACF7AB0" w:rsidRPr="43662558">
        <w:rPr>
          <w:rFonts w:eastAsiaTheme="minorEastAsia"/>
        </w:rPr>
        <w:t xml:space="preserve">the </w:t>
      </w:r>
      <w:r w:rsidR="00B27358">
        <w:rPr>
          <w:rFonts w:eastAsiaTheme="minorEastAsia"/>
        </w:rPr>
        <w:t>B</w:t>
      </w:r>
      <w:r w:rsidR="3ACF7AB0" w:rsidRPr="43662558">
        <w:rPr>
          <w:rFonts w:eastAsiaTheme="minorEastAsia"/>
        </w:rPr>
        <w:t xml:space="preserve">ook </w:t>
      </w:r>
      <w:r w:rsidR="00B27358">
        <w:rPr>
          <w:rFonts w:eastAsiaTheme="minorEastAsia"/>
        </w:rPr>
        <w:t>o</w:t>
      </w:r>
      <w:r w:rsidR="3ACF7AB0" w:rsidRPr="43662558">
        <w:rPr>
          <w:rFonts w:eastAsiaTheme="minorEastAsia"/>
        </w:rPr>
        <w:t>f Revel</w:t>
      </w:r>
      <w:r w:rsidR="1A3B63D8" w:rsidRPr="43662558">
        <w:rPr>
          <w:rFonts w:eastAsiaTheme="minorEastAsia"/>
        </w:rPr>
        <w:t xml:space="preserve">ation and the early </w:t>
      </w:r>
      <w:r w:rsidR="008B56CA" w:rsidRPr="43662558">
        <w:rPr>
          <w:rFonts w:eastAsiaTheme="minorEastAsia"/>
        </w:rPr>
        <w:t>Christian</w:t>
      </w:r>
      <w:r w:rsidR="1A3B63D8" w:rsidRPr="43662558">
        <w:rPr>
          <w:rFonts w:eastAsiaTheme="minorEastAsia"/>
        </w:rPr>
        <w:t xml:space="preserve"> literature.</w:t>
      </w:r>
      <w:r w:rsidR="0087100B">
        <w:rPr>
          <w:rFonts w:eastAsiaTheme="minorEastAsia"/>
        </w:rPr>
        <w:t xml:space="preserve"> By displaying similar theories in this topic it adds more depth to the convincing nature of her argument.</w:t>
      </w:r>
      <w:r w:rsidR="1A3B63D8" w:rsidRPr="43662558">
        <w:rPr>
          <w:rFonts w:eastAsiaTheme="minorEastAsia"/>
        </w:rPr>
        <w:t xml:space="preserve"> </w:t>
      </w:r>
      <w:commentRangeEnd w:id="1"/>
      <w:r w:rsidR="008B56CA">
        <w:rPr>
          <w:rStyle w:val="CommentReference"/>
        </w:rPr>
        <w:commentReference w:id="1"/>
      </w:r>
      <w:r w:rsidR="1DEB08FD">
        <w:t xml:space="preserve">In the sixth section Young turns against the previously stated thesis to argue that not all apocalyptic literature is resistance literature but rather </w:t>
      </w:r>
      <w:r w:rsidR="380A7457">
        <w:t>there can be apocalyptic writings that do not “challenge injustice, free its readers from the chains of false consciousness, or in</w:t>
      </w:r>
      <w:r w:rsidR="77137B11">
        <w:t>cite political revolution or reform”</w:t>
      </w:r>
      <w:r w:rsidR="1DEB08FD" w:rsidRPr="43662558">
        <w:rPr>
          <w:rStyle w:val="FootnoteReference"/>
        </w:rPr>
        <w:footnoteReference w:id="9"/>
      </w:r>
      <w:r w:rsidR="1DCC2488">
        <w:t xml:space="preserve">. </w:t>
      </w:r>
      <w:r w:rsidR="6127959E">
        <w:t xml:space="preserve"> </w:t>
      </w:r>
      <w:r w:rsidR="00B27358">
        <w:t>I</w:t>
      </w:r>
      <w:r w:rsidR="6127959E">
        <w:t>t is vital here to acknowledge the fact Young is now countering her own argument, this in itself is a for</w:t>
      </w:r>
      <w:r w:rsidR="008B56CA">
        <w:t>m</w:t>
      </w:r>
      <w:r w:rsidR="6127959E">
        <w:t xml:space="preserve"> of support as she includes sufficient arguments </w:t>
      </w:r>
      <w:r w:rsidR="429F4EB1">
        <w:t>and provides honest responses</w:t>
      </w:r>
      <w:r w:rsidR="008B56CA">
        <w:t>,</w:t>
      </w:r>
      <w:r w:rsidR="429F4EB1">
        <w:t xml:space="preserve"> for example </w:t>
      </w:r>
      <w:r w:rsidR="008B56CA">
        <w:t>Y</w:t>
      </w:r>
      <w:r w:rsidR="1676B6A3">
        <w:t xml:space="preserve">oung states that the ability to make a clear correlation between the </w:t>
      </w:r>
      <w:r w:rsidR="46E7F2D8">
        <w:t>apocalyptic</w:t>
      </w:r>
      <w:r w:rsidR="1676B6A3">
        <w:t xml:space="preserve"> literature and its uses within resistance literature will continue to </w:t>
      </w:r>
      <w:r w:rsidR="2A4017FB">
        <w:t>be somewhat held back as the text discovered in the Qumran are fragmented, therefore, a</w:t>
      </w:r>
      <w:r w:rsidR="22D560EF">
        <w:t>s she f</w:t>
      </w:r>
      <w:r w:rsidR="7E1FCF29">
        <w:t>u</w:t>
      </w:r>
      <w:r w:rsidR="22D560EF">
        <w:t>rther explains “ we thus find ourselves at a loss to identify dates and settings of composition with any certainty”.</w:t>
      </w:r>
      <w:r w:rsidR="1DEB08FD" w:rsidRPr="43662558">
        <w:rPr>
          <w:rStyle w:val="FootnoteReference"/>
        </w:rPr>
        <w:footnoteReference w:id="10"/>
      </w:r>
      <w:r w:rsidR="3BB770A4">
        <w:t xml:space="preserve"> </w:t>
      </w:r>
      <w:r w:rsidR="007E2ADD">
        <w:t>Thus one can never know for sure</w:t>
      </w:r>
      <w:r w:rsidR="001D72C0">
        <w:t xml:space="preserve"> what the scriptures tell us.</w:t>
      </w:r>
      <w:r w:rsidR="2245C444">
        <w:t xml:space="preserve"> The next section </w:t>
      </w:r>
      <w:r w:rsidR="7B91D890">
        <w:t>Y</w:t>
      </w:r>
      <w:r w:rsidR="2245C444">
        <w:t xml:space="preserve">oung </w:t>
      </w:r>
      <w:r w:rsidR="1E3F7191">
        <w:t>explain</w:t>
      </w:r>
      <w:r w:rsidR="223C8748">
        <w:t>s</w:t>
      </w:r>
      <w:r w:rsidR="2245C444">
        <w:t xml:space="preserve"> </w:t>
      </w:r>
      <w:r w:rsidR="2835185B">
        <w:t xml:space="preserve">the idea of </w:t>
      </w:r>
      <w:r w:rsidR="310FAF5E">
        <w:t>there</w:t>
      </w:r>
      <w:r w:rsidR="2835185B">
        <w:t xml:space="preserve"> being a hidden scripture. Including the works of Louis Feldman Young describes the </w:t>
      </w:r>
      <w:r w:rsidR="3ED3408B">
        <w:t>narrative</w:t>
      </w:r>
      <w:r w:rsidR="2835185B">
        <w:t xml:space="preserve"> of </w:t>
      </w:r>
      <w:r w:rsidR="02DF7991">
        <w:t>Daniel</w:t>
      </w:r>
      <w:r w:rsidR="2835185B">
        <w:t xml:space="preserve"> describing his dream to the king and in</w:t>
      </w:r>
      <w:r w:rsidR="43A84A35">
        <w:t>-</w:t>
      </w:r>
      <w:r w:rsidR="2835185B">
        <w:t xml:space="preserve">turn being reward. </w:t>
      </w:r>
      <w:r w:rsidR="024A51E0">
        <w:t xml:space="preserve">It would be useful to see a </w:t>
      </w:r>
      <w:r w:rsidR="4AD23FDD">
        <w:t>further in-depth section into the idea of the hidden transcript to understand where it relates into the idea of the apocalyptic literature</w:t>
      </w:r>
      <w:r w:rsidR="4C4CC411">
        <w:t xml:space="preserve"> as resistance literature. </w:t>
      </w:r>
      <w:r w:rsidR="008B56CA">
        <w:t>F</w:t>
      </w:r>
      <w:r w:rsidR="4C4CC411">
        <w:t xml:space="preserve">inally, before the conclusion of her works Young writes about the early Jewish novels </w:t>
      </w:r>
      <w:r w:rsidR="2BB82574">
        <w:t xml:space="preserve">and </w:t>
      </w:r>
      <w:r w:rsidR="2BB82574">
        <w:lastRenderedPageBreak/>
        <w:t xml:space="preserve">how they may also be a form of resistance. Arguing </w:t>
      </w:r>
      <w:r w:rsidR="53DB0DCD">
        <w:t>that ”when</w:t>
      </w:r>
      <w:r w:rsidR="2BB82574">
        <w:t xml:space="preserve"> paired with the </w:t>
      </w:r>
      <w:r w:rsidR="7D6640F3">
        <w:t>visions to for</w:t>
      </w:r>
      <w:r w:rsidR="50BBA3AE">
        <w:t>m an</w:t>
      </w:r>
      <w:r w:rsidR="7D6640F3">
        <w:t xml:space="preserve"> apocalypse, they embody and call forth a new kind </w:t>
      </w:r>
      <w:r w:rsidR="2919C934">
        <w:t>of resistance in a new cultural and political movement”</w:t>
      </w:r>
      <w:r w:rsidR="008B56CA">
        <w:t>.</w:t>
      </w:r>
      <w:r w:rsidR="1DEB08FD" w:rsidRPr="43662558">
        <w:rPr>
          <w:rStyle w:val="FootnoteReference"/>
        </w:rPr>
        <w:footnoteReference w:id="11"/>
      </w:r>
      <w:r w:rsidR="76CC7ECB">
        <w:t xml:space="preserve"> </w:t>
      </w:r>
      <w:r w:rsidR="425EAF67">
        <w:t>as Young explains</w:t>
      </w:r>
      <w:r w:rsidR="008B56CA">
        <w:t>,</w:t>
      </w:r>
      <w:r w:rsidR="425EAF67">
        <w:t xml:space="preserve"> ”early novels are as much a product of the experience of empire as early </w:t>
      </w:r>
      <w:r w:rsidR="00904610">
        <w:t>apocalypse</w:t>
      </w:r>
      <w:r w:rsidR="425EAF67">
        <w:t>”.</w:t>
      </w:r>
      <w:r w:rsidR="1DEB08FD" w:rsidRPr="43662558">
        <w:rPr>
          <w:rStyle w:val="FootnoteReference"/>
        </w:rPr>
        <w:footnoteReference w:id="12"/>
      </w:r>
      <w:r w:rsidR="3CE505FE">
        <w:t xml:space="preserve"> </w:t>
      </w:r>
      <w:r w:rsidR="008B56CA">
        <w:t>H</w:t>
      </w:r>
      <w:r w:rsidR="3CE505FE">
        <w:t xml:space="preserve">aving this correlation between the early writings and the apocalyptic literature brings further strength to the thesis of apocalyptic literature as resistance literature. </w:t>
      </w:r>
    </w:p>
    <w:p w14:paraId="4C916666" w14:textId="39337094" w:rsidR="1DC893D2" w:rsidRDefault="1DC893D2" w:rsidP="43662558">
      <w:r>
        <w:t xml:space="preserve">Overall, Young provides </w:t>
      </w:r>
      <w:r w:rsidR="00131964">
        <w:t>a convincing</w:t>
      </w:r>
      <w:r>
        <w:t xml:space="preserve"> in-depth </w:t>
      </w:r>
      <w:r w:rsidR="00700FE6">
        <w:t>argument</w:t>
      </w:r>
      <w:r>
        <w:t xml:space="preserve"> to this topic and includes multiple other theorists in</w:t>
      </w:r>
      <w:r w:rsidR="10FC578A">
        <w:t xml:space="preserve"> </w:t>
      </w:r>
      <w:r>
        <w:t xml:space="preserve">order to </w:t>
      </w:r>
      <w:r w:rsidR="540A1ADF">
        <w:t>sufficiently</w:t>
      </w:r>
      <w:r>
        <w:t xml:space="preserve"> support her thesis</w:t>
      </w:r>
      <w:r w:rsidR="3E877D4B">
        <w:t xml:space="preserve">. With detailed reference to both primary and secondary sources as well as </w:t>
      </w:r>
      <w:r w:rsidR="6F34D0D9">
        <w:t xml:space="preserve">substantial modern scholarship the chapter is overall clear to understand and provides much benefit to the topic of apocalyptic literature. </w:t>
      </w:r>
      <w:r w:rsidR="6FC80263">
        <w:t>Young neatly rounds off to say “after the destruction of Jerusalem, the genre</w:t>
      </w:r>
      <w:r w:rsidR="7AB4316D">
        <w:t xml:space="preserve"> apocalypse provided a vehicle for mourning and for working out seemingly unanswerable questions.”</w:t>
      </w:r>
      <w:r w:rsidRPr="43662558">
        <w:rPr>
          <w:rStyle w:val="FootnoteReference"/>
        </w:rPr>
        <w:footnoteReference w:id="13"/>
      </w:r>
      <w:r w:rsidR="7FBA4078">
        <w:t xml:space="preserve"> </w:t>
      </w:r>
      <w:r w:rsidR="003F135F">
        <w:t>T</w:t>
      </w:r>
      <w:r w:rsidR="7FBA4078">
        <w:t>his leave</w:t>
      </w:r>
      <w:r w:rsidR="003F135F">
        <w:t>s</w:t>
      </w:r>
      <w:r w:rsidR="7FBA4078">
        <w:t xml:space="preserve"> the argument open ended to the </w:t>
      </w:r>
      <w:r w:rsidR="008B56CA">
        <w:t>possibility</w:t>
      </w:r>
      <w:r w:rsidR="7FBA4078">
        <w:t xml:space="preserve"> that </w:t>
      </w:r>
      <w:r w:rsidR="008B56CA">
        <w:t>apocalypses</w:t>
      </w:r>
      <w:r w:rsidR="7FBA4078">
        <w:t xml:space="preserve"> and resistance literature provides a comfort in difficult times as well as </w:t>
      </w:r>
      <w:r w:rsidR="2AD5731F">
        <w:t xml:space="preserve">ideas toward the unanswerable questions. </w:t>
      </w:r>
    </w:p>
    <w:p w14:paraId="6603C214" w14:textId="5175C13C" w:rsidR="2353DDA4" w:rsidRDefault="2353DDA4" w:rsidP="43662558">
      <w:r>
        <w:t xml:space="preserve"> Bibliography </w:t>
      </w:r>
    </w:p>
    <w:p w14:paraId="6665AEBD" w14:textId="0B8AC825" w:rsidR="69CB1BAF" w:rsidRDefault="69CB1BAF" w:rsidP="43662558">
      <w:pPr>
        <w:rPr>
          <w:i/>
          <w:iCs/>
        </w:rPr>
      </w:pPr>
      <w:r>
        <w:t xml:space="preserve">Amazon, </w:t>
      </w:r>
      <w:r w:rsidRPr="43662558">
        <w:rPr>
          <w:i/>
          <w:iCs/>
        </w:rPr>
        <w:t>Anathea E. Portier</w:t>
      </w:r>
      <w:r w:rsidR="1CF338C8" w:rsidRPr="43662558">
        <w:rPr>
          <w:i/>
          <w:iCs/>
        </w:rPr>
        <w:t>-</w:t>
      </w:r>
      <w:r w:rsidRPr="43662558">
        <w:rPr>
          <w:i/>
          <w:iCs/>
        </w:rPr>
        <w:t xml:space="preserve">young, </w:t>
      </w:r>
      <w:r w:rsidR="17C33A48" w:rsidRPr="43662558">
        <w:t>(2011) &lt;</w:t>
      </w:r>
      <w:hyperlink r:id="rId13">
        <w:r w:rsidR="17C33A48" w:rsidRPr="43662558">
          <w:rPr>
            <w:rStyle w:val="Hyperlink"/>
            <w:rFonts w:ascii="Calibri" w:eastAsia="Calibri" w:hAnsi="Calibri" w:cs="Calibri"/>
          </w:rPr>
          <w:t>https://www.amazon.com/Anathea-E.-Portier-Young/e/B004L4ROPU%3Fref=dbs_a_mng_rwt_scns_share</w:t>
        </w:r>
      </w:hyperlink>
      <w:r w:rsidR="17C33A48" w:rsidRPr="43662558">
        <w:rPr>
          <w:rFonts w:ascii="Calibri" w:eastAsia="Calibri" w:hAnsi="Calibri" w:cs="Calibri"/>
        </w:rPr>
        <w:t>&gt; [accessed 04.06.20].</w:t>
      </w:r>
    </w:p>
    <w:p w14:paraId="4F6DADEA" w14:textId="597E0EC6" w:rsidR="6A431457" w:rsidRDefault="6A431457" w:rsidP="43662558">
      <w:r w:rsidRPr="43662558">
        <w:t xml:space="preserve">Collins J. John, </w:t>
      </w:r>
      <w:r w:rsidRPr="43662558">
        <w:rPr>
          <w:i/>
          <w:iCs/>
        </w:rPr>
        <w:t xml:space="preserve">The Oxford Handbook of Apocalyptic Literature, </w:t>
      </w:r>
      <w:r w:rsidRPr="43662558">
        <w:t>(New York: Oxford University press), 2014.</w:t>
      </w:r>
    </w:p>
    <w:p w14:paraId="511BCE92" w14:textId="67057FEC" w:rsidR="1213E908" w:rsidRDefault="1213E908" w:rsidP="43662558">
      <w:r>
        <w:t xml:space="preserve">Lexico, </w:t>
      </w:r>
      <w:r w:rsidRPr="43662558">
        <w:rPr>
          <w:i/>
          <w:iCs/>
        </w:rPr>
        <w:t xml:space="preserve">Definition of eschatology in English, </w:t>
      </w:r>
      <w:r w:rsidRPr="43662558">
        <w:t xml:space="preserve">(2020) &lt;lexico.com&gt; </w:t>
      </w:r>
      <w:r w:rsidR="1498C4B1" w:rsidRPr="43662558">
        <w:t>[accessed 04.06.20].</w:t>
      </w:r>
    </w:p>
    <w:sectPr w:rsidR="1213E908">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Julie Y. Davis" w:date="2020-06-05T14:57:00Z" w:initials="JYD">
    <w:p w14:paraId="29BDB40D" w14:textId="25FE9A5C" w:rsidR="001379AB" w:rsidRDefault="001379AB">
      <w:pPr>
        <w:pStyle w:val="CommentText"/>
      </w:pPr>
      <w:r>
        <w:rPr>
          <w:rStyle w:val="CommentReference"/>
        </w:rPr>
        <w:annotationRef/>
      </w:r>
      <w:r>
        <w:t>Resistance?</w:t>
      </w:r>
    </w:p>
  </w:comment>
  <w:comment w:id="1" w:author="Julie Y. Davis" w:date="2020-06-05T15:07:00Z" w:initials="JYD">
    <w:p w14:paraId="5BA83904" w14:textId="149D6EED" w:rsidR="008B56CA" w:rsidRDefault="008B56CA">
      <w:pPr>
        <w:pStyle w:val="CommentText"/>
      </w:pPr>
      <w:r>
        <w:rPr>
          <w:rStyle w:val="CommentReference"/>
        </w:rPr>
        <w:annotationRef/>
      </w:r>
      <w:r>
        <w:t>The point of this sentence is not quite clear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9BDB40D" w15:done="1"/>
  <w15:commentEx w15:paraId="5BA83904"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9BDB40D" w16cid:durableId="2284DBCF"/>
  <w16cid:commentId w16cid:paraId="5BA83904" w16cid:durableId="2284DE2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A654E8" w14:textId="77777777" w:rsidR="001F2904" w:rsidRDefault="001F2904">
      <w:pPr>
        <w:spacing w:after="0" w:line="240" w:lineRule="auto"/>
      </w:pPr>
      <w:r>
        <w:separator/>
      </w:r>
    </w:p>
  </w:endnote>
  <w:endnote w:type="continuationSeparator" w:id="0">
    <w:p w14:paraId="272F1650" w14:textId="77777777" w:rsidR="001F2904" w:rsidRDefault="001F29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2627C5" w14:textId="77777777" w:rsidR="001F2904" w:rsidRDefault="001F2904">
      <w:pPr>
        <w:spacing w:after="0" w:line="240" w:lineRule="auto"/>
      </w:pPr>
      <w:r>
        <w:separator/>
      </w:r>
    </w:p>
  </w:footnote>
  <w:footnote w:type="continuationSeparator" w:id="0">
    <w:p w14:paraId="7618EEF4" w14:textId="77777777" w:rsidR="001F2904" w:rsidRDefault="001F2904">
      <w:pPr>
        <w:spacing w:after="0" w:line="240" w:lineRule="auto"/>
      </w:pPr>
      <w:r>
        <w:continuationSeparator/>
      </w:r>
    </w:p>
  </w:footnote>
  <w:footnote w:id="1">
    <w:p w14:paraId="1FF7B883" w14:textId="082B36AE" w:rsidR="43662558" w:rsidRDefault="43662558" w:rsidP="43662558">
      <w:r w:rsidRPr="43662558">
        <w:rPr>
          <w:rStyle w:val="FootnoteReference"/>
        </w:rPr>
        <w:footnoteRef/>
      </w:r>
      <w:r>
        <w:t xml:space="preserve"> Lexico, </w:t>
      </w:r>
      <w:r w:rsidRPr="43662558">
        <w:rPr>
          <w:i/>
          <w:iCs/>
        </w:rPr>
        <w:t xml:space="preserve">Definition of eschatology in English, </w:t>
      </w:r>
      <w:r w:rsidRPr="43662558">
        <w:t>(2020) &lt;lexico.com&gt; [accessed 04.06.20].</w:t>
      </w:r>
    </w:p>
  </w:footnote>
  <w:footnote w:id="2">
    <w:p w14:paraId="6E5A89F8" w14:textId="0FC4247C" w:rsidR="43662558" w:rsidRDefault="43662558" w:rsidP="43662558">
      <w:pPr>
        <w:rPr>
          <w:i/>
          <w:iCs/>
        </w:rPr>
      </w:pPr>
      <w:r w:rsidRPr="43662558">
        <w:rPr>
          <w:rStyle w:val="FootnoteReference"/>
        </w:rPr>
        <w:footnoteRef/>
      </w:r>
      <w:r>
        <w:t xml:space="preserve"> Amazon, </w:t>
      </w:r>
      <w:r w:rsidRPr="43662558">
        <w:rPr>
          <w:i/>
          <w:iCs/>
        </w:rPr>
        <w:t xml:space="preserve">Anathea E. Portier-young, </w:t>
      </w:r>
      <w:r w:rsidRPr="43662558">
        <w:t>(2011) &lt;</w:t>
      </w:r>
      <w:hyperlink r:id="rId1">
        <w:r w:rsidRPr="43662558">
          <w:rPr>
            <w:rStyle w:val="Hyperlink"/>
            <w:rFonts w:ascii="Calibri" w:eastAsia="Calibri" w:hAnsi="Calibri" w:cs="Calibri"/>
          </w:rPr>
          <w:t>https://www.amazon.com/Anathea-E.-Portier-Young/e/B004L4ROPU%3Fref=dbs_a_mng_rwt_scns_share</w:t>
        </w:r>
      </w:hyperlink>
      <w:r w:rsidRPr="43662558">
        <w:rPr>
          <w:rFonts w:ascii="Calibri" w:eastAsia="Calibri" w:hAnsi="Calibri" w:cs="Calibri"/>
        </w:rPr>
        <w:t>&gt; [accessed 04.06.20].</w:t>
      </w:r>
    </w:p>
  </w:footnote>
  <w:footnote w:id="3">
    <w:p w14:paraId="44686F69" w14:textId="09AAA882" w:rsidR="43662558" w:rsidRDefault="43662558" w:rsidP="43662558">
      <w:pPr>
        <w:pStyle w:val="FootnoteText"/>
      </w:pPr>
      <w:r w:rsidRPr="43662558">
        <w:rPr>
          <w:rStyle w:val="FootnoteReference"/>
        </w:rPr>
        <w:footnoteRef/>
      </w:r>
      <w:r>
        <w:t xml:space="preserve"> John J. Collins, </w:t>
      </w:r>
      <w:r w:rsidRPr="43662558">
        <w:rPr>
          <w:i/>
          <w:iCs/>
        </w:rPr>
        <w:t xml:space="preserve">The Oxford Handbook of Apocalyptic Literature, </w:t>
      </w:r>
      <w:r w:rsidRPr="43662558">
        <w:t>(New York: Oxford University press), 2014, p. 146</w:t>
      </w:r>
    </w:p>
  </w:footnote>
  <w:footnote w:id="4">
    <w:p w14:paraId="34F6E703" w14:textId="10DCAA3A" w:rsidR="43662558" w:rsidRDefault="43662558" w:rsidP="43662558">
      <w:pPr>
        <w:pStyle w:val="FootnoteText"/>
      </w:pPr>
      <w:r w:rsidRPr="43662558">
        <w:rPr>
          <w:rStyle w:val="FootnoteReference"/>
        </w:rPr>
        <w:footnoteRef/>
      </w:r>
      <w:r>
        <w:t xml:space="preserve"> John J. Collins, </w:t>
      </w:r>
      <w:r w:rsidRPr="43662558">
        <w:rPr>
          <w:i/>
          <w:iCs/>
        </w:rPr>
        <w:t>The Oxford Handbook of Apocalyptic Literature,</w:t>
      </w:r>
      <w:r w:rsidRPr="43662558">
        <w:t xml:space="preserve"> p. 160</w:t>
      </w:r>
    </w:p>
  </w:footnote>
  <w:footnote w:id="5">
    <w:p w14:paraId="004C04B2" w14:textId="47E3EDCC" w:rsidR="43662558" w:rsidRDefault="43662558" w:rsidP="43662558">
      <w:pPr>
        <w:pStyle w:val="FootnoteText"/>
      </w:pPr>
      <w:r w:rsidRPr="43662558">
        <w:rPr>
          <w:rStyle w:val="FootnoteReference"/>
        </w:rPr>
        <w:footnoteRef/>
      </w:r>
      <w:r>
        <w:t xml:space="preserve"> John J. Collins, </w:t>
      </w:r>
      <w:r w:rsidRPr="43662558">
        <w:rPr>
          <w:i/>
          <w:iCs/>
        </w:rPr>
        <w:t xml:space="preserve">The Oxford Handbook of Apocalyptic Literature, </w:t>
      </w:r>
      <w:r w:rsidRPr="43662558">
        <w:t>(New York: Oxford University press), 2014, p. 147</w:t>
      </w:r>
    </w:p>
  </w:footnote>
  <w:footnote w:id="6">
    <w:p w14:paraId="550D498C" w14:textId="73B11F51" w:rsidR="43662558" w:rsidRDefault="43662558" w:rsidP="43662558">
      <w:pPr>
        <w:pStyle w:val="FootnoteText"/>
      </w:pPr>
      <w:r w:rsidRPr="43662558">
        <w:rPr>
          <w:rStyle w:val="FootnoteReference"/>
        </w:rPr>
        <w:footnoteRef/>
      </w:r>
      <w:r>
        <w:t xml:space="preserve"> John J. Collins, </w:t>
      </w:r>
      <w:r w:rsidRPr="43662558">
        <w:rPr>
          <w:i/>
          <w:iCs/>
        </w:rPr>
        <w:t>The Oxford Handbook of Apocalyptic Literature,</w:t>
      </w:r>
      <w:r w:rsidRPr="43662558">
        <w:t xml:space="preserve"> p. 147</w:t>
      </w:r>
    </w:p>
  </w:footnote>
  <w:footnote w:id="7">
    <w:p w14:paraId="4B6AE64D" w14:textId="470A2EE2" w:rsidR="43662558" w:rsidRDefault="43662558" w:rsidP="43662558">
      <w:pPr>
        <w:pStyle w:val="FootnoteText"/>
      </w:pPr>
      <w:r w:rsidRPr="43662558">
        <w:rPr>
          <w:rStyle w:val="FootnoteReference"/>
        </w:rPr>
        <w:footnoteRef/>
      </w:r>
      <w:r>
        <w:t xml:space="preserve"> John J. Collins, </w:t>
      </w:r>
      <w:r w:rsidRPr="43662558">
        <w:rPr>
          <w:i/>
          <w:iCs/>
        </w:rPr>
        <w:t>The Oxford Handbook of Apocalyptic Literature,</w:t>
      </w:r>
      <w:r w:rsidRPr="43662558">
        <w:t xml:space="preserve"> p. 149</w:t>
      </w:r>
    </w:p>
  </w:footnote>
  <w:footnote w:id="8">
    <w:p w14:paraId="19DFAFB6" w14:textId="0E7473DD" w:rsidR="43662558" w:rsidRDefault="43662558" w:rsidP="43662558">
      <w:pPr>
        <w:pStyle w:val="FootnoteText"/>
      </w:pPr>
      <w:r w:rsidRPr="43662558">
        <w:rPr>
          <w:rStyle w:val="FootnoteReference"/>
        </w:rPr>
        <w:footnoteRef/>
      </w:r>
      <w:r>
        <w:t xml:space="preserve"> John J. Collins, </w:t>
      </w:r>
      <w:r w:rsidRPr="43662558">
        <w:rPr>
          <w:i/>
          <w:iCs/>
        </w:rPr>
        <w:t>The Oxford Handbook of Apocalyptic Literature</w:t>
      </w:r>
      <w:r w:rsidR="00904610">
        <w:rPr>
          <w:i/>
          <w:iCs/>
        </w:rPr>
        <w:t xml:space="preserve">, </w:t>
      </w:r>
      <w:r w:rsidRPr="43662558">
        <w:t xml:space="preserve"> p. 152</w:t>
      </w:r>
    </w:p>
  </w:footnote>
  <w:footnote w:id="9">
    <w:p w14:paraId="71EDEE30" w14:textId="261E3492" w:rsidR="43662558" w:rsidRDefault="43662558" w:rsidP="43662558">
      <w:pPr>
        <w:pStyle w:val="FootnoteText"/>
      </w:pPr>
      <w:r w:rsidRPr="43662558">
        <w:rPr>
          <w:rStyle w:val="FootnoteReference"/>
        </w:rPr>
        <w:footnoteRef/>
      </w:r>
      <w:r>
        <w:t xml:space="preserve"> John J. Collins, </w:t>
      </w:r>
      <w:r w:rsidRPr="43662558">
        <w:rPr>
          <w:i/>
          <w:iCs/>
        </w:rPr>
        <w:t>The Oxford Handbook of Apocalyptic Literature,</w:t>
      </w:r>
      <w:r w:rsidRPr="43662558">
        <w:t xml:space="preserve"> p. 154</w:t>
      </w:r>
    </w:p>
  </w:footnote>
  <w:footnote w:id="10">
    <w:p w14:paraId="4D5D33BC" w14:textId="7619C987" w:rsidR="43662558" w:rsidRDefault="43662558" w:rsidP="43662558">
      <w:pPr>
        <w:pStyle w:val="FootnoteText"/>
      </w:pPr>
      <w:r w:rsidRPr="43662558">
        <w:rPr>
          <w:rStyle w:val="FootnoteReference"/>
        </w:rPr>
        <w:footnoteRef/>
      </w:r>
      <w:r>
        <w:t xml:space="preserve"> John J. Collins, </w:t>
      </w:r>
      <w:r w:rsidRPr="43662558">
        <w:rPr>
          <w:i/>
          <w:iCs/>
        </w:rPr>
        <w:t xml:space="preserve">The Oxford Handbook of Apocalyptic Literature, </w:t>
      </w:r>
      <w:r w:rsidRPr="43662558">
        <w:t>p. 154</w:t>
      </w:r>
    </w:p>
  </w:footnote>
  <w:footnote w:id="11">
    <w:p w14:paraId="64121B5B" w14:textId="589E97E2" w:rsidR="43662558" w:rsidRDefault="43662558" w:rsidP="43662558">
      <w:pPr>
        <w:pStyle w:val="FootnoteText"/>
      </w:pPr>
      <w:r w:rsidRPr="43662558">
        <w:rPr>
          <w:rStyle w:val="FootnoteReference"/>
        </w:rPr>
        <w:footnoteRef/>
      </w:r>
      <w:r>
        <w:t xml:space="preserve">John J. Collins, </w:t>
      </w:r>
      <w:r w:rsidRPr="43662558">
        <w:rPr>
          <w:i/>
          <w:iCs/>
        </w:rPr>
        <w:t xml:space="preserve">The Oxford Handbook of Apocalyptic Literature, </w:t>
      </w:r>
      <w:r w:rsidRPr="43662558">
        <w:t>(New York: Oxford University press), 2014, p. 159</w:t>
      </w:r>
    </w:p>
  </w:footnote>
  <w:footnote w:id="12">
    <w:p w14:paraId="3BEF0DBC" w14:textId="61091B19" w:rsidR="43662558" w:rsidRDefault="43662558" w:rsidP="43662558">
      <w:pPr>
        <w:pStyle w:val="FootnoteText"/>
      </w:pPr>
      <w:r w:rsidRPr="43662558">
        <w:rPr>
          <w:rStyle w:val="FootnoteReference"/>
        </w:rPr>
        <w:footnoteRef/>
      </w:r>
      <w:r>
        <w:t xml:space="preserve"> John J. Collins, </w:t>
      </w:r>
      <w:r w:rsidRPr="43662558">
        <w:rPr>
          <w:i/>
          <w:iCs/>
        </w:rPr>
        <w:t xml:space="preserve">The Oxford Handbook of Apocalyptic Literature, </w:t>
      </w:r>
      <w:r w:rsidRPr="43662558">
        <w:t>p. 159</w:t>
      </w:r>
    </w:p>
  </w:footnote>
  <w:footnote w:id="13">
    <w:p w14:paraId="73436750" w14:textId="3232C700" w:rsidR="43662558" w:rsidRDefault="43662558" w:rsidP="43662558">
      <w:pPr>
        <w:pStyle w:val="FootnoteText"/>
      </w:pPr>
      <w:r w:rsidRPr="43662558">
        <w:rPr>
          <w:rStyle w:val="FootnoteReference"/>
        </w:rPr>
        <w:footnoteRef/>
      </w:r>
      <w:r>
        <w:t xml:space="preserve"> John J. Collins, </w:t>
      </w:r>
      <w:r w:rsidRPr="43662558">
        <w:rPr>
          <w:i/>
          <w:iCs/>
        </w:rPr>
        <w:t xml:space="preserve">The Oxford Handbook of Apocalyptic Literature, </w:t>
      </w:r>
      <w:r w:rsidRPr="43662558">
        <w:t>p. 160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ADD1B11"/>
    <w:multiLevelType w:val="hybridMultilevel"/>
    <w:tmpl w:val="00AAB740"/>
    <w:lvl w:ilvl="0" w:tplc="ABD22A1C">
      <w:start w:val="1"/>
      <w:numFmt w:val="bullet"/>
      <w:lvlText w:val=""/>
      <w:lvlJc w:val="left"/>
      <w:pPr>
        <w:ind w:left="720" w:hanging="360"/>
      </w:pPr>
      <w:rPr>
        <w:rFonts w:ascii="Symbol" w:hAnsi="Symbol" w:hint="default"/>
      </w:rPr>
    </w:lvl>
    <w:lvl w:ilvl="1" w:tplc="F3FC9E06">
      <w:start w:val="1"/>
      <w:numFmt w:val="bullet"/>
      <w:lvlText w:val="o"/>
      <w:lvlJc w:val="left"/>
      <w:pPr>
        <w:ind w:left="1440" w:hanging="360"/>
      </w:pPr>
      <w:rPr>
        <w:rFonts w:ascii="Courier New" w:hAnsi="Courier New" w:hint="default"/>
      </w:rPr>
    </w:lvl>
    <w:lvl w:ilvl="2" w:tplc="E1E6DD10">
      <w:start w:val="1"/>
      <w:numFmt w:val="bullet"/>
      <w:lvlText w:val=""/>
      <w:lvlJc w:val="left"/>
      <w:pPr>
        <w:ind w:left="2160" w:hanging="360"/>
      </w:pPr>
      <w:rPr>
        <w:rFonts w:ascii="Wingdings" w:hAnsi="Wingdings" w:hint="default"/>
      </w:rPr>
    </w:lvl>
    <w:lvl w:ilvl="3" w:tplc="5E50A856">
      <w:start w:val="1"/>
      <w:numFmt w:val="bullet"/>
      <w:lvlText w:val=""/>
      <w:lvlJc w:val="left"/>
      <w:pPr>
        <w:ind w:left="2880" w:hanging="360"/>
      </w:pPr>
      <w:rPr>
        <w:rFonts w:ascii="Symbol" w:hAnsi="Symbol" w:hint="default"/>
      </w:rPr>
    </w:lvl>
    <w:lvl w:ilvl="4" w:tplc="75080FE2">
      <w:start w:val="1"/>
      <w:numFmt w:val="bullet"/>
      <w:lvlText w:val="o"/>
      <w:lvlJc w:val="left"/>
      <w:pPr>
        <w:ind w:left="3600" w:hanging="360"/>
      </w:pPr>
      <w:rPr>
        <w:rFonts w:ascii="Courier New" w:hAnsi="Courier New" w:hint="default"/>
      </w:rPr>
    </w:lvl>
    <w:lvl w:ilvl="5" w:tplc="AF665214">
      <w:start w:val="1"/>
      <w:numFmt w:val="bullet"/>
      <w:lvlText w:val=""/>
      <w:lvlJc w:val="left"/>
      <w:pPr>
        <w:ind w:left="4320" w:hanging="360"/>
      </w:pPr>
      <w:rPr>
        <w:rFonts w:ascii="Wingdings" w:hAnsi="Wingdings" w:hint="default"/>
      </w:rPr>
    </w:lvl>
    <w:lvl w:ilvl="6" w:tplc="6366B124">
      <w:start w:val="1"/>
      <w:numFmt w:val="bullet"/>
      <w:lvlText w:val=""/>
      <w:lvlJc w:val="left"/>
      <w:pPr>
        <w:ind w:left="5040" w:hanging="360"/>
      </w:pPr>
      <w:rPr>
        <w:rFonts w:ascii="Symbol" w:hAnsi="Symbol" w:hint="default"/>
      </w:rPr>
    </w:lvl>
    <w:lvl w:ilvl="7" w:tplc="23049B9E">
      <w:start w:val="1"/>
      <w:numFmt w:val="bullet"/>
      <w:lvlText w:val="o"/>
      <w:lvlJc w:val="left"/>
      <w:pPr>
        <w:ind w:left="5760" w:hanging="360"/>
      </w:pPr>
      <w:rPr>
        <w:rFonts w:ascii="Courier New" w:hAnsi="Courier New" w:hint="default"/>
      </w:rPr>
    </w:lvl>
    <w:lvl w:ilvl="8" w:tplc="A8E49C08">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Julie Y. Davis">
    <w15:presenceInfo w15:providerId="AD" w15:userId="S::j.y.davis@uwtsd.ac.uk::c09c923e-016a-4e18-b742-99caf2192ef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UwMbIwNbU0NDE1MDBV0lEKTi0uzszPAykwrAUAWpGYwiwAAAA="/>
  </w:docVars>
  <w:rsids>
    <w:rsidRoot w:val="0670F18D"/>
    <w:rsid w:val="00017524"/>
    <w:rsid w:val="00131964"/>
    <w:rsid w:val="001379AB"/>
    <w:rsid w:val="00164566"/>
    <w:rsid w:val="001D72C0"/>
    <w:rsid w:val="001F2904"/>
    <w:rsid w:val="00290E24"/>
    <w:rsid w:val="002F46F1"/>
    <w:rsid w:val="003E5736"/>
    <w:rsid w:val="003F135F"/>
    <w:rsid w:val="00700FE6"/>
    <w:rsid w:val="007C6788"/>
    <w:rsid w:val="007E2ADD"/>
    <w:rsid w:val="0080692E"/>
    <w:rsid w:val="0087100B"/>
    <w:rsid w:val="008B56CA"/>
    <w:rsid w:val="00904610"/>
    <w:rsid w:val="009988A0"/>
    <w:rsid w:val="009A23FF"/>
    <w:rsid w:val="00A04DFD"/>
    <w:rsid w:val="00AA0797"/>
    <w:rsid w:val="00B27358"/>
    <w:rsid w:val="00BD42B6"/>
    <w:rsid w:val="00DC2FD3"/>
    <w:rsid w:val="00EF0C5C"/>
    <w:rsid w:val="00FA4162"/>
    <w:rsid w:val="0106EACC"/>
    <w:rsid w:val="024A51E0"/>
    <w:rsid w:val="0251EC07"/>
    <w:rsid w:val="025EFD3D"/>
    <w:rsid w:val="028BBD12"/>
    <w:rsid w:val="028C0E9A"/>
    <w:rsid w:val="02B056A5"/>
    <w:rsid w:val="02DF7991"/>
    <w:rsid w:val="038E43F6"/>
    <w:rsid w:val="03BB4F28"/>
    <w:rsid w:val="043C12B6"/>
    <w:rsid w:val="046D5AC3"/>
    <w:rsid w:val="04E9CB80"/>
    <w:rsid w:val="0670F18D"/>
    <w:rsid w:val="0716744E"/>
    <w:rsid w:val="0719F9B7"/>
    <w:rsid w:val="0792C898"/>
    <w:rsid w:val="090046AC"/>
    <w:rsid w:val="0925020D"/>
    <w:rsid w:val="0956FDCB"/>
    <w:rsid w:val="0A117BE8"/>
    <w:rsid w:val="0A3B5C53"/>
    <w:rsid w:val="0A9C9AF6"/>
    <w:rsid w:val="0AD1857D"/>
    <w:rsid w:val="0AD56F73"/>
    <w:rsid w:val="0B53BFD4"/>
    <w:rsid w:val="0BDB7B75"/>
    <w:rsid w:val="0C8D5956"/>
    <w:rsid w:val="0D4701EA"/>
    <w:rsid w:val="0E1A3CE9"/>
    <w:rsid w:val="0E8DB505"/>
    <w:rsid w:val="0F3077D2"/>
    <w:rsid w:val="0F4CD170"/>
    <w:rsid w:val="0F6047B2"/>
    <w:rsid w:val="0F6F858F"/>
    <w:rsid w:val="0F84BC5F"/>
    <w:rsid w:val="10A704DB"/>
    <w:rsid w:val="10C884A4"/>
    <w:rsid w:val="10FC578A"/>
    <w:rsid w:val="1213E908"/>
    <w:rsid w:val="12C8A53B"/>
    <w:rsid w:val="1330C230"/>
    <w:rsid w:val="13798623"/>
    <w:rsid w:val="13B86CEB"/>
    <w:rsid w:val="13C07335"/>
    <w:rsid w:val="145924D1"/>
    <w:rsid w:val="1498C4B1"/>
    <w:rsid w:val="15E02219"/>
    <w:rsid w:val="166AE202"/>
    <w:rsid w:val="1676B6A3"/>
    <w:rsid w:val="168C6144"/>
    <w:rsid w:val="178E464A"/>
    <w:rsid w:val="17C33A48"/>
    <w:rsid w:val="18503C6C"/>
    <w:rsid w:val="18A66894"/>
    <w:rsid w:val="19F00E48"/>
    <w:rsid w:val="1A383E44"/>
    <w:rsid w:val="1A3B63D8"/>
    <w:rsid w:val="1AC25453"/>
    <w:rsid w:val="1B9FED41"/>
    <w:rsid w:val="1BA041A4"/>
    <w:rsid w:val="1CDAB631"/>
    <w:rsid w:val="1CF338C8"/>
    <w:rsid w:val="1D8D312B"/>
    <w:rsid w:val="1DC893D2"/>
    <w:rsid w:val="1DCC2488"/>
    <w:rsid w:val="1DEB08FD"/>
    <w:rsid w:val="1E3F7191"/>
    <w:rsid w:val="1E53A8A1"/>
    <w:rsid w:val="1EAC3847"/>
    <w:rsid w:val="1F2A1452"/>
    <w:rsid w:val="1F497DED"/>
    <w:rsid w:val="1F8F243E"/>
    <w:rsid w:val="20952F3A"/>
    <w:rsid w:val="20FC65F8"/>
    <w:rsid w:val="2122E8B4"/>
    <w:rsid w:val="2166166C"/>
    <w:rsid w:val="21F2BCAA"/>
    <w:rsid w:val="223C8748"/>
    <w:rsid w:val="2245C444"/>
    <w:rsid w:val="22D560EF"/>
    <w:rsid w:val="2353DDA4"/>
    <w:rsid w:val="23C4A0DF"/>
    <w:rsid w:val="247A4791"/>
    <w:rsid w:val="249042F8"/>
    <w:rsid w:val="25137E2A"/>
    <w:rsid w:val="2569CC9C"/>
    <w:rsid w:val="25C42949"/>
    <w:rsid w:val="2623F34A"/>
    <w:rsid w:val="2688E65C"/>
    <w:rsid w:val="27DBCE30"/>
    <w:rsid w:val="2835185B"/>
    <w:rsid w:val="2893A07F"/>
    <w:rsid w:val="28BDDC11"/>
    <w:rsid w:val="290C010F"/>
    <w:rsid w:val="2919C934"/>
    <w:rsid w:val="29504BD7"/>
    <w:rsid w:val="2A4017FB"/>
    <w:rsid w:val="2A70F664"/>
    <w:rsid w:val="2A998F13"/>
    <w:rsid w:val="2AD5731F"/>
    <w:rsid w:val="2AEA475E"/>
    <w:rsid w:val="2B7C9EF7"/>
    <w:rsid w:val="2BB82574"/>
    <w:rsid w:val="2C08115E"/>
    <w:rsid w:val="2D3DB4EA"/>
    <w:rsid w:val="2D53F388"/>
    <w:rsid w:val="2D8C6FC9"/>
    <w:rsid w:val="2DD3085C"/>
    <w:rsid w:val="2E29535E"/>
    <w:rsid w:val="2FC9FC36"/>
    <w:rsid w:val="3030041D"/>
    <w:rsid w:val="307B257B"/>
    <w:rsid w:val="310FAF5E"/>
    <w:rsid w:val="31103A2F"/>
    <w:rsid w:val="31BF2D71"/>
    <w:rsid w:val="31F701C2"/>
    <w:rsid w:val="331F8536"/>
    <w:rsid w:val="338F83C1"/>
    <w:rsid w:val="33F17458"/>
    <w:rsid w:val="340C2141"/>
    <w:rsid w:val="3428DD4B"/>
    <w:rsid w:val="3474CA12"/>
    <w:rsid w:val="34C7011B"/>
    <w:rsid w:val="34E13356"/>
    <w:rsid w:val="3600AA01"/>
    <w:rsid w:val="3666D714"/>
    <w:rsid w:val="36DDE571"/>
    <w:rsid w:val="373176EF"/>
    <w:rsid w:val="380A7457"/>
    <w:rsid w:val="38580967"/>
    <w:rsid w:val="391247E4"/>
    <w:rsid w:val="3929763C"/>
    <w:rsid w:val="39C30809"/>
    <w:rsid w:val="39EADA8C"/>
    <w:rsid w:val="39F04F7A"/>
    <w:rsid w:val="3ACF7AB0"/>
    <w:rsid w:val="3BB770A4"/>
    <w:rsid w:val="3BB8E807"/>
    <w:rsid w:val="3CE505FE"/>
    <w:rsid w:val="3D0954DF"/>
    <w:rsid w:val="3DBC69AF"/>
    <w:rsid w:val="3DF4F29A"/>
    <w:rsid w:val="3E091FCC"/>
    <w:rsid w:val="3E877D4B"/>
    <w:rsid w:val="3ED3408B"/>
    <w:rsid w:val="3ED49565"/>
    <w:rsid w:val="3EDC89BF"/>
    <w:rsid w:val="3F068C7D"/>
    <w:rsid w:val="3F3CFACD"/>
    <w:rsid w:val="4041DC90"/>
    <w:rsid w:val="40C08B4E"/>
    <w:rsid w:val="425EAF67"/>
    <w:rsid w:val="427EF8FE"/>
    <w:rsid w:val="429F4EB1"/>
    <w:rsid w:val="42A4A279"/>
    <w:rsid w:val="42C73A3C"/>
    <w:rsid w:val="435684AC"/>
    <w:rsid w:val="43662558"/>
    <w:rsid w:val="43A84A35"/>
    <w:rsid w:val="43B33287"/>
    <w:rsid w:val="45118E8F"/>
    <w:rsid w:val="4569979E"/>
    <w:rsid w:val="459C0ABC"/>
    <w:rsid w:val="466F749E"/>
    <w:rsid w:val="467308AD"/>
    <w:rsid w:val="46E7F2D8"/>
    <w:rsid w:val="479E761A"/>
    <w:rsid w:val="47CEEC80"/>
    <w:rsid w:val="47E266EB"/>
    <w:rsid w:val="481C101A"/>
    <w:rsid w:val="484FBB0E"/>
    <w:rsid w:val="48785552"/>
    <w:rsid w:val="488F9A5E"/>
    <w:rsid w:val="48D79492"/>
    <w:rsid w:val="49094B2A"/>
    <w:rsid w:val="4929B21D"/>
    <w:rsid w:val="497CA3D4"/>
    <w:rsid w:val="49A2E7EB"/>
    <w:rsid w:val="49E2CF49"/>
    <w:rsid w:val="49E71626"/>
    <w:rsid w:val="4A362859"/>
    <w:rsid w:val="4A4AF949"/>
    <w:rsid w:val="4AD23FDD"/>
    <w:rsid w:val="4B4B607B"/>
    <w:rsid w:val="4BA604A9"/>
    <w:rsid w:val="4BC8C4B6"/>
    <w:rsid w:val="4BE890B3"/>
    <w:rsid w:val="4C45D7F8"/>
    <w:rsid w:val="4C4CC411"/>
    <w:rsid w:val="4DC9855E"/>
    <w:rsid w:val="4E181DE2"/>
    <w:rsid w:val="4E69F36B"/>
    <w:rsid w:val="4EBB65B0"/>
    <w:rsid w:val="4F2DBD09"/>
    <w:rsid w:val="4F8EE4C2"/>
    <w:rsid w:val="4FB9D230"/>
    <w:rsid w:val="4FE5779E"/>
    <w:rsid w:val="50BBA3AE"/>
    <w:rsid w:val="50DD4C10"/>
    <w:rsid w:val="50FD8720"/>
    <w:rsid w:val="51628DDE"/>
    <w:rsid w:val="51942C0C"/>
    <w:rsid w:val="52243264"/>
    <w:rsid w:val="5288BEE1"/>
    <w:rsid w:val="52CAF3FC"/>
    <w:rsid w:val="53B732E5"/>
    <w:rsid w:val="53DB0DCD"/>
    <w:rsid w:val="540A1ADF"/>
    <w:rsid w:val="544B8D06"/>
    <w:rsid w:val="54BF7BF1"/>
    <w:rsid w:val="550111F9"/>
    <w:rsid w:val="565FBF89"/>
    <w:rsid w:val="56954F3D"/>
    <w:rsid w:val="56CB8BFC"/>
    <w:rsid w:val="57764A2B"/>
    <w:rsid w:val="578938D1"/>
    <w:rsid w:val="57C6DE44"/>
    <w:rsid w:val="57ECCE6E"/>
    <w:rsid w:val="5873A1D1"/>
    <w:rsid w:val="5A4BF85F"/>
    <w:rsid w:val="5B3039A9"/>
    <w:rsid w:val="5C0ACA24"/>
    <w:rsid w:val="5C544E46"/>
    <w:rsid w:val="5DC06679"/>
    <w:rsid w:val="5E1FC60B"/>
    <w:rsid w:val="5E4AB84B"/>
    <w:rsid w:val="5ED69158"/>
    <w:rsid w:val="5F6B6953"/>
    <w:rsid w:val="5FC19706"/>
    <w:rsid w:val="5FE45C4D"/>
    <w:rsid w:val="60E17634"/>
    <w:rsid w:val="6127959E"/>
    <w:rsid w:val="6131609A"/>
    <w:rsid w:val="6178C28E"/>
    <w:rsid w:val="619809B9"/>
    <w:rsid w:val="6325C347"/>
    <w:rsid w:val="634832B2"/>
    <w:rsid w:val="64384E53"/>
    <w:rsid w:val="6449B016"/>
    <w:rsid w:val="645ACC85"/>
    <w:rsid w:val="64F7BAED"/>
    <w:rsid w:val="6538C1DC"/>
    <w:rsid w:val="66A7658B"/>
    <w:rsid w:val="66BAB3F4"/>
    <w:rsid w:val="67174435"/>
    <w:rsid w:val="671C22BB"/>
    <w:rsid w:val="671F25B4"/>
    <w:rsid w:val="67567E0F"/>
    <w:rsid w:val="67DCC41C"/>
    <w:rsid w:val="67E1AC46"/>
    <w:rsid w:val="689F28D5"/>
    <w:rsid w:val="68EEE920"/>
    <w:rsid w:val="69CB1BAF"/>
    <w:rsid w:val="6A431457"/>
    <w:rsid w:val="6A59B43C"/>
    <w:rsid w:val="6A7A7D3B"/>
    <w:rsid w:val="6AA0E086"/>
    <w:rsid w:val="6AD57FE7"/>
    <w:rsid w:val="6B4436BE"/>
    <w:rsid w:val="6BA398A0"/>
    <w:rsid w:val="6C0AD2CC"/>
    <w:rsid w:val="6C37EC54"/>
    <w:rsid w:val="6DEF13E1"/>
    <w:rsid w:val="6E193653"/>
    <w:rsid w:val="6E5E6AAB"/>
    <w:rsid w:val="6F1AD650"/>
    <w:rsid w:val="6F34D0D9"/>
    <w:rsid w:val="6F5AB6CA"/>
    <w:rsid w:val="6FA36A47"/>
    <w:rsid w:val="6FAA303A"/>
    <w:rsid w:val="6FC80263"/>
    <w:rsid w:val="70433941"/>
    <w:rsid w:val="70891277"/>
    <w:rsid w:val="70A91F3D"/>
    <w:rsid w:val="70C1A815"/>
    <w:rsid w:val="70D425D3"/>
    <w:rsid w:val="71BCB5F3"/>
    <w:rsid w:val="726FBB96"/>
    <w:rsid w:val="72EAF8E7"/>
    <w:rsid w:val="7319AE9D"/>
    <w:rsid w:val="73383AD0"/>
    <w:rsid w:val="73819909"/>
    <w:rsid w:val="73AF84A5"/>
    <w:rsid w:val="73CB59CE"/>
    <w:rsid w:val="74C30920"/>
    <w:rsid w:val="74D24FD6"/>
    <w:rsid w:val="75315123"/>
    <w:rsid w:val="7606C43D"/>
    <w:rsid w:val="761F3B8D"/>
    <w:rsid w:val="765F54D9"/>
    <w:rsid w:val="76A75DD7"/>
    <w:rsid w:val="76CC7ECB"/>
    <w:rsid w:val="77137B11"/>
    <w:rsid w:val="77696F5B"/>
    <w:rsid w:val="78B3DDC0"/>
    <w:rsid w:val="78CDEA90"/>
    <w:rsid w:val="78E2AECA"/>
    <w:rsid w:val="78F1A5EE"/>
    <w:rsid w:val="790DD72F"/>
    <w:rsid w:val="7923FEF0"/>
    <w:rsid w:val="7A2BFE4C"/>
    <w:rsid w:val="7A3F7D55"/>
    <w:rsid w:val="7A4E66C1"/>
    <w:rsid w:val="7A98087A"/>
    <w:rsid w:val="7AB4316D"/>
    <w:rsid w:val="7AC0EBFA"/>
    <w:rsid w:val="7AD760D7"/>
    <w:rsid w:val="7B91D890"/>
    <w:rsid w:val="7CC70E68"/>
    <w:rsid w:val="7CCEC4B5"/>
    <w:rsid w:val="7D6640F3"/>
    <w:rsid w:val="7DBF5745"/>
    <w:rsid w:val="7DC8182B"/>
    <w:rsid w:val="7E1FCF29"/>
    <w:rsid w:val="7E76348A"/>
    <w:rsid w:val="7FBA4078"/>
    <w:rsid w:val="7FBC2652"/>
    <w:rsid w:val="7FE07F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0F18D"/>
  <w15:chartTrackingRefBased/>
  <w15:docId w15:val="{AF87D593-87B3-4E8D-A392-0788D954D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paragraph" w:styleId="BalloonText">
    <w:name w:val="Balloon Text"/>
    <w:basedOn w:val="Normal"/>
    <w:link w:val="BalloonTextChar"/>
    <w:uiPriority w:val="99"/>
    <w:semiHidden/>
    <w:unhideWhenUsed/>
    <w:rsid w:val="001379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79AB"/>
    <w:rPr>
      <w:rFonts w:ascii="Segoe UI" w:hAnsi="Segoe UI" w:cs="Segoe UI"/>
      <w:sz w:val="18"/>
      <w:szCs w:val="18"/>
    </w:rPr>
  </w:style>
  <w:style w:type="character" w:styleId="CommentReference">
    <w:name w:val="annotation reference"/>
    <w:basedOn w:val="DefaultParagraphFont"/>
    <w:uiPriority w:val="99"/>
    <w:semiHidden/>
    <w:unhideWhenUsed/>
    <w:rsid w:val="001379AB"/>
    <w:rPr>
      <w:sz w:val="16"/>
      <w:szCs w:val="16"/>
    </w:rPr>
  </w:style>
  <w:style w:type="paragraph" w:styleId="CommentText">
    <w:name w:val="annotation text"/>
    <w:basedOn w:val="Normal"/>
    <w:link w:val="CommentTextChar"/>
    <w:uiPriority w:val="99"/>
    <w:semiHidden/>
    <w:unhideWhenUsed/>
    <w:rsid w:val="001379AB"/>
    <w:pPr>
      <w:spacing w:line="240" w:lineRule="auto"/>
    </w:pPr>
    <w:rPr>
      <w:sz w:val="20"/>
      <w:szCs w:val="20"/>
    </w:rPr>
  </w:style>
  <w:style w:type="character" w:customStyle="1" w:styleId="CommentTextChar">
    <w:name w:val="Comment Text Char"/>
    <w:basedOn w:val="DefaultParagraphFont"/>
    <w:link w:val="CommentText"/>
    <w:uiPriority w:val="99"/>
    <w:semiHidden/>
    <w:rsid w:val="001379AB"/>
    <w:rPr>
      <w:sz w:val="20"/>
      <w:szCs w:val="20"/>
    </w:rPr>
  </w:style>
  <w:style w:type="paragraph" w:styleId="CommentSubject">
    <w:name w:val="annotation subject"/>
    <w:basedOn w:val="CommentText"/>
    <w:next w:val="CommentText"/>
    <w:link w:val="CommentSubjectChar"/>
    <w:uiPriority w:val="99"/>
    <w:semiHidden/>
    <w:unhideWhenUsed/>
    <w:rsid w:val="001379AB"/>
    <w:rPr>
      <w:b/>
      <w:bCs/>
    </w:rPr>
  </w:style>
  <w:style w:type="character" w:customStyle="1" w:styleId="CommentSubjectChar">
    <w:name w:val="Comment Subject Char"/>
    <w:basedOn w:val="CommentTextChar"/>
    <w:link w:val="CommentSubject"/>
    <w:uiPriority w:val="99"/>
    <w:semiHidden/>
    <w:rsid w:val="001379A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mazon.com/Anathea-E.-Portier-Young/e/B004L4ROPU%3Fref=dbs_a_mng_rwt_scns_shar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microsoft.com/office/2011/relationships/people" Target="people.xml"/><Relationship Id="rId10" Type="http://schemas.openxmlformats.org/officeDocument/2006/relationships/comments" Target="comments.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amazon.com/Anathea-E.-Portier-Young/e/B004L4ROPU%3Fref=dbs_a_mng_rwt_scns_sh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7" ma:contentTypeDescription="Create a new document." ma:contentTypeScope="" ma:versionID="bd170cb4e422965ee698b9a9a5e20995">
  <xsd:schema xmlns:xsd="http://www.w3.org/2001/XMLSchema" xmlns:xs="http://www.w3.org/2001/XMLSchema" xmlns:p="http://schemas.microsoft.com/office/2006/metadata/properties" xmlns:ns3="ada16477-4a9e-4f32-8a2f-23c8ffb0c900" xmlns:ns4="09ebbee8-2921-4cc3-be77-564d5a35cca5" targetNamespace="http://schemas.microsoft.com/office/2006/metadata/properties" ma:root="true" ma:fieldsID="3050ac3b509962e26cfad84a0983bd3d" ns3:_="" ns4:_="">
    <xsd:import namespace="ada16477-4a9e-4f32-8a2f-23c8ffb0c900"/>
    <xsd:import namespace="09ebbee8-2921-4cc3-be77-564d5a35cca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ebbee8-2921-4cc3-be77-564d5a35cca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08666A-5F0B-4CF3-A998-532FB839A8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09ebbee8-2921-4cc3-be77-564d5a35c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AD5E39-69DE-4D46-B5A7-2FE06AAE78A4}">
  <ds:schemaRefs>
    <ds:schemaRef ds:uri="http://schemas.microsoft.com/sharepoint/v3/contenttype/forms"/>
  </ds:schemaRefs>
</ds:datastoreItem>
</file>

<file path=customXml/itemProps3.xml><?xml version="1.0" encoding="utf-8"?>
<ds:datastoreItem xmlns:ds="http://schemas.openxmlformats.org/officeDocument/2006/customXml" ds:itemID="{9D2BCFC1-A955-46FD-BEF7-3C1DC39A601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1309</Words>
  <Characters>7463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Williams (1801640)</dc:creator>
  <cp:keywords/>
  <dc:description/>
  <cp:lastModifiedBy>Georgia Williams (1801640)</cp:lastModifiedBy>
  <cp:revision>19</cp:revision>
  <dcterms:created xsi:type="dcterms:W3CDTF">2020-06-05T15:16:00Z</dcterms:created>
  <dcterms:modified xsi:type="dcterms:W3CDTF">2020-06-05T15:45:00Z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